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07773" w14:textId="047FE98F" w:rsidR="00FA7C11" w:rsidRDefault="00E81876" w:rsidP="00E81876">
      <w:pPr>
        <w:pStyle w:val="Pagedecouverture"/>
        <w:rPr>
          <w:noProof/>
        </w:rPr>
      </w:pPr>
      <w:bookmarkStart w:id="0" w:name="_Hlk235109117"/>
      <w:bookmarkStart w:id="1" w:name="LW_BM_COVERPAGE"/>
      <w:r>
        <w:rPr>
          <w:noProof/>
        </w:rPr>
        <w:pict w14:anchorId="0DAEF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F294861-D532-4EA3-A5EE-DBAC8EFB92CC" style="width:455.25pt;height:372.75pt">
            <v:imagedata r:id="rId7" o:title=""/>
          </v:shape>
        </w:pict>
      </w:r>
    </w:p>
    <w:bookmarkEnd w:id="1"/>
    <w:p w14:paraId="1A5F1AA2" w14:textId="7FCF03AC" w:rsidR="00FA7C11" w:rsidRDefault="00FA7C11">
      <w:pPr>
        <w:rPr>
          <w:noProof/>
        </w:rPr>
        <w:sectPr w:rsidR="00FA7C11" w:rsidSect="00E81876">
          <w:headerReference w:type="even" r:id="rId8"/>
          <w:headerReference w:type="default" r:id="rId9"/>
          <w:footerReference w:type="even" r:id="rId10"/>
          <w:footerReference w:type="default" r:id="rId11"/>
          <w:headerReference w:type="first" r:id="rId12"/>
          <w:footerReference w:type="first" r:id="rId13"/>
          <w:pgSz w:w="11907" w:h="16840" w:code="9"/>
          <w:pgMar w:top="1134" w:right="1417" w:bottom="1134" w:left="1417" w:header="709" w:footer="709" w:gutter="0"/>
          <w:pgNumType w:start="1"/>
          <w:cols w:space="720"/>
          <w:docGrid w:linePitch="360"/>
        </w:sectPr>
      </w:pPr>
    </w:p>
    <w:p w14:paraId="4D8D7F5C" w14:textId="77777777" w:rsidR="00FA7C11" w:rsidRDefault="00D84965">
      <w:pPr>
        <w:pStyle w:val="P68B1DB1-TechnicalBlock1"/>
        <w:ind w:left="-1134" w:right="-1134"/>
        <w:rPr>
          <w:noProof/>
        </w:rPr>
      </w:pPr>
      <w:bookmarkStart w:id="2" w:name="_GoBack"/>
      <w:bookmarkEnd w:id="2"/>
      <w:r>
        <w:rPr>
          <w:noProof/>
        </w:rPr>
        <w:lastRenderedPageBreak/>
        <w:t>ANEXĂ</w:t>
      </w:r>
    </w:p>
    <w:p w14:paraId="485BC357" w14:textId="77777777" w:rsidR="00FA7C11" w:rsidRDefault="00FA7C11">
      <w:pPr>
        <w:spacing w:line="240" w:lineRule="auto"/>
        <w:jc w:val="both"/>
        <w:rPr>
          <w:rFonts w:ascii="Times New Roman" w:eastAsia="Calibri" w:hAnsi="Times New Roman" w:cs="Times New Roman"/>
          <w:b/>
          <w:bCs/>
          <w:noProof/>
          <w:sz w:val="24"/>
          <w:szCs w:val="24"/>
        </w:rPr>
      </w:pPr>
    </w:p>
    <w:p w14:paraId="0361AF0F" w14:textId="77777777" w:rsidR="00FA7C11" w:rsidRDefault="00D84965">
      <w:pPr>
        <w:pStyle w:val="P68B1DB1-Normal24"/>
        <w:spacing w:line="240" w:lineRule="auto"/>
        <w:jc w:val="both"/>
        <w:rPr>
          <w:bCs/>
          <w:noProof/>
        </w:rPr>
      </w:pPr>
      <w:r>
        <w:rPr>
          <w:noProof/>
        </w:rPr>
        <w:t>SECȚIUNEA 1: REFORME ȘI INVESTIȚII INCLUSE ÎN PLANUL DE REDRESARE ȘI REZILIENȚĂ</w:t>
      </w:r>
    </w:p>
    <w:p w14:paraId="55858CBE" w14:textId="77777777" w:rsidR="00FA7C11" w:rsidRDefault="00FA7C11">
      <w:pPr>
        <w:spacing w:line="240" w:lineRule="auto"/>
        <w:jc w:val="both"/>
        <w:rPr>
          <w:rFonts w:ascii="Times New Roman" w:eastAsia="Calibri" w:hAnsi="Times New Roman" w:cs="Times New Roman"/>
          <w:noProof/>
          <w:sz w:val="24"/>
          <w:szCs w:val="24"/>
        </w:rPr>
      </w:pPr>
    </w:p>
    <w:p w14:paraId="7F753AFF" w14:textId="77777777" w:rsidR="00FA7C11" w:rsidRDefault="00D84965">
      <w:pPr>
        <w:pStyle w:val="P68B1DB1-Normal24"/>
        <w:numPr>
          <w:ilvl w:val="0"/>
          <w:numId w:val="43"/>
        </w:numPr>
        <w:spacing w:before="120" w:after="120" w:line="240" w:lineRule="auto"/>
        <w:jc w:val="both"/>
        <w:rPr>
          <w:bCs/>
          <w:noProof/>
        </w:rPr>
      </w:pPr>
      <w:r>
        <w:rPr>
          <w:noProof/>
        </w:rPr>
        <w:t xml:space="preserve">Descrierea reformelor și a investițiilor </w:t>
      </w:r>
    </w:p>
    <w:p w14:paraId="4F655101" w14:textId="77777777" w:rsidR="00FA7C11" w:rsidRDefault="00D84965">
      <w:pPr>
        <w:pStyle w:val="P68B1DB1-Normal32"/>
        <w:keepNext/>
        <w:tabs>
          <w:tab w:val="left" w:pos="850"/>
        </w:tabs>
        <w:spacing w:before="360" w:line="240" w:lineRule="auto"/>
        <w:ind w:left="850" w:hanging="850"/>
        <w:jc w:val="both"/>
        <w:outlineLvl w:val="0"/>
        <w:rPr>
          <w:bCs/>
          <w:noProof/>
        </w:rPr>
      </w:pPr>
      <w:r>
        <w:rPr>
          <w:noProof/>
        </w:rPr>
        <w:t>A. COMPONENTA 1.1: O ECONOMIE REZILIENTĂ, VERDE ȘI DIGITALĂ</w:t>
      </w:r>
    </w:p>
    <w:p w14:paraId="7CE183AD" w14:textId="77777777" w:rsidR="00FA7C11" w:rsidRDefault="00D84965">
      <w:pPr>
        <w:pStyle w:val="P68B1DB1-Normal33"/>
        <w:spacing w:line="240" w:lineRule="auto"/>
        <w:jc w:val="both"/>
        <w:rPr>
          <w:noProof/>
        </w:rPr>
      </w:pPr>
      <w:r>
        <w:rPr>
          <w:noProof/>
        </w:rPr>
        <w:t>Această componentă a planului croat de redresare și reziliență adoptă o abordare orizontală amplă în ceea ce privește abordarea unora dintre deficiențele structurale ale economiei croate. Creșterea economică și convergența Croației cu restul Uniunii sunt îngreunate de productivitatea scăzută, de investițiile relativ scăzute ale sectorului privat, de accesul limitat la finanțare al celor mai inovatoare întreprinderi și, în general, de un mediu de afaceri caracterizat de o sarcină administrativă și parafiscală relativ ridicată și de o reglementare excesivă a profesiilor. În plus, ponderea producției industriale este cea mai scăzută în rândul statelor membre din Europa Centrală și de Est, iar Croația este, de asemenea, în urma țărilor cu caracteristici similare în ceea ce privește nivelul investițiilor în inovare, în produse de nivel tehnologic mai ridicat și în tranziția verde și cea digitală.</w:t>
      </w:r>
    </w:p>
    <w:p w14:paraId="72858EC3" w14:textId="77777777" w:rsidR="00FA7C11" w:rsidRDefault="00D84965">
      <w:pPr>
        <w:pStyle w:val="P68B1DB1-Normal33"/>
        <w:spacing w:line="240" w:lineRule="auto"/>
        <w:jc w:val="both"/>
        <w:rPr>
          <w:noProof/>
        </w:rPr>
      </w:pPr>
      <w:r>
        <w:rPr>
          <w:noProof/>
        </w:rPr>
        <w:t xml:space="preserve">Obiectivele componentei sunt triple: </w:t>
      </w:r>
    </w:p>
    <w:p w14:paraId="08C2C60E" w14:textId="77777777" w:rsidR="00FA7C11" w:rsidRDefault="00D84965">
      <w:pPr>
        <w:pStyle w:val="P68B1DB1-Normal33"/>
        <w:numPr>
          <w:ilvl w:val="0"/>
          <w:numId w:val="44"/>
        </w:numPr>
        <w:spacing w:before="120" w:after="120" w:line="240" w:lineRule="auto"/>
        <w:jc w:val="both"/>
        <w:rPr>
          <w:noProof/>
        </w:rPr>
      </w:pPr>
      <w:r>
        <w:rPr>
          <w:noProof/>
        </w:rPr>
        <w:t xml:space="preserve">Îmbunătățirea mediului de afaceri prin continuarea reformelor menite să reducă sarcinile administrative și parafiscale și să liberalizeze și mai mult profesiile reglementate. </w:t>
      </w:r>
    </w:p>
    <w:p w14:paraId="3334BA43" w14:textId="77777777" w:rsidR="00FA7C11" w:rsidRDefault="00D84965">
      <w:pPr>
        <w:pStyle w:val="P68B1DB1-Normal33"/>
        <w:numPr>
          <w:ilvl w:val="0"/>
          <w:numId w:val="44"/>
        </w:numPr>
        <w:spacing w:before="120" w:after="120" w:line="240" w:lineRule="auto"/>
        <w:jc w:val="both"/>
        <w:rPr>
          <w:noProof/>
        </w:rPr>
      </w:pPr>
      <w:r>
        <w:rPr>
          <w:noProof/>
        </w:rPr>
        <w:t xml:space="preserve">Realizarea unei mai bune alocări a resurselor de capital în cadrul economiei prin elaborarea unor modificări ale cadrului de reglementare pentru a stimula investițiile din sectorul privat; sprijinirea, prin granturi și instrumente financiare preferențiale, a investițiilor productive ale întreprinderilor, în special pentru adoptarea tehnologiilor ecologice; și îmbunătățirea accesului la modalități alternative sau inovatoare de finanțare. </w:t>
      </w:r>
    </w:p>
    <w:p w14:paraId="08DA7881" w14:textId="77777777" w:rsidR="00FA7C11" w:rsidRDefault="00D84965">
      <w:pPr>
        <w:pStyle w:val="P68B1DB1-Normal33"/>
        <w:numPr>
          <w:ilvl w:val="0"/>
          <w:numId w:val="44"/>
        </w:numPr>
        <w:spacing w:before="120" w:after="120" w:line="240" w:lineRule="auto"/>
        <w:jc w:val="both"/>
        <w:rPr>
          <w:noProof/>
        </w:rPr>
      </w:pPr>
      <w:r>
        <w:rPr>
          <w:noProof/>
        </w:rPr>
        <w:t>Sprijinirea întreprinderilor în adaptarea operațiunilor lor la noul mediu digital, cu un accent special pe sectoarele culturale și creative care au fost afectate în mod deosebit de măsurile de limitare a mișcării persoanelor care au restricționat serviciile cu prezență fizică.</w:t>
      </w:r>
    </w:p>
    <w:p w14:paraId="404DB060" w14:textId="77777777" w:rsidR="00FA7C11" w:rsidRDefault="00D84965">
      <w:pPr>
        <w:pStyle w:val="P68B1DB1-Normal33"/>
        <w:spacing w:line="240" w:lineRule="auto"/>
        <w:jc w:val="both"/>
        <w:rPr>
          <w:noProof/>
        </w:rPr>
      </w:pPr>
      <w:r>
        <w:rPr>
          <w:noProof/>
        </w:rPr>
        <w:t>Componenta abordează recomandarea specifică fiecărei țări prin furnizarea de lichidități întreprinderilor mici și mijlocii, prin reducerea taxelor parafiscale și a restricțiilor în ceea ce privește reglementarea pieței bunurilor și serviciilor, prin promovarea investițiilor private și prin concentrarea investițiilor asupra tranziției verzi și a celei digitale (recomandarea specifică fiecărei țări nr. 3, 2020). Aceasta contribuie, de asemenea, la punerea în aplicare a recomandării de a reduce cele mai împovărătoare taxe parafiscale și reglementarea excesivă a pieței produselor și serviciilor (recomandările specifice fiecărei țări 4, 2019).</w:t>
      </w:r>
    </w:p>
    <w:p w14:paraId="7F741F99" w14:textId="77777777" w:rsidR="00FA7C11" w:rsidRDefault="00D84965">
      <w:pPr>
        <w:pStyle w:val="P68B1DB1-Normal33"/>
        <w:spacing w:line="240" w:lineRule="auto"/>
        <w:jc w:val="both"/>
        <w:rPr>
          <w:noProof/>
        </w:rPr>
      </w:pPr>
      <w:r>
        <w:rPr>
          <w:noProof/>
        </w:rPr>
        <w:t>Componenta este împărțită în două subcomponente, C1.1.1 (Consolidarea competitivității și a tranziției verzi a economiei) și C.1.1.2 (Stimularea inovării și digitalizarea economiei).</w:t>
      </w:r>
    </w:p>
    <w:p w14:paraId="24ED30C9" w14:textId="77777777" w:rsidR="00FA7C11" w:rsidRDefault="00D84965">
      <w:pPr>
        <w:pStyle w:val="P68B1DB1-Normal34"/>
        <w:spacing w:after="200" w:line="276" w:lineRule="auto"/>
        <w:ind w:left="851"/>
        <w:rPr>
          <w:rFonts w:ascii="Times New Roman" w:eastAsia="Calibri" w:hAnsi="Times New Roman" w:cs="Times New Roman"/>
          <w:noProof/>
        </w:rPr>
      </w:pPr>
      <w:r>
        <w:rPr>
          <w:rFonts w:ascii="Times New Roman" w:eastAsia="Calibri" w:hAnsi="Times New Roman" w:cs="Times New Roman"/>
          <w:noProof/>
        </w:rPr>
        <w:br w:type="page"/>
      </w:r>
      <w:r>
        <w:rPr>
          <w:rFonts w:ascii="Times New Roman" w:eastAsia="SimSun" w:hAnsi="Times New Roman" w:cs="Times New Roman"/>
          <w:b/>
          <w:noProof/>
          <w:u w:val="single"/>
        </w:rPr>
        <w:t xml:space="preserve">A.1. </w:t>
      </w:r>
      <w:r>
        <w:rPr>
          <w:rFonts w:ascii="Times New Roman" w:eastAsia="SimSun" w:hAnsi="Times New Roman" w:cs="Times New Roman"/>
          <w:b/>
          <w:noProof/>
          <w:u w:val="single"/>
        </w:rPr>
        <w:tab/>
        <w:t>Descrierea reformelor și a investițiilor pentru sprijinul financiar nerambursabil</w:t>
      </w:r>
    </w:p>
    <w:p w14:paraId="3A7560C4" w14:textId="77777777" w:rsidR="00FA7C11" w:rsidRDefault="00D84965">
      <w:pPr>
        <w:pStyle w:val="P68B1DB1-Normal42"/>
        <w:keepNext/>
        <w:spacing w:line="240" w:lineRule="auto"/>
        <w:ind w:left="850"/>
        <w:jc w:val="both"/>
        <w:rPr>
          <w:noProof/>
          <w:u w:val="double"/>
        </w:rPr>
      </w:pPr>
      <w:r>
        <w:rPr>
          <w:noProof/>
        </w:rPr>
        <w:t>Subcomponenta C1.1.1 – Consolidarea competitivității și a tranziției verzi a economiei</w:t>
      </w:r>
    </w:p>
    <w:p w14:paraId="440E1F90" w14:textId="77777777" w:rsidR="00FA7C11" w:rsidRDefault="00D84965">
      <w:pPr>
        <w:pStyle w:val="P68B1DB1-Normal33"/>
        <w:keepNext/>
        <w:spacing w:line="240" w:lineRule="auto"/>
        <w:jc w:val="both"/>
        <w:rPr>
          <w:noProof/>
        </w:rPr>
      </w:pPr>
      <w:r>
        <w:rPr>
          <w:noProof/>
        </w:rPr>
        <w:t>Obiectivul acestei subcomponente este de a promova activitatea economică, competitivitatea și investițiile prin reducerea în continuare a sarcinii administrative și parafiscale asupra întreprinderilor, liberalizarea în continuare a profesiilor reglementate, creșterea accesului la credite cu ajutorul granturilor, al împrumuturilor concesionale și al instrumentelor de capital, atragerea de investiții străine directe și sprijinirea sectoarelor culturale și creative în tranziția lor digitală.</w:t>
      </w:r>
    </w:p>
    <w:p w14:paraId="6CDDA16A" w14:textId="77777777" w:rsidR="00FA7C11" w:rsidRDefault="00D84965">
      <w:pPr>
        <w:pStyle w:val="P68B1DB1-Normal42"/>
        <w:keepNext/>
        <w:spacing w:line="240" w:lineRule="auto"/>
        <w:ind w:left="720" w:hanging="11"/>
        <w:jc w:val="both"/>
        <w:rPr>
          <w:noProof/>
        </w:rPr>
      </w:pPr>
      <w:r>
        <w:rPr>
          <w:noProof/>
        </w:rPr>
        <w:t xml:space="preserve">Reforma C1.1.1 R1 – Continuarea reformei mediului de afaceri și de reglementare. </w:t>
      </w:r>
    </w:p>
    <w:p w14:paraId="0D865200" w14:textId="77777777" w:rsidR="00FA7C11" w:rsidRDefault="00D84965">
      <w:pPr>
        <w:pStyle w:val="P68B1DB1-Normal33"/>
        <w:spacing w:line="240" w:lineRule="auto"/>
        <w:jc w:val="both"/>
        <w:rPr>
          <w:noProof/>
        </w:rPr>
      </w:pPr>
      <w:r>
        <w:rPr>
          <w:noProof/>
        </w:rPr>
        <w:t>Obiectivul acestei reforme este de a îmbunătăți în continuare mediul de afaceri din Croația prin:</w:t>
      </w:r>
    </w:p>
    <w:p w14:paraId="75049274" w14:textId="77777777" w:rsidR="00FA7C11" w:rsidRDefault="00D84965">
      <w:pPr>
        <w:pStyle w:val="P68B1DB1-Normal33"/>
        <w:spacing w:before="120" w:after="120" w:line="240" w:lineRule="auto"/>
        <w:ind w:left="714" w:hanging="357"/>
        <w:jc w:val="both"/>
        <w:rPr>
          <w:noProof/>
        </w:rPr>
      </w:pPr>
      <w:r>
        <w:rPr>
          <w:noProof/>
        </w:rPr>
        <w:t xml:space="preserve">digitalizarea serviciilor furnizate întreprinderilor de către administrațiile de stat și publice; </w:t>
      </w:r>
    </w:p>
    <w:p w14:paraId="4B735EC8" w14:textId="77777777" w:rsidR="00FA7C11" w:rsidRDefault="00D84965">
      <w:pPr>
        <w:pStyle w:val="P68B1DB1-ListParagraph43"/>
        <w:numPr>
          <w:ilvl w:val="0"/>
          <w:numId w:val="44"/>
        </w:numPr>
        <w:spacing w:before="120" w:after="120" w:line="240" w:lineRule="auto"/>
        <w:ind w:left="714" w:hanging="357"/>
        <w:rPr>
          <w:noProof/>
        </w:rPr>
      </w:pPr>
      <w:r>
        <w:rPr>
          <w:noProof/>
        </w:rPr>
        <w:t>îmbunătățirea condițiilor de reglementare pentru întreprinderi și continuarea reducerii sarcinii administrative și fiscale și</w:t>
      </w:r>
    </w:p>
    <w:p w14:paraId="2407F533" w14:textId="77777777" w:rsidR="00FA7C11" w:rsidRDefault="00D84965">
      <w:pPr>
        <w:pStyle w:val="P68B1DB1-Normal33"/>
        <w:suppressAutoHyphens/>
        <w:spacing w:before="120" w:after="120" w:line="240" w:lineRule="auto"/>
        <w:ind w:left="720" w:hanging="360"/>
        <w:jc w:val="both"/>
        <w:rPr>
          <w:noProof/>
        </w:rPr>
      </w:pPr>
      <w:r>
        <w:rPr>
          <w:noProof/>
        </w:rPr>
        <w:t>adoptarea unei strategii și a unui plan de acțiune pentru îmbunătățirea evaluării impactului economic.</w:t>
      </w:r>
    </w:p>
    <w:p w14:paraId="6056777F" w14:textId="77777777" w:rsidR="00FA7C11" w:rsidRDefault="00D84965">
      <w:pPr>
        <w:pStyle w:val="P68B1DB1-Normal33"/>
        <w:spacing w:line="240" w:lineRule="auto"/>
        <w:jc w:val="both"/>
        <w:rPr>
          <w:noProof/>
        </w:rPr>
      </w:pPr>
      <w:r>
        <w:rPr>
          <w:noProof/>
        </w:rPr>
        <w:t>Reforma include adoptarea celui de al 5-lea plan de acțiune pentru reducerea sarcinii administrative și a taxelor parafiscale și nefiscale, instituirea unui sistem informatic pentru monitorizarea punerii în aplicare a măsurilor și pentru actualizarea și digitalizarea registrului taxelor nefiscale.</w:t>
      </w:r>
    </w:p>
    <w:p w14:paraId="70333866" w14:textId="77777777" w:rsidR="00FA7C11" w:rsidRDefault="00D84965">
      <w:pPr>
        <w:pStyle w:val="P68B1DB1-Normal33"/>
        <w:spacing w:line="240" w:lineRule="auto"/>
        <w:jc w:val="both"/>
        <w:rPr>
          <w:noProof/>
        </w:rPr>
      </w:pPr>
      <w:r>
        <w:rPr>
          <w:noProof/>
        </w:rPr>
        <w:t>Adoptarea unei strategii și a unui plan de acțiune pentru îmbunătățirea procedurilor de evaluare a impactului economic utilizate în administrația publică pentru a sprijini mai bine inovarea și adoptarea de noi modele de afaceri. În acest context, testul de evaluare a impactului asupra IMM-urilor este transferat pe o platformă digitală pentru a facilita colaborarea administratorilor publici și pentru a sprijini formarea și comunicarea online. Formarea continuă a funcționarilor publici în domenii specifice face parte din investiție. Măsurile din cadrul investiției includ punerea în aplicare a unui spațiu de testare în materie de reglementare, care să permită testarea controlată a noilor modele de afaceri.</w:t>
      </w:r>
    </w:p>
    <w:p w14:paraId="78078528" w14:textId="77777777" w:rsidR="00FA7C11" w:rsidRDefault="00D84965">
      <w:pPr>
        <w:pStyle w:val="P68B1DB1-Normal33"/>
        <w:spacing w:line="240" w:lineRule="auto"/>
        <w:jc w:val="both"/>
        <w:rPr>
          <w:noProof/>
        </w:rPr>
      </w:pPr>
      <w:r>
        <w:rPr>
          <w:noProof/>
        </w:rPr>
        <w:t>Această reformă se finalizează până la 31 decembrie 2024.</w:t>
      </w:r>
    </w:p>
    <w:p w14:paraId="538C4325" w14:textId="77777777" w:rsidR="00FA7C11" w:rsidRDefault="00D84965">
      <w:pPr>
        <w:pStyle w:val="P68B1DB1-Normal42"/>
        <w:keepNext/>
        <w:spacing w:line="240" w:lineRule="auto"/>
        <w:ind w:left="850"/>
        <w:jc w:val="both"/>
        <w:rPr>
          <w:noProof/>
        </w:rPr>
      </w:pPr>
      <w:r>
        <w:rPr>
          <w:noProof/>
        </w:rPr>
        <w:t>Reforma C1.1.1 R2 – Continuarea reformei profesiilor reglementate</w:t>
      </w:r>
    </w:p>
    <w:p w14:paraId="46F8C6C5" w14:textId="77777777" w:rsidR="00FA7C11" w:rsidRDefault="00D84965">
      <w:pPr>
        <w:pStyle w:val="P68B1DB1-Normal33"/>
        <w:spacing w:line="240" w:lineRule="auto"/>
        <w:jc w:val="both"/>
        <w:rPr>
          <w:noProof/>
        </w:rPr>
      </w:pPr>
      <w:r>
        <w:rPr>
          <w:noProof/>
        </w:rPr>
        <w:t>Obiectivul reformei este de a stimula productivitatea în economia croată prin continuarea liberalizării piețelor de servicii. Această măsură constă în simplificarea sau eliminarea a cel puțin 50 de cerințe de reglementare pentru serviciile profesionale, în conformitate cu planurile de acțiune privind liberalizarea piețelor de servicii și ținând seama de recomandările Băncii Mondiale.</w:t>
      </w:r>
    </w:p>
    <w:p w14:paraId="50EE55B9" w14:textId="77777777" w:rsidR="00FA7C11" w:rsidRDefault="00D84965">
      <w:pPr>
        <w:pStyle w:val="P68B1DB1-Normal42"/>
        <w:keepNext/>
        <w:spacing w:line="240" w:lineRule="auto"/>
        <w:ind w:left="850"/>
        <w:jc w:val="both"/>
        <w:rPr>
          <w:noProof/>
        </w:rPr>
      </w:pPr>
      <w:r>
        <w:rPr>
          <w:noProof/>
        </w:rPr>
        <w:t>Reforma C1.1.1 R3 – Promovarea cadrului strategic pentru promovarea investițiilor private</w:t>
      </w:r>
    </w:p>
    <w:p w14:paraId="625B7219" w14:textId="77777777" w:rsidR="00FA7C11" w:rsidRDefault="00D84965">
      <w:pPr>
        <w:pStyle w:val="P68B1DB1-Normal33"/>
        <w:spacing w:line="240" w:lineRule="auto"/>
        <w:jc w:val="both"/>
        <w:rPr>
          <w:noProof/>
        </w:rPr>
      </w:pPr>
      <w:r>
        <w:rPr>
          <w:noProof/>
        </w:rPr>
        <w:t xml:space="preserve">Obiectivul reformei este de a face din Croația o destinație atractivă pentru investiții prin dezvoltarea și adoptarea unui cadru strategic pentru promovarea și facilitarea investițiilor străine directe. Această măsură constă în adoptarea unui cadru strategic pentru promovarea investițiilor, inclusiv a unui plan național, a unui plan de acțiune, a unei noi legi privind promovarea investițiilor și a unei platforme digitale de coordonare. </w:t>
      </w:r>
    </w:p>
    <w:p w14:paraId="69350564" w14:textId="77777777" w:rsidR="00FA7C11" w:rsidRDefault="00D84965">
      <w:pPr>
        <w:pStyle w:val="P68B1DB1-Normal42"/>
        <w:keepNext/>
        <w:spacing w:line="240" w:lineRule="auto"/>
        <w:ind w:firstLine="720"/>
        <w:jc w:val="both"/>
        <w:rPr>
          <w:noProof/>
        </w:rPr>
      </w:pPr>
      <w:r>
        <w:rPr>
          <w:noProof/>
        </w:rPr>
        <w:t>Reforma C1.1.1 R6 – Dezvoltarea unor sectoare culturale și creative reziliente</w:t>
      </w:r>
    </w:p>
    <w:p w14:paraId="321CC524" w14:textId="77777777" w:rsidR="00FA7C11" w:rsidRDefault="00D84965">
      <w:pPr>
        <w:pStyle w:val="P68B1DB1-Normal33"/>
        <w:spacing w:line="240" w:lineRule="auto"/>
        <w:jc w:val="both"/>
        <w:rPr>
          <w:noProof/>
        </w:rPr>
      </w:pPr>
      <w:r>
        <w:rPr>
          <w:noProof/>
        </w:rPr>
        <w:t xml:space="preserve">Reforma include intrarea în vigoare a modificărilor aduse Legii privind mass-media electronică și drepturile de autor și drepturile conexe, care instituie protecția juridică efectivă a autorilor de conținut creativ, cultural și mediatic pe internet, ținând seama de necesitatea de a elimina obstacolele din calea comercializării cu succes a conținutului protejat pe internet. Se preconizează că noul cadru juridic va stimula antreprenorii să își adapteze procesele comerciale la standardele industriale de pe piața unică digitală, prin dezvoltarea unor modele de afaceri online noi și inovatoare, precum și a unor produse și servicii noi și inovatoare. </w:t>
      </w:r>
    </w:p>
    <w:p w14:paraId="14C3BA91" w14:textId="77777777" w:rsidR="00FA7C11" w:rsidRDefault="00D84965">
      <w:pPr>
        <w:pStyle w:val="P68B1DB1-Normal33"/>
        <w:spacing w:line="240" w:lineRule="auto"/>
        <w:jc w:val="both"/>
        <w:rPr>
          <w:noProof/>
        </w:rPr>
      </w:pPr>
      <w:r>
        <w:rPr>
          <w:noProof/>
        </w:rPr>
        <w:t>Se preconizează că cadrul reformat privind drepturile de autor va stimula industriile culturale și creative prin furnizarea unui cadru juridic stabil pentru crearea de platforme și aplicații online, facilitând acordarea de licențe online pentru conținutul creativ, cultural și mediatic, promovând astfel diversitatea culturală, lingvistică și mediatică. Se preconizează că modificările aduse cadrului juridic privind mass-media și drepturile de autor vor facilita distribuția transfrontalieră a programelor de televiziune și radio, prin prevederea unor norme clare privind așa-numita circulație a semnalelor directe, și vor facilita reutilizarea conținutului public pentru crearea de noi produse și servicii inovatoare pe piața unică digitală. În plus, reforma legislativă asigură transparența în ceea ce privește publicarea structurilor de proprietate legate de Registrul beneficiarilor reali și publicarea acestor informații pe site-ul furnizorului și, de asemenea, se introduce o mai mare transparență în ceea ce privește informațiile privind cuantumurile și sursele de finanțare.</w:t>
      </w:r>
    </w:p>
    <w:p w14:paraId="33D900E7" w14:textId="77777777" w:rsidR="00FA7C11" w:rsidRDefault="00D84965">
      <w:pPr>
        <w:pStyle w:val="P68B1DB1-Normal42"/>
        <w:keepNext/>
        <w:spacing w:line="240" w:lineRule="auto"/>
        <w:ind w:left="850"/>
        <w:jc w:val="both"/>
        <w:rPr>
          <w:noProof/>
        </w:rPr>
      </w:pPr>
      <w:r>
        <w:rPr>
          <w:noProof/>
        </w:rPr>
        <w:t>Investiția C1.1.1 R1-I1 – Digitalizarea serviciilor guvernamentale și ale administrației publice furnizate sectorului de afaceri (G2B)</w:t>
      </w:r>
    </w:p>
    <w:p w14:paraId="2704688C" w14:textId="77777777" w:rsidR="00FA7C11" w:rsidRDefault="00D84965">
      <w:pPr>
        <w:pStyle w:val="P68B1DB1-Normal33"/>
        <w:spacing w:line="240" w:lineRule="auto"/>
        <w:jc w:val="both"/>
        <w:rPr>
          <w:noProof/>
        </w:rPr>
      </w:pPr>
      <w:r>
        <w:rPr>
          <w:noProof/>
        </w:rPr>
        <w:t xml:space="preserve">Obiectivul investiției este de a îmbunătăți accesibilitatea, transparența și eficiența serviciilor publice furnizate întreprinderilor prin digitalizarea acestora în anumite domenii prioritare, cum ar fi înregistrarea întreprinderilor și acordarea de licențe. Această măsură constă în adoptarea unei strategii de reglementare și a unui plan de acțiune pentru IMM-uri, în lansarea unei platforme de plată a taxelor, în modernizarea sistemului START cu puncte de acces și un modul de acordare a licențelor și în digitalizarea procedurilor de investiții. </w:t>
      </w:r>
    </w:p>
    <w:p w14:paraId="6F2B9966" w14:textId="77777777" w:rsidR="00FA7C11" w:rsidRDefault="00D84965">
      <w:pPr>
        <w:pStyle w:val="P68B1DB1-Normal42"/>
        <w:keepNext/>
        <w:spacing w:line="240" w:lineRule="auto"/>
        <w:ind w:left="850"/>
        <w:jc w:val="both"/>
        <w:rPr>
          <w:noProof/>
        </w:rPr>
      </w:pPr>
      <w:r>
        <w:rPr>
          <w:noProof/>
        </w:rPr>
        <w:t>Investiția C1.1.1 R1-I2 – Reducerea în continuare a sarcinii administrative și fiscale</w:t>
      </w:r>
    </w:p>
    <w:p w14:paraId="76A8D663" w14:textId="078430D0" w:rsidR="00FA7C11" w:rsidRDefault="00D84965">
      <w:pPr>
        <w:pStyle w:val="P68B1DB1-Normal33"/>
        <w:spacing w:line="240" w:lineRule="auto"/>
        <w:jc w:val="both"/>
        <w:rPr>
          <w:noProof/>
        </w:rPr>
      </w:pPr>
      <w:r>
        <w:rPr>
          <w:noProof/>
        </w:rPr>
        <w:t>Obiectivul investiției este de a îmbunătăți în mod substanțial mediul de afaceri din Croația. Această măsură constă în punerea în aplicare a unor planuri de acțiune succesive pentru a reduce taxele parafiscale și nefiscale, a reduce sarcinile administrative și a digitaliza testul IMM prin intermediul unei noi platforme de colaborare.</w:t>
      </w:r>
    </w:p>
    <w:p w14:paraId="46358961" w14:textId="77777777" w:rsidR="00FA7C11" w:rsidRDefault="00D84965">
      <w:pPr>
        <w:pStyle w:val="P68B1DB1-Normal42"/>
        <w:keepNext/>
        <w:spacing w:line="240" w:lineRule="auto"/>
        <w:ind w:left="850"/>
        <w:jc w:val="both"/>
        <w:rPr>
          <w:noProof/>
        </w:rPr>
      </w:pPr>
      <w:r>
        <w:rPr>
          <w:noProof/>
        </w:rPr>
        <w:t>Investiția C1.1.1 R4-I1 – Sprijin pentru întreprinderi în vederea tranziției către o economie eficientă din punct de vedere energetic și din punctul de vedere al utilizării resurselor</w:t>
      </w:r>
    </w:p>
    <w:p w14:paraId="0EE419FE" w14:textId="77777777" w:rsidR="00FA7C11" w:rsidRDefault="00D84965">
      <w:pPr>
        <w:pStyle w:val="P68B1DB1-Normal33"/>
        <w:spacing w:line="240" w:lineRule="auto"/>
        <w:jc w:val="both"/>
        <w:rPr>
          <w:noProof/>
        </w:rPr>
      </w:pPr>
      <w:r>
        <w:rPr>
          <w:noProof/>
        </w:rPr>
        <w:t>Obiectivul acestei investiții este de a finanța, prin granturi, investiții productive ale întreprinderilor mici, mijlocii și cu capitalizare medie în tehnologii verzi care contribuie la o economie eficientă din punct de vedere energetic și din punctul de vedere al utilizării resurselor în industriile mari consumatoare de energie. Această măsură constă în lansarea de cereri de propuneri și acordarea de granturi IMM-urilor și întreprinderilor cu capitalizare medie pentru investiții în proiecte de economie circulară și în tehnologii cu emisii scăzute.</w:t>
      </w:r>
    </w:p>
    <w:p w14:paraId="5FC5F140" w14:textId="77777777" w:rsidR="00FA7C11" w:rsidRDefault="00D84965">
      <w:pPr>
        <w:pStyle w:val="P68B1DB1-Normal42"/>
        <w:keepNext/>
        <w:spacing w:line="240" w:lineRule="auto"/>
        <w:ind w:left="850"/>
        <w:jc w:val="both"/>
        <w:rPr>
          <w:noProof/>
        </w:rPr>
      </w:pPr>
      <w:bookmarkStart w:id="3" w:name="_Hlk211533432"/>
      <w:r>
        <w:rPr>
          <w:noProof/>
        </w:rPr>
        <w:t>Investiția C1.1.1 R4-I2 – Instrument financiar pentru microîntreprinderi și întreprinderi mici și mijlocii</w:t>
      </w:r>
    </w:p>
    <w:bookmarkEnd w:id="3"/>
    <w:p w14:paraId="47C50522" w14:textId="77777777" w:rsidR="00FA7C11" w:rsidRDefault="00D84965">
      <w:pPr>
        <w:pStyle w:val="P68B1DB1-Normal33"/>
        <w:spacing w:line="240" w:lineRule="auto"/>
        <w:jc w:val="both"/>
        <w:rPr>
          <w:noProof/>
        </w:rPr>
      </w:pPr>
      <w:r>
        <w:rPr>
          <w:noProof/>
        </w:rPr>
        <w:t>Obiectivul investiției este de a încuraja în continuare activitatea de investiții pe piața croată prin asigurarea unor condiții de finanțare mai favorabile pentru IMM-urile aflate în faza de creștere și dezvoltare (entități cu acces la finanțare) și prin sprijinirea accesului la finanțare al grupurilor-țintă specifice care, de obicei, nu au un astfel de acces (cum ar fi microantreprenorii, întreprinderile nou-înființate, tinerii antreprenori, investițiile în CDI, operatorii economici care investesc în zonele mai puțin dezvoltate). Această măsură constă în instituirea de instrumente financiare prin intermediul HAMAG BICRO și HBOR pentru a oferi împrumuturi și subvenții la rata dobânzii pentru investițiile IMM-urilor în competitivitate, digitalizare și tranziția verde.</w:t>
      </w:r>
    </w:p>
    <w:p w14:paraId="6C62BDDE" w14:textId="77777777" w:rsidR="00FA7C11" w:rsidRDefault="00D84965">
      <w:pPr>
        <w:pStyle w:val="P68B1DB1-Normal42"/>
        <w:keepNext/>
        <w:spacing w:line="240" w:lineRule="auto"/>
        <w:ind w:left="850"/>
        <w:jc w:val="both"/>
        <w:rPr>
          <w:noProof/>
        </w:rPr>
      </w:pPr>
      <w:r>
        <w:rPr>
          <w:noProof/>
        </w:rPr>
        <w:t>Investiția C1.1.1 R4-I3 – Instrument financiar pentru întreprinderi cu capitalizare medie și întreprinderi mari</w:t>
      </w:r>
    </w:p>
    <w:p w14:paraId="231AE9A8" w14:textId="77777777" w:rsidR="00FA7C11" w:rsidRDefault="00D84965">
      <w:pPr>
        <w:pStyle w:val="P68B1DB1-Normal33"/>
        <w:spacing w:line="240" w:lineRule="auto"/>
        <w:jc w:val="both"/>
        <w:rPr>
          <w:noProof/>
        </w:rPr>
      </w:pPr>
      <w:r>
        <w:rPr>
          <w:noProof/>
        </w:rPr>
        <w:t>Obiectivul investiției este de a promova competitivitatea și tranziția verde și digitală a întreprinderilor cu capitalizare medie și a întreprinderilor mari prin furnizarea unor surse de finanțare mai favorabile, ca o condiție esențială pentru creșterea investițiilor pe termen scurt și mediu. Această măsură constă în crearea de fonduri de garantare și de subvenționare a dobânzilor prin intermediul HBOR pentru a finanța investiții în competitivitate, digitalizare și tehnologii ecologice.</w:t>
      </w:r>
    </w:p>
    <w:p w14:paraId="5A829D2F" w14:textId="77777777" w:rsidR="00FA7C11" w:rsidRDefault="00D84965">
      <w:pPr>
        <w:pStyle w:val="P68B1DB1-Normal42"/>
        <w:keepNext/>
        <w:spacing w:line="240" w:lineRule="auto"/>
        <w:ind w:left="850"/>
        <w:jc w:val="both"/>
        <w:rPr>
          <w:noProof/>
        </w:rPr>
      </w:pPr>
      <w:r>
        <w:rPr>
          <w:noProof/>
        </w:rPr>
        <w:t>Investiția C1.1.1 R4-I4 – Instrument financiar pentru entitățile din sectorul public</w:t>
      </w:r>
    </w:p>
    <w:p w14:paraId="5FD4F508" w14:textId="77777777" w:rsidR="00FA7C11" w:rsidRDefault="00D84965">
      <w:pPr>
        <w:pStyle w:val="P68B1DB1-Normal33"/>
        <w:spacing w:line="240" w:lineRule="auto"/>
        <w:jc w:val="both"/>
        <w:rPr>
          <w:noProof/>
        </w:rPr>
      </w:pPr>
      <w:r>
        <w:rPr>
          <w:noProof/>
        </w:rPr>
        <w:t>Obiectivul investiției este de a oferi finanțare preferențială entităților publice pentru proiecte în domeniul infrastructurii economice, municipale, de transport și sociale, precum și pentru proiecte în domeniul tehnologiei care contribuie la tranziția verde și digitală a sectorului public, cu o alocare planificată de 26 544 562 EUR (200 000 000 HRK). Această măsură constă în crearea de fonduri de subvenționare a dobânzii prin intermediul HBOR pentru a finanța entități publice pentru investiții durabile în infrastructură și tehnologie.</w:t>
      </w:r>
    </w:p>
    <w:p w14:paraId="07C90F66" w14:textId="77777777" w:rsidR="00FA7C11" w:rsidRDefault="00D84965">
      <w:pPr>
        <w:pStyle w:val="P68B1DB1-Normal42"/>
        <w:spacing w:after="0" w:line="240" w:lineRule="auto"/>
        <w:ind w:left="720"/>
        <w:jc w:val="both"/>
        <w:rPr>
          <w:noProof/>
        </w:rPr>
      </w:pPr>
      <w:r>
        <w:rPr>
          <w:noProof/>
        </w:rPr>
        <w:t>Investiția C1.1.1. R4-I5 – Injecție de capital în HBOR pentru a sprijini investițiile digitale strategice și investițiile verzi strategice </w:t>
      </w:r>
    </w:p>
    <w:p w14:paraId="47606737" w14:textId="77777777" w:rsidR="00FA7C11" w:rsidRDefault="00FA7C11">
      <w:pPr>
        <w:spacing w:after="0" w:line="240" w:lineRule="auto"/>
        <w:ind w:left="720"/>
        <w:jc w:val="both"/>
        <w:rPr>
          <w:rFonts w:ascii="Times New Roman" w:eastAsia="Calibri" w:hAnsi="Times New Roman" w:cs="Times New Roman"/>
          <w:noProof/>
          <w:sz w:val="24"/>
          <w:szCs w:val="24"/>
          <w:u w:val="single"/>
        </w:rPr>
      </w:pPr>
    </w:p>
    <w:p w14:paraId="5864746F" w14:textId="77777777" w:rsidR="00FA7C11" w:rsidRDefault="00D84965">
      <w:pPr>
        <w:pStyle w:val="P68B1DB1-Normal33"/>
        <w:spacing w:after="0" w:line="240" w:lineRule="auto"/>
        <w:jc w:val="both"/>
        <w:rPr>
          <w:noProof/>
        </w:rPr>
      </w:pPr>
      <w:r>
        <w:rPr>
          <w:noProof/>
        </w:rPr>
        <w:t>Această măsură vizează sprijinirea potențialului de creștere al economiei croate prin ajustarea structurală a nivelului sprijinului public disponibil pentru a remedia disfuncționalitățile pieței și ineficiențele din cadrul economiei, în două domenii specifice, tranziția digitală și tranziția verde.</w:t>
      </w:r>
    </w:p>
    <w:p w14:paraId="20D39CCB" w14:textId="77777777" w:rsidR="00FA7C11" w:rsidRDefault="00D84965">
      <w:pPr>
        <w:pStyle w:val="P68B1DB1-Normal33"/>
        <w:spacing w:after="0" w:line="240" w:lineRule="auto"/>
        <w:jc w:val="both"/>
        <w:rPr>
          <w:noProof/>
        </w:rPr>
      </w:pPr>
      <w:r>
        <w:rPr>
          <w:noProof/>
        </w:rPr>
        <w:t> </w:t>
      </w:r>
    </w:p>
    <w:p w14:paraId="7132E2BF" w14:textId="77777777" w:rsidR="00FA7C11" w:rsidRDefault="00D84965">
      <w:pPr>
        <w:pStyle w:val="P68B1DB1-Normal33"/>
        <w:spacing w:after="0" w:line="240" w:lineRule="auto"/>
        <w:jc w:val="both"/>
        <w:rPr>
          <w:noProof/>
        </w:rPr>
      </w:pPr>
      <w:r>
        <w:rPr>
          <w:noProof/>
        </w:rPr>
        <w:t>Măsura constă într-o injecție de capital în valoare de 277 398 368 EUR în Banca Croată pentru Restructurare și Dezvoltare (HBOR). </w:t>
      </w:r>
    </w:p>
    <w:p w14:paraId="4831B2C5" w14:textId="77777777" w:rsidR="00FA7C11" w:rsidRDefault="00FA7C11">
      <w:pPr>
        <w:spacing w:after="0" w:line="240" w:lineRule="auto"/>
        <w:jc w:val="both"/>
        <w:rPr>
          <w:rFonts w:ascii="Times New Roman" w:eastAsia="Calibri" w:hAnsi="Times New Roman" w:cs="Times New Roman"/>
          <w:b/>
          <w:bCs/>
          <w:noProof/>
          <w:sz w:val="24"/>
          <w:szCs w:val="24"/>
        </w:rPr>
      </w:pPr>
    </w:p>
    <w:p w14:paraId="35A4134C" w14:textId="77777777" w:rsidR="00FA7C11" w:rsidRDefault="00D84965">
      <w:pPr>
        <w:pStyle w:val="P68B1DB1-Normal33"/>
        <w:spacing w:after="0" w:line="240" w:lineRule="auto"/>
        <w:jc w:val="both"/>
        <w:rPr>
          <w:noProof/>
        </w:rPr>
      </w:pPr>
      <w:r>
        <w:rPr>
          <w:noProof/>
        </w:rPr>
        <w:t>HBOR adoptă o nouă politică de investiții pentru utilizarea capitalului propriu suplimentar. Politica de investiții include descrierea produsului (produselor) financiar (financiare) cu tipul preconizat de beneficiari finali eligibili pe care se preconizează că îl va sprijini inițial prin capitaluri proprii suplimentare, inclusiv calendarul preconizat pentru punerea în aplicare și valoarea preconizată a fiecărui produs financiar. HBOR utilizează pentru capitalul propriu suplimentar același sistem de audit și control care a fost evaluat pozitiv de Comisie în conformitate cu articolul 157 din Regulamentul (UE, Euratom) 2024/2509. </w:t>
      </w:r>
    </w:p>
    <w:p w14:paraId="72851B61" w14:textId="77777777" w:rsidR="00FA7C11" w:rsidRDefault="00FA7C11">
      <w:pPr>
        <w:spacing w:after="0" w:line="240" w:lineRule="auto"/>
        <w:jc w:val="both"/>
        <w:rPr>
          <w:rFonts w:ascii="Times New Roman" w:eastAsia="Calibri" w:hAnsi="Times New Roman" w:cs="Times New Roman"/>
          <w:noProof/>
          <w:sz w:val="24"/>
          <w:szCs w:val="24"/>
        </w:rPr>
      </w:pPr>
    </w:p>
    <w:p w14:paraId="77785118" w14:textId="4BAE002A" w:rsidR="00FA7C11" w:rsidRDefault="00D8496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Politica de investiții impune ca produsele financiare pe care le sprijină capitalurile proprii suplimentare să respecte principiul de „a nu prejudicia în mod semnificativ”, astfel cum este prevăzut în Orientările tehnice privind aplicarea principiului de „a nu prejudicia în mod semnificativ”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eastAsia="Calibri" w:hAnsi="Times New Roman" w:cs="Times New Roman"/>
          <w:noProof/>
          <w:sz w:val="24"/>
          <w:szCs w:val="24"/>
        </w:rPr>
        <w:footnoteReference w:id="1"/>
      </w:r>
      <w:r>
        <w:rPr>
          <w:rFonts w:ascii="Times New Roman" w:eastAsia="Calibri" w:hAnsi="Times New Roman" w:cs="Times New Roman"/>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Calibri" w:hAnsi="Times New Roman" w:cs="Times New Roman"/>
          <w:noProof/>
          <w:sz w:val="24"/>
          <w:szCs w:val="24"/>
        </w:rPr>
        <w:footnoteReference w:id="2"/>
      </w:r>
      <w:r>
        <w:rPr>
          <w:rFonts w:ascii="Times New Roman" w:eastAsia="Calibri" w:hAnsi="Times New Roman" w:cs="Times New Roman"/>
          <w:noProof/>
          <w:sz w:val="24"/>
          <w:szCs w:val="24"/>
        </w:rPr>
        <w:t xml:space="preserve"> (iii) activitățile și activele legate de depozitele de deșeuri, incineratoare</w:t>
      </w:r>
      <w:r>
        <w:rPr>
          <w:rStyle w:val="FootnoteReference"/>
          <w:rFonts w:ascii="Times New Roman" w:eastAsia="Calibri" w:hAnsi="Times New Roman" w:cs="Times New Roman"/>
          <w:noProof/>
          <w:sz w:val="24"/>
          <w:szCs w:val="24"/>
        </w:rPr>
        <w:footnoteReference w:id="3"/>
      </w:r>
      <w:r>
        <w:rPr>
          <w:rFonts w:ascii="Times New Roman" w:eastAsia="Calibri" w:hAnsi="Times New Roman" w:cs="Times New Roman"/>
          <w:noProof/>
          <w:sz w:val="24"/>
          <w:szCs w:val="24"/>
        </w:rPr>
        <w:t xml:space="preserve"> și stațiile de tratare mecano-biologică</w:t>
      </w:r>
      <w:r>
        <w:rPr>
          <w:rStyle w:val="FootnoteReference"/>
          <w:rFonts w:ascii="Times New Roman" w:eastAsia="Calibri" w:hAnsi="Times New Roman" w:cs="Times New Roman"/>
          <w:noProof/>
          <w:sz w:val="24"/>
          <w:szCs w:val="24"/>
        </w:rPr>
        <w:footnoteReference w:id="4"/>
      </w:r>
      <w:r>
        <w:rPr>
          <w:rFonts w:ascii="Times New Roman" w:eastAsia="Calibri" w:hAnsi="Times New Roman" w:cs="Times New Roman"/>
          <w:noProof/>
          <w:sz w:val="24"/>
          <w:szCs w:val="24"/>
        </w:rPr>
        <w:t>. În plus, în cazul sprijinului general acordat întreprinderilor, politica de investiții va exclude întreprinderile cu un accent considerabil</w:t>
      </w:r>
      <w:r>
        <w:rPr>
          <w:rStyle w:val="FootnoteReference"/>
          <w:rFonts w:ascii="Times New Roman" w:eastAsia="Calibri" w:hAnsi="Times New Roman" w:cs="Times New Roman"/>
          <w:noProof/>
          <w:sz w:val="24"/>
          <w:szCs w:val="24"/>
        </w:rPr>
        <w:footnoteReference w:id="5"/>
      </w:r>
      <w:r>
        <w:rPr>
          <w:rFonts w:ascii="Times New Roman" w:eastAsia="Calibri" w:hAnsi="Times New Roman" w:cs="Times New Roman"/>
          <w:noProof/>
          <w:sz w:val="24"/>
          <w:szCs w:val="24"/>
        </w:rPr>
        <w:t xml:space="preserve"> în următoarele sectoare: (I) producția de energie pe bază de combustibili fosili și activitățile conexe</w:t>
      </w:r>
      <w:r>
        <w:rPr>
          <w:rStyle w:val="FootnoteReference"/>
          <w:rFonts w:ascii="Times New Roman" w:eastAsia="Calibri" w:hAnsi="Times New Roman" w:cs="Times New Roman"/>
          <w:noProof/>
          <w:sz w:val="24"/>
          <w:szCs w:val="24"/>
        </w:rPr>
        <w:footnoteReference w:id="6"/>
      </w:r>
      <w:r>
        <w:rPr>
          <w:rFonts w:ascii="Times New Roman" w:eastAsia="Calibri" w:hAnsi="Times New Roman" w:cs="Times New Roman"/>
          <w:noProof/>
          <w:sz w:val="24"/>
          <w:szCs w:val="24"/>
        </w:rPr>
        <w:t xml:space="preserve"> (ii) industriile mari consumatoare de energie și/sau cu emisii ridicate de CO2</w:t>
      </w:r>
      <w:r>
        <w:rPr>
          <w:rStyle w:val="FootnoteReference"/>
          <w:rFonts w:ascii="Times New Roman" w:eastAsia="Calibri" w:hAnsi="Times New Roman" w:cs="Times New Roman"/>
          <w:noProof/>
          <w:sz w:val="24"/>
          <w:szCs w:val="24"/>
        </w:rPr>
        <w:footnoteReference w:id="7"/>
      </w:r>
      <w:r>
        <w:rPr>
          <w:rFonts w:ascii="Times New Roman" w:eastAsia="Calibri" w:hAnsi="Times New Roman" w:cs="Times New Roman"/>
          <w:noProof/>
          <w:sz w:val="24"/>
          <w:szCs w:val="24"/>
        </w:rPr>
        <w:t>; (III) producția, închirierea sau vânzarea de vehicule poluante</w:t>
      </w:r>
      <w:r>
        <w:rPr>
          <w:rStyle w:val="FootnoteReference"/>
          <w:rFonts w:ascii="Times New Roman" w:eastAsia="Calibri" w:hAnsi="Times New Roman" w:cs="Times New Roman"/>
          <w:noProof/>
          <w:sz w:val="24"/>
          <w:szCs w:val="24"/>
        </w:rPr>
        <w:footnoteReference w:id="8"/>
      </w:r>
      <w:r>
        <w:rPr>
          <w:rFonts w:ascii="Times New Roman" w:eastAsia="Calibri" w:hAnsi="Times New Roman" w:cs="Times New Roman"/>
          <w:noProof/>
          <w:sz w:val="24"/>
          <w:szCs w:val="24"/>
        </w:rPr>
        <w:t>; (IV) colectarea deșeurilor, tratarea și eliminarea deșeurilor</w:t>
      </w:r>
      <w:r>
        <w:rPr>
          <w:rStyle w:val="FootnoteReference"/>
          <w:rFonts w:ascii="Times New Roman" w:eastAsia="Calibri" w:hAnsi="Times New Roman" w:cs="Times New Roman"/>
          <w:noProof/>
          <w:sz w:val="24"/>
          <w:szCs w:val="24"/>
        </w:rPr>
        <w:footnoteReference w:id="9"/>
      </w:r>
      <w:r>
        <w:rPr>
          <w:rFonts w:ascii="Times New Roman" w:eastAsia="Calibri" w:hAnsi="Times New Roman" w:cs="Times New Roman"/>
          <w:noProof/>
          <w:sz w:val="24"/>
          <w:szCs w:val="24"/>
        </w:rPr>
        <w:t>, (v) prelucrarea combustibilului nuclear, producția de energie nucleară. În plus, politica în materie de investiții impune respectarea legislației UE și naționale relevante în domeniul mediului a beneficiarilor finali.</w:t>
      </w:r>
    </w:p>
    <w:p w14:paraId="5DCC0578" w14:textId="77777777" w:rsidR="00FA7C11" w:rsidRDefault="00FA7C11">
      <w:pPr>
        <w:spacing w:after="0" w:line="240" w:lineRule="auto"/>
        <w:jc w:val="both"/>
        <w:rPr>
          <w:rFonts w:ascii="Times New Roman" w:eastAsia="Calibri" w:hAnsi="Times New Roman" w:cs="Times New Roman"/>
          <w:noProof/>
          <w:sz w:val="24"/>
          <w:szCs w:val="24"/>
        </w:rPr>
      </w:pPr>
    </w:p>
    <w:p w14:paraId="76FAC141" w14:textId="2D515D07" w:rsidR="00FA7C11" w:rsidRDefault="00D84965">
      <w:pPr>
        <w:pStyle w:val="P68B1DB1-Normal33"/>
        <w:spacing w:after="0" w:line="240" w:lineRule="auto"/>
        <w:jc w:val="both"/>
        <w:rPr>
          <w:noProof/>
        </w:rPr>
      </w:pPr>
      <w:r>
        <w:rPr>
          <w:noProof/>
        </w:rPr>
        <w:t xml:space="preserve">Punerea în aplicare a măsurii se finalizează până la 31 august 2026. </w:t>
      </w:r>
    </w:p>
    <w:p w14:paraId="0CD4D3B3" w14:textId="77777777" w:rsidR="00FA7C11" w:rsidRDefault="00FA7C11">
      <w:pPr>
        <w:spacing w:after="0" w:line="240" w:lineRule="auto"/>
        <w:jc w:val="both"/>
        <w:rPr>
          <w:rFonts w:ascii="Times New Roman" w:eastAsia="Calibri" w:hAnsi="Times New Roman" w:cs="Times New Roman"/>
          <w:noProof/>
          <w:sz w:val="24"/>
          <w:szCs w:val="24"/>
        </w:rPr>
      </w:pPr>
    </w:p>
    <w:p w14:paraId="5BCA41E2" w14:textId="77777777" w:rsidR="00FA7C11" w:rsidRDefault="00D84965">
      <w:pPr>
        <w:pStyle w:val="P68B1DB1-Normal42"/>
        <w:keepNext/>
        <w:spacing w:line="240" w:lineRule="auto"/>
        <w:ind w:left="850"/>
        <w:jc w:val="both"/>
        <w:rPr>
          <w:noProof/>
        </w:rPr>
      </w:pPr>
      <w:r>
        <w:rPr>
          <w:noProof/>
        </w:rPr>
        <w:t>Investiția C1.1.1 R5-I1 – Investiții în instrumente financiare de capital și de cvasicapital</w:t>
      </w:r>
    </w:p>
    <w:p w14:paraId="794E5C5B" w14:textId="77777777" w:rsidR="00FA7C11" w:rsidRDefault="00D84965">
      <w:pPr>
        <w:pStyle w:val="P68B1DB1-Normal46"/>
        <w:spacing w:line="240" w:lineRule="auto"/>
        <w:jc w:val="both"/>
        <w:rPr>
          <w:rFonts w:eastAsia="Calibri"/>
          <w:noProof/>
        </w:rPr>
      </w:pPr>
      <w:r>
        <w:rPr>
          <w:noProof/>
        </w:rPr>
        <w:t>Obiectivul investiției este de a asigura o dezvoltare mai rapidă a întreprinderilor private care nu pot obține finanțare de la instituțiile financiare tradiționale, cu o alocare planificată de 29 862 632 EUR (225 000 000 HRK). Această măsură constă în crearea de instrumente de capital propriu și de cvasicapital prin intermediul HBOR și FEI pentru a canaliza investițiile către capital privat, fonduri cu capital de risc și coinvestiții.</w:t>
      </w:r>
    </w:p>
    <w:p w14:paraId="4E3A066B" w14:textId="77777777" w:rsidR="00FA7C11" w:rsidRDefault="00D84965">
      <w:pPr>
        <w:pStyle w:val="P68B1DB1-Normal42"/>
        <w:keepNext/>
        <w:spacing w:line="240" w:lineRule="auto"/>
        <w:ind w:left="850"/>
        <w:jc w:val="both"/>
        <w:rPr>
          <w:noProof/>
        </w:rPr>
      </w:pPr>
      <w:r>
        <w:rPr>
          <w:noProof/>
        </w:rPr>
        <w:t>Investiția C1.1.1 R6-I1 – Transformarea și consolidarea competitivității industriilor culturale și creative</w:t>
      </w:r>
    </w:p>
    <w:p w14:paraId="23151E59" w14:textId="05E0366B" w:rsidR="00FA7C11" w:rsidRDefault="00D84965">
      <w:pPr>
        <w:pStyle w:val="P68B1DB1-Normal33"/>
        <w:spacing w:line="240" w:lineRule="auto"/>
        <w:jc w:val="both"/>
        <w:rPr>
          <w:noProof/>
        </w:rPr>
      </w:pPr>
      <w:r>
        <w:rPr>
          <w:noProof/>
        </w:rPr>
        <w:t xml:space="preserve">Obiectivul investiției este de a sprijini transformarea și competitivitatea industriilor culturale și creative. Această măsură constă în furnizarea de finanțare, prin granturi, pentru consolidarea capacității microîntreprinderilor, a întreprinderilor mici și mijlocii și a altor persoane juridice și fizice care își desfășoară activitatea în domeniul sectoarelor culturale și creative. </w:t>
      </w:r>
    </w:p>
    <w:p w14:paraId="7C3A1040" w14:textId="77777777" w:rsidR="00FA7C11" w:rsidRDefault="00D84965">
      <w:pPr>
        <w:pStyle w:val="P68B1DB1-Normal42"/>
        <w:keepNext/>
        <w:spacing w:line="240" w:lineRule="auto"/>
        <w:ind w:left="850"/>
        <w:jc w:val="both"/>
        <w:rPr>
          <w:noProof/>
        </w:rPr>
      </w:pPr>
      <w:r>
        <w:rPr>
          <w:noProof/>
        </w:rPr>
        <w:t>Investiția C1.1.1 R6-I2 – Instituirea unui sistem de verificare a veridicității informațiilor din mass-media și de divulgare publică</w:t>
      </w:r>
    </w:p>
    <w:p w14:paraId="5A8E51DF" w14:textId="77777777" w:rsidR="00FA7C11" w:rsidRDefault="00D84965">
      <w:pPr>
        <w:pStyle w:val="P68B1DB1-Normal33"/>
        <w:spacing w:line="240" w:lineRule="auto"/>
        <w:jc w:val="both"/>
        <w:rPr>
          <w:noProof/>
        </w:rPr>
      </w:pPr>
      <w:r>
        <w:rPr>
          <w:noProof/>
        </w:rPr>
        <w:t xml:space="preserve">Obiectivul investiției este de a consolida capacitatea de combatere a dezinformării. Investiția sprijină instituirea unui sistem de verificare a informațiilor din mass-media de către Agenția pentru mass-media electronică, inclusiv dezvoltarea de cadre, instrumente și competențe. </w:t>
      </w:r>
    </w:p>
    <w:p w14:paraId="20E7C423" w14:textId="77777777" w:rsidR="00FA7C11" w:rsidRDefault="00D84965">
      <w:pPr>
        <w:pStyle w:val="P68B1DB1-Normal42"/>
        <w:keepNext/>
        <w:spacing w:line="240" w:lineRule="auto"/>
        <w:ind w:left="850"/>
        <w:jc w:val="both"/>
        <w:rPr>
          <w:noProof/>
        </w:rPr>
      </w:pPr>
      <w:r>
        <w:rPr>
          <w:noProof/>
        </w:rPr>
        <w:t>Subcomponenta C.1.1.2 – Stimularea inovării și digitalizarea economiei</w:t>
      </w:r>
    </w:p>
    <w:p w14:paraId="765C2A4F" w14:textId="77777777" w:rsidR="00FA7C11" w:rsidRDefault="00D84965">
      <w:pPr>
        <w:pStyle w:val="P68B1DB1-Normal33"/>
        <w:keepNext/>
        <w:spacing w:line="240" w:lineRule="auto"/>
        <w:jc w:val="both"/>
        <w:rPr>
          <w:noProof/>
        </w:rPr>
      </w:pPr>
      <w:r>
        <w:rPr>
          <w:noProof/>
        </w:rPr>
        <w:t>Obiectivul acestei subcomponente este de a îmbunătăți poziția economiei croate în lanțul valoric prin stimularea inovării și a digitalizării în sectorul privat. Măsurile din cadrul acestei subcomponente includ adoptarea unui cadru legislativ mai favorabil investițiilor, acordarea de sprijin administrativ și financiar întreprinderilor tinere și inovatoare pentru a promova dezvoltarea și comercializarea de produse inovatoare și acordarea de sprijin întreprinderilor pentru tranziția lor digitală.</w:t>
      </w:r>
    </w:p>
    <w:p w14:paraId="48D0105C" w14:textId="77777777" w:rsidR="00FA7C11" w:rsidRDefault="00D84965">
      <w:pPr>
        <w:pStyle w:val="P68B1DB1-Normal42"/>
        <w:keepNext/>
        <w:spacing w:line="240" w:lineRule="auto"/>
        <w:ind w:left="850"/>
        <w:jc w:val="both"/>
        <w:rPr>
          <w:noProof/>
        </w:rPr>
      </w:pPr>
      <w:r>
        <w:rPr>
          <w:noProof/>
        </w:rPr>
        <w:t>Reforma C1.1.2 R1 – Reforma sistemului de stimulente pentru C &amp; D</w:t>
      </w:r>
    </w:p>
    <w:p w14:paraId="71107668" w14:textId="77777777" w:rsidR="00FA7C11" w:rsidRDefault="00D84965">
      <w:pPr>
        <w:pStyle w:val="P68B1DB1-Normal33"/>
        <w:spacing w:line="240" w:lineRule="auto"/>
        <w:jc w:val="both"/>
        <w:rPr>
          <w:b/>
          <w:bCs/>
          <w:noProof/>
        </w:rPr>
      </w:pPr>
      <w:r>
        <w:rPr>
          <w:noProof/>
        </w:rPr>
        <w:t xml:space="preserve">Obiectivul reformei este de a crește numărul de întreprinderi care investesc și dimensiunea investițiilor în C &amp; D. </w:t>
      </w:r>
    </w:p>
    <w:p w14:paraId="1F9B5D95" w14:textId="77777777" w:rsidR="00FA7C11" w:rsidRDefault="00D84965">
      <w:pPr>
        <w:pStyle w:val="P68B1DB1-Normal33"/>
        <w:spacing w:line="240" w:lineRule="auto"/>
        <w:jc w:val="both"/>
        <w:rPr>
          <w:b/>
          <w:bCs/>
          <w:noProof/>
        </w:rPr>
      </w:pPr>
      <w:r>
        <w:rPr>
          <w:noProof/>
        </w:rPr>
        <w:t>Această măsură constă în analizarea actualului sistem de stimulente fiscale pentru C &amp; D și în modificarea cadrului juridic pentru a simplifica procedurile, a reduce sarcinile și a îmbunătăți accesibilitatea.</w:t>
      </w:r>
    </w:p>
    <w:p w14:paraId="2661E2E4" w14:textId="77777777" w:rsidR="00FA7C11" w:rsidRDefault="00D84965">
      <w:pPr>
        <w:pStyle w:val="P68B1DB1-Normal42"/>
        <w:keepNext/>
        <w:spacing w:line="240" w:lineRule="auto"/>
        <w:ind w:left="850"/>
        <w:jc w:val="both"/>
        <w:rPr>
          <w:noProof/>
        </w:rPr>
      </w:pPr>
      <w:r>
        <w:rPr>
          <w:noProof/>
        </w:rPr>
        <w:t>Investiția C1.1.2 R2-I2 – Investiții în capacitatea de gestionare a întreprinderilor mici și mijlocii</w:t>
      </w:r>
    </w:p>
    <w:p w14:paraId="1449FC6E" w14:textId="77777777" w:rsidR="00FA7C11" w:rsidRDefault="00D84965">
      <w:pPr>
        <w:pStyle w:val="P68B1DB1-Normal33"/>
        <w:spacing w:line="240" w:lineRule="auto"/>
        <w:jc w:val="both"/>
        <w:rPr>
          <w:noProof/>
        </w:rPr>
      </w:pPr>
      <w:r>
        <w:rPr>
          <w:noProof/>
        </w:rPr>
        <w:t xml:space="preserve">Obiectivul investiției este de a ajuta întreprinderile să își extindă activitățile, să își sporească productivitatea și să creeze locuri de muncă prin furnizarea de sprijin în materie de consultanță în afaceri IMM-urilor pentru a-și spori capacitatea de gestionare. </w:t>
      </w:r>
    </w:p>
    <w:p w14:paraId="7565B2E4" w14:textId="77777777" w:rsidR="00FA7C11" w:rsidRDefault="00D84965">
      <w:pPr>
        <w:pStyle w:val="P68B1DB1-Normal33"/>
        <w:spacing w:line="240" w:lineRule="auto"/>
        <w:jc w:val="both"/>
        <w:rPr>
          <w:noProof/>
        </w:rPr>
      </w:pPr>
      <w:r>
        <w:rPr>
          <w:noProof/>
        </w:rPr>
        <w:t xml:space="preserve">Această măsură constă în furnizarea de sprijin sub formă de consiliere, formare și mentorat pentru IMM-uri în vederea consolidării capacității de gestionare. </w:t>
      </w:r>
    </w:p>
    <w:p w14:paraId="598CD81A" w14:textId="77777777" w:rsidR="00FA7C11" w:rsidRDefault="00D84965">
      <w:pPr>
        <w:pStyle w:val="P68B1DB1-Normal42"/>
        <w:keepNext/>
        <w:spacing w:line="240" w:lineRule="auto"/>
        <w:ind w:left="850"/>
        <w:jc w:val="both"/>
        <w:rPr>
          <w:noProof/>
        </w:rPr>
      </w:pPr>
      <w:r>
        <w:rPr>
          <w:noProof/>
        </w:rPr>
        <w:t>Investiția C1.1.2 R2-I3 – Finanțarea granturilor pentru întreprinderile nou-înființate</w:t>
      </w:r>
    </w:p>
    <w:p w14:paraId="0B4B4047" w14:textId="77777777" w:rsidR="00FA7C11" w:rsidRDefault="00D84965">
      <w:pPr>
        <w:pStyle w:val="P68B1DB1-Normal33"/>
        <w:spacing w:line="240" w:lineRule="auto"/>
        <w:jc w:val="both"/>
        <w:rPr>
          <w:noProof/>
        </w:rPr>
      </w:pPr>
      <w:r>
        <w:rPr>
          <w:noProof/>
        </w:rPr>
        <w:t xml:space="preserve">Obiectivul acestei investiții este de a stimula creșterea întreprinderilor nou-înființate în sectoarele de înaltă tehnologie și bazate pe cunoaștere în faza precomercială, prin sprijinirea dezvoltării de produse, a creșterii capacității de producție și a pregătirii pentru investiții. </w:t>
      </w:r>
    </w:p>
    <w:p w14:paraId="60EDADAC" w14:textId="77777777" w:rsidR="00FA7C11" w:rsidRDefault="00D84965">
      <w:pPr>
        <w:pStyle w:val="P68B1DB1-Normal33"/>
        <w:spacing w:line="240" w:lineRule="auto"/>
        <w:jc w:val="both"/>
        <w:rPr>
          <w:noProof/>
        </w:rPr>
      </w:pPr>
      <w:r>
        <w:rPr>
          <w:noProof/>
        </w:rPr>
        <w:t>Această măsură constă în acordarea de granturi întreprinderilor nou-înființate aflate în faza precomercială pentru a sprijini dezvoltarea produselor, extinderea capacității și pregătirea pentru investiții.</w:t>
      </w:r>
    </w:p>
    <w:p w14:paraId="192C7D13" w14:textId="77777777" w:rsidR="00FA7C11" w:rsidRDefault="00D84965">
      <w:pPr>
        <w:pStyle w:val="P68B1DB1-Normal42"/>
        <w:keepNext/>
        <w:spacing w:line="240" w:lineRule="auto"/>
        <w:ind w:left="850"/>
        <w:jc w:val="both"/>
        <w:rPr>
          <w:noProof/>
        </w:rPr>
      </w:pPr>
      <w:r>
        <w:rPr>
          <w:noProof/>
        </w:rPr>
        <w:t>Investiția C1.1.2 R2-I4 – Consolidarea activităților de accelerare</w:t>
      </w:r>
    </w:p>
    <w:p w14:paraId="5AC6F05B" w14:textId="295A82FC" w:rsidR="00FA7C11" w:rsidRDefault="00D84965">
      <w:pPr>
        <w:pStyle w:val="P68B1DB1-Normal33"/>
        <w:spacing w:line="240" w:lineRule="auto"/>
        <w:jc w:val="both"/>
        <w:rPr>
          <w:noProof/>
        </w:rPr>
      </w:pPr>
      <w:r>
        <w:rPr>
          <w:noProof/>
        </w:rPr>
        <w:t xml:space="preserve">Obiectivul investiției este de a sprijini instituirea unui program de accelerare în Croația. Această măsură constă în furnizarea de mentorat, sprijin pentru pregătirea pentru investiții și acces la rețele de investitori pentru grupuri de până la 120 de întreprinderi nou-înființate pe o perioadă de cel puțin trei luni. </w:t>
      </w:r>
    </w:p>
    <w:p w14:paraId="1CFFC494" w14:textId="77777777" w:rsidR="00FA7C11" w:rsidRDefault="00D84965">
      <w:pPr>
        <w:pStyle w:val="P68B1DB1-Normal42"/>
        <w:keepNext/>
        <w:spacing w:line="240" w:lineRule="auto"/>
        <w:ind w:left="850"/>
        <w:jc w:val="both"/>
        <w:rPr>
          <w:noProof/>
        </w:rPr>
      </w:pPr>
      <w:r>
        <w:rPr>
          <w:noProof/>
        </w:rPr>
        <w:t>Investiția C1.1.2 R2-I5 – Comercializarea proiectelor de inovare</w:t>
      </w:r>
    </w:p>
    <w:p w14:paraId="1B251C5D" w14:textId="77777777" w:rsidR="00FA7C11" w:rsidRDefault="00D84965">
      <w:pPr>
        <w:pStyle w:val="P68B1DB1-Normal33"/>
        <w:spacing w:line="240" w:lineRule="auto"/>
        <w:jc w:val="both"/>
        <w:rPr>
          <w:noProof/>
        </w:rPr>
      </w:pPr>
      <w:r>
        <w:rPr>
          <w:noProof/>
        </w:rPr>
        <w:t xml:space="preserve">Obiectivul investiției este de a încuraja comercializarea proiectelor de inovare pentru proiecte mature apropiate de intrarea pe piață și de a crește exporturile de produse, servicii sau tehnologii inovatoare de către IMM-uri prin sprijinirea creării de canale de vânzare și distribuție pe piețele străine și prin consolidarea legăturilor dintre instituțiile științifice și industrie, precum și dintre întreprinderile mici și mijlocii și întreprinderile mai mari. Această măsură constă în acordarea de granturi IMM-urilor cu proiecte de inovare mature pentru a finanța adaptarea produselor, lansarea pe piață și internaționalizarea. </w:t>
      </w:r>
    </w:p>
    <w:p w14:paraId="79BDD0E8" w14:textId="77777777" w:rsidR="00FA7C11" w:rsidRDefault="00D84965">
      <w:pPr>
        <w:pStyle w:val="P68B1DB1-Normal42"/>
        <w:keepNext/>
        <w:spacing w:line="240" w:lineRule="auto"/>
        <w:ind w:left="850"/>
        <w:jc w:val="both"/>
        <w:rPr>
          <w:noProof/>
        </w:rPr>
      </w:pPr>
      <w:r>
        <w:rPr>
          <w:noProof/>
        </w:rPr>
        <w:t>Investiția C1.1.2 R3-I2 – vouchere pentru digitalizare</w:t>
      </w:r>
    </w:p>
    <w:p w14:paraId="02044C2C" w14:textId="77777777" w:rsidR="00FA7C11" w:rsidRDefault="00D84965">
      <w:pPr>
        <w:pStyle w:val="P68B1DB1-Normal33"/>
        <w:spacing w:line="240" w:lineRule="auto"/>
        <w:jc w:val="both"/>
        <w:rPr>
          <w:noProof/>
        </w:rPr>
      </w:pPr>
      <w:r>
        <w:rPr>
          <w:noProof/>
        </w:rPr>
        <w:t xml:space="preserve">Obiectivul investiției este de a sprijini IMM-urile să dezvolte un model de afaceri digital, să își consolideze capacitatea de digitalizare sau să își îmbunătățească securitatea cibernetică prin introducerea unui sistem de vouchere. Această măsură constă în furnizarea de vouchere IMM-urilor pentru competențe digitale, securitate cibernetică și proiecte de transformare digitală. </w:t>
      </w:r>
    </w:p>
    <w:p w14:paraId="79EAD912" w14:textId="77777777" w:rsidR="00FA7C11" w:rsidRDefault="00D84965">
      <w:pPr>
        <w:pStyle w:val="P68B1DB1-Normal42"/>
        <w:keepNext/>
        <w:spacing w:line="240" w:lineRule="auto"/>
        <w:ind w:left="850"/>
        <w:jc w:val="both"/>
        <w:rPr>
          <w:noProof/>
        </w:rPr>
      </w:pPr>
      <w:r>
        <w:rPr>
          <w:noProof/>
        </w:rPr>
        <w:t>Investiția C1.1.2 R3-I3 – Granturi pentru digitalizări</w:t>
      </w:r>
    </w:p>
    <w:p w14:paraId="4196845F" w14:textId="77777777" w:rsidR="00FA7C11" w:rsidRDefault="00D84965">
      <w:pPr>
        <w:pStyle w:val="P68B1DB1-Normal33"/>
        <w:spacing w:line="240" w:lineRule="auto"/>
        <w:jc w:val="both"/>
        <w:rPr>
          <w:noProof/>
        </w:rPr>
      </w:pPr>
      <w:r>
        <w:rPr>
          <w:noProof/>
        </w:rPr>
        <w:t>Obiectivul investiției este de a sprijini transformarea digitală a întreprinderilor croate prin furnizarea de sprijin financiar pentru implementarea de soluții digitale în cadrul operațiunilor lor comerciale. Această măsură constă în acordarea de granturi IMM-urilor pentru a implementa instrumente digitale, a consolida competențele digitale și a dezvolta produse și servicii digitale inovatoare.</w:t>
      </w:r>
    </w:p>
    <w:p w14:paraId="46611298" w14:textId="77777777" w:rsidR="00FA7C11" w:rsidRDefault="00FA7C11">
      <w:pPr>
        <w:spacing w:line="240" w:lineRule="auto"/>
        <w:jc w:val="both"/>
        <w:rPr>
          <w:rFonts w:ascii="Times New Roman" w:eastAsia="Calibri" w:hAnsi="Times New Roman" w:cs="Times New Roman"/>
          <w:noProof/>
          <w:sz w:val="24"/>
          <w:szCs w:val="24"/>
        </w:rPr>
      </w:pPr>
    </w:p>
    <w:p w14:paraId="15132225" w14:textId="77777777" w:rsidR="00FA7C11" w:rsidRDefault="00FA7C11">
      <w:pPr>
        <w:spacing w:line="240" w:lineRule="auto"/>
        <w:jc w:val="both"/>
        <w:rPr>
          <w:rFonts w:eastAsia="Calibri"/>
          <w:noProof/>
        </w:rPr>
        <w:sectPr w:rsidR="00FA7C11" w:rsidSect="00FA29B2">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134" w:left="1134" w:header="567" w:footer="567" w:gutter="0"/>
          <w:cols w:space="720"/>
          <w:docGrid w:linePitch="360"/>
        </w:sectPr>
      </w:pPr>
    </w:p>
    <w:p w14:paraId="1A119F83" w14:textId="77777777" w:rsidR="00FA7C11" w:rsidRDefault="00D84965">
      <w:pPr>
        <w:pStyle w:val="P68B1DB1-Normal57"/>
        <w:keepNext/>
        <w:spacing w:after="200" w:line="276" w:lineRule="auto"/>
        <w:ind w:left="851"/>
        <w:jc w:val="both"/>
        <w:outlineLvl w:val="1"/>
        <w:rPr>
          <w:rFonts w:eastAsia="Calibri"/>
          <w:noProof/>
        </w:rPr>
      </w:pPr>
      <w:r>
        <w:rPr>
          <w:noProof/>
        </w:rPr>
        <w:t xml:space="preserve">A.2. </w:t>
      </w:r>
      <w:r>
        <w:rPr>
          <w:noProof/>
        </w:rPr>
        <w:tab/>
        <w:t>Jaloane, ținte, indicatori și calendarul de monitorizare și implementare aplicabile sprijinului financiar nerambursabil</w:t>
      </w:r>
    </w:p>
    <w:tbl>
      <w:tblPr>
        <w:tblW w:w="16490" w:type="dxa"/>
        <w:jc w:val="center"/>
        <w:tblCellMar>
          <w:top w:w="28" w:type="dxa"/>
          <w:left w:w="28" w:type="dxa"/>
          <w:bottom w:w="28" w:type="dxa"/>
          <w:right w:w="28" w:type="dxa"/>
        </w:tblCellMar>
        <w:tblLook w:val="04A0" w:firstRow="1" w:lastRow="0" w:firstColumn="1" w:lastColumn="0" w:noHBand="0" w:noVBand="1"/>
      </w:tblPr>
      <w:tblGrid>
        <w:gridCol w:w="768"/>
        <w:gridCol w:w="1205"/>
        <w:gridCol w:w="1345"/>
        <w:gridCol w:w="1867"/>
        <w:gridCol w:w="1555"/>
        <w:gridCol w:w="1067"/>
        <w:gridCol w:w="1056"/>
        <w:gridCol w:w="1056"/>
        <w:gridCol w:w="919"/>
        <w:gridCol w:w="709"/>
        <w:gridCol w:w="5528"/>
      </w:tblGrid>
      <w:tr w:rsidR="00FA7C11" w14:paraId="4468D142" w14:textId="77777777">
        <w:trPr>
          <w:trHeight w:val="300"/>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2135AA" w14:textId="77777777" w:rsidR="00FA7C11" w:rsidRDefault="00D84965">
            <w:pPr>
              <w:pStyle w:val="P68B1DB1-Normal58"/>
              <w:spacing w:after="0" w:line="276" w:lineRule="auto"/>
              <w:jc w:val="center"/>
              <w:rPr>
                <w:bCs/>
                <w:noProof/>
              </w:rPr>
            </w:pPr>
            <w:r>
              <w:rPr>
                <w:noProof/>
              </w:rPr>
              <w:t>Număr</w:t>
            </w:r>
          </w:p>
        </w:tc>
        <w:tc>
          <w:tcPr>
            <w:tcW w:w="12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1482C3" w14:textId="77777777" w:rsidR="00FA7C11" w:rsidRDefault="00D84965">
            <w:pPr>
              <w:pStyle w:val="P68B1DB1-Normal58"/>
              <w:spacing w:after="0" w:line="276" w:lineRule="auto"/>
              <w:jc w:val="center"/>
              <w:rPr>
                <w:bCs/>
                <w:noProof/>
              </w:rPr>
            </w:pPr>
            <w:r>
              <w:rPr>
                <w:noProof/>
              </w:rPr>
              <w:t>Măsură</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E96209" w14:textId="77777777" w:rsidR="00FA7C11" w:rsidRDefault="00D84965">
            <w:pPr>
              <w:pStyle w:val="P68B1DB1-Normal58"/>
              <w:spacing w:after="0" w:line="276" w:lineRule="auto"/>
              <w:jc w:val="center"/>
              <w:rPr>
                <w:bCs/>
                <w:noProof/>
              </w:rPr>
            </w:pPr>
            <w:r>
              <w:rPr>
                <w:noProof/>
              </w:rPr>
              <w:t>Etapă/Obiectiv</w:t>
            </w:r>
          </w:p>
        </w:tc>
        <w:tc>
          <w:tcPr>
            <w:tcW w:w="1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62BC06" w14:textId="77777777" w:rsidR="00FA7C11" w:rsidRDefault="00D84965">
            <w:pPr>
              <w:pStyle w:val="P68B1DB1-Normal58"/>
              <w:spacing w:after="0" w:line="276" w:lineRule="auto"/>
              <w:jc w:val="center"/>
              <w:rPr>
                <w:bCs/>
                <w:noProof/>
              </w:rPr>
            </w:pPr>
            <w:r>
              <w:rPr>
                <w:noProof/>
              </w:rPr>
              <w:t>Nume</w:t>
            </w:r>
          </w:p>
        </w:tc>
        <w:tc>
          <w:tcPr>
            <w:tcW w:w="15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D41A54"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317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02F4CA"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175AEEA" w14:textId="77777777" w:rsidR="00FA7C11" w:rsidRDefault="00D84965">
            <w:pPr>
              <w:pStyle w:val="P68B1DB1-Normal58"/>
              <w:spacing w:after="0" w:line="276" w:lineRule="auto"/>
              <w:jc w:val="center"/>
              <w:rPr>
                <w:bCs/>
                <w:noProof/>
              </w:rPr>
            </w:pPr>
            <w:r>
              <w:rPr>
                <w:noProof/>
              </w:rPr>
              <w:t>Timp</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C4366E"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1EF2A7D5" w14:textId="77777777">
        <w:trPr>
          <w:trHeight w:val="300"/>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0430ACC5"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205" w:type="dxa"/>
            <w:vMerge/>
            <w:tcBorders>
              <w:top w:val="single" w:sz="4" w:space="0" w:color="auto"/>
              <w:left w:val="single" w:sz="4" w:space="0" w:color="auto"/>
              <w:bottom w:val="single" w:sz="4" w:space="0" w:color="auto"/>
              <w:right w:val="single" w:sz="4" w:space="0" w:color="auto"/>
            </w:tcBorders>
            <w:hideMark/>
          </w:tcPr>
          <w:p w14:paraId="5A60A23C" w14:textId="77777777" w:rsidR="00FA7C11" w:rsidRDefault="00FA7C11">
            <w:pPr>
              <w:spacing w:after="0" w:line="276" w:lineRule="auto"/>
              <w:rPr>
                <w:rFonts w:ascii="Times New Roman" w:eastAsia="Times New Roman" w:hAnsi="Times New Roman" w:cs="Times New Roman"/>
                <w:b/>
                <w:noProof/>
                <w:sz w:val="20"/>
                <w:szCs w:val="20"/>
              </w:rPr>
            </w:pPr>
          </w:p>
        </w:tc>
        <w:tc>
          <w:tcPr>
            <w:tcW w:w="1022" w:type="dxa"/>
            <w:vMerge/>
            <w:tcBorders>
              <w:top w:val="single" w:sz="4" w:space="0" w:color="auto"/>
              <w:left w:val="single" w:sz="4" w:space="0" w:color="auto"/>
              <w:bottom w:val="single" w:sz="4" w:space="0" w:color="auto"/>
              <w:right w:val="single" w:sz="4" w:space="0" w:color="auto"/>
            </w:tcBorders>
            <w:hideMark/>
          </w:tcPr>
          <w:p w14:paraId="483CB921"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768" w:type="dxa"/>
            <w:vMerge/>
            <w:tcBorders>
              <w:top w:val="single" w:sz="4" w:space="0" w:color="auto"/>
              <w:left w:val="single" w:sz="4" w:space="0" w:color="auto"/>
              <w:bottom w:val="single" w:sz="4" w:space="0" w:color="auto"/>
              <w:right w:val="single" w:sz="4" w:space="0" w:color="auto"/>
            </w:tcBorders>
            <w:hideMark/>
          </w:tcPr>
          <w:p w14:paraId="5C96FEF4" w14:textId="77777777" w:rsidR="00FA7C11" w:rsidRDefault="00FA7C11">
            <w:pPr>
              <w:spacing w:after="0" w:line="276" w:lineRule="auto"/>
              <w:rPr>
                <w:rFonts w:ascii="Times New Roman" w:eastAsia="Times New Roman" w:hAnsi="Times New Roman" w:cs="Times New Roman"/>
                <w:b/>
                <w:noProof/>
                <w:sz w:val="20"/>
                <w:szCs w:val="20"/>
              </w:rPr>
            </w:pPr>
          </w:p>
        </w:tc>
        <w:tc>
          <w:tcPr>
            <w:tcW w:w="1555" w:type="dxa"/>
            <w:vMerge/>
            <w:tcBorders>
              <w:top w:val="single" w:sz="4" w:space="0" w:color="auto"/>
              <w:left w:val="single" w:sz="4" w:space="0" w:color="auto"/>
              <w:bottom w:val="single" w:sz="4" w:space="0" w:color="auto"/>
              <w:right w:val="single" w:sz="4" w:space="0" w:color="auto"/>
            </w:tcBorders>
            <w:hideMark/>
          </w:tcPr>
          <w:p w14:paraId="27BFB9EC"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67" w:type="dxa"/>
            <w:tcBorders>
              <w:top w:val="single" w:sz="4" w:space="0" w:color="auto"/>
              <w:left w:val="single" w:sz="4" w:space="0" w:color="auto"/>
              <w:bottom w:val="single" w:sz="4" w:space="0" w:color="auto"/>
              <w:right w:val="single" w:sz="4" w:space="0" w:color="auto"/>
            </w:tcBorders>
            <w:shd w:val="clear" w:color="auto" w:fill="BDD7EE"/>
            <w:hideMark/>
          </w:tcPr>
          <w:p w14:paraId="014C6011" w14:textId="77777777" w:rsidR="00FA7C11" w:rsidRDefault="00D84965">
            <w:pPr>
              <w:pStyle w:val="P68B1DB1-Normal58"/>
              <w:spacing w:after="0" w:line="276" w:lineRule="auto"/>
              <w:jc w:val="center"/>
              <w:rPr>
                <w:bCs/>
                <w:noProof/>
              </w:rPr>
            </w:pPr>
            <w:r>
              <w:rPr>
                <w:noProof/>
              </w:rPr>
              <w:t>Unitate</w:t>
            </w:r>
          </w:p>
        </w:tc>
        <w:tc>
          <w:tcPr>
            <w:tcW w:w="1056" w:type="dxa"/>
            <w:tcBorders>
              <w:top w:val="single" w:sz="4" w:space="0" w:color="auto"/>
              <w:left w:val="single" w:sz="4" w:space="0" w:color="auto"/>
              <w:bottom w:val="single" w:sz="4" w:space="0" w:color="auto"/>
              <w:right w:val="single" w:sz="4" w:space="0" w:color="auto"/>
            </w:tcBorders>
            <w:shd w:val="clear" w:color="auto" w:fill="BDD7EE"/>
            <w:hideMark/>
          </w:tcPr>
          <w:p w14:paraId="6A0E0AAB" w14:textId="77777777" w:rsidR="00FA7C11" w:rsidRDefault="00D84965">
            <w:pPr>
              <w:pStyle w:val="P68B1DB1-Normal58"/>
              <w:spacing w:after="0" w:line="276" w:lineRule="auto"/>
              <w:jc w:val="center"/>
              <w:rPr>
                <w:bCs/>
                <w:noProof/>
              </w:rPr>
            </w:pPr>
            <w:r>
              <w:rPr>
                <w:noProof/>
              </w:rPr>
              <w:t>Situația de referință</w:t>
            </w:r>
          </w:p>
        </w:tc>
        <w:tc>
          <w:tcPr>
            <w:tcW w:w="1056" w:type="dxa"/>
            <w:tcBorders>
              <w:top w:val="single" w:sz="4" w:space="0" w:color="auto"/>
              <w:left w:val="single" w:sz="4" w:space="0" w:color="auto"/>
              <w:bottom w:val="single" w:sz="4" w:space="0" w:color="auto"/>
              <w:right w:val="single" w:sz="4" w:space="0" w:color="auto"/>
            </w:tcBorders>
            <w:shd w:val="clear" w:color="auto" w:fill="BDD7EE"/>
            <w:hideMark/>
          </w:tcPr>
          <w:p w14:paraId="37BC3F8E" w14:textId="77777777" w:rsidR="00FA7C11" w:rsidRDefault="00D84965">
            <w:pPr>
              <w:pStyle w:val="P68B1DB1-Normal58"/>
              <w:spacing w:after="0" w:line="276" w:lineRule="auto"/>
              <w:jc w:val="center"/>
              <w:rPr>
                <w:bCs/>
                <w:noProof/>
              </w:rPr>
            </w:pPr>
            <w:r>
              <w:rPr>
                <w:noProof/>
              </w:rPr>
              <w:t>Obiectiv</w:t>
            </w:r>
          </w:p>
        </w:tc>
        <w:tc>
          <w:tcPr>
            <w:tcW w:w="756" w:type="dxa"/>
            <w:tcBorders>
              <w:top w:val="single" w:sz="4" w:space="0" w:color="auto"/>
              <w:left w:val="single" w:sz="4" w:space="0" w:color="auto"/>
              <w:bottom w:val="single" w:sz="4" w:space="0" w:color="auto"/>
              <w:right w:val="single" w:sz="4" w:space="0" w:color="auto"/>
            </w:tcBorders>
            <w:shd w:val="clear" w:color="auto" w:fill="BDD7EE"/>
            <w:hideMark/>
          </w:tcPr>
          <w:p w14:paraId="4BDEEC13" w14:textId="77777777" w:rsidR="00FA7C11" w:rsidRDefault="00D84965">
            <w:pPr>
              <w:pStyle w:val="P68B1DB1-Normal58"/>
              <w:spacing w:after="0" w:line="276" w:lineRule="auto"/>
              <w:jc w:val="center"/>
              <w:rPr>
                <w:bCs/>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hideMark/>
          </w:tcPr>
          <w:p w14:paraId="4213654D" w14:textId="77777777" w:rsidR="00FA7C11" w:rsidRDefault="00D84965">
            <w:pPr>
              <w:pStyle w:val="P68B1DB1-Normal58"/>
              <w:spacing w:after="0" w:line="276" w:lineRule="auto"/>
              <w:jc w:val="center"/>
              <w:rPr>
                <w:bCs/>
                <w:noProof/>
              </w:rPr>
            </w:pPr>
            <w:r>
              <w:rPr>
                <w:noProof/>
              </w:rPr>
              <w:t>Anul</w:t>
            </w:r>
          </w:p>
        </w:tc>
        <w:tc>
          <w:tcPr>
            <w:tcW w:w="5528" w:type="dxa"/>
            <w:vMerge/>
            <w:tcBorders>
              <w:top w:val="single" w:sz="4" w:space="0" w:color="auto"/>
              <w:bottom w:val="single" w:sz="4" w:space="0" w:color="auto"/>
              <w:right w:val="single" w:sz="4" w:space="0" w:color="auto"/>
            </w:tcBorders>
            <w:hideMark/>
          </w:tcPr>
          <w:p w14:paraId="7D2210FD"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0BD8B731"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E1D5BD6" w14:textId="77777777" w:rsidR="00FA7C11" w:rsidRDefault="00D84965">
            <w:pPr>
              <w:pStyle w:val="P68B1DB1-Normal66"/>
              <w:spacing w:after="0" w:line="240" w:lineRule="auto"/>
              <w:jc w:val="center"/>
              <w:rPr>
                <w:noProof/>
              </w:rPr>
            </w:pPr>
            <w:r>
              <w:rPr>
                <w:noProof/>
              </w:rPr>
              <w:t>1</w:t>
            </w:r>
          </w:p>
        </w:tc>
        <w:tc>
          <w:tcPr>
            <w:tcW w:w="1205" w:type="dxa"/>
            <w:tcBorders>
              <w:top w:val="single" w:sz="4" w:space="0" w:color="auto"/>
              <w:left w:val="nil"/>
              <w:bottom w:val="single" w:sz="4" w:space="0" w:color="auto"/>
              <w:right w:val="single" w:sz="4" w:space="0" w:color="auto"/>
            </w:tcBorders>
            <w:shd w:val="clear" w:color="auto" w:fill="C6EFCE"/>
            <w:noWrap/>
          </w:tcPr>
          <w:p w14:paraId="27590932" w14:textId="77777777" w:rsidR="00FA7C11" w:rsidRDefault="00D84965">
            <w:pPr>
              <w:pStyle w:val="P68B1DB1-Normal66"/>
              <w:spacing w:line="240" w:lineRule="auto"/>
              <w:rPr>
                <w:noProof/>
              </w:rPr>
            </w:pPr>
            <w:r>
              <w:rPr>
                <w:noProof/>
              </w:rPr>
              <w:t>C1.1.1. R1</w:t>
            </w:r>
          </w:p>
        </w:tc>
        <w:tc>
          <w:tcPr>
            <w:tcW w:w="1022" w:type="dxa"/>
            <w:tcBorders>
              <w:top w:val="single" w:sz="4" w:space="0" w:color="auto"/>
              <w:left w:val="nil"/>
              <w:bottom w:val="single" w:sz="4" w:space="0" w:color="auto"/>
              <w:right w:val="single" w:sz="4" w:space="0" w:color="auto"/>
            </w:tcBorders>
            <w:shd w:val="clear" w:color="auto" w:fill="C6EFCE"/>
            <w:noWrap/>
          </w:tcPr>
          <w:p w14:paraId="1DC27E96"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noWrap/>
          </w:tcPr>
          <w:p w14:paraId="497EF58B" w14:textId="77777777" w:rsidR="00FA7C11" w:rsidRDefault="00D84965">
            <w:pPr>
              <w:pStyle w:val="P68B1DB1-Normal66"/>
              <w:spacing w:line="240" w:lineRule="auto"/>
              <w:rPr>
                <w:noProof/>
              </w:rPr>
            </w:pPr>
            <w:r>
              <w:rPr>
                <w:noProof/>
              </w:rPr>
              <w:t xml:space="preserve">Adoptarea de către guvernul croat a Strategiei pentru evaluarea efectelor economice ale Regulamentului privind sectorul IMM-urilor și a planului de acțiune aferent </w:t>
            </w:r>
          </w:p>
        </w:tc>
        <w:tc>
          <w:tcPr>
            <w:tcW w:w="1555" w:type="dxa"/>
            <w:tcBorders>
              <w:top w:val="single" w:sz="4" w:space="0" w:color="auto"/>
              <w:left w:val="nil"/>
              <w:bottom w:val="single" w:sz="4" w:space="0" w:color="auto"/>
              <w:right w:val="single" w:sz="4" w:space="0" w:color="auto"/>
            </w:tcBorders>
            <w:shd w:val="clear" w:color="auto" w:fill="C6EFCE"/>
            <w:noWrap/>
          </w:tcPr>
          <w:p w14:paraId="269EA00D" w14:textId="47134B6E" w:rsidR="00FA7C11" w:rsidRDefault="00D84965">
            <w:pPr>
              <w:pStyle w:val="P68B1DB1-Normal66"/>
              <w:spacing w:line="240" w:lineRule="auto"/>
              <w:rPr>
                <w:noProof/>
              </w:rPr>
            </w:pPr>
            <w:r>
              <w:rPr>
                <w:noProof/>
              </w:rPr>
              <w:t xml:space="preserve">Adoptarea strategiei și a planului de acțiune </w:t>
            </w:r>
          </w:p>
        </w:tc>
        <w:tc>
          <w:tcPr>
            <w:tcW w:w="1067" w:type="dxa"/>
            <w:tcBorders>
              <w:top w:val="single" w:sz="4" w:space="0" w:color="auto"/>
              <w:left w:val="nil"/>
              <w:bottom w:val="single" w:sz="4" w:space="0" w:color="auto"/>
              <w:right w:val="single" w:sz="4" w:space="0" w:color="auto"/>
            </w:tcBorders>
            <w:shd w:val="clear" w:color="auto" w:fill="C6EFCE"/>
            <w:noWrap/>
          </w:tcPr>
          <w:p w14:paraId="2E6EE24C"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6EEC53B3"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7B53EEEA"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E016EA2"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77FE1EC8" w14:textId="77777777" w:rsidR="00FA7C11" w:rsidRDefault="00D84965">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noWrap/>
          </w:tcPr>
          <w:p w14:paraId="6AEFC801" w14:textId="77777777" w:rsidR="00FA7C11" w:rsidRDefault="00D84965">
            <w:pPr>
              <w:pStyle w:val="P68B1DB1-Normal66"/>
              <w:spacing w:line="240" w:lineRule="auto"/>
              <w:rPr>
                <w:noProof/>
              </w:rPr>
            </w:pPr>
            <w:r>
              <w:rPr>
                <w:noProof/>
              </w:rPr>
              <w:t>Punând accentul în primul rând pe impactul economic al reglementării asupra sectorului IMM-urilor, MINGOR adoptă o strategie politică de reglementare obligatorie pentru ministere, care atribuie în mod clar responsabilități de gestionare și operaționale în etapele de realizare a testului obligatoriu al IMM-urilor în cursul procesului de reglementare. Pe baza strategiei privind politica de reglementare, se adoptă un plan de acțiune pentru organizarea, planificarea, coordonarea și monitorizarea punerii în aplicare de către ministerele de resort a instrumentelor și metodologiilor relevante (în principal, pentru testarea IMM-urilor și alte analize economice ale reglementării, în cazul în care se detectează un impact economic semnificativ).</w:t>
            </w:r>
          </w:p>
        </w:tc>
      </w:tr>
      <w:tr w:rsidR="00FA7C11" w14:paraId="37451FA6" w14:textId="77777777">
        <w:trPr>
          <w:trHeight w:val="300"/>
          <w:jc w:val="center"/>
        </w:trPr>
        <w:tc>
          <w:tcPr>
            <w:tcW w:w="768" w:type="dxa"/>
            <w:tcBorders>
              <w:top w:val="nil"/>
              <w:left w:val="single" w:sz="4" w:space="0" w:color="auto"/>
              <w:bottom w:val="single" w:sz="4" w:space="0" w:color="auto"/>
              <w:right w:val="single" w:sz="4" w:space="0" w:color="auto"/>
            </w:tcBorders>
            <w:shd w:val="clear" w:color="auto" w:fill="C6EFCE"/>
            <w:noWrap/>
          </w:tcPr>
          <w:p w14:paraId="13F88AC6" w14:textId="77777777" w:rsidR="00FA7C11" w:rsidRDefault="00D84965">
            <w:pPr>
              <w:pStyle w:val="P68B1DB1-Normal66"/>
              <w:spacing w:after="0" w:line="240" w:lineRule="auto"/>
              <w:jc w:val="center"/>
              <w:rPr>
                <w:noProof/>
              </w:rPr>
            </w:pPr>
            <w:r>
              <w:rPr>
                <w:noProof/>
              </w:rPr>
              <w:t>2</w:t>
            </w:r>
          </w:p>
        </w:tc>
        <w:tc>
          <w:tcPr>
            <w:tcW w:w="1205" w:type="dxa"/>
            <w:tcBorders>
              <w:top w:val="nil"/>
              <w:left w:val="nil"/>
              <w:bottom w:val="single" w:sz="4" w:space="0" w:color="auto"/>
              <w:right w:val="single" w:sz="4" w:space="0" w:color="auto"/>
            </w:tcBorders>
            <w:shd w:val="clear" w:color="auto" w:fill="C6EFCE"/>
            <w:noWrap/>
          </w:tcPr>
          <w:p w14:paraId="40F09BB5" w14:textId="77777777" w:rsidR="00FA7C11" w:rsidRDefault="00D84965">
            <w:pPr>
              <w:pStyle w:val="P68B1DB1-Normal66"/>
              <w:spacing w:line="240" w:lineRule="auto"/>
              <w:rPr>
                <w:noProof/>
              </w:rPr>
            </w:pPr>
            <w:r>
              <w:rPr>
                <w:noProof/>
              </w:rPr>
              <w:t>C1.1.1. R1-I1</w:t>
            </w:r>
          </w:p>
        </w:tc>
        <w:tc>
          <w:tcPr>
            <w:tcW w:w="1022" w:type="dxa"/>
            <w:tcBorders>
              <w:top w:val="nil"/>
              <w:left w:val="nil"/>
              <w:bottom w:val="single" w:sz="4" w:space="0" w:color="auto"/>
              <w:right w:val="single" w:sz="4" w:space="0" w:color="auto"/>
            </w:tcBorders>
            <w:shd w:val="clear" w:color="auto" w:fill="C6EFCE"/>
            <w:noWrap/>
          </w:tcPr>
          <w:p w14:paraId="6992370F" w14:textId="77777777" w:rsidR="00FA7C11" w:rsidRDefault="00D84965">
            <w:pPr>
              <w:pStyle w:val="P68B1DB1-Normal66"/>
              <w:spacing w:line="240" w:lineRule="auto"/>
              <w:jc w:val="center"/>
              <w:rPr>
                <w:noProof/>
              </w:rPr>
            </w:pPr>
            <w:r>
              <w:rPr>
                <w:noProof/>
              </w:rPr>
              <w:t>M</w:t>
            </w:r>
          </w:p>
        </w:tc>
        <w:tc>
          <w:tcPr>
            <w:tcW w:w="1768" w:type="dxa"/>
            <w:tcBorders>
              <w:top w:val="nil"/>
              <w:left w:val="nil"/>
              <w:bottom w:val="single" w:sz="4" w:space="0" w:color="auto"/>
              <w:right w:val="single" w:sz="4" w:space="0" w:color="auto"/>
            </w:tcBorders>
            <w:shd w:val="clear" w:color="auto" w:fill="C6EFCE"/>
            <w:noWrap/>
          </w:tcPr>
          <w:p w14:paraId="29571F28" w14:textId="77777777" w:rsidR="00FA7C11" w:rsidRDefault="00D84965">
            <w:pPr>
              <w:pStyle w:val="P68B1DB1-Normal66"/>
              <w:spacing w:line="240" w:lineRule="auto"/>
              <w:rPr>
                <w:noProof/>
              </w:rPr>
            </w:pPr>
            <w:r>
              <w:rPr>
                <w:noProof/>
              </w:rPr>
              <w:t xml:space="preserve">Platformă digitală operațională pentru plata taxelor </w:t>
            </w:r>
          </w:p>
        </w:tc>
        <w:tc>
          <w:tcPr>
            <w:tcW w:w="1555" w:type="dxa"/>
            <w:tcBorders>
              <w:top w:val="nil"/>
              <w:left w:val="nil"/>
              <w:bottom w:val="single" w:sz="4" w:space="0" w:color="auto"/>
              <w:right w:val="single" w:sz="4" w:space="0" w:color="auto"/>
            </w:tcBorders>
            <w:shd w:val="clear" w:color="auto" w:fill="C6EFCE"/>
            <w:noWrap/>
          </w:tcPr>
          <w:p w14:paraId="0E52F9CE" w14:textId="77777777" w:rsidR="00FA7C11" w:rsidRDefault="00D84965">
            <w:pPr>
              <w:pStyle w:val="P68B1DB1-Normal66"/>
              <w:spacing w:line="240" w:lineRule="auto"/>
              <w:rPr>
                <w:noProof/>
              </w:rPr>
            </w:pPr>
            <w:r>
              <w:rPr>
                <w:noProof/>
              </w:rPr>
              <w:t>Platformă digitală pentru plata taxelor în funcțiune</w:t>
            </w:r>
          </w:p>
        </w:tc>
        <w:tc>
          <w:tcPr>
            <w:tcW w:w="1067" w:type="dxa"/>
            <w:tcBorders>
              <w:top w:val="nil"/>
              <w:left w:val="nil"/>
              <w:bottom w:val="single" w:sz="4" w:space="0" w:color="auto"/>
              <w:right w:val="single" w:sz="4" w:space="0" w:color="auto"/>
            </w:tcBorders>
            <w:shd w:val="clear" w:color="auto" w:fill="C6EFCE"/>
            <w:noWrap/>
          </w:tcPr>
          <w:p w14:paraId="20461720" w14:textId="77777777" w:rsidR="00FA7C11" w:rsidRDefault="00D84965">
            <w:pPr>
              <w:pStyle w:val="P68B1DB1-Normal66"/>
              <w:spacing w:line="240" w:lineRule="auto"/>
              <w:jc w:val="center"/>
              <w:rPr>
                <w:noProof/>
              </w:rPr>
            </w:pPr>
            <w:r>
              <w:rPr>
                <w:noProof/>
              </w:rPr>
              <w:t> </w:t>
            </w:r>
          </w:p>
        </w:tc>
        <w:tc>
          <w:tcPr>
            <w:tcW w:w="1056" w:type="dxa"/>
            <w:tcBorders>
              <w:top w:val="nil"/>
              <w:left w:val="nil"/>
              <w:bottom w:val="single" w:sz="4" w:space="0" w:color="auto"/>
              <w:right w:val="single" w:sz="4" w:space="0" w:color="auto"/>
            </w:tcBorders>
            <w:shd w:val="clear" w:color="auto" w:fill="C6EFCE"/>
            <w:noWrap/>
          </w:tcPr>
          <w:p w14:paraId="3BF1DE72" w14:textId="77777777" w:rsidR="00FA7C11" w:rsidRDefault="00D84965">
            <w:pPr>
              <w:pStyle w:val="P68B1DB1-Normal66"/>
              <w:spacing w:line="240" w:lineRule="auto"/>
              <w:jc w:val="center"/>
              <w:rPr>
                <w:noProof/>
              </w:rPr>
            </w:pPr>
            <w:r>
              <w:rPr>
                <w:noProof/>
              </w:rPr>
              <w:t> </w:t>
            </w:r>
          </w:p>
        </w:tc>
        <w:tc>
          <w:tcPr>
            <w:tcW w:w="1056" w:type="dxa"/>
            <w:tcBorders>
              <w:top w:val="nil"/>
              <w:left w:val="nil"/>
              <w:bottom w:val="single" w:sz="4" w:space="0" w:color="auto"/>
              <w:right w:val="single" w:sz="4" w:space="0" w:color="auto"/>
            </w:tcBorders>
            <w:shd w:val="clear" w:color="auto" w:fill="C6EFCE"/>
            <w:noWrap/>
          </w:tcPr>
          <w:p w14:paraId="48EFA19E" w14:textId="77777777" w:rsidR="00FA7C11" w:rsidRDefault="00D84965">
            <w:pPr>
              <w:pStyle w:val="P68B1DB1-Normal66"/>
              <w:spacing w:line="240"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2C17FAF3" w14:textId="77777777" w:rsidR="00FA7C11" w:rsidRDefault="00D84965">
            <w:pPr>
              <w:pStyle w:val="P68B1DB1-Normal66"/>
              <w:spacing w:line="240" w:lineRule="auto"/>
              <w:jc w:val="center"/>
              <w:rPr>
                <w:noProof/>
              </w:rPr>
            </w:pPr>
            <w:r>
              <w:rPr>
                <w:noProof/>
              </w:rPr>
              <w:t>Î2</w:t>
            </w:r>
          </w:p>
        </w:tc>
        <w:tc>
          <w:tcPr>
            <w:tcW w:w="709" w:type="dxa"/>
            <w:tcBorders>
              <w:top w:val="nil"/>
              <w:left w:val="nil"/>
              <w:bottom w:val="single" w:sz="4" w:space="0" w:color="auto"/>
              <w:right w:val="single" w:sz="4" w:space="0" w:color="auto"/>
            </w:tcBorders>
            <w:shd w:val="clear" w:color="auto" w:fill="C6EFCE"/>
            <w:noWrap/>
          </w:tcPr>
          <w:p w14:paraId="2F02F9DF" w14:textId="77777777" w:rsidR="00FA7C11" w:rsidRDefault="00D84965">
            <w:pPr>
              <w:pStyle w:val="P68B1DB1-Normal66"/>
              <w:spacing w:line="240" w:lineRule="auto"/>
              <w:jc w:val="center"/>
              <w:rPr>
                <w:noProof/>
              </w:rPr>
            </w:pPr>
            <w:r>
              <w:rPr>
                <w:noProof/>
              </w:rPr>
              <w:t>2022</w:t>
            </w:r>
          </w:p>
        </w:tc>
        <w:tc>
          <w:tcPr>
            <w:tcW w:w="5528" w:type="dxa"/>
            <w:tcBorders>
              <w:top w:val="nil"/>
              <w:left w:val="nil"/>
              <w:bottom w:val="single" w:sz="4" w:space="0" w:color="auto"/>
              <w:right w:val="single" w:sz="4" w:space="0" w:color="auto"/>
            </w:tcBorders>
            <w:shd w:val="clear" w:color="auto" w:fill="C6EFCE"/>
            <w:noWrap/>
          </w:tcPr>
          <w:p w14:paraId="20389F54" w14:textId="77777777" w:rsidR="00FA7C11" w:rsidRDefault="00D84965">
            <w:pPr>
              <w:pStyle w:val="P68B1DB1-Normal66"/>
              <w:spacing w:line="240" w:lineRule="auto"/>
              <w:rPr>
                <w:noProof/>
              </w:rPr>
            </w:pPr>
            <w:r>
              <w:rPr>
                <w:noProof/>
              </w:rPr>
              <w:t>Se instituie o platformă unică de plată a taxelor obligatorii ca nou serviciu public digital pentru a optimiza procesul administrativ existent și pentru a oferi următoarele funcționalități:</w:t>
            </w:r>
            <w:r>
              <w:rPr>
                <w:noProof/>
              </w:rPr>
              <w:br/>
              <w:t xml:space="preserve">(1) lista taxelor care trebuie plătite de operatorul economic </w:t>
            </w:r>
            <w:r>
              <w:rPr>
                <w:noProof/>
              </w:rPr>
              <w:br/>
              <w:t xml:space="preserve">(2) calendar de plăți cu termene pentru decontarea acestora </w:t>
            </w:r>
            <w:r>
              <w:rPr>
                <w:noProof/>
              </w:rPr>
              <w:br/>
              <w:t xml:space="preserve">(3) posibilitatea plății directe online a taxelor </w:t>
            </w:r>
            <w:r>
              <w:rPr>
                <w:noProof/>
              </w:rPr>
              <w:br/>
              <w:t>(4) prezentare generală a angajamentelor plătite.</w:t>
            </w:r>
          </w:p>
        </w:tc>
      </w:tr>
      <w:tr w:rsidR="00FA7C11" w14:paraId="6D7B067B" w14:textId="77777777">
        <w:trPr>
          <w:trHeight w:val="300"/>
          <w:jc w:val="center"/>
        </w:trPr>
        <w:tc>
          <w:tcPr>
            <w:tcW w:w="768" w:type="dxa"/>
            <w:tcBorders>
              <w:top w:val="nil"/>
              <w:left w:val="single" w:sz="4" w:space="0" w:color="auto"/>
              <w:bottom w:val="single" w:sz="4" w:space="0" w:color="auto"/>
              <w:right w:val="single" w:sz="4" w:space="0" w:color="auto"/>
            </w:tcBorders>
            <w:shd w:val="clear" w:color="auto" w:fill="C6EFCE"/>
            <w:noWrap/>
          </w:tcPr>
          <w:p w14:paraId="71DBFDBE" w14:textId="77777777" w:rsidR="00FA7C11" w:rsidRDefault="00D84965">
            <w:pPr>
              <w:pStyle w:val="P68B1DB1-Normal66"/>
              <w:spacing w:line="240" w:lineRule="auto"/>
              <w:jc w:val="center"/>
              <w:rPr>
                <w:noProof/>
              </w:rPr>
            </w:pPr>
            <w:r>
              <w:rPr>
                <w:noProof/>
              </w:rPr>
              <w:t>3</w:t>
            </w:r>
          </w:p>
        </w:tc>
        <w:tc>
          <w:tcPr>
            <w:tcW w:w="1205" w:type="dxa"/>
            <w:tcBorders>
              <w:top w:val="nil"/>
              <w:left w:val="nil"/>
              <w:bottom w:val="single" w:sz="4" w:space="0" w:color="auto"/>
              <w:right w:val="single" w:sz="4" w:space="0" w:color="auto"/>
            </w:tcBorders>
            <w:shd w:val="clear" w:color="auto" w:fill="C6EFCE"/>
            <w:noWrap/>
          </w:tcPr>
          <w:p w14:paraId="1FA24515" w14:textId="77777777" w:rsidR="00FA7C11" w:rsidRDefault="00D84965">
            <w:pPr>
              <w:pStyle w:val="P68B1DB1-Normal66"/>
              <w:spacing w:line="240" w:lineRule="auto"/>
              <w:rPr>
                <w:noProof/>
              </w:rPr>
            </w:pPr>
            <w:r>
              <w:rPr>
                <w:noProof/>
              </w:rPr>
              <w:t>C1.1.1. R1-I1</w:t>
            </w:r>
          </w:p>
        </w:tc>
        <w:tc>
          <w:tcPr>
            <w:tcW w:w="1022" w:type="dxa"/>
            <w:tcBorders>
              <w:top w:val="nil"/>
              <w:left w:val="nil"/>
              <w:bottom w:val="single" w:sz="4" w:space="0" w:color="auto"/>
              <w:right w:val="single" w:sz="4" w:space="0" w:color="auto"/>
            </w:tcBorders>
            <w:shd w:val="clear" w:color="auto" w:fill="C6EFCE"/>
            <w:noWrap/>
          </w:tcPr>
          <w:p w14:paraId="2F40EF33" w14:textId="77777777" w:rsidR="00FA7C11" w:rsidRDefault="00D84965">
            <w:pPr>
              <w:pStyle w:val="P68B1DB1-Normal66"/>
              <w:spacing w:line="240" w:lineRule="auto"/>
              <w:jc w:val="center"/>
              <w:rPr>
                <w:noProof/>
              </w:rPr>
            </w:pPr>
            <w:r>
              <w:rPr>
                <w:noProof/>
              </w:rPr>
              <w:t>M</w:t>
            </w:r>
          </w:p>
        </w:tc>
        <w:tc>
          <w:tcPr>
            <w:tcW w:w="1768" w:type="dxa"/>
            <w:tcBorders>
              <w:top w:val="nil"/>
              <w:left w:val="nil"/>
              <w:bottom w:val="single" w:sz="4" w:space="0" w:color="auto"/>
              <w:right w:val="single" w:sz="4" w:space="0" w:color="auto"/>
            </w:tcBorders>
            <w:shd w:val="clear" w:color="auto" w:fill="C6EFCE"/>
            <w:noWrap/>
          </w:tcPr>
          <w:p w14:paraId="692556AF" w14:textId="77777777" w:rsidR="00FA7C11" w:rsidRDefault="00D84965">
            <w:pPr>
              <w:pStyle w:val="P68B1DB1-Normal66"/>
              <w:spacing w:line="240" w:lineRule="auto"/>
              <w:rPr>
                <w:noProof/>
              </w:rPr>
            </w:pPr>
            <w:r>
              <w:rPr>
                <w:noProof/>
              </w:rPr>
              <w:t xml:space="preserve">Modernizarea sistemelor START </w:t>
            </w:r>
          </w:p>
        </w:tc>
        <w:tc>
          <w:tcPr>
            <w:tcW w:w="1555" w:type="dxa"/>
            <w:tcBorders>
              <w:top w:val="nil"/>
              <w:left w:val="nil"/>
              <w:bottom w:val="single" w:sz="4" w:space="0" w:color="auto"/>
              <w:right w:val="single" w:sz="4" w:space="0" w:color="auto"/>
            </w:tcBorders>
            <w:shd w:val="clear" w:color="auto" w:fill="C6EFCE"/>
            <w:noWrap/>
          </w:tcPr>
          <w:p w14:paraId="587B6BA3" w14:textId="77777777" w:rsidR="00FA7C11" w:rsidRDefault="00D84965">
            <w:pPr>
              <w:pStyle w:val="P68B1DB1-Normal66"/>
              <w:spacing w:line="240" w:lineRule="auto"/>
              <w:rPr>
                <w:noProof/>
              </w:rPr>
            </w:pPr>
            <w:r>
              <w:rPr>
                <w:noProof/>
              </w:rPr>
              <w:t>Platforma start cu servicii suplimentare modernizate</w:t>
            </w:r>
          </w:p>
        </w:tc>
        <w:tc>
          <w:tcPr>
            <w:tcW w:w="1067" w:type="dxa"/>
            <w:tcBorders>
              <w:top w:val="nil"/>
              <w:left w:val="nil"/>
              <w:bottom w:val="single" w:sz="4" w:space="0" w:color="auto"/>
              <w:right w:val="single" w:sz="4" w:space="0" w:color="auto"/>
            </w:tcBorders>
            <w:shd w:val="clear" w:color="auto" w:fill="C6EFCE"/>
            <w:noWrap/>
          </w:tcPr>
          <w:p w14:paraId="11DD33EB" w14:textId="77777777" w:rsidR="00FA7C11" w:rsidRDefault="00D84965">
            <w:pPr>
              <w:pStyle w:val="P68B1DB1-Normal66"/>
              <w:spacing w:line="240" w:lineRule="auto"/>
              <w:jc w:val="center"/>
              <w:rPr>
                <w:noProof/>
              </w:rPr>
            </w:pPr>
            <w:r>
              <w:rPr>
                <w:noProof/>
              </w:rPr>
              <w:t> </w:t>
            </w:r>
          </w:p>
        </w:tc>
        <w:tc>
          <w:tcPr>
            <w:tcW w:w="1056" w:type="dxa"/>
            <w:tcBorders>
              <w:top w:val="nil"/>
              <w:left w:val="nil"/>
              <w:bottom w:val="single" w:sz="4" w:space="0" w:color="auto"/>
              <w:right w:val="single" w:sz="4" w:space="0" w:color="auto"/>
            </w:tcBorders>
            <w:shd w:val="clear" w:color="auto" w:fill="C6EFCE"/>
            <w:noWrap/>
          </w:tcPr>
          <w:p w14:paraId="6E1D80D4" w14:textId="77777777" w:rsidR="00FA7C11" w:rsidRDefault="00D84965">
            <w:pPr>
              <w:pStyle w:val="P68B1DB1-Normal66"/>
              <w:spacing w:line="240" w:lineRule="auto"/>
              <w:jc w:val="center"/>
              <w:rPr>
                <w:noProof/>
              </w:rPr>
            </w:pPr>
            <w:r>
              <w:rPr>
                <w:noProof/>
              </w:rPr>
              <w:t> </w:t>
            </w:r>
          </w:p>
        </w:tc>
        <w:tc>
          <w:tcPr>
            <w:tcW w:w="1056" w:type="dxa"/>
            <w:tcBorders>
              <w:top w:val="nil"/>
              <w:left w:val="nil"/>
              <w:bottom w:val="single" w:sz="4" w:space="0" w:color="auto"/>
              <w:right w:val="single" w:sz="4" w:space="0" w:color="auto"/>
            </w:tcBorders>
            <w:shd w:val="clear" w:color="auto" w:fill="C6EFCE"/>
            <w:noWrap/>
          </w:tcPr>
          <w:p w14:paraId="7CE449A3" w14:textId="77777777" w:rsidR="00FA7C11" w:rsidRDefault="00D84965">
            <w:pPr>
              <w:pStyle w:val="P68B1DB1-Normal66"/>
              <w:spacing w:line="240"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5CE9DF89" w14:textId="77777777" w:rsidR="00FA7C11" w:rsidRDefault="00D84965">
            <w:pPr>
              <w:pStyle w:val="P68B1DB1-Normal66"/>
              <w:spacing w:line="240" w:lineRule="auto"/>
              <w:jc w:val="center"/>
              <w:rPr>
                <w:noProof/>
              </w:rPr>
            </w:pPr>
            <w:r>
              <w:rPr>
                <w:noProof/>
              </w:rPr>
              <w:t>Î4</w:t>
            </w:r>
          </w:p>
        </w:tc>
        <w:tc>
          <w:tcPr>
            <w:tcW w:w="709" w:type="dxa"/>
            <w:tcBorders>
              <w:top w:val="nil"/>
              <w:left w:val="nil"/>
              <w:bottom w:val="single" w:sz="4" w:space="0" w:color="auto"/>
              <w:right w:val="single" w:sz="4" w:space="0" w:color="auto"/>
            </w:tcBorders>
            <w:shd w:val="clear" w:color="auto" w:fill="C6EFCE"/>
            <w:noWrap/>
          </w:tcPr>
          <w:p w14:paraId="13316536" w14:textId="77777777" w:rsidR="00FA7C11" w:rsidRDefault="00D84965">
            <w:pPr>
              <w:pStyle w:val="P68B1DB1-Normal66"/>
              <w:spacing w:line="240" w:lineRule="auto"/>
              <w:jc w:val="center"/>
              <w:rPr>
                <w:noProof/>
              </w:rPr>
            </w:pPr>
            <w:r>
              <w:rPr>
                <w:noProof/>
              </w:rPr>
              <w:t>2024</w:t>
            </w:r>
          </w:p>
        </w:tc>
        <w:tc>
          <w:tcPr>
            <w:tcW w:w="5528" w:type="dxa"/>
            <w:tcBorders>
              <w:top w:val="nil"/>
              <w:left w:val="nil"/>
              <w:bottom w:val="single" w:sz="4" w:space="0" w:color="auto"/>
              <w:right w:val="single" w:sz="4" w:space="0" w:color="auto"/>
            </w:tcBorders>
            <w:shd w:val="clear" w:color="auto" w:fill="C6EFCE"/>
            <w:noWrap/>
          </w:tcPr>
          <w:p w14:paraId="6904854F" w14:textId="77777777" w:rsidR="00FA7C11" w:rsidRDefault="00D84965">
            <w:pPr>
              <w:pStyle w:val="P68B1DB1-Normal70"/>
              <w:spacing w:line="240" w:lineRule="auto"/>
              <w:jc w:val="both"/>
              <w:rPr>
                <w:noProof/>
              </w:rPr>
            </w:pPr>
            <w:r>
              <w:rPr>
                <w:noProof/>
                <w:color w:val="000000"/>
              </w:rPr>
              <w:t xml:space="preserve">Platforma digitală pentru înființarea societăților cu răspundere limitată, denumită platforma START, va fi modernizată prin digitalizarea unor servicii suplimentare în scopul înregistrării și raportării și al integrării sistemelor de start-upuri existente. Prima acțiune include investiții care se vor baza pe platforma digitală existentă numită START pentru înființarea societăților cu răspundere limitată și pentru a permite utilizatorilor să înregistreze online noi societăți. </w:t>
            </w:r>
            <w:r>
              <w:rPr>
                <w:noProof/>
              </w:rPr>
              <w:t>Acțiunea</w:t>
            </w:r>
            <w:r>
              <w:rPr>
                <w:noProof/>
                <w:color w:val="000000"/>
              </w:rPr>
              <w:t xml:space="preserve"> sa extinde funcționalitățile platformei START în vederea creșterii volumului de servicii, a îmbunătățirii accesului și a disponibilității sistemului și a asigurării faptului că toate datele comerciale noi sunt integrate într-o singură bază de date. În al doilea rând, se introduc noi funcționalități în platforma START prin modernizarea acesteia și conectarea cu diferitele baze de date ale registrului comerțului pentru a permite accesul la procedura administrativă prin autentificare digitală. În al treilea rând, se instituie o platformă digitală de acordare a licențelor (START Plus) pentru a spori transparența condițiilor de intrare pe piață, precum și transparența reglementărilor comerciale.</w:t>
            </w:r>
          </w:p>
        </w:tc>
      </w:tr>
      <w:tr w:rsidR="00FA7C11" w14:paraId="16B9E1AD" w14:textId="77777777">
        <w:trPr>
          <w:trHeight w:val="300"/>
          <w:jc w:val="center"/>
        </w:trPr>
        <w:tc>
          <w:tcPr>
            <w:tcW w:w="768" w:type="dxa"/>
            <w:tcBorders>
              <w:top w:val="nil"/>
              <w:left w:val="single" w:sz="4" w:space="0" w:color="auto"/>
              <w:bottom w:val="single" w:sz="4" w:space="0" w:color="auto"/>
              <w:right w:val="single" w:sz="4" w:space="0" w:color="auto"/>
            </w:tcBorders>
            <w:shd w:val="clear" w:color="auto" w:fill="C6EFCE"/>
            <w:noWrap/>
          </w:tcPr>
          <w:p w14:paraId="23B49445" w14:textId="77777777" w:rsidR="00FA7C11" w:rsidRDefault="00D84965">
            <w:pPr>
              <w:pStyle w:val="P68B1DB1-Normal66"/>
              <w:spacing w:line="240" w:lineRule="auto"/>
              <w:jc w:val="center"/>
              <w:rPr>
                <w:noProof/>
              </w:rPr>
            </w:pPr>
            <w:r>
              <w:rPr>
                <w:noProof/>
              </w:rPr>
              <w:t>4</w:t>
            </w:r>
          </w:p>
        </w:tc>
        <w:tc>
          <w:tcPr>
            <w:tcW w:w="1205" w:type="dxa"/>
            <w:tcBorders>
              <w:top w:val="nil"/>
              <w:left w:val="nil"/>
              <w:bottom w:val="single" w:sz="4" w:space="0" w:color="auto"/>
              <w:right w:val="single" w:sz="4" w:space="0" w:color="auto"/>
            </w:tcBorders>
            <w:shd w:val="clear" w:color="auto" w:fill="C6EFCE"/>
            <w:noWrap/>
          </w:tcPr>
          <w:p w14:paraId="61A8F102" w14:textId="77777777" w:rsidR="00FA7C11" w:rsidRDefault="00D84965">
            <w:pPr>
              <w:pStyle w:val="P68B1DB1-Normal66"/>
              <w:spacing w:line="240" w:lineRule="auto"/>
              <w:rPr>
                <w:noProof/>
              </w:rPr>
            </w:pPr>
            <w:r>
              <w:rPr>
                <w:noProof/>
              </w:rPr>
              <w:t>C1.1.1. R1-I1</w:t>
            </w:r>
          </w:p>
        </w:tc>
        <w:tc>
          <w:tcPr>
            <w:tcW w:w="1022" w:type="dxa"/>
            <w:tcBorders>
              <w:top w:val="nil"/>
              <w:left w:val="nil"/>
              <w:bottom w:val="single" w:sz="4" w:space="0" w:color="auto"/>
              <w:right w:val="single" w:sz="4" w:space="0" w:color="auto"/>
            </w:tcBorders>
            <w:shd w:val="clear" w:color="auto" w:fill="C6EFCE"/>
            <w:noWrap/>
          </w:tcPr>
          <w:p w14:paraId="2932C0AE" w14:textId="77777777" w:rsidR="00FA7C11" w:rsidRDefault="00D84965">
            <w:pPr>
              <w:pStyle w:val="P68B1DB1-Normal66"/>
              <w:spacing w:line="240" w:lineRule="auto"/>
              <w:jc w:val="center"/>
              <w:rPr>
                <w:noProof/>
              </w:rPr>
            </w:pPr>
            <w:r>
              <w:rPr>
                <w:noProof/>
              </w:rPr>
              <w:t>T</w:t>
            </w:r>
          </w:p>
        </w:tc>
        <w:tc>
          <w:tcPr>
            <w:tcW w:w="1768" w:type="dxa"/>
            <w:tcBorders>
              <w:top w:val="nil"/>
              <w:left w:val="nil"/>
              <w:bottom w:val="single" w:sz="4" w:space="0" w:color="auto"/>
              <w:right w:val="single" w:sz="4" w:space="0" w:color="auto"/>
            </w:tcBorders>
            <w:shd w:val="clear" w:color="auto" w:fill="C6EFCE"/>
            <w:noWrap/>
          </w:tcPr>
          <w:p w14:paraId="1B169CB8" w14:textId="77777777" w:rsidR="00FA7C11" w:rsidRDefault="00D84965">
            <w:pPr>
              <w:pStyle w:val="P68B1DB1-Normal66"/>
              <w:spacing w:line="240" w:lineRule="auto"/>
              <w:rPr>
                <w:noProof/>
              </w:rPr>
            </w:pPr>
            <w:r>
              <w:rPr>
                <w:noProof/>
              </w:rPr>
              <w:t>Crearea de puncte de acces fizic la platforma START</w:t>
            </w:r>
          </w:p>
        </w:tc>
        <w:tc>
          <w:tcPr>
            <w:tcW w:w="1555" w:type="dxa"/>
            <w:tcBorders>
              <w:top w:val="nil"/>
              <w:left w:val="nil"/>
              <w:bottom w:val="single" w:sz="4" w:space="0" w:color="auto"/>
              <w:right w:val="single" w:sz="4" w:space="0" w:color="auto"/>
            </w:tcBorders>
            <w:shd w:val="clear" w:color="auto" w:fill="C6EFCE"/>
            <w:noWrap/>
          </w:tcPr>
          <w:p w14:paraId="4D86F996" w14:textId="77777777" w:rsidR="00FA7C11" w:rsidRDefault="00D84965">
            <w:pPr>
              <w:pStyle w:val="P68B1DB1-Normal66"/>
              <w:spacing w:line="240" w:lineRule="auto"/>
              <w:rPr>
                <w:noProof/>
              </w:rPr>
            </w:pPr>
            <w:r>
              <w:rPr>
                <w:noProof/>
              </w:rPr>
              <w:t> </w:t>
            </w:r>
          </w:p>
        </w:tc>
        <w:tc>
          <w:tcPr>
            <w:tcW w:w="1067" w:type="dxa"/>
            <w:tcBorders>
              <w:top w:val="nil"/>
              <w:left w:val="nil"/>
              <w:bottom w:val="single" w:sz="4" w:space="0" w:color="auto"/>
              <w:right w:val="single" w:sz="4" w:space="0" w:color="auto"/>
            </w:tcBorders>
            <w:shd w:val="clear" w:color="auto" w:fill="C6EFCE"/>
            <w:noWrap/>
          </w:tcPr>
          <w:p w14:paraId="4E21D8EA" w14:textId="77777777" w:rsidR="00FA7C11" w:rsidRDefault="00D84965">
            <w:pPr>
              <w:pStyle w:val="P68B1DB1-Normal66"/>
              <w:spacing w:line="240" w:lineRule="auto"/>
              <w:jc w:val="center"/>
              <w:rPr>
                <w:noProof/>
              </w:rPr>
            </w:pPr>
            <w:r>
              <w:rPr>
                <w:noProof/>
              </w:rPr>
              <w:t>Număr</w:t>
            </w:r>
          </w:p>
        </w:tc>
        <w:tc>
          <w:tcPr>
            <w:tcW w:w="1056" w:type="dxa"/>
            <w:tcBorders>
              <w:top w:val="nil"/>
              <w:left w:val="nil"/>
              <w:bottom w:val="single" w:sz="4" w:space="0" w:color="auto"/>
              <w:right w:val="single" w:sz="4" w:space="0" w:color="auto"/>
            </w:tcBorders>
            <w:shd w:val="clear" w:color="auto" w:fill="C6EFCE"/>
            <w:noWrap/>
          </w:tcPr>
          <w:p w14:paraId="038B78A8" w14:textId="77777777" w:rsidR="00FA7C11" w:rsidRDefault="00D84965">
            <w:pPr>
              <w:pStyle w:val="P68B1DB1-Normal66"/>
              <w:spacing w:line="240" w:lineRule="auto"/>
              <w:jc w:val="center"/>
              <w:rPr>
                <w:noProof/>
              </w:rPr>
            </w:pPr>
            <w:r>
              <w:rPr>
                <w:noProof/>
              </w:rPr>
              <w:t>0</w:t>
            </w:r>
          </w:p>
        </w:tc>
        <w:tc>
          <w:tcPr>
            <w:tcW w:w="1056" w:type="dxa"/>
            <w:tcBorders>
              <w:top w:val="nil"/>
              <w:left w:val="nil"/>
              <w:bottom w:val="single" w:sz="4" w:space="0" w:color="auto"/>
              <w:right w:val="single" w:sz="4" w:space="0" w:color="auto"/>
            </w:tcBorders>
            <w:shd w:val="clear" w:color="auto" w:fill="C6EFCE"/>
            <w:noWrap/>
          </w:tcPr>
          <w:p w14:paraId="18A06ADF" w14:textId="77777777" w:rsidR="00FA7C11" w:rsidRDefault="00D84965">
            <w:pPr>
              <w:pStyle w:val="P68B1DB1-Normal66"/>
              <w:spacing w:line="240" w:lineRule="auto"/>
              <w:jc w:val="center"/>
              <w:rPr>
                <w:noProof/>
              </w:rPr>
            </w:pPr>
            <w:r>
              <w:rPr>
                <w:noProof/>
              </w:rPr>
              <w:t>20</w:t>
            </w:r>
          </w:p>
        </w:tc>
        <w:tc>
          <w:tcPr>
            <w:tcW w:w="756" w:type="dxa"/>
            <w:tcBorders>
              <w:top w:val="nil"/>
              <w:left w:val="nil"/>
              <w:bottom w:val="single" w:sz="4" w:space="0" w:color="auto"/>
              <w:right w:val="single" w:sz="4" w:space="0" w:color="auto"/>
            </w:tcBorders>
            <w:shd w:val="clear" w:color="auto" w:fill="C6EFCE"/>
            <w:noWrap/>
          </w:tcPr>
          <w:p w14:paraId="5D30BC6F" w14:textId="77777777" w:rsidR="00FA7C11" w:rsidRDefault="00D84965">
            <w:pPr>
              <w:pStyle w:val="P68B1DB1-Normal66"/>
              <w:spacing w:line="240" w:lineRule="auto"/>
              <w:jc w:val="center"/>
              <w:rPr>
                <w:noProof/>
              </w:rPr>
            </w:pPr>
            <w:r>
              <w:rPr>
                <w:noProof/>
              </w:rPr>
              <w:t>Î4</w:t>
            </w:r>
          </w:p>
        </w:tc>
        <w:tc>
          <w:tcPr>
            <w:tcW w:w="709" w:type="dxa"/>
            <w:tcBorders>
              <w:top w:val="nil"/>
              <w:left w:val="nil"/>
              <w:bottom w:val="single" w:sz="4" w:space="0" w:color="auto"/>
              <w:right w:val="single" w:sz="4" w:space="0" w:color="auto"/>
            </w:tcBorders>
            <w:shd w:val="clear" w:color="auto" w:fill="C6EFCE"/>
            <w:noWrap/>
          </w:tcPr>
          <w:p w14:paraId="31B9DCD8" w14:textId="77777777" w:rsidR="00FA7C11" w:rsidRDefault="00D84965">
            <w:pPr>
              <w:pStyle w:val="P68B1DB1-Normal66"/>
              <w:spacing w:line="240" w:lineRule="auto"/>
              <w:jc w:val="center"/>
              <w:rPr>
                <w:noProof/>
              </w:rPr>
            </w:pPr>
            <w:r>
              <w:rPr>
                <w:noProof/>
              </w:rPr>
              <w:t>2024</w:t>
            </w:r>
          </w:p>
        </w:tc>
        <w:tc>
          <w:tcPr>
            <w:tcW w:w="5528" w:type="dxa"/>
            <w:tcBorders>
              <w:top w:val="nil"/>
              <w:left w:val="nil"/>
              <w:bottom w:val="single" w:sz="4" w:space="0" w:color="auto"/>
              <w:right w:val="single" w:sz="4" w:space="0" w:color="auto"/>
            </w:tcBorders>
            <w:shd w:val="clear" w:color="auto" w:fill="C6EFCE"/>
            <w:noWrap/>
          </w:tcPr>
          <w:p w14:paraId="425A213C" w14:textId="77777777" w:rsidR="00FA7C11" w:rsidRDefault="00D84965">
            <w:pPr>
              <w:pStyle w:val="P68B1DB1-Normal66"/>
              <w:spacing w:line="240" w:lineRule="auto"/>
              <w:rPr>
                <w:noProof/>
              </w:rPr>
            </w:pPr>
            <w:r>
              <w:rPr>
                <w:noProof/>
              </w:rPr>
              <w:t>Pentru a spori utilizarea platformei START și pentru a integra mai bine procesele care au fost inițiate prin intermediul platformelor digitale și fizice, se instituie 20 noi puncte de acces fizic la platforma START.</w:t>
            </w:r>
          </w:p>
        </w:tc>
      </w:tr>
      <w:tr w:rsidR="00FA7C11" w14:paraId="03E82E99"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4136C62" w14:textId="77777777" w:rsidR="00FA7C11" w:rsidRDefault="00D84965">
            <w:pPr>
              <w:pStyle w:val="P68B1DB1-Normal66"/>
              <w:spacing w:line="240" w:lineRule="auto"/>
              <w:jc w:val="center"/>
              <w:rPr>
                <w:noProof/>
              </w:rPr>
            </w:pPr>
            <w:r>
              <w:rPr>
                <w:noProof/>
              </w:rPr>
              <w:t>5</w:t>
            </w:r>
          </w:p>
        </w:tc>
        <w:tc>
          <w:tcPr>
            <w:tcW w:w="1205" w:type="dxa"/>
            <w:tcBorders>
              <w:top w:val="single" w:sz="4" w:space="0" w:color="auto"/>
              <w:left w:val="nil"/>
              <w:bottom w:val="single" w:sz="4" w:space="0" w:color="auto"/>
              <w:right w:val="single" w:sz="4" w:space="0" w:color="auto"/>
            </w:tcBorders>
            <w:shd w:val="clear" w:color="auto" w:fill="C6EFCE"/>
            <w:noWrap/>
          </w:tcPr>
          <w:p w14:paraId="2831D0D5" w14:textId="77777777" w:rsidR="00FA7C11" w:rsidRDefault="00D84965">
            <w:pPr>
              <w:pStyle w:val="P68B1DB1-Normal66"/>
              <w:spacing w:line="240" w:lineRule="auto"/>
              <w:rPr>
                <w:noProof/>
              </w:rPr>
            </w:pPr>
            <w:r>
              <w:rPr>
                <w:noProof/>
              </w:rPr>
              <w:t>C1.1.1. R1-I1</w:t>
            </w:r>
          </w:p>
        </w:tc>
        <w:tc>
          <w:tcPr>
            <w:tcW w:w="1022" w:type="dxa"/>
            <w:tcBorders>
              <w:top w:val="single" w:sz="4" w:space="0" w:color="auto"/>
              <w:left w:val="nil"/>
              <w:bottom w:val="single" w:sz="4" w:space="0" w:color="auto"/>
              <w:right w:val="single" w:sz="4" w:space="0" w:color="auto"/>
            </w:tcBorders>
            <w:shd w:val="clear" w:color="auto" w:fill="C6EFCE"/>
            <w:noWrap/>
          </w:tcPr>
          <w:p w14:paraId="1A253E25"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noWrap/>
          </w:tcPr>
          <w:p w14:paraId="21CDBEDA" w14:textId="77777777" w:rsidR="00FA7C11" w:rsidRDefault="00D84965">
            <w:pPr>
              <w:pStyle w:val="P68B1DB1-Normal66"/>
              <w:spacing w:line="240" w:lineRule="auto"/>
              <w:rPr>
                <w:noProof/>
              </w:rPr>
            </w:pPr>
            <w:r>
              <w:rPr>
                <w:noProof/>
              </w:rPr>
              <w:t>Digitalizarea proceselor specifice ale MINGOR în temeiul Legii privind proiectele de investiții strategice a Republicii Croația, al Legii privind promovarea investițiilor și al Legii privind ajutoarele de stat pentru proiectele de cercetare și dezvoltare și continuarea digitalizării și a creării de rețele în cadrul sistemului JRPI</w:t>
            </w:r>
          </w:p>
        </w:tc>
        <w:tc>
          <w:tcPr>
            <w:tcW w:w="1555" w:type="dxa"/>
            <w:tcBorders>
              <w:top w:val="single" w:sz="4" w:space="0" w:color="auto"/>
              <w:left w:val="nil"/>
              <w:bottom w:val="single" w:sz="4" w:space="0" w:color="auto"/>
              <w:right w:val="single" w:sz="4" w:space="0" w:color="auto"/>
            </w:tcBorders>
            <w:shd w:val="clear" w:color="auto" w:fill="C6EFCE"/>
            <w:noWrap/>
          </w:tcPr>
          <w:p w14:paraId="6D1F6784" w14:textId="77777777" w:rsidR="00FA7C11" w:rsidRDefault="00D84965">
            <w:pPr>
              <w:pStyle w:val="P68B1DB1-Normal66"/>
              <w:spacing w:line="240" w:lineRule="auto"/>
              <w:rPr>
                <w:noProof/>
              </w:rPr>
            </w:pPr>
            <w:r>
              <w:rPr>
                <w:noProof/>
              </w:rPr>
              <w:t xml:space="preserve">Digitalizarea proceselor specifice MINGOR </w:t>
            </w:r>
          </w:p>
        </w:tc>
        <w:tc>
          <w:tcPr>
            <w:tcW w:w="1067" w:type="dxa"/>
            <w:tcBorders>
              <w:top w:val="single" w:sz="4" w:space="0" w:color="auto"/>
              <w:left w:val="nil"/>
              <w:bottom w:val="single" w:sz="4" w:space="0" w:color="auto"/>
              <w:right w:val="single" w:sz="4" w:space="0" w:color="auto"/>
            </w:tcBorders>
            <w:shd w:val="clear" w:color="auto" w:fill="C6EFCE"/>
            <w:noWrap/>
          </w:tcPr>
          <w:p w14:paraId="68D3273D"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07954BC5"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05887AAB"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FD6AB24"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497066AF" w14:textId="77777777" w:rsidR="00FA7C11" w:rsidRDefault="00D84965">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noWrap/>
          </w:tcPr>
          <w:p w14:paraId="782022E9" w14:textId="52A57ABF" w:rsidR="00FA7C11" w:rsidRDefault="00D84965">
            <w:pPr>
              <w:pStyle w:val="P68B1DB1-Normal66"/>
              <w:spacing w:line="240" w:lineRule="auto"/>
              <w:jc w:val="both"/>
              <w:rPr>
                <w:noProof/>
              </w:rPr>
            </w:pPr>
            <w:r>
              <w:rPr>
                <w:noProof/>
              </w:rPr>
              <w:t>Acest jalon impune digitalizarea proceselor de punere în aplicare a Legii croate privind proiectele de investiții strategice, a Legii privind promovarea investițiilor și a Legii privind ajutoarele de stat pentru proiectele de cercetare și dezvoltare, precum și continuarea digitalizării și a creării de rețele în cadrul Registrului unic al infrastructurii întreprinderilor (JRPI). Acest lucru implică simplificarea procedurilor de mai sus, dezvoltarea și modernizarea în continuare a bazei de date electronice JRPI privind întreprinderile și implementarea unei platforme digitale pentru depunerea și accesarea cererilor.</w:t>
            </w:r>
          </w:p>
        </w:tc>
      </w:tr>
      <w:tr w:rsidR="00FA7C11" w14:paraId="506B953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D50510F" w14:textId="77777777" w:rsidR="00FA7C11" w:rsidRDefault="00D84965">
            <w:pPr>
              <w:pStyle w:val="P68B1DB1-Normal66"/>
              <w:spacing w:line="240" w:lineRule="auto"/>
              <w:jc w:val="center"/>
              <w:rPr>
                <w:noProof/>
              </w:rPr>
            </w:pPr>
            <w:r>
              <w:rPr>
                <w:noProof/>
              </w:rPr>
              <w:t>6</w:t>
            </w:r>
          </w:p>
        </w:tc>
        <w:tc>
          <w:tcPr>
            <w:tcW w:w="1205" w:type="dxa"/>
            <w:tcBorders>
              <w:top w:val="single" w:sz="4" w:space="0" w:color="auto"/>
              <w:left w:val="nil"/>
              <w:bottom w:val="single" w:sz="4" w:space="0" w:color="auto"/>
              <w:right w:val="single" w:sz="4" w:space="0" w:color="auto"/>
            </w:tcBorders>
            <w:shd w:val="clear" w:color="auto" w:fill="C6EFCE"/>
            <w:noWrap/>
          </w:tcPr>
          <w:p w14:paraId="0D42B678" w14:textId="77777777" w:rsidR="00FA7C11" w:rsidRDefault="00D84965">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535EE38C"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7A4C5669" w14:textId="77777777" w:rsidR="00FA7C11" w:rsidRDefault="00D84965">
            <w:pPr>
              <w:pStyle w:val="P68B1DB1-Normal66"/>
              <w:spacing w:line="240" w:lineRule="auto"/>
              <w:rPr>
                <w:noProof/>
              </w:rPr>
            </w:pPr>
            <w:r>
              <w:rPr>
                <w:noProof/>
              </w:rPr>
              <w:t>Punerea în aplicare a Planului de acțiune pentru reducerea taxelor nefiscale și parafiscale 2020</w:t>
            </w:r>
          </w:p>
        </w:tc>
        <w:tc>
          <w:tcPr>
            <w:tcW w:w="1555" w:type="dxa"/>
            <w:tcBorders>
              <w:top w:val="single" w:sz="4" w:space="0" w:color="auto"/>
              <w:left w:val="nil"/>
              <w:bottom w:val="single" w:sz="4" w:space="0" w:color="auto"/>
              <w:right w:val="single" w:sz="4" w:space="0" w:color="auto"/>
            </w:tcBorders>
            <w:shd w:val="clear" w:color="auto" w:fill="C6EFCE"/>
            <w:noWrap/>
          </w:tcPr>
          <w:p w14:paraId="5D9BF134"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428149DB" w14:textId="77777777" w:rsidR="00FA7C11" w:rsidRDefault="00D84965">
            <w:pPr>
              <w:pStyle w:val="P68B1DB1-Normal66"/>
              <w:spacing w:line="240" w:lineRule="auto"/>
              <w:jc w:val="center"/>
              <w:rPr>
                <w:noProof/>
              </w:rPr>
            </w:pPr>
            <w:r>
              <w:rPr>
                <w:noProof/>
              </w:rPr>
              <w:t>% (procent)</w:t>
            </w:r>
          </w:p>
        </w:tc>
        <w:tc>
          <w:tcPr>
            <w:tcW w:w="1056" w:type="dxa"/>
            <w:tcBorders>
              <w:top w:val="single" w:sz="4" w:space="0" w:color="auto"/>
              <w:left w:val="nil"/>
              <w:bottom w:val="single" w:sz="4" w:space="0" w:color="auto"/>
              <w:right w:val="single" w:sz="4" w:space="0" w:color="auto"/>
            </w:tcBorders>
            <w:shd w:val="clear" w:color="auto" w:fill="C6EFCE"/>
            <w:noWrap/>
          </w:tcPr>
          <w:p w14:paraId="74FB3AF6"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noWrap/>
          </w:tcPr>
          <w:p w14:paraId="6511D87D" w14:textId="77777777" w:rsidR="00FA7C11" w:rsidRDefault="00D84965">
            <w:pPr>
              <w:pStyle w:val="P68B1DB1-Normal66"/>
              <w:spacing w:line="240" w:lineRule="auto"/>
              <w:jc w:val="center"/>
              <w:rPr>
                <w:noProof/>
              </w:rPr>
            </w:pPr>
            <w:r>
              <w:rPr>
                <w:noProof/>
              </w:rPr>
              <w:t>100</w:t>
            </w:r>
          </w:p>
        </w:tc>
        <w:tc>
          <w:tcPr>
            <w:tcW w:w="756" w:type="dxa"/>
            <w:tcBorders>
              <w:top w:val="single" w:sz="4" w:space="0" w:color="auto"/>
              <w:left w:val="nil"/>
              <w:bottom w:val="single" w:sz="4" w:space="0" w:color="auto"/>
              <w:right w:val="single" w:sz="4" w:space="0" w:color="auto"/>
            </w:tcBorders>
            <w:shd w:val="clear" w:color="auto" w:fill="C6EFCE"/>
            <w:noWrap/>
          </w:tcPr>
          <w:p w14:paraId="78AB2D9D" w14:textId="77777777" w:rsidR="00FA7C11" w:rsidRDefault="00D84965">
            <w:pPr>
              <w:pStyle w:val="P68B1DB1-Normal66"/>
              <w:spacing w:line="240" w:lineRule="auto"/>
              <w:jc w:val="center"/>
              <w:rPr>
                <w:noProof/>
              </w:rPr>
            </w:pPr>
            <w:r>
              <w:rPr>
                <w:noProof/>
              </w:rPr>
              <w:t>Î1</w:t>
            </w:r>
          </w:p>
        </w:tc>
        <w:tc>
          <w:tcPr>
            <w:tcW w:w="709" w:type="dxa"/>
            <w:tcBorders>
              <w:top w:val="single" w:sz="4" w:space="0" w:color="auto"/>
              <w:left w:val="nil"/>
              <w:bottom w:val="single" w:sz="4" w:space="0" w:color="auto"/>
              <w:right w:val="single" w:sz="4" w:space="0" w:color="auto"/>
            </w:tcBorders>
            <w:shd w:val="clear" w:color="auto" w:fill="C6EFCE"/>
            <w:noWrap/>
          </w:tcPr>
          <w:p w14:paraId="5A01EA0D" w14:textId="77777777" w:rsidR="00FA7C11" w:rsidRDefault="00D84965">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noWrap/>
          </w:tcPr>
          <w:p w14:paraId="167CE50B" w14:textId="77777777" w:rsidR="00FA7C11" w:rsidRDefault="00D84965">
            <w:pPr>
              <w:pStyle w:val="P68B1DB1-Normal66"/>
              <w:spacing w:line="240" w:lineRule="auto"/>
              <w:rPr>
                <w:noProof/>
              </w:rPr>
            </w:pPr>
            <w:r>
              <w:rPr>
                <w:noProof/>
              </w:rPr>
              <w:t xml:space="preserve">Punerea în aplicare a Planului de acțiune pentru reducerea taxelor nefiscale și parafiscale 2020, adoptat de guvernul croat în mai 2020 și care conține 33 de măsuri de reducere a taxelor nefiscale și parafiscale și 17 de măsuri de reducere a taxelor pentru examinările profesionale, va aduce o reducere directă a costurilor pentru sectorul privat. </w:t>
            </w:r>
          </w:p>
        </w:tc>
      </w:tr>
      <w:tr w:rsidR="00FA7C11" w14:paraId="630FCDE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A472323" w14:textId="77777777" w:rsidR="00FA7C11" w:rsidRDefault="00D84965">
            <w:pPr>
              <w:pStyle w:val="P68B1DB1-Normal66"/>
              <w:spacing w:line="240" w:lineRule="auto"/>
              <w:jc w:val="center"/>
              <w:rPr>
                <w:noProof/>
              </w:rPr>
            </w:pPr>
            <w:r>
              <w:rPr>
                <w:noProof/>
              </w:rPr>
              <w:t>7</w:t>
            </w:r>
          </w:p>
        </w:tc>
        <w:tc>
          <w:tcPr>
            <w:tcW w:w="1205" w:type="dxa"/>
            <w:tcBorders>
              <w:top w:val="single" w:sz="4" w:space="0" w:color="auto"/>
              <w:left w:val="nil"/>
              <w:bottom w:val="single" w:sz="4" w:space="0" w:color="auto"/>
              <w:right w:val="single" w:sz="4" w:space="0" w:color="auto"/>
            </w:tcBorders>
            <w:shd w:val="clear" w:color="auto" w:fill="C6EFCE"/>
            <w:noWrap/>
          </w:tcPr>
          <w:p w14:paraId="261BC13F" w14:textId="77777777" w:rsidR="00FA7C11" w:rsidRDefault="00D84965">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11D144F6"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244F5840" w14:textId="77777777" w:rsidR="00FA7C11" w:rsidRDefault="00D84965">
            <w:pPr>
              <w:pStyle w:val="P68B1DB1-Normal66"/>
              <w:spacing w:line="240" w:lineRule="auto"/>
              <w:rPr>
                <w:noProof/>
              </w:rPr>
            </w:pPr>
            <w:r>
              <w:rPr>
                <w:noProof/>
              </w:rPr>
              <w:t>Punerea în aplicare a măsurilor din planurile de acțiune pentru reducerea sarcinii administrative asupra economiei 2018, 2019, 2020</w:t>
            </w:r>
          </w:p>
        </w:tc>
        <w:tc>
          <w:tcPr>
            <w:tcW w:w="1555" w:type="dxa"/>
            <w:tcBorders>
              <w:top w:val="single" w:sz="4" w:space="0" w:color="auto"/>
              <w:left w:val="nil"/>
              <w:bottom w:val="single" w:sz="4" w:space="0" w:color="auto"/>
              <w:right w:val="single" w:sz="4" w:space="0" w:color="auto"/>
            </w:tcBorders>
            <w:shd w:val="clear" w:color="auto" w:fill="C6EFCE"/>
            <w:noWrap/>
          </w:tcPr>
          <w:p w14:paraId="12F962A6"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044A3427" w14:textId="77777777" w:rsidR="00FA7C11" w:rsidRDefault="00D84965">
            <w:pPr>
              <w:pStyle w:val="P68B1DB1-Normal66"/>
              <w:spacing w:line="240" w:lineRule="auto"/>
              <w:jc w:val="center"/>
              <w:rPr>
                <w:noProof/>
              </w:rPr>
            </w:pPr>
            <w:r>
              <w:rPr>
                <w:noProof/>
              </w:rPr>
              <w:t>% (procent)</w:t>
            </w:r>
          </w:p>
        </w:tc>
        <w:tc>
          <w:tcPr>
            <w:tcW w:w="1056" w:type="dxa"/>
            <w:tcBorders>
              <w:top w:val="single" w:sz="4" w:space="0" w:color="auto"/>
              <w:left w:val="nil"/>
              <w:bottom w:val="single" w:sz="4" w:space="0" w:color="auto"/>
              <w:right w:val="single" w:sz="4" w:space="0" w:color="auto"/>
            </w:tcBorders>
            <w:shd w:val="clear" w:color="auto" w:fill="C6EFCE"/>
            <w:noWrap/>
          </w:tcPr>
          <w:p w14:paraId="2DBF7856" w14:textId="77777777" w:rsidR="00FA7C11" w:rsidRDefault="00D84965">
            <w:pPr>
              <w:pStyle w:val="P68B1DB1-Normal66"/>
              <w:spacing w:line="240" w:lineRule="auto"/>
              <w:jc w:val="center"/>
              <w:rPr>
                <w:noProof/>
              </w:rPr>
            </w:pPr>
            <w:r>
              <w:rPr>
                <w:noProof/>
              </w:rPr>
              <w:t>61,02</w:t>
            </w:r>
          </w:p>
        </w:tc>
        <w:tc>
          <w:tcPr>
            <w:tcW w:w="1056" w:type="dxa"/>
            <w:tcBorders>
              <w:top w:val="single" w:sz="4" w:space="0" w:color="auto"/>
              <w:left w:val="nil"/>
              <w:bottom w:val="single" w:sz="4" w:space="0" w:color="auto"/>
              <w:right w:val="single" w:sz="4" w:space="0" w:color="auto"/>
            </w:tcBorders>
            <w:shd w:val="clear" w:color="auto" w:fill="C6EFCE"/>
            <w:noWrap/>
          </w:tcPr>
          <w:p w14:paraId="25784F9D" w14:textId="77777777" w:rsidR="00FA7C11" w:rsidRDefault="00D84965">
            <w:pPr>
              <w:pStyle w:val="P68B1DB1-Normal66"/>
              <w:spacing w:line="240" w:lineRule="auto"/>
              <w:jc w:val="center"/>
              <w:rPr>
                <w:noProof/>
              </w:rPr>
            </w:pPr>
            <w:r>
              <w:rPr>
                <w:noProof/>
              </w:rPr>
              <w:t>95</w:t>
            </w:r>
          </w:p>
        </w:tc>
        <w:tc>
          <w:tcPr>
            <w:tcW w:w="756" w:type="dxa"/>
            <w:tcBorders>
              <w:top w:val="single" w:sz="4" w:space="0" w:color="auto"/>
              <w:left w:val="nil"/>
              <w:bottom w:val="single" w:sz="4" w:space="0" w:color="auto"/>
              <w:right w:val="single" w:sz="4" w:space="0" w:color="auto"/>
            </w:tcBorders>
            <w:shd w:val="clear" w:color="auto" w:fill="C6EFCE"/>
            <w:noWrap/>
          </w:tcPr>
          <w:p w14:paraId="139301BF"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09B6A959" w14:textId="77777777" w:rsidR="00FA7C11" w:rsidRDefault="00D84965">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noWrap/>
          </w:tcPr>
          <w:p w14:paraId="3F8B6E35" w14:textId="77777777" w:rsidR="00FA7C11" w:rsidRDefault="00D84965">
            <w:pPr>
              <w:pStyle w:val="P68B1DB1-Normal66"/>
              <w:spacing w:line="240" w:lineRule="auto"/>
              <w:rPr>
                <w:noProof/>
              </w:rPr>
            </w:pPr>
            <w:r>
              <w:rPr>
                <w:noProof/>
              </w:rPr>
              <w:t xml:space="preserve">Punerea în aplicare a măsurilor de reducere a sarcinii administrative identificate în planurile de acțiune din 2018, 2019 și 2020, care se ridică la cel puțin 95 % din reducerea preconizată a costurilor. Planurile de acțiune pentru reducerea sarcinii administrative optimizează și digitalizează procesele administrative identificate ca fiind cele mai împovărătoare pentru sectorul privat. Toate măsurile de reducere a sarcinii sunt stabilite în cooperare cu reprezentanții comunității de afaceri, ai camerelor de comerț și ai asociațiilor profesionale. </w:t>
            </w:r>
          </w:p>
        </w:tc>
      </w:tr>
      <w:tr w:rsidR="00FA7C11" w14:paraId="085326E3"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05B1146" w14:textId="77777777" w:rsidR="00FA7C11" w:rsidRDefault="00D84965">
            <w:pPr>
              <w:pStyle w:val="P68B1DB1-Normal66"/>
              <w:spacing w:line="240" w:lineRule="auto"/>
              <w:jc w:val="center"/>
              <w:rPr>
                <w:noProof/>
              </w:rPr>
            </w:pPr>
            <w:r>
              <w:rPr>
                <w:noProof/>
              </w:rPr>
              <w:t>8</w:t>
            </w:r>
          </w:p>
        </w:tc>
        <w:tc>
          <w:tcPr>
            <w:tcW w:w="1205" w:type="dxa"/>
            <w:tcBorders>
              <w:top w:val="single" w:sz="4" w:space="0" w:color="auto"/>
              <w:left w:val="nil"/>
              <w:bottom w:val="single" w:sz="4" w:space="0" w:color="auto"/>
              <w:right w:val="single" w:sz="4" w:space="0" w:color="auto"/>
            </w:tcBorders>
            <w:shd w:val="clear" w:color="auto" w:fill="C6EFCE"/>
            <w:noWrap/>
          </w:tcPr>
          <w:p w14:paraId="70B29C05" w14:textId="77777777" w:rsidR="00FA7C11" w:rsidRDefault="00D84965">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0F1853BF"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noWrap/>
          </w:tcPr>
          <w:p w14:paraId="33517777" w14:textId="77777777" w:rsidR="00FA7C11" w:rsidRDefault="00D84965">
            <w:pPr>
              <w:pStyle w:val="P68B1DB1-Normal66"/>
              <w:spacing w:line="240" w:lineRule="auto"/>
              <w:rPr>
                <w:noProof/>
              </w:rPr>
            </w:pPr>
            <w:r>
              <w:rPr>
                <w:noProof/>
              </w:rPr>
              <w:t>Digitalizarea testului de evaluare a impactului asupra IMM-urilor prin dezvoltarea unei platforme digitale pentru colaborarea coordonatorilor, formare online și comunicare reciprocă</w:t>
            </w:r>
          </w:p>
        </w:tc>
        <w:tc>
          <w:tcPr>
            <w:tcW w:w="1555" w:type="dxa"/>
            <w:tcBorders>
              <w:top w:val="single" w:sz="4" w:space="0" w:color="auto"/>
              <w:left w:val="nil"/>
              <w:bottom w:val="single" w:sz="4" w:space="0" w:color="auto"/>
              <w:right w:val="single" w:sz="4" w:space="0" w:color="auto"/>
            </w:tcBorders>
            <w:shd w:val="clear" w:color="auto" w:fill="C6EFCE"/>
            <w:noWrap/>
          </w:tcPr>
          <w:p w14:paraId="5760E918" w14:textId="77777777" w:rsidR="00FA7C11" w:rsidRDefault="00D84965">
            <w:pPr>
              <w:pStyle w:val="P68B1DB1-Normal66"/>
              <w:spacing w:line="240" w:lineRule="auto"/>
              <w:rPr>
                <w:noProof/>
              </w:rPr>
            </w:pPr>
            <w:r>
              <w:rPr>
                <w:noProof/>
              </w:rPr>
              <w:t>Platforma digitală în funcțiune</w:t>
            </w:r>
          </w:p>
        </w:tc>
        <w:tc>
          <w:tcPr>
            <w:tcW w:w="1067" w:type="dxa"/>
            <w:tcBorders>
              <w:top w:val="single" w:sz="4" w:space="0" w:color="auto"/>
              <w:left w:val="nil"/>
              <w:bottom w:val="single" w:sz="4" w:space="0" w:color="auto"/>
              <w:right w:val="single" w:sz="4" w:space="0" w:color="auto"/>
            </w:tcBorders>
            <w:shd w:val="clear" w:color="auto" w:fill="C6EFCE"/>
            <w:noWrap/>
          </w:tcPr>
          <w:p w14:paraId="3BDB27E5"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61963E6D"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5BE5CB50"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9B5B599"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6B0479E2" w14:textId="77777777" w:rsidR="00FA7C11" w:rsidRDefault="00D84965">
            <w:pPr>
              <w:pStyle w:val="P68B1DB1-Normal66"/>
              <w:spacing w:line="240" w:lineRule="auto"/>
              <w:jc w:val="center"/>
              <w:rPr>
                <w:noProof/>
              </w:rPr>
            </w:pPr>
            <w:r>
              <w:rPr>
                <w:noProof/>
              </w:rPr>
              <w:t>2023</w:t>
            </w:r>
          </w:p>
        </w:tc>
        <w:tc>
          <w:tcPr>
            <w:tcW w:w="5528" w:type="dxa"/>
            <w:tcBorders>
              <w:top w:val="single" w:sz="4" w:space="0" w:color="auto"/>
              <w:left w:val="nil"/>
              <w:bottom w:val="single" w:sz="4" w:space="0" w:color="auto"/>
              <w:right w:val="single" w:sz="4" w:space="0" w:color="auto"/>
            </w:tcBorders>
            <w:shd w:val="clear" w:color="auto" w:fill="C6EFCE"/>
            <w:noWrap/>
          </w:tcPr>
          <w:p w14:paraId="25C4C1FF" w14:textId="35634A05" w:rsidR="00FA7C11" w:rsidRDefault="00D84965">
            <w:pPr>
              <w:pStyle w:val="P68B1DB1-Normal66"/>
              <w:spacing w:line="240" w:lineRule="auto"/>
              <w:rPr>
                <w:noProof/>
              </w:rPr>
            </w:pPr>
            <w:r>
              <w:rPr>
                <w:noProof/>
              </w:rPr>
              <w:t xml:space="preserve">Utilizarea serviciilor de consultanță în domeniul informatic dezvoltă și creează o platformă digitală pentru punerea în aplicare a testului IMM. Platforma constă într-o bază de date informatică a testelor IMM, o bază de date a valorilor standardizate utilizate pentru calcularea evaluării impactului și permite monitorizarea sistematică a impacturilor calculate, a rapoartelor analitice și a simulărilor impactului. O parte integrantă a platformei, pe lângă baza de date, formează un portal dedicat comunicării reciproce și schimbului de experiență între experții naționali care formează rețeaua pentru o mai bună legiferare. </w:t>
            </w:r>
            <w:r>
              <w:rPr>
                <w:noProof/>
              </w:rPr>
              <w:br/>
              <w:t>Toate activitățile sunt puse în aplicare prin proiecte de asistență tehnică (IST).</w:t>
            </w:r>
          </w:p>
        </w:tc>
      </w:tr>
      <w:tr w:rsidR="00FA7C11" w14:paraId="373B39C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9077E5F" w14:textId="77777777" w:rsidR="00FA7C11" w:rsidRDefault="00D84965">
            <w:pPr>
              <w:pStyle w:val="P68B1DB1-Normal66"/>
              <w:spacing w:line="240" w:lineRule="auto"/>
              <w:jc w:val="center"/>
              <w:rPr>
                <w:noProof/>
              </w:rPr>
            </w:pPr>
            <w:r>
              <w:rPr>
                <w:noProof/>
              </w:rPr>
              <w:t>9</w:t>
            </w:r>
          </w:p>
        </w:tc>
        <w:tc>
          <w:tcPr>
            <w:tcW w:w="1205" w:type="dxa"/>
            <w:tcBorders>
              <w:top w:val="single" w:sz="4" w:space="0" w:color="auto"/>
              <w:left w:val="nil"/>
              <w:bottom w:val="single" w:sz="4" w:space="0" w:color="auto"/>
              <w:right w:val="single" w:sz="4" w:space="0" w:color="auto"/>
            </w:tcBorders>
            <w:shd w:val="clear" w:color="auto" w:fill="C6EFCE"/>
            <w:noWrap/>
          </w:tcPr>
          <w:p w14:paraId="2F87ED49" w14:textId="77777777" w:rsidR="00FA7C11" w:rsidRDefault="00D84965">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0CA6DD38"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78815CB2" w14:textId="77777777" w:rsidR="00FA7C11" w:rsidRDefault="00D84965">
            <w:pPr>
              <w:pStyle w:val="P68B1DB1-Normal66"/>
              <w:spacing w:line="240" w:lineRule="auto"/>
              <w:rPr>
                <w:noProof/>
              </w:rPr>
            </w:pPr>
            <w:r>
              <w:rPr>
                <w:noProof/>
              </w:rPr>
              <w:t xml:space="preserve">Punerea în aplicare a acțiunilor noului plan de acțiune pentru reducerea taxelor nefiscale și parafiscale </w:t>
            </w:r>
          </w:p>
        </w:tc>
        <w:tc>
          <w:tcPr>
            <w:tcW w:w="1555" w:type="dxa"/>
            <w:tcBorders>
              <w:top w:val="single" w:sz="4" w:space="0" w:color="auto"/>
              <w:left w:val="nil"/>
              <w:bottom w:val="single" w:sz="4" w:space="0" w:color="auto"/>
              <w:right w:val="single" w:sz="4" w:space="0" w:color="auto"/>
            </w:tcBorders>
            <w:shd w:val="clear" w:color="auto" w:fill="C6EFCE"/>
            <w:noWrap/>
          </w:tcPr>
          <w:p w14:paraId="15CE1114"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1D71DBD9" w14:textId="77777777" w:rsidR="00FA7C11" w:rsidRDefault="00D84965">
            <w:pPr>
              <w:pStyle w:val="P68B1DB1-Normal66"/>
              <w:spacing w:line="240" w:lineRule="auto"/>
              <w:jc w:val="center"/>
              <w:rPr>
                <w:noProof/>
              </w:rPr>
            </w:pPr>
            <w:r>
              <w:rPr>
                <w:noProof/>
              </w:rPr>
              <w:t>Număr (EUR)</w:t>
            </w:r>
          </w:p>
        </w:tc>
        <w:tc>
          <w:tcPr>
            <w:tcW w:w="1056" w:type="dxa"/>
            <w:tcBorders>
              <w:top w:val="single" w:sz="4" w:space="0" w:color="auto"/>
              <w:left w:val="nil"/>
              <w:bottom w:val="single" w:sz="4" w:space="0" w:color="auto"/>
              <w:right w:val="single" w:sz="4" w:space="0" w:color="auto"/>
            </w:tcBorders>
            <w:shd w:val="clear" w:color="auto" w:fill="C6EFCE"/>
            <w:noWrap/>
          </w:tcPr>
          <w:p w14:paraId="340BD46C"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noWrap/>
          </w:tcPr>
          <w:p w14:paraId="44E0FCBD" w14:textId="77777777" w:rsidR="00FA7C11" w:rsidRDefault="00D84965">
            <w:pPr>
              <w:pStyle w:val="P68B1DB1-Normal66"/>
              <w:spacing w:line="240" w:lineRule="auto"/>
              <w:jc w:val="center"/>
              <w:rPr>
                <w:noProof/>
              </w:rPr>
            </w:pPr>
            <w:r>
              <w:rPr>
                <w:noProof/>
              </w:rPr>
              <w:t xml:space="preserve">132 722 808 </w:t>
            </w:r>
          </w:p>
        </w:tc>
        <w:tc>
          <w:tcPr>
            <w:tcW w:w="756" w:type="dxa"/>
            <w:tcBorders>
              <w:top w:val="single" w:sz="4" w:space="0" w:color="auto"/>
              <w:left w:val="nil"/>
              <w:bottom w:val="single" w:sz="4" w:space="0" w:color="auto"/>
              <w:right w:val="single" w:sz="4" w:space="0" w:color="auto"/>
            </w:tcBorders>
            <w:shd w:val="clear" w:color="auto" w:fill="C6EFCE"/>
            <w:noWrap/>
          </w:tcPr>
          <w:p w14:paraId="064CBFC5"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4965ABA1" w14:textId="77777777" w:rsidR="00FA7C11" w:rsidRDefault="00D84965">
            <w:pPr>
              <w:pStyle w:val="P68B1DB1-Normal66"/>
              <w:spacing w:line="240" w:lineRule="auto"/>
              <w:jc w:val="center"/>
              <w:rPr>
                <w:noProof/>
              </w:rPr>
            </w:pPr>
            <w:r>
              <w:rPr>
                <w:noProof/>
              </w:rPr>
              <w:t>2023</w:t>
            </w:r>
          </w:p>
        </w:tc>
        <w:tc>
          <w:tcPr>
            <w:tcW w:w="5528" w:type="dxa"/>
            <w:tcBorders>
              <w:top w:val="single" w:sz="4" w:space="0" w:color="auto"/>
              <w:left w:val="nil"/>
              <w:bottom w:val="single" w:sz="4" w:space="0" w:color="auto"/>
              <w:right w:val="single" w:sz="4" w:space="0" w:color="auto"/>
            </w:tcBorders>
            <w:shd w:val="clear" w:color="auto" w:fill="C6EFCE"/>
            <w:noWrap/>
          </w:tcPr>
          <w:p w14:paraId="5C7608C4" w14:textId="77777777" w:rsidR="00FA7C11" w:rsidRDefault="00D84965">
            <w:pPr>
              <w:pStyle w:val="P68B1DB1-Normal66"/>
              <w:spacing w:line="240" w:lineRule="auto"/>
              <w:rPr>
                <w:noProof/>
              </w:rPr>
            </w:pPr>
            <w:r>
              <w:rPr>
                <w:noProof/>
              </w:rPr>
              <w:t>Un element important în evaluarea mediului de afaceri este reprezentat de diferitele taxe sub formă de taxe parafiscale și taxe administrative. Se analizează și se iau în considerare toate taxele care rezultă din dispozițiile de reglementare publică plătite de întreprinderi organismelor administrației centrale, autorităților locale și regionale sau altor organisme cu competențe publice.</w:t>
            </w:r>
            <w:r>
              <w:rPr>
                <w:noProof/>
              </w:rPr>
              <w:br/>
              <w:t xml:space="preserve">Punerea în aplicare a măsurilor de reducere a sarcinii asupra întreprinderilor generate de taxele parafiscale și nefiscale în noul/cel de al doilea plan de acțiune pentru reducerea taxelor parafiscale și parafiscale are ca rezultat o reducere directă a costurilor de cel puțin 132 722 808 EUR. </w:t>
            </w:r>
          </w:p>
        </w:tc>
      </w:tr>
      <w:tr w:rsidR="00FA7C11" w14:paraId="56CCE3D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62409FD" w14:textId="77777777" w:rsidR="00FA7C11" w:rsidRDefault="00D84965">
            <w:pPr>
              <w:pStyle w:val="P68B1DB1-Normal66"/>
              <w:spacing w:line="240" w:lineRule="auto"/>
              <w:jc w:val="center"/>
              <w:rPr>
                <w:noProof/>
              </w:rPr>
            </w:pPr>
            <w:r>
              <w:rPr>
                <w:noProof/>
              </w:rPr>
              <w:t>10</w:t>
            </w:r>
          </w:p>
        </w:tc>
        <w:tc>
          <w:tcPr>
            <w:tcW w:w="1205" w:type="dxa"/>
            <w:tcBorders>
              <w:top w:val="single" w:sz="4" w:space="0" w:color="auto"/>
              <w:left w:val="nil"/>
              <w:bottom w:val="single" w:sz="4" w:space="0" w:color="auto"/>
              <w:right w:val="single" w:sz="4" w:space="0" w:color="auto"/>
            </w:tcBorders>
            <w:shd w:val="clear" w:color="auto" w:fill="C6EFCE"/>
            <w:noWrap/>
          </w:tcPr>
          <w:p w14:paraId="5FA01D6E" w14:textId="77777777" w:rsidR="00FA7C11" w:rsidRDefault="00D84965">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1C95DBCE"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3C1E3551" w14:textId="77777777" w:rsidR="00FA7C11" w:rsidRDefault="00D84965">
            <w:pPr>
              <w:pStyle w:val="P68B1DB1-Normal66"/>
              <w:spacing w:line="240" w:lineRule="auto"/>
              <w:rPr>
                <w:noProof/>
              </w:rPr>
            </w:pPr>
            <w:r>
              <w:rPr>
                <w:noProof/>
              </w:rPr>
              <w:t>Punerea în aplicare a primului set de măsuri prevăzute în noul/cel de al cincilea plan de acțiune pentru reducerea sarcinii administrative pentru antreprenori</w:t>
            </w:r>
          </w:p>
        </w:tc>
        <w:tc>
          <w:tcPr>
            <w:tcW w:w="1555" w:type="dxa"/>
            <w:tcBorders>
              <w:top w:val="single" w:sz="4" w:space="0" w:color="auto"/>
              <w:left w:val="nil"/>
              <w:bottom w:val="single" w:sz="4" w:space="0" w:color="auto"/>
              <w:right w:val="single" w:sz="4" w:space="0" w:color="auto"/>
            </w:tcBorders>
            <w:shd w:val="clear" w:color="auto" w:fill="C6EFCE"/>
            <w:noWrap/>
          </w:tcPr>
          <w:p w14:paraId="6DF04934"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3635357F" w14:textId="77777777" w:rsidR="00FA7C11" w:rsidRDefault="00D84965">
            <w:pPr>
              <w:pStyle w:val="P68B1DB1-Normal66"/>
              <w:spacing w:line="240" w:lineRule="auto"/>
              <w:jc w:val="center"/>
              <w:rPr>
                <w:noProof/>
              </w:rPr>
            </w:pPr>
            <w:r>
              <w:rPr>
                <w:noProof/>
              </w:rPr>
              <w:t>Număr (EUR)</w:t>
            </w:r>
          </w:p>
        </w:tc>
        <w:tc>
          <w:tcPr>
            <w:tcW w:w="1056" w:type="dxa"/>
            <w:tcBorders>
              <w:top w:val="single" w:sz="4" w:space="0" w:color="auto"/>
              <w:left w:val="nil"/>
              <w:bottom w:val="single" w:sz="4" w:space="0" w:color="auto"/>
              <w:right w:val="single" w:sz="4" w:space="0" w:color="auto"/>
            </w:tcBorders>
            <w:shd w:val="clear" w:color="auto" w:fill="C6EFCE"/>
            <w:noWrap/>
          </w:tcPr>
          <w:p w14:paraId="3252084D"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noWrap/>
          </w:tcPr>
          <w:p w14:paraId="10155089" w14:textId="77777777" w:rsidR="00FA7C11" w:rsidRDefault="00D84965">
            <w:pPr>
              <w:pStyle w:val="P68B1DB1-Normal66"/>
              <w:spacing w:line="240" w:lineRule="auto"/>
              <w:jc w:val="center"/>
              <w:rPr>
                <w:noProof/>
              </w:rPr>
            </w:pPr>
            <w:r>
              <w:rPr>
                <w:noProof/>
              </w:rPr>
              <w:t xml:space="preserve">132 722 808 </w:t>
            </w:r>
          </w:p>
        </w:tc>
        <w:tc>
          <w:tcPr>
            <w:tcW w:w="756" w:type="dxa"/>
            <w:tcBorders>
              <w:top w:val="single" w:sz="4" w:space="0" w:color="auto"/>
              <w:left w:val="nil"/>
              <w:bottom w:val="single" w:sz="4" w:space="0" w:color="auto"/>
              <w:right w:val="single" w:sz="4" w:space="0" w:color="auto"/>
            </w:tcBorders>
            <w:shd w:val="clear" w:color="auto" w:fill="C6EFCE"/>
            <w:noWrap/>
          </w:tcPr>
          <w:p w14:paraId="1CBF5417"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7309B24C" w14:textId="77777777" w:rsidR="00FA7C11" w:rsidRDefault="00D84965">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noWrap/>
          </w:tcPr>
          <w:p w14:paraId="5609F370" w14:textId="113C7FC4" w:rsidR="00FA7C11" w:rsidRDefault="00D84965">
            <w:pPr>
              <w:pStyle w:val="P68B1DB1-Normal66"/>
              <w:spacing w:line="240" w:lineRule="auto"/>
              <w:rPr>
                <w:noProof/>
              </w:rPr>
            </w:pPr>
            <w:r>
              <w:rPr>
                <w:noProof/>
              </w:rPr>
              <w:t xml:space="preserve">Elaborarea unui nou/al cincilea plan de acțiune privind reducerea sarcinii administrative continuă optimizarea și digitalizarea proceselor administrative identificate ca fiind cele mai împovărătoare pentru sectorul privat. Acesta asigură un mediu juridic și administrativ mai favorabil pentru întreprinderi prin continuarea punerii în aplicare a măsurilor de reducere a sarcinilor, de simplificare și de reducere a costurilor pentru întreprinderi. </w:t>
            </w:r>
            <w:r>
              <w:rPr>
                <w:noProof/>
              </w:rPr>
              <w:br/>
              <w:t>Punerea în aplicare a măsurilor prevăzute în noul/cel de al cincilea plan de acțiune privind reducerea sarcinii administrative a economiei reduce sarcina asupra antreprenorilor cu cel puțin 132 722 808 EUR. Punerea în aplicare a măsurilor este asigurată prin cooperarea dintre Ministerul Economiei și Dezvoltării Durabile și Oficiul Central de Stat pentru Dezvoltarea Societății Digitale.</w:t>
            </w:r>
          </w:p>
        </w:tc>
      </w:tr>
      <w:tr w:rsidR="00FA7C11" w14:paraId="022AAF8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D4D3B8C" w14:textId="77777777" w:rsidR="00FA7C11" w:rsidRDefault="00D84965">
            <w:pPr>
              <w:pStyle w:val="P68B1DB1-Normal66"/>
              <w:spacing w:line="240" w:lineRule="auto"/>
              <w:jc w:val="center"/>
              <w:rPr>
                <w:noProof/>
              </w:rPr>
            </w:pPr>
            <w:r>
              <w:rPr>
                <w:noProof/>
              </w:rPr>
              <w:t>11</w:t>
            </w:r>
          </w:p>
        </w:tc>
        <w:tc>
          <w:tcPr>
            <w:tcW w:w="1205" w:type="dxa"/>
            <w:tcBorders>
              <w:top w:val="single" w:sz="4" w:space="0" w:color="auto"/>
              <w:left w:val="nil"/>
              <w:bottom w:val="single" w:sz="4" w:space="0" w:color="auto"/>
              <w:right w:val="single" w:sz="4" w:space="0" w:color="auto"/>
            </w:tcBorders>
            <w:shd w:val="clear" w:color="auto" w:fill="C6EFCE"/>
            <w:noWrap/>
          </w:tcPr>
          <w:p w14:paraId="66F2232D" w14:textId="77777777" w:rsidR="00FA7C11" w:rsidRDefault="00D84965">
            <w:pPr>
              <w:pStyle w:val="P68B1DB1-Normal66"/>
              <w:spacing w:line="240" w:lineRule="auto"/>
              <w:rPr>
                <w:noProof/>
              </w:rPr>
            </w:pPr>
            <w:r>
              <w:rPr>
                <w:noProof/>
              </w:rPr>
              <w:t>C1.1.1. R1-I2</w:t>
            </w:r>
          </w:p>
        </w:tc>
        <w:tc>
          <w:tcPr>
            <w:tcW w:w="1022" w:type="dxa"/>
            <w:tcBorders>
              <w:top w:val="single" w:sz="4" w:space="0" w:color="auto"/>
              <w:left w:val="nil"/>
              <w:bottom w:val="single" w:sz="4" w:space="0" w:color="auto"/>
              <w:right w:val="single" w:sz="4" w:space="0" w:color="auto"/>
            </w:tcBorders>
            <w:shd w:val="clear" w:color="auto" w:fill="C6EFCE"/>
            <w:noWrap/>
          </w:tcPr>
          <w:p w14:paraId="723C73D3"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143456DF" w14:textId="77777777" w:rsidR="00FA7C11" w:rsidRDefault="00D84965">
            <w:pPr>
              <w:pStyle w:val="P68B1DB1-Normal66"/>
              <w:spacing w:line="240" w:lineRule="auto"/>
              <w:rPr>
                <w:noProof/>
              </w:rPr>
            </w:pPr>
            <w:r>
              <w:rPr>
                <w:noProof/>
              </w:rPr>
              <w:t>Punerea în aplicare a celui de al doilea set de măsuri prevăzute în noul/cel de al cincilea plan de acțiune pentru a reduce și mai mult sarcina administrativă asupra antreprenorilor</w:t>
            </w:r>
          </w:p>
        </w:tc>
        <w:tc>
          <w:tcPr>
            <w:tcW w:w="1555" w:type="dxa"/>
            <w:tcBorders>
              <w:top w:val="single" w:sz="4" w:space="0" w:color="auto"/>
              <w:left w:val="nil"/>
              <w:bottom w:val="single" w:sz="4" w:space="0" w:color="auto"/>
              <w:right w:val="single" w:sz="4" w:space="0" w:color="auto"/>
            </w:tcBorders>
            <w:shd w:val="clear" w:color="auto" w:fill="C6EFCE"/>
            <w:noWrap/>
          </w:tcPr>
          <w:p w14:paraId="36F56E2C"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00905A91" w14:textId="77777777" w:rsidR="00FA7C11" w:rsidRDefault="00D84965">
            <w:pPr>
              <w:pStyle w:val="P68B1DB1-Normal66"/>
              <w:spacing w:line="240" w:lineRule="auto"/>
              <w:jc w:val="center"/>
              <w:rPr>
                <w:noProof/>
              </w:rPr>
            </w:pPr>
            <w:r>
              <w:rPr>
                <w:noProof/>
              </w:rPr>
              <w:t>Număr (EUR)</w:t>
            </w:r>
          </w:p>
        </w:tc>
        <w:tc>
          <w:tcPr>
            <w:tcW w:w="1056" w:type="dxa"/>
            <w:tcBorders>
              <w:top w:val="single" w:sz="4" w:space="0" w:color="auto"/>
              <w:left w:val="nil"/>
              <w:bottom w:val="single" w:sz="4" w:space="0" w:color="auto"/>
              <w:right w:val="single" w:sz="4" w:space="0" w:color="auto"/>
            </w:tcBorders>
            <w:shd w:val="clear" w:color="auto" w:fill="C6EFCE"/>
            <w:noWrap/>
          </w:tcPr>
          <w:p w14:paraId="3CEF1237" w14:textId="77777777" w:rsidR="00FA7C11" w:rsidRDefault="00D84965">
            <w:pPr>
              <w:pStyle w:val="P68B1DB1-Normal66"/>
              <w:spacing w:line="240" w:lineRule="auto"/>
              <w:jc w:val="center"/>
              <w:rPr>
                <w:noProof/>
              </w:rPr>
            </w:pPr>
            <w:r>
              <w:rPr>
                <w:noProof/>
              </w:rPr>
              <w:t>132 722 808</w:t>
            </w:r>
          </w:p>
        </w:tc>
        <w:tc>
          <w:tcPr>
            <w:tcW w:w="1056" w:type="dxa"/>
            <w:tcBorders>
              <w:top w:val="single" w:sz="4" w:space="0" w:color="auto"/>
              <w:left w:val="nil"/>
              <w:bottom w:val="single" w:sz="4" w:space="0" w:color="auto"/>
              <w:right w:val="single" w:sz="4" w:space="0" w:color="auto"/>
            </w:tcBorders>
            <w:shd w:val="clear" w:color="auto" w:fill="C6EFCE"/>
            <w:noWrap/>
          </w:tcPr>
          <w:p w14:paraId="3A9AA1E5" w14:textId="77777777" w:rsidR="00FA7C11" w:rsidRDefault="00D84965">
            <w:pPr>
              <w:pStyle w:val="P68B1DB1-Normal66"/>
              <w:spacing w:line="240" w:lineRule="auto"/>
              <w:jc w:val="center"/>
              <w:rPr>
                <w:noProof/>
              </w:rPr>
            </w:pPr>
            <w:r>
              <w:rPr>
                <w:noProof/>
              </w:rPr>
              <w:t xml:space="preserve">265 445 617 </w:t>
            </w:r>
          </w:p>
        </w:tc>
        <w:tc>
          <w:tcPr>
            <w:tcW w:w="756" w:type="dxa"/>
            <w:tcBorders>
              <w:top w:val="single" w:sz="4" w:space="0" w:color="auto"/>
              <w:left w:val="nil"/>
              <w:bottom w:val="single" w:sz="4" w:space="0" w:color="auto"/>
              <w:right w:val="single" w:sz="4" w:space="0" w:color="auto"/>
            </w:tcBorders>
            <w:shd w:val="clear" w:color="auto" w:fill="C6EFCE"/>
            <w:noWrap/>
          </w:tcPr>
          <w:p w14:paraId="5941B24B"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4861DADC" w14:textId="77777777" w:rsidR="00FA7C11" w:rsidRDefault="00D84965">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noWrap/>
          </w:tcPr>
          <w:p w14:paraId="6D160E2C" w14:textId="2D49AFC5" w:rsidR="00FA7C11" w:rsidRDefault="00D84965">
            <w:pPr>
              <w:pStyle w:val="P68B1DB1-Normal59"/>
              <w:spacing w:line="240" w:lineRule="auto"/>
              <w:rPr>
                <w:rFonts w:ascii="Times New Roman" w:eastAsia="Calibri" w:hAnsi="Times New Roman" w:cs="Times New Roman"/>
                <w:noProof/>
              </w:rPr>
            </w:pPr>
            <w:r>
              <w:rPr>
                <w:rFonts w:ascii="Times New Roman" w:eastAsia="Calibri" w:hAnsi="Times New Roman" w:cs="Times New Roman"/>
                <w:noProof/>
                <w:color w:val="000000" w:themeColor="text1"/>
              </w:rPr>
              <w:t>Punerea în aplicare a măsurilor stabilite în noul/cel de al cincilea plan de acțiune privind reducerea sarcinii administrative a economiei reduce sarcina suportată de antreprenori cu cel puțin 132 722 808 EUR în comparație cu obiectivul stabilit până în 4Q/2024.</w:t>
            </w:r>
            <w:r>
              <w:rPr>
                <w:rFonts w:ascii="Times New Roman" w:hAnsi="Times New Roman" w:cs="Times New Roman"/>
                <w:noProof/>
              </w:rPr>
              <w:br/>
            </w:r>
          </w:p>
        </w:tc>
      </w:tr>
      <w:tr w:rsidR="00FA7C11" w14:paraId="6FC67B7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A9CF6DB" w14:textId="77777777" w:rsidR="00FA7C11" w:rsidRDefault="00D84965">
            <w:pPr>
              <w:pStyle w:val="P68B1DB1-Normal66"/>
              <w:spacing w:line="240" w:lineRule="auto"/>
              <w:jc w:val="center"/>
              <w:rPr>
                <w:noProof/>
              </w:rPr>
            </w:pPr>
            <w:r>
              <w:rPr>
                <w:noProof/>
              </w:rPr>
              <w:t>12</w:t>
            </w:r>
          </w:p>
        </w:tc>
        <w:tc>
          <w:tcPr>
            <w:tcW w:w="1205" w:type="dxa"/>
            <w:tcBorders>
              <w:top w:val="single" w:sz="4" w:space="0" w:color="auto"/>
              <w:left w:val="nil"/>
              <w:bottom w:val="single" w:sz="4" w:space="0" w:color="auto"/>
              <w:right w:val="single" w:sz="4" w:space="0" w:color="auto"/>
            </w:tcBorders>
            <w:shd w:val="clear" w:color="auto" w:fill="C6EFCE"/>
            <w:noWrap/>
          </w:tcPr>
          <w:p w14:paraId="32B71278" w14:textId="77777777" w:rsidR="00FA7C11" w:rsidRDefault="00D84965">
            <w:pPr>
              <w:pStyle w:val="P68B1DB1-Normal66"/>
              <w:spacing w:line="240" w:lineRule="auto"/>
              <w:rPr>
                <w:noProof/>
              </w:rPr>
            </w:pPr>
            <w:r>
              <w:rPr>
                <w:noProof/>
              </w:rPr>
              <w:t>C1.1.1. R2</w:t>
            </w:r>
          </w:p>
        </w:tc>
        <w:tc>
          <w:tcPr>
            <w:tcW w:w="1022" w:type="dxa"/>
            <w:tcBorders>
              <w:top w:val="single" w:sz="4" w:space="0" w:color="auto"/>
              <w:left w:val="nil"/>
              <w:bottom w:val="single" w:sz="4" w:space="0" w:color="auto"/>
              <w:right w:val="single" w:sz="4" w:space="0" w:color="auto"/>
            </w:tcBorders>
            <w:shd w:val="clear" w:color="auto" w:fill="C6EFCE"/>
            <w:noWrap/>
          </w:tcPr>
          <w:p w14:paraId="344C4715"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noWrap/>
          </w:tcPr>
          <w:p w14:paraId="6D4FC106" w14:textId="77777777" w:rsidR="00FA7C11" w:rsidRDefault="00D84965">
            <w:pPr>
              <w:pStyle w:val="P68B1DB1-Normal66"/>
              <w:spacing w:line="240" w:lineRule="auto"/>
              <w:rPr>
                <w:noProof/>
              </w:rPr>
            </w:pPr>
            <w:r>
              <w:rPr>
                <w:noProof/>
              </w:rPr>
              <w:t>Simplificarea sau eliminarea a cel puțin 50 cerințe de reglementare pentru serviciile profesionale</w:t>
            </w:r>
          </w:p>
        </w:tc>
        <w:tc>
          <w:tcPr>
            <w:tcW w:w="1555" w:type="dxa"/>
            <w:tcBorders>
              <w:top w:val="single" w:sz="4" w:space="0" w:color="auto"/>
              <w:left w:val="nil"/>
              <w:bottom w:val="single" w:sz="4" w:space="0" w:color="auto"/>
              <w:right w:val="single" w:sz="4" w:space="0" w:color="auto"/>
            </w:tcBorders>
            <w:shd w:val="clear" w:color="auto" w:fill="C6EFCE"/>
            <w:noWrap/>
          </w:tcPr>
          <w:p w14:paraId="27ACFF90"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32D4FEDF"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noWrap/>
          </w:tcPr>
          <w:p w14:paraId="30427666" w14:textId="77777777" w:rsidR="00FA7C11" w:rsidRDefault="00D84965">
            <w:pPr>
              <w:pStyle w:val="P68B1DB1-Normal66"/>
              <w:spacing w:line="240" w:lineRule="auto"/>
              <w:jc w:val="center"/>
              <w:rPr>
                <w:noProof/>
              </w:rPr>
            </w:pPr>
            <w:r>
              <w:rPr>
                <w:noProof/>
              </w:rPr>
              <w:t>250</w:t>
            </w:r>
          </w:p>
        </w:tc>
        <w:tc>
          <w:tcPr>
            <w:tcW w:w="1056" w:type="dxa"/>
            <w:tcBorders>
              <w:top w:val="single" w:sz="4" w:space="0" w:color="auto"/>
              <w:left w:val="nil"/>
              <w:bottom w:val="single" w:sz="4" w:space="0" w:color="auto"/>
              <w:right w:val="single" w:sz="4" w:space="0" w:color="auto"/>
            </w:tcBorders>
            <w:shd w:val="clear" w:color="auto" w:fill="C6EFCE"/>
            <w:noWrap/>
          </w:tcPr>
          <w:p w14:paraId="00C4E22D" w14:textId="77777777" w:rsidR="00FA7C11" w:rsidRDefault="00D84965">
            <w:pPr>
              <w:pStyle w:val="P68B1DB1-Normal66"/>
              <w:spacing w:line="240" w:lineRule="auto"/>
              <w:jc w:val="center"/>
              <w:rPr>
                <w:noProof/>
              </w:rPr>
            </w:pPr>
            <w:r>
              <w:rPr>
                <w:noProof/>
              </w:rPr>
              <w:t>300</w:t>
            </w:r>
          </w:p>
        </w:tc>
        <w:tc>
          <w:tcPr>
            <w:tcW w:w="756" w:type="dxa"/>
            <w:tcBorders>
              <w:top w:val="single" w:sz="4" w:space="0" w:color="auto"/>
              <w:left w:val="nil"/>
              <w:bottom w:val="single" w:sz="4" w:space="0" w:color="auto"/>
              <w:right w:val="single" w:sz="4" w:space="0" w:color="auto"/>
            </w:tcBorders>
            <w:shd w:val="clear" w:color="auto" w:fill="C6EFCE"/>
            <w:noWrap/>
          </w:tcPr>
          <w:p w14:paraId="1C2597E4"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6940BA80" w14:textId="77777777" w:rsidR="00FA7C11" w:rsidRDefault="00D84965">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noWrap/>
          </w:tcPr>
          <w:p w14:paraId="733FC070" w14:textId="77777777" w:rsidR="00FA7C11" w:rsidRDefault="00D84965">
            <w:pPr>
              <w:pStyle w:val="P68B1DB1-Normal66"/>
              <w:spacing w:line="240" w:lineRule="auto"/>
              <w:rPr>
                <w:noProof/>
              </w:rPr>
            </w:pPr>
            <w:r>
              <w:rPr>
                <w:noProof/>
              </w:rPr>
              <w:t>Obiectivul include simplificarea sau eliminarea totală a cel puțin 50 de cerințe de reglementare pentru serviciile profesionale, pe baza punerii în aplicare a celui de al doilea și a celui de al treilea plan de acțiune pentru liberalizarea piețelor serviciilor, inclusiv a profesiilor de avocat, notar, consilier fiscal, auditor, farmacist și farmacist, fizioterapeut, arhitect, inginer și ghid turistic, ținând seama de recomandările proiectului de asistență tehnică în cooperare cu Banca Mondială, precum și de recomandările privind:</w:t>
            </w:r>
            <w:r>
              <w:rPr>
                <w:noProof/>
              </w:rPr>
              <w:br/>
              <w:t>— Costurile de înregistrare și de aderare la camerele profesionale;</w:t>
            </w:r>
            <w:r>
              <w:rPr>
                <w:noProof/>
              </w:rPr>
              <w:br/>
              <w:t>Fragmentarea drepturilor exclusive în profesii individuale (de exemplu, arhitecți și ingineri);</w:t>
            </w:r>
            <w:r>
              <w:rPr>
                <w:noProof/>
              </w:rPr>
              <w:br/>
              <w:t>— Furnizarea examenului profesional postuniversitar (de exemplu, arhitecți și ingineri);</w:t>
            </w:r>
            <w:r>
              <w:rPr>
                <w:noProof/>
              </w:rPr>
              <w:br/>
              <w:t>Restricții impuse consilierilor fiscali în ceea ce privește participațiile în capitalurile proprii și în organele de conducere sau drepturile de vot.</w:t>
            </w:r>
          </w:p>
        </w:tc>
      </w:tr>
      <w:tr w:rsidR="00FA7C11" w14:paraId="5E1A9D9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C7BDBA7" w14:textId="77777777" w:rsidR="00FA7C11" w:rsidRDefault="00D84965">
            <w:pPr>
              <w:pStyle w:val="P68B1DB1-Normal66"/>
              <w:spacing w:line="240" w:lineRule="auto"/>
              <w:jc w:val="center"/>
              <w:rPr>
                <w:noProof/>
              </w:rPr>
            </w:pPr>
            <w:r>
              <w:rPr>
                <w:noProof/>
              </w:rPr>
              <w:t>13</w:t>
            </w:r>
          </w:p>
        </w:tc>
        <w:tc>
          <w:tcPr>
            <w:tcW w:w="1205" w:type="dxa"/>
            <w:tcBorders>
              <w:top w:val="single" w:sz="4" w:space="0" w:color="auto"/>
              <w:left w:val="nil"/>
              <w:bottom w:val="single" w:sz="4" w:space="0" w:color="auto"/>
              <w:right w:val="single" w:sz="4" w:space="0" w:color="auto"/>
            </w:tcBorders>
            <w:shd w:val="clear" w:color="auto" w:fill="C6EFCE"/>
            <w:noWrap/>
          </w:tcPr>
          <w:p w14:paraId="26A6518A" w14:textId="77777777" w:rsidR="00FA7C11" w:rsidRDefault="00D84965">
            <w:pPr>
              <w:pStyle w:val="P68B1DB1-Normal66"/>
              <w:spacing w:line="240" w:lineRule="auto"/>
              <w:rPr>
                <w:noProof/>
              </w:rPr>
            </w:pPr>
            <w:r>
              <w:rPr>
                <w:noProof/>
              </w:rPr>
              <w:t>C1.1.1. R3</w:t>
            </w:r>
          </w:p>
        </w:tc>
        <w:tc>
          <w:tcPr>
            <w:tcW w:w="1022" w:type="dxa"/>
            <w:tcBorders>
              <w:top w:val="single" w:sz="4" w:space="0" w:color="auto"/>
              <w:left w:val="nil"/>
              <w:bottom w:val="single" w:sz="4" w:space="0" w:color="auto"/>
              <w:right w:val="single" w:sz="4" w:space="0" w:color="auto"/>
            </w:tcBorders>
            <w:shd w:val="clear" w:color="auto" w:fill="C6EFCE"/>
            <w:noWrap/>
          </w:tcPr>
          <w:p w14:paraId="5592D3A1"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noWrap/>
          </w:tcPr>
          <w:p w14:paraId="7CCD9FAD" w14:textId="77777777" w:rsidR="00FA7C11" w:rsidRDefault="00D84965">
            <w:pPr>
              <w:pStyle w:val="P68B1DB1-Normal66"/>
              <w:spacing w:line="240" w:lineRule="auto"/>
              <w:rPr>
                <w:noProof/>
              </w:rPr>
            </w:pPr>
            <w:r>
              <w:rPr>
                <w:noProof/>
              </w:rPr>
              <w:t>De stabilire a unui cadru strategic pentru promovarea investițiilor private</w:t>
            </w:r>
          </w:p>
        </w:tc>
        <w:tc>
          <w:tcPr>
            <w:tcW w:w="1555" w:type="dxa"/>
            <w:tcBorders>
              <w:top w:val="single" w:sz="4" w:space="0" w:color="auto"/>
              <w:left w:val="nil"/>
              <w:bottom w:val="single" w:sz="4" w:space="0" w:color="auto"/>
              <w:right w:val="single" w:sz="4" w:space="0" w:color="auto"/>
            </w:tcBorders>
            <w:shd w:val="clear" w:color="auto" w:fill="C6EFCE"/>
            <w:noWrap/>
          </w:tcPr>
          <w:p w14:paraId="7773A808" w14:textId="77777777" w:rsidR="00FA7C11" w:rsidRDefault="00D84965">
            <w:pPr>
              <w:pStyle w:val="P68B1DB1-Normal66"/>
              <w:spacing w:line="240" w:lineRule="auto"/>
              <w:rPr>
                <w:noProof/>
              </w:rPr>
            </w:pPr>
            <w:r>
              <w:rPr>
                <w:noProof/>
              </w:rPr>
              <w:t>Adoptarea unui plan de acțiune pentru a stimula investițiile și punerea în funcțiune a unei platforme digitale care să coordoneze și să asigure promovarea și sprijinirea eficace a investițiilor la nivel internațional, național și regional.</w:t>
            </w:r>
          </w:p>
        </w:tc>
        <w:tc>
          <w:tcPr>
            <w:tcW w:w="1067" w:type="dxa"/>
            <w:tcBorders>
              <w:top w:val="single" w:sz="4" w:space="0" w:color="auto"/>
              <w:left w:val="nil"/>
              <w:bottom w:val="single" w:sz="4" w:space="0" w:color="auto"/>
              <w:right w:val="single" w:sz="4" w:space="0" w:color="auto"/>
            </w:tcBorders>
            <w:shd w:val="clear" w:color="auto" w:fill="C6EFCE"/>
            <w:noWrap/>
          </w:tcPr>
          <w:p w14:paraId="2B02223C"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0BE81DDC"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noWrap/>
          </w:tcPr>
          <w:p w14:paraId="62CE2E07"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AC8A9B9"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1F23D641" w14:textId="77777777" w:rsidR="00FA7C11" w:rsidRDefault="00D84965">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noWrap/>
          </w:tcPr>
          <w:p w14:paraId="3CDF505C" w14:textId="619A76C1" w:rsidR="00FA7C11" w:rsidRDefault="00D84965">
            <w:pPr>
              <w:pStyle w:val="P68B1DB1-Normal70"/>
              <w:spacing w:line="240" w:lineRule="auto"/>
              <w:jc w:val="both"/>
              <w:rPr>
                <w:noProof/>
              </w:rPr>
            </w:pPr>
            <w:r>
              <w:rPr>
                <w:noProof/>
              </w:rPr>
              <w:t xml:space="preserve">Se instituie </w:t>
            </w:r>
            <w:r>
              <w:rPr>
                <w:noProof/>
                <w:color w:val="000000"/>
              </w:rPr>
              <w:t>un cadru strategic pentru promovarea investițiilor private, bazat pe analize și recomandări, care constă în adoptarea și publicarea Planului național de promovare a investițiilor pentru perioada 2023-2030, a Planului de acțiune pentru stimularea investițiilor pentru perioada 2023-2028 și în intrarea în vigoare a unei noi legi privind promovarea investițiilor, precum și în punerea în funcțiune a unei platforme digitale operaționale pentru coordonare și pentru promovarea și sprijinirea eficace a investițiilor internaționale, naționale și regionale. Jalonul include trei studii analitice: furnizarea i) unei revizuiri a</w:t>
            </w:r>
            <w:r>
              <w:rPr>
                <w:noProof/>
              </w:rPr>
              <w:t xml:space="preserve"> </w:t>
            </w:r>
            <w:r>
              <w:rPr>
                <w:noProof/>
                <w:color w:val="000000"/>
              </w:rPr>
              <w:t>peisajului instituțional, ii) a unei evaluări a impactului investițiilor străine directe și iii) a unor recomandări privind modificări instituționale și de reglementare și elaborarea de stimulente fiscale; adoptarea cadrului strategic, inclusiv a unui plan de acțiune și instituirea unei platforme digitale pentru a facilita punerea în aplicare. Se preconizează că acest cadru strategic va asigura coerența și coordonarea politicilor între diferitele ministere și instituții care se ocupă de promovarea și facilitarea investițiilor, va maximiza impactul investițiilor asupra productivității, a creării de locuri de muncă și a dezvoltării regionale și va sprijini tranziția digitală și climatică a Croației.</w:t>
            </w:r>
            <w:r>
              <w:rPr>
                <w:noProof/>
              </w:rPr>
              <w:t xml:space="preserve"> </w:t>
            </w:r>
          </w:p>
        </w:tc>
      </w:tr>
      <w:tr w:rsidR="00FA7C11" w14:paraId="3EEFD76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3E1D2863" w14:textId="77777777" w:rsidR="00FA7C11" w:rsidRDefault="00D84965">
            <w:pPr>
              <w:pStyle w:val="P68B1DB1-Normal66"/>
              <w:spacing w:line="240" w:lineRule="auto"/>
              <w:jc w:val="center"/>
              <w:rPr>
                <w:noProof/>
              </w:rPr>
            </w:pPr>
            <w:r>
              <w:rPr>
                <w:noProof/>
              </w:rPr>
              <w:t>14</w:t>
            </w:r>
          </w:p>
        </w:tc>
        <w:tc>
          <w:tcPr>
            <w:tcW w:w="1205" w:type="dxa"/>
            <w:tcBorders>
              <w:top w:val="single" w:sz="4" w:space="0" w:color="auto"/>
              <w:left w:val="nil"/>
              <w:bottom w:val="single" w:sz="4" w:space="0" w:color="auto"/>
              <w:right w:val="single" w:sz="4" w:space="0" w:color="auto"/>
            </w:tcBorders>
            <w:shd w:val="clear" w:color="auto" w:fill="C6EFCE"/>
          </w:tcPr>
          <w:p w14:paraId="7FA33913" w14:textId="77777777" w:rsidR="00FA7C11" w:rsidRDefault="00D84965">
            <w:pPr>
              <w:pStyle w:val="P68B1DB1-Normal66"/>
              <w:spacing w:line="240" w:lineRule="auto"/>
              <w:rPr>
                <w:noProof/>
              </w:rPr>
            </w:pPr>
            <w:r>
              <w:rPr>
                <w:noProof/>
              </w:rPr>
              <w:t>C1.1.1. R4-I1</w:t>
            </w:r>
          </w:p>
        </w:tc>
        <w:tc>
          <w:tcPr>
            <w:tcW w:w="1022" w:type="dxa"/>
            <w:tcBorders>
              <w:top w:val="single" w:sz="4" w:space="0" w:color="auto"/>
              <w:left w:val="nil"/>
              <w:bottom w:val="single" w:sz="4" w:space="0" w:color="auto"/>
              <w:right w:val="single" w:sz="4" w:space="0" w:color="auto"/>
            </w:tcBorders>
            <w:shd w:val="clear" w:color="auto" w:fill="C6EFCE"/>
          </w:tcPr>
          <w:p w14:paraId="33D1894F"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088D7BD6" w14:textId="77777777" w:rsidR="00FA7C11" w:rsidRDefault="00D84965">
            <w:pPr>
              <w:pStyle w:val="P68B1DB1-Normal66"/>
              <w:spacing w:line="240" w:lineRule="auto"/>
              <w:rPr>
                <w:noProof/>
              </w:rPr>
            </w:pPr>
            <w:r>
              <w:rPr>
                <w:noProof/>
              </w:rPr>
              <w:t>Publicarea cererilor de finanțare pentru investiții care vizează activități ecologice cu criterii de eligibilitate stabilite pentru solicitanți și proiecte (inclusiv criterii de conformitate cu principiul de „a nu aduce prejudicii semnificative”)</w:t>
            </w:r>
          </w:p>
        </w:tc>
        <w:tc>
          <w:tcPr>
            <w:tcW w:w="1555" w:type="dxa"/>
            <w:tcBorders>
              <w:top w:val="single" w:sz="4" w:space="0" w:color="auto"/>
              <w:left w:val="nil"/>
              <w:bottom w:val="single" w:sz="4" w:space="0" w:color="auto"/>
              <w:right w:val="single" w:sz="4" w:space="0" w:color="auto"/>
            </w:tcBorders>
            <w:shd w:val="clear" w:color="auto" w:fill="C6EFCE"/>
          </w:tcPr>
          <w:p w14:paraId="36D475F1" w14:textId="77777777" w:rsidR="00FA7C11" w:rsidRDefault="00D84965">
            <w:pPr>
              <w:pStyle w:val="P68B1DB1-Normal66"/>
              <w:spacing w:line="240" w:lineRule="auto"/>
              <w:rPr>
                <w:noProof/>
              </w:rPr>
            </w:pPr>
            <w:r>
              <w:rPr>
                <w:noProof/>
              </w:rPr>
              <w:t xml:space="preserve">Publicarea anunțului de cerere de propuneri pentru granturi </w:t>
            </w:r>
          </w:p>
        </w:tc>
        <w:tc>
          <w:tcPr>
            <w:tcW w:w="1067" w:type="dxa"/>
            <w:tcBorders>
              <w:top w:val="single" w:sz="4" w:space="0" w:color="auto"/>
              <w:left w:val="nil"/>
              <w:bottom w:val="single" w:sz="4" w:space="0" w:color="auto"/>
              <w:right w:val="single" w:sz="4" w:space="0" w:color="auto"/>
            </w:tcBorders>
            <w:shd w:val="clear" w:color="auto" w:fill="C6EFCE"/>
          </w:tcPr>
          <w:p w14:paraId="0FBD770B"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728CA853"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922755C"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59FD11FA"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5CA78F91" w14:textId="77777777" w:rsidR="00FA7C11" w:rsidRDefault="00D84965">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233B8F29" w14:textId="77777777" w:rsidR="00FA7C11" w:rsidRDefault="00D84965">
            <w:pPr>
              <w:spacing w:line="240" w:lineRule="auto"/>
              <w:rPr>
                <w:rFonts w:ascii="Times New Roman" w:eastAsia="Calibri" w:hAnsi="Times New Roman" w:cs="Times New Roman"/>
                <w:noProof/>
                <w:color w:val="000000"/>
                <w:sz w:val="20"/>
                <w:szCs w:val="20"/>
              </w:rPr>
            </w:pPr>
            <w:r>
              <w:rPr>
                <w:rFonts w:ascii="Times New Roman" w:eastAsia="Calibri" w:hAnsi="Times New Roman" w:cs="Times New Roman"/>
                <w:noProof/>
                <w:color w:val="000000" w:themeColor="text1"/>
                <w:sz w:val="20"/>
                <w:szCs w:val="20"/>
              </w:rPr>
              <w:t xml:space="preserve">Lansarea de cereri de propuneri de granturi pentru a sprijini tranziția verde a IMM-urilor și a întreprinderilor cu capitalizare medie către o economie eficientă din punct de vedere energetic. Granturile sprijină dezvoltarea și aplicarea tehnologiilor verzi în procesele comerciale ale întreprinderilor pentru a reduce impactul negativ asupra climei și mediului, pentru a promova producția durabilă, pentru a spori ocuparea forței de muncă în locuri de muncă mai durabile și pentru a consolida competitivitatea locală și regională (în conformitate cu taxonomia UE). </w:t>
            </w:r>
            <w:r>
              <w:rPr>
                <w:noProof/>
              </w:rPr>
              <w:br/>
            </w:r>
            <w:r>
              <w:rPr>
                <w:rFonts w:ascii="Times New Roman" w:eastAsia="Calibri" w:hAnsi="Times New Roman" w:cs="Times New Roman"/>
                <w:noProof/>
                <w:color w:val="000000" w:themeColor="text1"/>
                <w:sz w:val="20"/>
                <w:szCs w:val="20"/>
              </w:rPr>
              <w:t>Criteriile de selecție/eligibilitate trebuie să reflecte cerințele domeniilor de intervenție aplicabile din anexele VI și VII la Regulamentul privind MRR și să asigure faptul că proiectele sprijinite respectă Orientările tehnice DNSH (2021/C58/01), prin utilizarea unei liste de excludere și a cerinței de conformitate cu legislația UE și națională relevantă în materie de mediu.</w:t>
            </w:r>
            <w:r>
              <w:rPr>
                <w:noProof/>
              </w:rPr>
              <w:br/>
            </w:r>
            <w:r>
              <w:rPr>
                <w:rFonts w:ascii="Times New Roman" w:eastAsia="Calibri" w:hAnsi="Times New Roman" w:cs="Times New Roman"/>
                <w:noProof/>
                <w:color w:val="000000" w:themeColor="text1"/>
                <w:sz w:val="20"/>
                <w:szCs w:val="20"/>
              </w:rPr>
              <w:t>Această măsură nu sprijină investițiile în instalațiile care intră în domeniul de aplicare al schemei UE de comercializare a certificatelor de emisii (ETS).</w:t>
            </w:r>
            <w:r>
              <w:rPr>
                <w:noProof/>
              </w:rPr>
              <w:br/>
            </w:r>
            <w:r>
              <w:rPr>
                <w:rFonts w:ascii="Times New Roman" w:eastAsia="Calibri" w:hAnsi="Times New Roman" w:cs="Times New Roman"/>
                <w:noProof/>
                <w:color w:val="000000" w:themeColor="text1"/>
                <w:sz w:val="20"/>
                <w:szCs w:val="20"/>
              </w:rPr>
              <w:t>Granturile sprijină investițiile întreprinderilor din sectorul privat care vizează:</w:t>
            </w:r>
            <w:r>
              <w:rPr>
                <w:noProof/>
              </w:rPr>
              <w:br/>
            </w:r>
            <w:r>
              <w:rPr>
                <w:rFonts w:ascii="Times New Roman" w:eastAsia="Calibri" w:hAnsi="Times New Roman" w:cs="Times New Roman"/>
                <w:noProof/>
                <w:color w:val="000000" w:themeColor="text1"/>
                <w:sz w:val="20"/>
                <w:szCs w:val="20"/>
              </w:rPr>
              <w:t>— Proiecte axate pe economia circulară prin integrarea aspectelor legate de utilizarea eficientă a resurselor în producția și ciclul de viață al produselor, inclusiv aprovizionarea durabilă cu materii prime primare și secundare și/sau</w:t>
            </w:r>
            <w:r>
              <w:rPr>
                <w:noProof/>
              </w:rPr>
              <w:br/>
              <w:t xml:space="preserve"> </w:t>
            </w:r>
            <w:r>
              <w:rPr>
                <w:rFonts w:ascii="Times New Roman" w:eastAsia="Calibri" w:hAnsi="Times New Roman" w:cs="Times New Roman"/>
                <w:noProof/>
                <w:color w:val="000000" w:themeColor="text1"/>
                <w:sz w:val="20"/>
                <w:szCs w:val="20"/>
              </w:rPr>
              <w:t>— Decarbonizarea industriilor mari consumatoare de energie și reducerea semnificativă a emisiilor în aceste industrii, inclusiv prin demonstrarea unor tehnologii inovatoare cu emisii scăzute.</w:t>
            </w:r>
          </w:p>
        </w:tc>
      </w:tr>
      <w:tr w:rsidR="00FA7C11" w14:paraId="44CC16DE"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1228985D" w14:textId="77777777" w:rsidR="00FA7C11" w:rsidRDefault="00D84965">
            <w:pPr>
              <w:pStyle w:val="P68B1DB1-Normal66"/>
              <w:spacing w:line="240" w:lineRule="auto"/>
              <w:jc w:val="center"/>
              <w:rPr>
                <w:noProof/>
              </w:rPr>
            </w:pPr>
            <w:r>
              <w:rPr>
                <w:noProof/>
              </w:rPr>
              <w:t>15</w:t>
            </w:r>
          </w:p>
        </w:tc>
        <w:tc>
          <w:tcPr>
            <w:tcW w:w="1205" w:type="dxa"/>
            <w:tcBorders>
              <w:top w:val="single" w:sz="4" w:space="0" w:color="auto"/>
              <w:left w:val="nil"/>
              <w:bottom w:val="single" w:sz="4" w:space="0" w:color="auto"/>
              <w:right w:val="single" w:sz="4" w:space="0" w:color="auto"/>
            </w:tcBorders>
            <w:shd w:val="clear" w:color="auto" w:fill="C6EFCE"/>
          </w:tcPr>
          <w:p w14:paraId="3A69F5DC" w14:textId="77777777" w:rsidR="00FA7C11" w:rsidRDefault="00D84965">
            <w:pPr>
              <w:pStyle w:val="P68B1DB1-Normal66"/>
              <w:spacing w:line="240" w:lineRule="auto"/>
              <w:rPr>
                <w:noProof/>
              </w:rPr>
            </w:pPr>
            <w:r>
              <w:rPr>
                <w:noProof/>
              </w:rPr>
              <w:t>C1.1.1. R4-I1</w:t>
            </w:r>
          </w:p>
        </w:tc>
        <w:tc>
          <w:tcPr>
            <w:tcW w:w="1022" w:type="dxa"/>
            <w:tcBorders>
              <w:top w:val="single" w:sz="4" w:space="0" w:color="auto"/>
              <w:left w:val="nil"/>
              <w:bottom w:val="single" w:sz="4" w:space="0" w:color="auto"/>
              <w:right w:val="single" w:sz="4" w:space="0" w:color="auto"/>
            </w:tcBorders>
            <w:shd w:val="clear" w:color="auto" w:fill="C6EFCE"/>
          </w:tcPr>
          <w:p w14:paraId="0E09DD1B"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2B7402AB" w14:textId="64EBF7B0" w:rsidR="00FA7C11" w:rsidRDefault="00D84965">
            <w:pPr>
              <w:pStyle w:val="P68B1DB1-Normal66"/>
              <w:spacing w:line="240" w:lineRule="auto"/>
              <w:rPr>
                <w:noProof/>
              </w:rPr>
            </w:pPr>
            <w:r>
              <w:rPr>
                <w:noProof/>
              </w:rPr>
              <w:t xml:space="preserve">Acordarea de fonduri IMM-urilor și întreprinderilor cu capitalizare medie pentru investiții care vizează activități ecologice </w:t>
            </w:r>
          </w:p>
        </w:tc>
        <w:tc>
          <w:tcPr>
            <w:tcW w:w="1555" w:type="dxa"/>
            <w:tcBorders>
              <w:top w:val="single" w:sz="4" w:space="0" w:color="auto"/>
              <w:left w:val="nil"/>
              <w:bottom w:val="single" w:sz="4" w:space="0" w:color="auto"/>
              <w:right w:val="single" w:sz="4" w:space="0" w:color="auto"/>
            </w:tcBorders>
            <w:shd w:val="clear" w:color="auto" w:fill="C6EFCE"/>
          </w:tcPr>
          <w:p w14:paraId="1C9713E5"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6AE2ED63"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1EB9EDD2"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5DE558B2" w14:textId="77777777" w:rsidR="00FA7C11" w:rsidRDefault="00D84965">
            <w:pPr>
              <w:pStyle w:val="P68B1DB1-Normal66"/>
              <w:spacing w:line="240" w:lineRule="auto"/>
              <w:jc w:val="center"/>
              <w:rPr>
                <w:noProof/>
              </w:rPr>
            </w:pPr>
            <w:r>
              <w:rPr>
                <w:noProof/>
              </w:rPr>
              <w:t>290</w:t>
            </w:r>
          </w:p>
        </w:tc>
        <w:tc>
          <w:tcPr>
            <w:tcW w:w="756" w:type="dxa"/>
            <w:tcBorders>
              <w:top w:val="single" w:sz="4" w:space="0" w:color="auto"/>
              <w:left w:val="nil"/>
              <w:bottom w:val="single" w:sz="4" w:space="0" w:color="auto"/>
              <w:right w:val="single" w:sz="4" w:space="0" w:color="auto"/>
            </w:tcBorders>
            <w:shd w:val="clear" w:color="auto" w:fill="C6EFCE"/>
          </w:tcPr>
          <w:p w14:paraId="42888279" w14:textId="77777777" w:rsidR="00FA7C11" w:rsidRDefault="00D84965">
            <w:pPr>
              <w:pStyle w:val="P68B1DB1-Normal66"/>
              <w:spacing w:line="240" w:lineRule="auto"/>
              <w:jc w:val="center"/>
              <w:rPr>
                <w:noProof/>
              </w:rPr>
            </w:pPr>
            <w:r>
              <w:rPr>
                <w:noProof/>
              </w:rPr>
              <w:t>Î3</w:t>
            </w:r>
          </w:p>
        </w:tc>
        <w:tc>
          <w:tcPr>
            <w:tcW w:w="709" w:type="dxa"/>
            <w:tcBorders>
              <w:top w:val="single" w:sz="4" w:space="0" w:color="auto"/>
              <w:left w:val="nil"/>
              <w:bottom w:val="single" w:sz="4" w:space="0" w:color="auto"/>
              <w:right w:val="single" w:sz="4" w:space="0" w:color="auto"/>
            </w:tcBorders>
            <w:shd w:val="clear" w:color="auto" w:fill="C6EFCE"/>
          </w:tcPr>
          <w:p w14:paraId="0A0245AF" w14:textId="77777777" w:rsidR="00FA7C11" w:rsidRDefault="00D84965">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tcPr>
          <w:p w14:paraId="1438095E" w14:textId="06DC43D5" w:rsidR="00FA7C11" w:rsidRDefault="00D84965">
            <w:pPr>
              <w:pStyle w:val="P68B1DB1-Normal66"/>
              <w:spacing w:line="240" w:lineRule="auto"/>
              <w:jc w:val="both"/>
              <w:rPr>
                <w:noProof/>
                <w:color w:val="000000" w:themeColor="text1"/>
              </w:rPr>
            </w:pPr>
            <w:r>
              <w:rPr>
                <w:noProof/>
              </w:rPr>
              <w:t>Contracte semnate cu cel puțin 250 IMM-uri și cel puțin 40 întreprinderi cu capitalizare medie pentru a acorda fonduri, în conformitate cu criteriile de eligibilitate/selecție stabilite în jalonul #14.</w:t>
            </w:r>
          </w:p>
        </w:tc>
      </w:tr>
      <w:tr w:rsidR="00FA7C11" w14:paraId="6E27A741"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64961392" w14:textId="77777777" w:rsidR="00FA7C11" w:rsidRDefault="00D84965">
            <w:pPr>
              <w:pStyle w:val="P68B1DB1-Normal66"/>
              <w:spacing w:line="240" w:lineRule="auto"/>
              <w:jc w:val="center"/>
              <w:rPr>
                <w:noProof/>
              </w:rPr>
            </w:pPr>
            <w:r>
              <w:rPr>
                <w:noProof/>
              </w:rPr>
              <w:t>16</w:t>
            </w:r>
          </w:p>
        </w:tc>
        <w:tc>
          <w:tcPr>
            <w:tcW w:w="1205" w:type="dxa"/>
            <w:tcBorders>
              <w:top w:val="single" w:sz="4" w:space="0" w:color="auto"/>
              <w:left w:val="nil"/>
              <w:bottom w:val="single" w:sz="4" w:space="0" w:color="auto"/>
              <w:right w:val="single" w:sz="4" w:space="0" w:color="auto"/>
            </w:tcBorders>
            <w:shd w:val="clear" w:color="auto" w:fill="C6EFCE"/>
          </w:tcPr>
          <w:p w14:paraId="6C79A878" w14:textId="77777777" w:rsidR="00FA7C11" w:rsidRDefault="00D84965">
            <w:pPr>
              <w:pStyle w:val="P68B1DB1-Normal66"/>
              <w:spacing w:line="240" w:lineRule="auto"/>
              <w:rPr>
                <w:noProof/>
              </w:rPr>
            </w:pPr>
            <w:r>
              <w:rPr>
                <w:noProof/>
              </w:rPr>
              <w:t>C1.1.1. R4-I2</w:t>
            </w:r>
          </w:p>
        </w:tc>
        <w:tc>
          <w:tcPr>
            <w:tcW w:w="1022" w:type="dxa"/>
            <w:tcBorders>
              <w:top w:val="single" w:sz="4" w:space="0" w:color="auto"/>
              <w:left w:val="nil"/>
              <w:bottom w:val="single" w:sz="4" w:space="0" w:color="auto"/>
              <w:right w:val="single" w:sz="4" w:space="0" w:color="auto"/>
            </w:tcBorders>
            <w:shd w:val="clear" w:color="auto" w:fill="C6EFCE"/>
          </w:tcPr>
          <w:p w14:paraId="1240FB08"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61EB2A0F" w14:textId="77777777" w:rsidR="00FA7C11" w:rsidRDefault="00D84965">
            <w:pPr>
              <w:pStyle w:val="P68B1DB1-Normal66"/>
              <w:spacing w:line="240" w:lineRule="auto"/>
              <w:rPr>
                <w:noProof/>
              </w:rPr>
            </w:pPr>
            <w:r>
              <w:rPr>
                <w:noProof/>
              </w:rPr>
              <w:t>Instituirea unui instrument financiar pentru sprijinirea investițiilor microîntreprinderilor și ale întreprinderilor mici și mijlocii</w:t>
            </w:r>
          </w:p>
        </w:tc>
        <w:tc>
          <w:tcPr>
            <w:tcW w:w="1555" w:type="dxa"/>
            <w:tcBorders>
              <w:top w:val="single" w:sz="4" w:space="0" w:color="auto"/>
              <w:left w:val="nil"/>
              <w:bottom w:val="single" w:sz="4" w:space="0" w:color="auto"/>
              <w:right w:val="single" w:sz="4" w:space="0" w:color="auto"/>
            </w:tcBorders>
            <w:shd w:val="clear" w:color="auto" w:fill="C6EFCE"/>
          </w:tcPr>
          <w:p w14:paraId="15B97E95" w14:textId="77777777" w:rsidR="00FA7C11" w:rsidRDefault="00D84965">
            <w:pPr>
              <w:pStyle w:val="P68B1DB1-Normal66"/>
              <w:spacing w:line="240" w:lineRule="auto"/>
              <w:rPr>
                <w:noProof/>
              </w:rPr>
            </w:pPr>
            <w:r>
              <w:rPr>
                <w:noProof/>
              </w:rPr>
              <w:t xml:space="preserve">Acorduri publicate între (i) ministerul de resort (MINGOR sau MINFIN) și HAMAG BICRO și între (ii) ministerul de resort (MINGOR sau MINFIN) și HBOR pentru a oferi condiții favorabile de finanțare pentru investiții și activele de capital circulant necesare pentru realizarea investițiilor și/sau creșterea amplorii operațiunilor operatorilor economici. </w:t>
            </w:r>
          </w:p>
        </w:tc>
        <w:tc>
          <w:tcPr>
            <w:tcW w:w="1067" w:type="dxa"/>
            <w:tcBorders>
              <w:top w:val="single" w:sz="4" w:space="0" w:color="auto"/>
              <w:left w:val="nil"/>
              <w:bottom w:val="single" w:sz="4" w:space="0" w:color="auto"/>
              <w:right w:val="single" w:sz="4" w:space="0" w:color="auto"/>
            </w:tcBorders>
            <w:shd w:val="clear" w:color="auto" w:fill="C6EFCE"/>
          </w:tcPr>
          <w:p w14:paraId="0839DAA5"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2E85AE7B"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5983638C"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208EDAE9" w14:textId="77777777" w:rsidR="00FA7C11" w:rsidRDefault="00D84965">
            <w:pPr>
              <w:pStyle w:val="P68B1DB1-Normal66"/>
              <w:spacing w:line="240" w:lineRule="auto"/>
              <w:jc w:val="center"/>
              <w:rPr>
                <w:noProof/>
              </w:rPr>
            </w:pPr>
            <w:r>
              <w:rPr>
                <w:noProof/>
              </w:rPr>
              <w:t>Î1</w:t>
            </w:r>
          </w:p>
        </w:tc>
        <w:tc>
          <w:tcPr>
            <w:tcW w:w="709" w:type="dxa"/>
            <w:tcBorders>
              <w:top w:val="single" w:sz="4" w:space="0" w:color="auto"/>
              <w:left w:val="nil"/>
              <w:bottom w:val="single" w:sz="4" w:space="0" w:color="auto"/>
              <w:right w:val="single" w:sz="4" w:space="0" w:color="auto"/>
            </w:tcBorders>
            <w:shd w:val="clear" w:color="auto" w:fill="C6EFCE"/>
          </w:tcPr>
          <w:p w14:paraId="2370E973" w14:textId="77777777" w:rsidR="00FA7C11" w:rsidRDefault="00D84965">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3DB89B39" w14:textId="4FAED864" w:rsidR="00FA7C11" w:rsidRDefault="00D84965">
            <w:pPr>
              <w:pStyle w:val="P68B1DB1-Normal59"/>
              <w:spacing w:line="240" w:lineRule="auto"/>
              <w:rPr>
                <w:rFonts w:ascii="Times New Roman" w:eastAsia="Calibri" w:hAnsi="Times New Roman" w:cs="Times New Roman"/>
                <w:noProof/>
              </w:rPr>
            </w:pPr>
            <w:r>
              <w:rPr>
                <w:rFonts w:ascii="Times New Roman" w:eastAsia="Calibri" w:hAnsi="Times New Roman" w:cs="Times New Roman"/>
                <w:noProof/>
                <w:color w:val="000000" w:themeColor="text1"/>
              </w:rPr>
              <w:t>Măsura încurajează investițiile microîntreprinderilor și ale întreprinderilor mici și mijlocii în noi tehnologii, achiziționarea de utilaje și echipamente moderne și creșterea capacității de producție și de servicii, precum și măsurile de tranziție verde (cum ar fi adoptarea tehnologiilor verzi, introducerea unor modele de afaceri bazate pe economia circulară, sursele regenerabile de energie, eficiența energetică).</w:t>
            </w:r>
            <w:r>
              <w:rPr>
                <w:rFonts w:ascii="Times New Roman" w:hAnsi="Times New Roman" w:cs="Times New Roman"/>
                <w:noProof/>
              </w:rPr>
              <w:br/>
            </w:r>
            <w:r>
              <w:rPr>
                <w:rFonts w:ascii="Times New Roman" w:eastAsia="Calibri" w:hAnsi="Times New Roman" w:cs="Times New Roman"/>
                <w:noProof/>
                <w:color w:val="000000" w:themeColor="text1"/>
              </w:rPr>
              <w:t xml:space="preserve">Această măsură nu sprijină investițiile în instalațiile care intră în domeniul de aplicare al schemei UE de comercializare a certificatelor de emisii (ETS). </w:t>
            </w:r>
            <w:r>
              <w:rPr>
                <w:rFonts w:ascii="Times New Roman" w:hAnsi="Times New Roman" w:cs="Times New Roman"/>
                <w:noProof/>
              </w:rPr>
              <w:br/>
            </w:r>
            <w:r>
              <w:rPr>
                <w:rFonts w:ascii="Times New Roman" w:eastAsia="Calibri" w:hAnsi="Times New Roman" w:cs="Times New Roman"/>
                <w:noProof/>
                <w:color w:val="000000" w:themeColor="text1"/>
              </w:rPr>
              <w:t>Măsura cuprinde 4 instrumente financiare:</w:t>
            </w:r>
            <w:r>
              <w:rPr>
                <w:rFonts w:ascii="Times New Roman" w:hAnsi="Times New Roman" w:cs="Times New Roman"/>
                <w:noProof/>
              </w:rPr>
              <w:br/>
            </w:r>
            <w:r>
              <w:rPr>
                <w:rFonts w:ascii="Times New Roman" w:eastAsia="Calibri" w:hAnsi="Times New Roman" w:cs="Times New Roman"/>
                <w:noProof/>
                <w:color w:val="000000" w:themeColor="text1"/>
              </w:rPr>
              <w:t>1) microcredite directe din partea Agenției croate pentru IMM-uri, inovare și investiții (HAMAG BICRO) de până la 100 000 EUR pentru întreprinderile care întâmpină dificultăți în accesarea împrumuturilor bancare comerciale, pentru o perioadă de până la zece ani, cu rate preferențiale ale dobânzii și cerințe mai scăzute în materie de garanții pentru împrumuturi. Se preconizează că acest instrument financiar va oferi finanțare în valoare de 49 816 843 EUR (375 744 000 HRK). Cel puțin 9 519 695 EUR (71 726 143 HRK) se alocă pentru sprijinirea proceselor de producție ecologice și îmbunătățirea utilizării eficiente a resurselor în IMM-uri, 7 916 199 EUR (59 644 601 HRK) se utilizează pentru a ajuta IMM-urile să își digitalizeze operațiunile, iar restul de 32 380 949 EUR (243 974 260 HRK) se alocă pentru investiții menite să consolideze competitivitatea și reziliența. Acest instrument financiar va fi gestionat separat de alte instrumente ale HAMAG BICRO pentru a se asigura că orice fonduri neutilizate sau restituiri de la acest instrument, prin rambursarea capitalului, vor fi utilizate în scopuri similare și în aceleași condiții de eligibilitate în ceea ce privește impactul asupra mediului.</w:t>
            </w:r>
            <w:r>
              <w:rPr>
                <w:rFonts w:ascii="Times New Roman" w:hAnsi="Times New Roman" w:cs="Times New Roman"/>
                <w:noProof/>
              </w:rPr>
              <w:br/>
            </w:r>
            <w:r>
              <w:rPr>
                <w:rFonts w:ascii="Times New Roman" w:eastAsia="Calibri" w:hAnsi="Times New Roman" w:cs="Times New Roman"/>
                <w:noProof/>
                <w:color w:val="000000" w:themeColor="text1"/>
              </w:rPr>
              <w:t>2) împrumuturi directe de la Banca Croată pentru Reconstrucție și Dezvoltare (HBOR) de peste 100 000 EUR către grupuri-țintă specifice, cum ar fi întreprinderile nou-înființate, tinerii antreprenori, femeile antreprenoare, investițiile în zone defavorizate, mai puțin dezvoltate din punct de vedere economic și CDI, care, din cauza unui grad mai mare de risc, nu au acces la finanțare bancară, cu rate ale dobânzii preferențiale și cerințe mai scăzute privind garanțiile pentru împrumuturi. Se preconizează că acest instrument financiar va oferi finanțare în valoare de 66 361 404 EUR (500 000 000 HRK). Cel puțin 12 681 260 EUR (95 546 955 HRK) se alocă pentru sprijinirea proceselor de producție ecologice și îmbunătățirea utilizării eficiente a resurselor în IMM-uri, 10 545 231 EUR (79 453 045 HRK) se utilizează pentru a ajuta IMM-urile să își digitalizeze operațiunile, iar restul de 43 134 913 EUR (325 000 000 HRK) se alocă pentru investiții menite să consolideze competitivitatea și reziliența. Acest instrument financiar este gestionat separat de alte instrumente ale HBOR pentru a se asigura că orice fonduri neutilizate sau restituiri de la acest instrument, prin rambursarea capitalului, sunt utilizate în scopuri similare și cu aceleași condiții de eligibilitate în ceea ce privește impactul asupra mediului.</w:t>
            </w:r>
            <w:r>
              <w:rPr>
                <w:rFonts w:ascii="Times New Roman" w:hAnsi="Times New Roman" w:cs="Times New Roman"/>
                <w:noProof/>
              </w:rPr>
              <w:br/>
            </w:r>
            <w:r>
              <w:rPr>
                <w:rFonts w:ascii="Times New Roman" w:hAnsi="Times New Roman" w:cs="Times New Roman"/>
                <w:noProof/>
              </w:rPr>
              <w:br/>
            </w:r>
            <w:r>
              <w:rPr>
                <w:rFonts w:ascii="Times New Roman" w:eastAsia="Calibri" w:hAnsi="Times New Roman" w:cs="Times New Roman"/>
                <w:noProof/>
                <w:color w:val="000000" w:themeColor="text1"/>
              </w:rPr>
              <w:t xml:space="preserve">3) instituirea unei subvenționări a ratei dobânzii de către HAMAG BICRO pentru facilitarea condițiilor de creditare a împrumuturilor bancare acordate microîntreprinderilor și întreprinderilor mici și mijlocii care utilizează instrumentele de garantare existente ale HAMAG BICRO. Se preconizează că acest instrument financiar va oferi finanțare în valoare de 3 272 281 EUR (24 655 001 HRK). Cel puțin 625 313 EUR (4 711 421 HRK) se alocă pentru sprijinirea proceselor de producție ecologice și îmbunătățirea utilizării eficiente a resurselor în IMM-uri, 519 985 EUR (3 917 827 HRK) se utilizează pentru a ajuta IMM-urile să își digitalizeze operațiunile, iar restul de 2 126 983 EUR (16 025 753 HRK) se alocă pentru investiții menite să consolideze competitivitatea și reziliența. </w:t>
            </w:r>
            <w:r>
              <w:rPr>
                <w:rFonts w:ascii="Times New Roman" w:hAnsi="Times New Roman" w:cs="Times New Roman"/>
                <w:noProof/>
              </w:rPr>
              <w:br/>
            </w:r>
            <w:r>
              <w:rPr>
                <w:rFonts w:ascii="Times New Roman" w:eastAsia="Calibri" w:hAnsi="Times New Roman" w:cs="Times New Roman"/>
                <w:noProof/>
                <w:color w:val="000000" w:themeColor="text1"/>
              </w:rPr>
              <w:t>4) crearea unui fond de subvenționare a ratei dobânzii de către HBOR pentru a facilita condițiile de creditare a împrumuturilor bancare acordate microîntreprinderilor și întreprinderilor mici și mijlocii care utilizează instrumentele de credit HBOR existente. Se preconizează că acest instrument financiar va oferi finanțare în valoare de 26 544 562 milioane EUR (200 000 000 HRK). O sumă minimă de 5 072 504 EUR (38 218 782 HRK) va fi dedicată sprijinirii proceselor de producție ecologice și îmbunătățirii utilizării eficiente a resurselor în IMM-uri, 4 218 093 milioane EUR (31 781 218 HRK) vor fi utilizate pentru a ajuta IMM-urile să își digitalizeze operațiunile, iar restul de 17 253 965 milioane EUR (130 000 000 HRK) vor fi dedicate investițiilor menite să consolideze competitivitatea și reziliența.</w:t>
            </w:r>
            <w:r>
              <w:rPr>
                <w:rFonts w:ascii="Times New Roman" w:hAnsi="Times New Roman" w:cs="Times New Roman"/>
                <w:noProof/>
              </w:rPr>
              <w:br/>
            </w:r>
            <w:r>
              <w:rPr>
                <w:rFonts w:ascii="Times New Roman" w:hAnsi="Times New Roman" w:cs="Times New Roman"/>
                <w:noProof/>
              </w:rPr>
              <w:br/>
            </w:r>
            <w:r>
              <w:rPr>
                <w:rFonts w:ascii="Times New Roman" w:eastAsia="Calibri" w:hAnsi="Times New Roman" w:cs="Times New Roman"/>
                <w:noProof/>
                <w:color w:val="000000" w:themeColor="text1"/>
              </w:rPr>
              <w:t>Pentru proiectele care contribuie la tranziția verde, sunt avute în vedere condiții de creditare mai favorabile decât pentru proiectele care nu se axează pe tranziția verde.</w:t>
            </w:r>
            <w:r>
              <w:rPr>
                <w:rFonts w:ascii="Times New Roman" w:hAnsi="Times New Roman" w:cs="Times New Roman"/>
                <w:noProof/>
              </w:rPr>
              <w:br/>
            </w:r>
            <w:r>
              <w:rPr>
                <w:rFonts w:ascii="Times New Roman" w:eastAsia="Calibri" w:hAnsi="Times New Roman" w:cs="Times New Roman"/>
                <w:noProof/>
                <w:color w:val="000000" w:themeColor="text1"/>
              </w:rPr>
              <w:t>Combinarea acestor instrumente financiare cu finanțare din alte surse ale UE sau naționale este permisă cu condiția să nu existe o dublă finanțare a investiției.</w:t>
            </w:r>
            <w:r>
              <w:rPr>
                <w:rFonts w:ascii="Times New Roman" w:hAnsi="Times New Roman" w:cs="Times New Roman"/>
                <w:noProof/>
              </w:rPr>
              <w:br/>
            </w:r>
            <w:r>
              <w:rPr>
                <w:rFonts w:ascii="Times New Roman" w:eastAsia="Calibri" w:hAnsi="Times New Roman" w:cs="Times New Roman"/>
                <w:noProof/>
                <w:color w:val="000000" w:themeColor="text1"/>
              </w:rPr>
              <w:t>Politica de investiții a tuturor celor patru instrumente financiare asigură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r>
              <w:rPr>
                <w:rFonts w:ascii="Times New Roman" w:hAnsi="Times New Roman" w:cs="Times New Roman"/>
                <w:noProof/>
              </w:rPr>
              <w:br/>
              <w:t xml:space="preserve"> </w:t>
            </w:r>
            <w:r>
              <w:rPr>
                <w:rFonts w:ascii="Times New Roman" w:eastAsia="Calibri" w:hAnsi="Times New Roman" w:cs="Times New Roman"/>
                <w:noProof/>
                <w:color w:val="000000" w:themeColor="text1"/>
              </w:rPr>
              <w:t xml:space="preserve">Din valoarea totală a măsurii: </w:t>
            </w:r>
            <w:r>
              <w:rPr>
                <w:rFonts w:ascii="Times New Roman" w:hAnsi="Times New Roman" w:cs="Times New Roman"/>
                <w:noProof/>
              </w:rPr>
              <w:br/>
            </w:r>
            <w:r>
              <w:rPr>
                <w:rFonts w:ascii="Times New Roman" w:eastAsia="Calibri" w:hAnsi="Times New Roman" w:cs="Times New Roman"/>
                <w:noProof/>
                <w:color w:val="000000" w:themeColor="text1"/>
              </w:rPr>
              <w:t xml:space="preserve">(I) se alocă minimum 27 898 772 EUR pentru sprijinirea proceselor de producție ecologice și a utilizării eficiente a resurselor în IMM-uri, preconizându-se că cel puțin 11 128 934 EUR vor fi alocați pentru reducerea emisiilor de gaze cu efect de seră; </w:t>
            </w:r>
            <w:r>
              <w:rPr>
                <w:rFonts w:ascii="Times New Roman" w:hAnsi="Times New Roman" w:cs="Times New Roman"/>
                <w:noProof/>
              </w:rPr>
              <w:br/>
            </w:r>
            <w:r>
              <w:rPr>
                <w:rFonts w:ascii="Times New Roman" w:eastAsia="Calibri" w:hAnsi="Times New Roman" w:cs="Times New Roman"/>
                <w:noProof/>
                <w:color w:val="000000" w:themeColor="text1"/>
              </w:rPr>
              <w:t xml:space="preserve">(II) 23 199 509 EUR se alocă pentru a sprijini IMM-urile în digitalizarea operațiunilor; </w:t>
            </w:r>
            <w:r>
              <w:rPr>
                <w:rFonts w:ascii="Times New Roman" w:hAnsi="Times New Roman" w:cs="Times New Roman"/>
                <w:noProof/>
              </w:rPr>
              <w:br/>
            </w:r>
            <w:r>
              <w:rPr>
                <w:rFonts w:ascii="Times New Roman" w:eastAsia="Calibri" w:hAnsi="Times New Roman" w:cs="Times New Roman"/>
                <w:noProof/>
                <w:color w:val="000000" w:themeColor="text1"/>
              </w:rPr>
              <w:t xml:space="preserve">(III) 94 896 808 EUR se alocă investițiilor care vizează consolidarea competitivității și a rezilienței. </w:t>
            </w:r>
          </w:p>
        </w:tc>
      </w:tr>
      <w:tr w:rsidR="00FA7C11" w14:paraId="05C5901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024868BF" w14:textId="77777777" w:rsidR="00FA7C11" w:rsidRDefault="00D84965">
            <w:pPr>
              <w:pStyle w:val="P68B1DB1-Normal66"/>
              <w:spacing w:line="240" w:lineRule="auto"/>
              <w:jc w:val="center"/>
              <w:rPr>
                <w:noProof/>
              </w:rPr>
            </w:pPr>
            <w:r>
              <w:rPr>
                <w:noProof/>
              </w:rPr>
              <w:t>17</w:t>
            </w:r>
          </w:p>
        </w:tc>
        <w:tc>
          <w:tcPr>
            <w:tcW w:w="1205" w:type="dxa"/>
            <w:tcBorders>
              <w:top w:val="single" w:sz="4" w:space="0" w:color="auto"/>
              <w:left w:val="nil"/>
              <w:bottom w:val="single" w:sz="4" w:space="0" w:color="auto"/>
              <w:right w:val="single" w:sz="4" w:space="0" w:color="auto"/>
            </w:tcBorders>
            <w:shd w:val="clear" w:color="auto" w:fill="C6EFCE"/>
          </w:tcPr>
          <w:p w14:paraId="2EE70BE1" w14:textId="77777777" w:rsidR="00FA7C11" w:rsidRDefault="00D84965">
            <w:pPr>
              <w:pStyle w:val="P68B1DB1-Normal66"/>
              <w:spacing w:line="240" w:lineRule="auto"/>
              <w:rPr>
                <w:noProof/>
              </w:rPr>
            </w:pPr>
            <w:r>
              <w:rPr>
                <w:noProof/>
              </w:rPr>
              <w:t>C1.1.1. R4-I2</w:t>
            </w:r>
          </w:p>
        </w:tc>
        <w:tc>
          <w:tcPr>
            <w:tcW w:w="1022" w:type="dxa"/>
            <w:tcBorders>
              <w:top w:val="single" w:sz="4" w:space="0" w:color="auto"/>
              <w:left w:val="nil"/>
              <w:bottom w:val="single" w:sz="4" w:space="0" w:color="auto"/>
              <w:right w:val="single" w:sz="4" w:space="0" w:color="auto"/>
            </w:tcBorders>
            <w:shd w:val="clear" w:color="auto" w:fill="C6EFCE"/>
          </w:tcPr>
          <w:p w14:paraId="70BF7BD2"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7CFE2A43" w14:textId="77777777" w:rsidR="00FA7C11" w:rsidRDefault="00D84965">
            <w:pPr>
              <w:pStyle w:val="P68B1DB1-Normal66"/>
              <w:spacing w:line="240" w:lineRule="auto"/>
              <w:rPr>
                <w:noProof/>
              </w:rPr>
            </w:pPr>
            <w:r>
              <w:rPr>
                <w:noProof/>
              </w:rPr>
              <w:t>Împrumuturi/subvenții la rata dobânzii acordate microîntreprinderilor și întreprinderilor mici și mijlocii</w:t>
            </w:r>
          </w:p>
        </w:tc>
        <w:tc>
          <w:tcPr>
            <w:tcW w:w="1555" w:type="dxa"/>
            <w:tcBorders>
              <w:top w:val="single" w:sz="4" w:space="0" w:color="auto"/>
              <w:left w:val="nil"/>
              <w:bottom w:val="single" w:sz="4" w:space="0" w:color="auto"/>
              <w:right w:val="single" w:sz="4" w:space="0" w:color="auto"/>
            </w:tcBorders>
            <w:shd w:val="clear" w:color="auto" w:fill="C6EFCE"/>
          </w:tcPr>
          <w:p w14:paraId="3DA839A9"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79B8E2D4"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44E2E86F"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4FFBC942" w14:textId="77777777" w:rsidR="00FA7C11" w:rsidRDefault="00D84965">
            <w:pPr>
              <w:pStyle w:val="P68B1DB1-Normal66"/>
              <w:spacing w:line="240" w:lineRule="auto"/>
              <w:jc w:val="center"/>
              <w:rPr>
                <w:noProof/>
              </w:rPr>
            </w:pPr>
            <w:r>
              <w:rPr>
                <w:noProof/>
              </w:rPr>
              <w:t>750</w:t>
            </w:r>
          </w:p>
        </w:tc>
        <w:tc>
          <w:tcPr>
            <w:tcW w:w="756" w:type="dxa"/>
            <w:tcBorders>
              <w:top w:val="single" w:sz="4" w:space="0" w:color="auto"/>
              <w:left w:val="nil"/>
              <w:bottom w:val="single" w:sz="4" w:space="0" w:color="auto"/>
              <w:right w:val="single" w:sz="4" w:space="0" w:color="auto"/>
            </w:tcBorders>
            <w:shd w:val="clear" w:color="auto" w:fill="C6EFCE"/>
          </w:tcPr>
          <w:p w14:paraId="0964C824"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7A5EB46A"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1E3C2E36" w14:textId="1CE19DF2" w:rsidR="00FA7C11" w:rsidRDefault="00D84965">
            <w:pPr>
              <w:pStyle w:val="P68B1DB1-Normal59"/>
              <w:spacing w:line="240"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Acordarea a 750 de împrumuturi/subvenții la rata dobânzii de către HAMAG BICRO microîntreprinderilor și întreprinderilor mici și mijlocii. </w:t>
            </w:r>
            <w:r>
              <w:rPr>
                <w:rFonts w:ascii="Times New Roman" w:hAnsi="Times New Roman" w:cs="Times New Roman"/>
                <w:noProof/>
              </w:rPr>
              <w:br/>
            </w:r>
          </w:p>
        </w:tc>
      </w:tr>
      <w:tr w:rsidR="00FA7C11" w14:paraId="677E72D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07352D87" w14:textId="77777777" w:rsidR="00FA7C11" w:rsidRDefault="00D84965">
            <w:pPr>
              <w:pStyle w:val="P68B1DB1-Normal66"/>
              <w:spacing w:line="240" w:lineRule="auto"/>
              <w:jc w:val="center"/>
              <w:rPr>
                <w:noProof/>
              </w:rPr>
            </w:pPr>
            <w:r>
              <w:rPr>
                <w:noProof/>
              </w:rPr>
              <w:t>18</w:t>
            </w:r>
          </w:p>
        </w:tc>
        <w:tc>
          <w:tcPr>
            <w:tcW w:w="1205" w:type="dxa"/>
            <w:tcBorders>
              <w:top w:val="single" w:sz="4" w:space="0" w:color="auto"/>
              <w:left w:val="nil"/>
              <w:bottom w:val="single" w:sz="4" w:space="0" w:color="auto"/>
              <w:right w:val="single" w:sz="4" w:space="0" w:color="auto"/>
            </w:tcBorders>
            <w:shd w:val="clear" w:color="auto" w:fill="C6EFCE"/>
          </w:tcPr>
          <w:p w14:paraId="1E205ADA" w14:textId="77777777" w:rsidR="00FA7C11" w:rsidRDefault="00D84965">
            <w:pPr>
              <w:pStyle w:val="P68B1DB1-Normal66"/>
              <w:spacing w:line="240" w:lineRule="auto"/>
              <w:rPr>
                <w:noProof/>
              </w:rPr>
            </w:pPr>
            <w:r>
              <w:rPr>
                <w:noProof/>
              </w:rPr>
              <w:t>C1.1.1. R4-I2</w:t>
            </w:r>
          </w:p>
        </w:tc>
        <w:tc>
          <w:tcPr>
            <w:tcW w:w="1022" w:type="dxa"/>
            <w:tcBorders>
              <w:top w:val="single" w:sz="4" w:space="0" w:color="auto"/>
              <w:left w:val="nil"/>
              <w:bottom w:val="single" w:sz="4" w:space="0" w:color="auto"/>
              <w:right w:val="single" w:sz="4" w:space="0" w:color="auto"/>
            </w:tcBorders>
            <w:shd w:val="clear" w:color="auto" w:fill="C6EFCE"/>
          </w:tcPr>
          <w:p w14:paraId="5A4A299F"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6A2B9D17" w14:textId="77777777" w:rsidR="00FA7C11" w:rsidRDefault="00D84965">
            <w:pPr>
              <w:pStyle w:val="P68B1DB1-Normal66"/>
              <w:spacing w:line="240" w:lineRule="auto"/>
              <w:rPr>
                <w:noProof/>
              </w:rPr>
            </w:pPr>
            <w:r>
              <w:rPr>
                <w:noProof/>
              </w:rPr>
              <w:t>Împrumuturi/subvenții la rata dobânzii acordate microîntreprinderilor și întreprinderilor mici și mijlocii</w:t>
            </w:r>
          </w:p>
        </w:tc>
        <w:tc>
          <w:tcPr>
            <w:tcW w:w="1555" w:type="dxa"/>
            <w:tcBorders>
              <w:top w:val="single" w:sz="4" w:space="0" w:color="auto"/>
              <w:left w:val="nil"/>
              <w:bottom w:val="single" w:sz="4" w:space="0" w:color="auto"/>
              <w:right w:val="single" w:sz="4" w:space="0" w:color="auto"/>
            </w:tcBorders>
            <w:shd w:val="clear" w:color="auto" w:fill="C6EFCE"/>
          </w:tcPr>
          <w:p w14:paraId="26365D83"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0EAE427C"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4E3944FF"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0618BC16" w14:textId="77777777" w:rsidR="00FA7C11" w:rsidRDefault="00D84965">
            <w:pPr>
              <w:pStyle w:val="P68B1DB1-Normal66"/>
              <w:spacing w:line="240" w:lineRule="auto"/>
              <w:jc w:val="center"/>
              <w:rPr>
                <w:noProof/>
              </w:rPr>
            </w:pPr>
            <w:r>
              <w:rPr>
                <w:noProof/>
              </w:rPr>
              <w:t>350</w:t>
            </w:r>
          </w:p>
        </w:tc>
        <w:tc>
          <w:tcPr>
            <w:tcW w:w="756" w:type="dxa"/>
            <w:tcBorders>
              <w:top w:val="single" w:sz="4" w:space="0" w:color="auto"/>
              <w:left w:val="nil"/>
              <w:bottom w:val="single" w:sz="4" w:space="0" w:color="auto"/>
              <w:right w:val="single" w:sz="4" w:space="0" w:color="auto"/>
            </w:tcBorders>
            <w:shd w:val="clear" w:color="auto" w:fill="C6EFCE"/>
          </w:tcPr>
          <w:p w14:paraId="7DF45C79"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228C8EE9"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05534B5A" w14:textId="2112D436" w:rsidR="00FA7C11" w:rsidRDefault="00D84965">
            <w:pPr>
              <w:pStyle w:val="P68B1DB1-Normal66"/>
              <w:spacing w:line="240" w:lineRule="auto"/>
              <w:rPr>
                <w:noProof/>
              </w:rPr>
            </w:pPr>
            <w:r>
              <w:rPr>
                <w:noProof/>
              </w:rPr>
              <w:t xml:space="preserve">Acordarea a 350 de împrumuturi/subvenționări ale ratei dobânzii de către HBOR microîntreprinderilor și întreprinderilor mici și mijlocii. </w:t>
            </w:r>
          </w:p>
        </w:tc>
      </w:tr>
      <w:tr w:rsidR="00FA7C11" w14:paraId="2A06A0C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79089651" w14:textId="77777777" w:rsidR="00FA7C11" w:rsidRDefault="00D84965">
            <w:pPr>
              <w:pStyle w:val="P68B1DB1-Normal66"/>
              <w:spacing w:line="240" w:lineRule="auto"/>
              <w:jc w:val="center"/>
              <w:rPr>
                <w:noProof/>
              </w:rPr>
            </w:pPr>
            <w:r>
              <w:rPr>
                <w:noProof/>
              </w:rPr>
              <w:t>19</w:t>
            </w:r>
          </w:p>
        </w:tc>
        <w:tc>
          <w:tcPr>
            <w:tcW w:w="1205" w:type="dxa"/>
            <w:tcBorders>
              <w:top w:val="single" w:sz="4" w:space="0" w:color="auto"/>
              <w:left w:val="nil"/>
              <w:bottom w:val="single" w:sz="4" w:space="0" w:color="auto"/>
              <w:right w:val="single" w:sz="4" w:space="0" w:color="auto"/>
            </w:tcBorders>
            <w:shd w:val="clear" w:color="auto" w:fill="C6EFCE"/>
          </w:tcPr>
          <w:p w14:paraId="597B9710" w14:textId="77777777" w:rsidR="00FA7C11" w:rsidRDefault="00D84965">
            <w:pPr>
              <w:pStyle w:val="P68B1DB1-Normal66"/>
              <w:spacing w:line="240" w:lineRule="auto"/>
              <w:rPr>
                <w:noProof/>
              </w:rPr>
            </w:pPr>
            <w:r>
              <w:rPr>
                <w:noProof/>
              </w:rPr>
              <w:t>C1.1.1. R4-I3</w:t>
            </w:r>
          </w:p>
        </w:tc>
        <w:tc>
          <w:tcPr>
            <w:tcW w:w="1022" w:type="dxa"/>
            <w:tcBorders>
              <w:top w:val="single" w:sz="4" w:space="0" w:color="auto"/>
              <w:left w:val="nil"/>
              <w:bottom w:val="single" w:sz="4" w:space="0" w:color="auto"/>
              <w:right w:val="single" w:sz="4" w:space="0" w:color="auto"/>
            </w:tcBorders>
            <w:shd w:val="clear" w:color="auto" w:fill="C6EFCE"/>
          </w:tcPr>
          <w:p w14:paraId="755F218B"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5D96BE71" w14:textId="77777777" w:rsidR="00FA7C11" w:rsidRDefault="00D84965">
            <w:pPr>
              <w:pStyle w:val="P68B1DB1-Normal66"/>
              <w:spacing w:line="240" w:lineRule="auto"/>
              <w:rPr>
                <w:noProof/>
              </w:rPr>
            </w:pPr>
            <w:r>
              <w:rPr>
                <w:noProof/>
              </w:rPr>
              <w:t>Instituirea unui instrument financiar pentru sprijinirea investițiilor întreprinderilor cu capitalizare medie și ale întreprinderilor mari</w:t>
            </w:r>
          </w:p>
        </w:tc>
        <w:tc>
          <w:tcPr>
            <w:tcW w:w="1555" w:type="dxa"/>
            <w:tcBorders>
              <w:top w:val="single" w:sz="4" w:space="0" w:color="auto"/>
              <w:left w:val="nil"/>
              <w:bottom w:val="single" w:sz="4" w:space="0" w:color="auto"/>
              <w:right w:val="single" w:sz="4" w:space="0" w:color="auto"/>
            </w:tcBorders>
            <w:shd w:val="clear" w:color="auto" w:fill="C6EFCE"/>
          </w:tcPr>
          <w:p w14:paraId="7B14D315" w14:textId="77777777" w:rsidR="00FA7C11" w:rsidRDefault="00D84965">
            <w:pPr>
              <w:pStyle w:val="P68B1DB1-Normal66"/>
              <w:spacing w:line="240" w:lineRule="auto"/>
              <w:rPr>
                <w:noProof/>
              </w:rPr>
            </w:pPr>
            <w:r>
              <w:rPr>
                <w:noProof/>
              </w:rPr>
              <w:t xml:space="preserve">Acord între ministerul competent (MINGOR sau MINFIN) și HBOR pentru a oferi condiții de finanțare și garanții favorabile (stimulatoare) pentru investițiile și capitalul circulant necesare pentru realizarea investițiilor și/sau creșterea amplorii activității economice publicate. </w:t>
            </w:r>
          </w:p>
        </w:tc>
        <w:tc>
          <w:tcPr>
            <w:tcW w:w="1067" w:type="dxa"/>
            <w:tcBorders>
              <w:top w:val="single" w:sz="4" w:space="0" w:color="auto"/>
              <w:left w:val="nil"/>
              <w:bottom w:val="single" w:sz="4" w:space="0" w:color="auto"/>
              <w:right w:val="single" w:sz="4" w:space="0" w:color="auto"/>
            </w:tcBorders>
            <w:shd w:val="clear" w:color="auto" w:fill="C6EFCE"/>
          </w:tcPr>
          <w:p w14:paraId="68F2CB41"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456C7BEB"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6DDAB126"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79CAE348" w14:textId="77777777" w:rsidR="00FA7C11" w:rsidRDefault="00D84965">
            <w:pPr>
              <w:pStyle w:val="P68B1DB1-Normal66"/>
              <w:spacing w:line="240" w:lineRule="auto"/>
              <w:jc w:val="center"/>
              <w:rPr>
                <w:noProof/>
              </w:rPr>
            </w:pPr>
            <w:r>
              <w:rPr>
                <w:noProof/>
              </w:rPr>
              <w:t>Î1</w:t>
            </w:r>
          </w:p>
        </w:tc>
        <w:tc>
          <w:tcPr>
            <w:tcW w:w="709" w:type="dxa"/>
            <w:tcBorders>
              <w:top w:val="single" w:sz="4" w:space="0" w:color="auto"/>
              <w:left w:val="nil"/>
              <w:bottom w:val="single" w:sz="4" w:space="0" w:color="auto"/>
              <w:right w:val="single" w:sz="4" w:space="0" w:color="auto"/>
            </w:tcBorders>
            <w:shd w:val="clear" w:color="auto" w:fill="C6EFCE"/>
          </w:tcPr>
          <w:p w14:paraId="777E3152" w14:textId="77777777" w:rsidR="00FA7C11" w:rsidRDefault="00D84965">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3F3713D8" w14:textId="0548613A" w:rsidR="00FA7C11" w:rsidRDefault="00D84965">
            <w:pPr>
              <w:pStyle w:val="P68B1DB1-Normal59"/>
              <w:spacing w:line="240" w:lineRule="auto"/>
              <w:rPr>
                <w:rFonts w:ascii="Times New Roman" w:eastAsia="Calibri" w:hAnsi="Times New Roman" w:cs="Times New Roman"/>
                <w:noProof/>
                <w:color w:val="000000" w:themeColor="text1"/>
              </w:rPr>
            </w:pPr>
            <w:r>
              <w:rPr>
                <w:rFonts w:ascii="Times New Roman" w:hAnsi="Times New Roman" w:cs="Times New Roman"/>
                <w:noProof/>
              </w:rPr>
              <w:t xml:space="preserve">Se instituie </w:t>
            </w:r>
            <w:r>
              <w:rPr>
                <w:rFonts w:ascii="Times New Roman" w:eastAsia="Calibri" w:hAnsi="Times New Roman" w:cs="Times New Roman"/>
                <w:noProof/>
                <w:color w:val="000000" w:themeColor="text1"/>
              </w:rPr>
              <w:t>un nou fond de garantare „umbrelă”, care vizează întreprinderile cu capitalizare medie și întreprinderile mari, pentru a emite garanții individuale sau de portofoliu pentru împrumuturile pentru investiții și împrumuturile pentru capital circulant necesare pentru punerea în aplicare a investițiilor și dezvoltarea întreprinderilor cu capitalizare medie și a entităților mari. Alocarea totală pentru fondul de garantare umbrelă se ridică la 59 633 685 EUR.</w:t>
            </w:r>
            <w:r>
              <w:rPr>
                <w:rFonts w:ascii="Times New Roman" w:hAnsi="Times New Roman" w:cs="Times New Roman"/>
                <w:noProof/>
              </w:rPr>
              <w:br/>
            </w:r>
            <w:r>
              <w:rPr>
                <w:rFonts w:ascii="Times New Roman" w:eastAsia="Calibri" w:hAnsi="Times New Roman" w:cs="Times New Roman"/>
                <w:noProof/>
                <w:color w:val="000000" w:themeColor="text1"/>
              </w:rPr>
              <w:t>Orice fonduri neutilizate sau restituiri de la acest instrument, prin rambursarea capitalului, se utilizează în scopuri similare și cu aceleași condiții de eligibilitate în ceea ce privește impactul asupra mediului.</w:t>
            </w:r>
            <w:r>
              <w:rPr>
                <w:rFonts w:ascii="Times New Roman" w:hAnsi="Times New Roman" w:cs="Times New Roman"/>
                <w:noProof/>
              </w:rPr>
              <w:br/>
            </w:r>
            <w:r>
              <w:rPr>
                <w:rFonts w:ascii="Times New Roman" w:eastAsia="Calibri" w:hAnsi="Times New Roman" w:cs="Times New Roman"/>
                <w:noProof/>
                <w:color w:val="000000" w:themeColor="text1"/>
              </w:rPr>
              <w:t>Se instituie un fond de subvenții la dobândă pentru împrumuturile acordate și comisioanele/primele emise pentru întreprinderile cu capitalizare medie și entitățile mari, cu o alocare totală de 46 544 562 EUR, pentru a stimula noi investiții și dezvoltarea întreprinderilor.</w:t>
            </w:r>
            <w:r>
              <w:rPr>
                <w:rFonts w:ascii="Times New Roman" w:hAnsi="Times New Roman" w:cs="Times New Roman"/>
                <w:noProof/>
              </w:rPr>
              <w:br/>
            </w:r>
            <w:r>
              <w:rPr>
                <w:rFonts w:ascii="Times New Roman" w:hAnsi="Times New Roman" w:cs="Times New Roman"/>
                <w:noProof/>
              </w:rPr>
              <w:br/>
            </w:r>
            <w:r>
              <w:rPr>
                <w:rFonts w:ascii="Times New Roman" w:eastAsia="Calibri" w:hAnsi="Times New Roman" w:cs="Times New Roman"/>
                <w:noProof/>
                <w:color w:val="000000" w:themeColor="text1"/>
              </w:rPr>
              <w:t xml:space="preserve">Măsurile propuse includ cooperarea cu intermediarii financiari (bănci și societăți de leasing) pentru a obține un efect de „atragere în sectorul privat”. </w:t>
            </w:r>
            <w:r>
              <w:rPr>
                <w:rFonts w:ascii="Times New Roman" w:hAnsi="Times New Roman" w:cs="Times New Roman"/>
                <w:noProof/>
              </w:rPr>
              <w:br/>
            </w:r>
            <w:r>
              <w:rPr>
                <w:rFonts w:ascii="Times New Roman" w:eastAsia="Calibri" w:hAnsi="Times New Roman" w:cs="Times New Roman"/>
                <w:noProof/>
                <w:color w:val="000000" w:themeColor="text1"/>
              </w:rPr>
              <w:t>Ambele instrumente financiare asigură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r>
              <w:rPr>
                <w:rFonts w:ascii="Times New Roman" w:hAnsi="Times New Roman" w:cs="Times New Roman"/>
                <w:noProof/>
              </w:rPr>
              <w:br/>
            </w:r>
            <w:r>
              <w:rPr>
                <w:rFonts w:ascii="Times New Roman" w:eastAsia="Calibri" w:hAnsi="Times New Roman" w:cs="Times New Roman"/>
                <w:noProof/>
                <w:color w:val="000000" w:themeColor="text1"/>
              </w:rPr>
              <w:t>Această măsură nu sprijină investițiile în instalațiile care intră în domeniul de aplicare al schemei UE de comercializare a certificatelor de emisii (ETS).</w:t>
            </w:r>
            <w:r>
              <w:rPr>
                <w:rFonts w:ascii="Times New Roman" w:hAnsi="Times New Roman" w:cs="Times New Roman"/>
                <w:noProof/>
              </w:rPr>
              <w:br/>
            </w:r>
            <w:r>
              <w:rPr>
                <w:rFonts w:ascii="Times New Roman" w:eastAsia="Calibri" w:hAnsi="Times New Roman" w:cs="Times New Roman"/>
                <w:noProof/>
                <w:color w:val="000000" w:themeColor="text1"/>
              </w:rPr>
              <w:t xml:space="preserve">Beneficiarii care au obținut peste 10 % din veniturile lor în cursul exercițiului financiar precedent din activități sau active incluse în lista de excludere adoptă și publică planuri pentru tranziția verde. </w:t>
            </w:r>
            <w:r>
              <w:rPr>
                <w:rFonts w:ascii="Times New Roman" w:hAnsi="Times New Roman" w:cs="Times New Roman"/>
                <w:noProof/>
              </w:rPr>
              <w:br/>
            </w:r>
            <w:r>
              <w:rPr>
                <w:rFonts w:ascii="Times New Roman" w:eastAsia="Calibri" w:hAnsi="Times New Roman" w:cs="Times New Roman"/>
                <w:noProof/>
                <w:color w:val="000000" w:themeColor="text1"/>
              </w:rPr>
              <w:t xml:space="preserve">Din valoarea totală a măsurii: </w:t>
            </w:r>
            <w:r>
              <w:rPr>
                <w:rFonts w:ascii="Times New Roman" w:hAnsi="Times New Roman" w:cs="Times New Roman"/>
                <w:noProof/>
              </w:rPr>
              <w:br/>
            </w:r>
            <w:r>
              <w:rPr>
                <w:rFonts w:ascii="Times New Roman" w:eastAsia="Calibri" w:hAnsi="Times New Roman" w:cs="Times New Roman"/>
                <w:noProof/>
                <w:color w:val="000000" w:themeColor="text1"/>
              </w:rPr>
              <w:t xml:space="preserve">(I) se alocă minimum 26 544 562 EUR pentru sprijinirea proceselor de producție ecologice și a utilizării eficiente a resurselor în întreprinderile cu capitalizare medie și în întreprinderile mari, preconizându-se că cel puțin 10 617 824 EUR vor fi alocați pentru reducerea emisiilor de gaze cu efect de seră; </w:t>
            </w:r>
            <w:r>
              <w:rPr>
                <w:rFonts w:ascii="Times New Roman" w:hAnsi="Times New Roman" w:cs="Times New Roman"/>
                <w:noProof/>
              </w:rPr>
              <w:br/>
            </w:r>
            <w:r>
              <w:rPr>
                <w:rFonts w:ascii="Times New Roman" w:eastAsia="Calibri" w:hAnsi="Times New Roman" w:cs="Times New Roman"/>
                <w:noProof/>
                <w:color w:val="000000" w:themeColor="text1"/>
              </w:rPr>
              <w:t>(II) 79 633 685 EUR se alocă investițiilor care vizează consolidarea competitivității și a rezilienței.</w:t>
            </w:r>
          </w:p>
          <w:p w14:paraId="3F012574" w14:textId="77777777" w:rsidR="00FA7C11" w:rsidRDefault="00D84965">
            <w:pPr>
              <w:pStyle w:val="P68B1DB1-Normal66"/>
              <w:spacing w:line="240" w:lineRule="auto"/>
              <w:jc w:val="both"/>
              <w:rPr>
                <w:noProof/>
              </w:rPr>
            </w:pPr>
            <w:r>
              <w:rPr>
                <w:noProof/>
              </w:rPr>
              <w:t>Instrumentele financiare se utilizează pentru investiții în tehnologii noi, actualizate și avansate (mașini și echipamente), în extinderea și consolidarea capacității comerciale (extinderea instalațiilor și capacităților de producție și de servicii), acordându-se prioritate proiectelor din domeniul energiei din surse regenerabile, al eficienței energetice, al economiei circulare, al protecției mediului, al digitalizării proceselor de producție, de achiziții publice și de vânzare.</w:t>
            </w:r>
          </w:p>
        </w:tc>
      </w:tr>
      <w:tr w:rsidR="00FA7C11" w14:paraId="4A1225C4"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5B525FEF" w14:textId="77777777" w:rsidR="00FA7C11" w:rsidRDefault="00D84965">
            <w:pPr>
              <w:pStyle w:val="P68B1DB1-Normal66"/>
              <w:spacing w:line="240" w:lineRule="auto"/>
              <w:jc w:val="center"/>
              <w:rPr>
                <w:noProof/>
              </w:rPr>
            </w:pPr>
            <w:r>
              <w:rPr>
                <w:noProof/>
              </w:rPr>
              <w:t>20</w:t>
            </w:r>
          </w:p>
        </w:tc>
        <w:tc>
          <w:tcPr>
            <w:tcW w:w="1205" w:type="dxa"/>
            <w:tcBorders>
              <w:top w:val="single" w:sz="4" w:space="0" w:color="auto"/>
              <w:left w:val="nil"/>
              <w:bottom w:val="single" w:sz="4" w:space="0" w:color="auto"/>
              <w:right w:val="single" w:sz="4" w:space="0" w:color="auto"/>
            </w:tcBorders>
            <w:shd w:val="clear" w:color="auto" w:fill="C6EFCE"/>
          </w:tcPr>
          <w:p w14:paraId="023740C6" w14:textId="77777777" w:rsidR="00FA7C11" w:rsidRDefault="00D84965">
            <w:pPr>
              <w:pStyle w:val="P68B1DB1-Normal66"/>
              <w:spacing w:line="240" w:lineRule="auto"/>
              <w:rPr>
                <w:noProof/>
              </w:rPr>
            </w:pPr>
            <w:r>
              <w:rPr>
                <w:noProof/>
              </w:rPr>
              <w:t>C1.1.1. R4-I3</w:t>
            </w:r>
          </w:p>
        </w:tc>
        <w:tc>
          <w:tcPr>
            <w:tcW w:w="1022" w:type="dxa"/>
            <w:tcBorders>
              <w:top w:val="single" w:sz="4" w:space="0" w:color="auto"/>
              <w:left w:val="nil"/>
              <w:bottom w:val="single" w:sz="4" w:space="0" w:color="auto"/>
              <w:right w:val="single" w:sz="4" w:space="0" w:color="auto"/>
            </w:tcBorders>
            <w:shd w:val="clear" w:color="auto" w:fill="C6EFCE"/>
          </w:tcPr>
          <w:p w14:paraId="1CBCA374"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0BD7637A" w14:textId="77777777" w:rsidR="00FA7C11" w:rsidRDefault="00D84965">
            <w:pPr>
              <w:pStyle w:val="P68B1DB1-Normal66"/>
              <w:spacing w:line="240" w:lineRule="auto"/>
              <w:rPr>
                <w:noProof/>
              </w:rPr>
            </w:pPr>
            <w:r>
              <w:rPr>
                <w:noProof/>
              </w:rPr>
              <w:t>Numărul de proiecte acordate întreprinderilor cu capitalizare medie și întreprinderilor mari</w:t>
            </w:r>
          </w:p>
        </w:tc>
        <w:tc>
          <w:tcPr>
            <w:tcW w:w="1555" w:type="dxa"/>
            <w:tcBorders>
              <w:top w:val="single" w:sz="4" w:space="0" w:color="auto"/>
              <w:left w:val="nil"/>
              <w:bottom w:val="single" w:sz="4" w:space="0" w:color="auto"/>
              <w:right w:val="single" w:sz="4" w:space="0" w:color="auto"/>
            </w:tcBorders>
            <w:shd w:val="clear" w:color="auto" w:fill="C6EFCE"/>
          </w:tcPr>
          <w:p w14:paraId="610FEAA1"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3AA8FBE1"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7FD3B4F6"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77D2337B" w14:textId="77777777" w:rsidR="00FA7C11" w:rsidRDefault="00D84965">
            <w:pPr>
              <w:pStyle w:val="P68B1DB1-Normal66"/>
              <w:spacing w:line="240" w:lineRule="auto"/>
              <w:jc w:val="center"/>
              <w:rPr>
                <w:noProof/>
              </w:rPr>
            </w:pPr>
            <w:r>
              <w:rPr>
                <w:noProof/>
              </w:rPr>
              <w:t>75</w:t>
            </w:r>
          </w:p>
        </w:tc>
        <w:tc>
          <w:tcPr>
            <w:tcW w:w="756" w:type="dxa"/>
            <w:tcBorders>
              <w:top w:val="single" w:sz="4" w:space="0" w:color="auto"/>
              <w:left w:val="nil"/>
              <w:bottom w:val="single" w:sz="4" w:space="0" w:color="auto"/>
              <w:right w:val="single" w:sz="4" w:space="0" w:color="auto"/>
            </w:tcBorders>
            <w:shd w:val="clear" w:color="auto" w:fill="C6EFCE"/>
          </w:tcPr>
          <w:p w14:paraId="560DE819"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6E8DEF01"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5616F718" w14:textId="11B1FABC" w:rsidR="00FA7C11" w:rsidRDefault="00D84965">
            <w:pPr>
              <w:pStyle w:val="P68B1DB1-Normal66"/>
              <w:spacing w:line="240" w:lineRule="auto"/>
              <w:jc w:val="both"/>
              <w:rPr>
                <w:noProof/>
              </w:rPr>
            </w:pPr>
            <w:r>
              <w:rPr>
                <w:noProof/>
              </w:rPr>
              <w:t>Cel puțin 75 de proiecte (în valoare totală de cel puțin 331 807 021 EUR) ale întreprinderilor cu capitalizare medie și ale entităților mari sprijinite de garanții/subvenții din MRR ale fondului de garantare pentru investiții și fonduri de lucru pentru proiecte.</w:t>
            </w:r>
          </w:p>
        </w:tc>
      </w:tr>
      <w:tr w:rsidR="00FA7C11" w14:paraId="5473722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353FA612" w14:textId="77777777" w:rsidR="00FA7C11" w:rsidRDefault="00D84965">
            <w:pPr>
              <w:pStyle w:val="P68B1DB1-Normal66"/>
              <w:spacing w:line="240" w:lineRule="auto"/>
              <w:jc w:val="center"/>
              <w:rPr>
                <w:noProof/>
              </w:rPr>
            </w:pPr>
            <w:r>
              <w:rPr>
                <w:noProof/>
              </w:rPr>
              <w:t>21</w:t>
            </w:r>
          </w:p>
        </w:tc>
        <w:tc>
          <w:tcPr>
            <w:tcW w:w="1205" w:type="dxa"/>
            <w:tcBorders>
              <w:top w:val="single" w:sz="4" w:space="0" w:color="auto"/>
              <w:left w:val="nil"/>
              <w:bottom w:val="single" w:sz="4" w:space="0" w:color="auto"/>
              <w:right w:val="single" w:sz="4" w:space="0" w:color="auto"/>
            </w:tcBorders>
            <w:shd w:val="clear" w:color="auto" w:fill="C6EFCE"/>
          </w:tcPr>
          <w:p w14:paraId="65D2E085" w14:textId="77777777" w:rsidR="00FA7C11" w:rsidRDefault="00D84965">
            <w:pPr>
              <w:pStyle w:val="P68B1DB1-Normal66"/>
              <w:spacing w:line="240" w:lineRule="auto"/>
              <w:rPr>
                <w:noProof/>
              </w:rPr>
            </w:pPr>
            <w:r>
              <w:rPr>
                <w:noProof/>
              </w:rPr>
              <w:t>C1.1.1. R4-I4</w:t>
            </w:r>
          </w:p>
        </w:tc>
        <w:tc>
          <w:tcPr>
            <w:tcW w:w="1022" w:type="dxa"/>
            <w:tcBorders>
              <w:top w:val="single" w:sz="4" w:space="0" w:color="auto"/>
              <w:left w:val="nil"/>
              <w:bottom w:val="single" w:sz="4" w:space="0" w:color="auto"/>
              <w:right w:val="single" w:sz="4" w:space="0" w:color="auto"/>
            </w:tcBorders>
            <w:shd w:val="clear" w:color="auto" w:fill="C6EFCE"/>
          </w:tcPr>
          <w:p w14:paraId="65FC424E"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19888B12" w14:textId="14A981FA" w:rsidR="00FA7C11" w:rsidRDefault="00D84965">
            <w:pPr>
              <w:pStyle w:val="P68B1DB1-Normal66"/>
              <w:spacing w:line="240" w:lineRule="auto"/>
              <w:rPr>
                <w:noProof/>
              </w:rPr>
            </w:pPr>
            <w:r>
              <w:rPr>
                <w:noProof/>
              </w:rPr>
              <w:t>Instituirea unui instrument financiar pentru o finanțare mai favorabilă a entităților publice</w:t>
            </w:r>
          </w:p>
        </w:tc>
        <w:tc>
          <w:tcPr>
            <w:tcW w:w="1555" w:type="dxa"/>
            <w:tcBorders>
              <w:top w:val="single" w:sz="4" w:space="0" w:color="auto"/>
              <w:left w:val="nil"/>
              <w:bottom w:val="single" w:sz="4" w:space="0" w:color="auto"/>
              <w:right w:val="single" w:sz="4" w:space="0" w:color="auto"/>
            </w:tcBorders>
            <w:shd w:val="clear" w:color="auto" w:fill="C6EFCE"/>
          </w:tcPr>
          <w:p w14:paraId="264BF820" w14:textId="77777777" w:rsidR="00FA7C11" w:rsidRDefault="00D84965">
            <w:pPr>
              <w:pStyle w:val="P68B1DB1-Normal66"/>
              <w:spacing w:line="240" w:lineRule="auto"/>
              <w:rPr>
                <w:noProof/>
              </w:rPr>
            </w:pPr>
            <w:r>
              <w:rPr>
                <w:noProof/>
              </w:rPr>
              <w:t xml:space="preserve">Acord între ministerul competent (MINGOR sau MINFIN) și HBOR care conține criterii de eligibilitate și de compatibilitate pentru activitățile și beneficiarii măsurilor </w:t>
            </w:r>
          </w:p>
        </w:tc>
        <w:tc>
          <w:tcPr>
            <w:tcW w:w="1067" w:type="dxa"/>
            <w:tcBorders>
              <w:top w:val="single" w:sz="4" w:space="0" w:color="auto"/>
              <w:left w:val="nil"/>
              <w:bottom w:val="single" w:sz="4" w:space="0" w:color="auto"/>
              <w:right w:val="single" w:sz="4" w:space="0" w:color="auto"/>
            </w:tcBorders>
            <w:shd w:val="clear" w:color="auto" w:fill="C6EFCE"/>
          </w:tcPr>
          <w:p w14:paraId="4B7A9B26"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399ECB22"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BE3B863"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0A256A10"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58628ED9" w14:textId="77777777" w:rsidR="00FA7C11" w:rsidRDefault="00D84965">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580F0D06" w14:textId="0C5300E4" w:rsidR="00FA7C11" w:rsidRDefault="00D84965">
            <w:pPr>
              <w:pStyle w:val="P68B1DB1-Normal66"/>
              <w:spacing w:line="240" w:lineRule="auto"/>
              <w:rPr>
                <w:noProof/>
              </w:rPr>
            </w:pPr>
            <w:r>
              <w:rPr>
                <w:noProof/>
              </w:rPr>
              <w:t xml:space="preserve">Sprijin financiar pentru întreprinderile și instituțiile deținute de stat sau de unitățile administrației publice locale, regionale și regionale, în condiții favorabile pentru a stimula investițiile în (i) infrastructura economică, municipală, de transport și socială necesară și (ii) investițiile în noi tehnologii și sisteme necesare pentru a spori eficiența entităților din sectorul public, în vederea îmbunătățirii calității serviciilor publice și a reducerii costului finanțării din sectorul public. </w:t>
            </w:r>
            <w:r>
              <w:rPr>
                <w:noProof/>
              </w:rPr>
              <w:br/>
              <w:t>Măsura include, de asemenea, investiții în proiecte de tranziție verde ale sectorului public, cum ar fi adoptarea tehnologiilor verzi, introducerea modelelor de afaceri ale economiei circulare, sursele regenerabile de energie, eficiența energetică.</w:t>
            </w:r>
            <w:r>
              <w:rPr>
                <w:noProof/>
              </w:rPr>
              <w:br/>
              <w:t>Instrumentele financiare asigură conformitatea cu Orientările tehnice de „a nu prejudicia în mod semnificativ” (2021/C58/01) ale beneficiarilor care beneficiază de sprijin în cadrul acestei măsuri prin utilizarea evaluării durabilității, a cerinței de conformitate cu legislația UE și națională relevantă în materie de mediu și a cerinței ca beneficiarii care au obținut peste 10 % din veniturile lor în cursul exercițiului financiar precedent din activități sau active aflate pe lista de excludere să adopte și să publice planuri de tranziție verde.</w:t>
            </w:r>
            <w:r>
              <w:rPr>
                <w:noProof/>
              </w:rPr>
              <w:br/>
              <w:t>Această măsură nu sprijină investițiile în instalațiile care intră în domeniul de aplicare al schemei UE de comercializare a certificatelor de emisii (ETS).</w:t>
            </w:r>
            <w:r>
              <w:rPr>
                <w:noProof/>
              </w:rPr>
              <w:br/>
              <w:t xml:space="preserve">Din suma totală de 26 544 562 EUR (200 000 000 HRK) alocată măsurii: </w:t>
            </w:r>
            <w:r>
              <w:rPr>
                <w:noProof/>
              </w:rPr>
              <w:br/>
              <w:t xml:space="preserve">(I) minimum 7 963 368 EUR, sau 30 %, sunt destinați sprijinirii proceselor de producție ecologice și utilizării eficiente a resurselor în sectorul public, preconizându-se că cel puțin 3 185 347 EUR vor fi destinați reducerii emisiilor de gaze cu efect de seră; (II) 18 581 193 EUR se alocă investițiilor care vizează îmbunătățirea sustenabilității și a calității infrastructurii. Această distribuire a fondurilor este definită atât în contractul HBOR, cât și în contractele cu intermediarii financiari (bănci și societăți de leasing). </w:t>
            </w:r>
          </w:p>
        </w:tc>
      </w:tr>
      <w:tr w:rsidR="00FA7C11" w14:paraId="576C6466"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6BEE1262" w14:textId="77777777" w:rsidR="00FA7C11" w:rsidRDefault="00D84965">
            <w:pPr>
              <w:pStyle w:val="P68B1DB1-Normal66"/>
              <w:spacing w:line="240" w:lineRule="auto"/>
              <w:jc w:val="center"/>
              <w:rPr>
                <w:noProof/>
              </w:rPr>
            </w:pPr>
            <w:r>
              <w:rPr>
                <w:noProof/>
              </w:rPr>
              <w:t>22</w:t>
            </w:r>
          </w:p>
        </w:tc>
        <w:tc>
          <w:tcPr>
            <w:tcW w:w="1205" w:type="dxa"/>
            <w:tcBorders>
              <w:top w:val="single" w:sz="4" w:space="0" w:color="auto"/>
              <w:left w:val="nil"/>
              <w:bottom w:val="single" w:sz="4" w:space="0" w:color="auto"/>
              <w:right w:val="single" w:sz="4" w:space="0" w:color="auto"/>
            </w:tcBorders>
            <w:shd w:val="clear" w:color="auto" w:fill="C6EFCE"/>
          </w:tcPr>
          <w:p w14:paraId="274434DC" w14:textId="77777777" w:rsidR="00FA7C11" w:rsidRDefault="00D84965">
            <w:pPr>
              <w:pStyle w:val="P68B1DB1-Normal66"/>
              <w:spacing w:line="240" w:lineRule="auto"/>
              <w:rPr>
                <w:noProof/>
              </w:rPr>
            </w:pPr>
            <w:r>
              <w:rPr>
                <w:noProof/>
              </w:rPr>
              <w:t>C1.1.1. R4-I4</w:t>
            </w:r>
          </w:p>
        </w:tc>
        <w:tc>
          <w:tcPr>
            <w:tcW w:w="1022" w:type="dxa"/>
            <w:tcBorders>
              <w:top w:val="single" w:sz="4" w:space="0" w:color="auto"/>
              <w:left w:val="nil"/>
              <w:bottom w:val="single" w:sz="4" w:space="0" w:color="auto"/>
              <w:right w:val="single" w:sz="4" w:space="0" w:color="auto"/>
            </w:tcBorders>
            <w:shd w:val="clear" w:color="auto" w:fill="C6EFCE"/>
          </w:tcPr>
          <w:p w14:paraId="7EACAE1D"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41A098B4" w14:textId="77777777" w:rsidR="00FA7C11" w:rsidRDefault="00D84965">
            <w:pPr>
              <w:pStyle w:val="P68B1DB1-Normal66"/>
              <w:spacing w:line="240" w:lineRule="auto"/>
              <w:rPr>
                <w:noProof/>
              </w:rPr>
            </w:pPr>
            <w:r>
              <w:rPr>
                <w:noProof/>
              </w:rPr>
              <w:t>Credite acordate pentru proiecte din sectorul public</w:t>
            </w:r>
          </w:p>
        </w:tc>
        <w:tc>
          <w:tcPr>
            <w:tcW w:w="1555" w:type="dxa"/>
            <w:tcBorders>
              <w:top w:val="single" w:sz="4" w:space="0" w:color="auto"/>
              <w:left w:val="nil"/>
              <w:bottom w:val="single" w:sz="4" w:space="0" w:color="auto"/>
              <w:right w:val="single" w:sz="4" w:space="0" w:color="auto"/>
            </w:tcBorders>
            <w:shd w:val="clear" w:color="auto" w:fill="C6EFCE"/>
          </w:tcPr>
          <w:p w14:paraId="490F0922"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60DE2BBA"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46405842"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2D86C614" w14:textId="77777777" w:rsidR="00FA7C11" w:rsidRDefault="00D84965">
            <w:pPr>
              <w:pStyle w:val="P68B1DB1-Normal66"/>
              <w:spacing w:line="240" w:lineRule="auto"/>
              <w:jc w:val="center"/>
              <w:rPr>
                <w:noProof/>
              </w:rPr>
            </w:pPr>
            <w:r>
              <w:rPr>
                <w:noProof/>
              </w:rPr>
              <w:t>132 722 808</w:t>
            </w:r>
          </w:p>
        </w:tc>
        <w:tc>
          <w:tcPr>
            <w:tcW w:w="756" w:type="dxa"/>
            <w:tcBorders>
              <w:top w:val="single" w:sz="4" w:space="0" w:color="auto"/>
              <w:left w:val="nil"/>
              <w:bottom w:val="single" w:sz="4" w:space="0" w:color="auto"/>
              <w:right w:val="single" w:sz="4" w:space="0" w:color="auto"/>
            </w:tcBorders>
            <w:shd w:val="clear" w:color="auto" w:fill="C6EFCE"/>
          </w:tcPr>
          <w:p w14:paraId="2669A889"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3E735D3F"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6ACD0CAE" w14:textId="0EE0123F" w:rsidR="00FA7C11" w:rsidRDefault="00D84965">
            <w:pPr>
              <w:pStyle w:val="P68B1DB1-Normal66"/>
              <w:spacing w:line="240" w:lineRule="auto"/>
              <w:rPr>
                <w:noProof/>
              </w:rPr>
            </w:pPr>
            <w:r>
              <w:rPr>
                <w:noProof/>
              </w:rPr>
              <w:t xml:space="preserve">Acordarea de împrumuturi subvenționate de cel puțin 132 722 808 EUR de către HBOR pentru proiecte din sectorul public. </w:t>
            </w:r>
          </w:p>
        </w:tc>
      </w:tr>
      <w:tr w:rsidR="00FA7C11" w14:paraId="6AE2D911"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74547A30" w14:textId="77777777" w:rsidR="00FA7C11" w:rsidRDefault="00D84965">
            <w:pPr>
              <w:pStyle w:val="P68B1DB1-Normal66"/>
              <w:spacing w:line="240" w:lineRule="auto"/>
              <w:jc w:val="center"/>
              <w:rPr>
                <w:noProof/>
              </w:rPr>
            </w:pPr>
            <w:r>
              <w:rPr>
                <w:noProof/>
              </w:rPr>
              <w:t>444</w:t>
            </w:r>
          </w:p>
        </w:tc>
        <w:tc>
          <w:tcPr>
            <w:tcW w:w="1205" w:type="dxa"/>
            <w:tcBorders>
              <w:top w:val="single" w:sz="4" w:space="0" w:color="auto"/>
              <w:left w:val="nil"/>
              <w:bottom w:val="single" w:sz="4" w:space="0" w:color="auto"/>
              <w:right w:val="single" w:sz="4" w:space="0" w:color="auto"/>
            </w:tcBorders>
            <w:shd w:val="clear" w:color="auto" w:fill="C6EFCE"/>
          </w:tcPr>
          <w:p w14:paraId="67E07B2C" w14:textId="77777777" w:rsidR="00FA7C11" w:rsidRDefault="00D84965">
            <w:pPr>
              <w:pStyle w:val="P68B1DB1-Normal66"/>
              <w:spacing w:line="240" w:lineRule="auto"/>
              <w:rPr>
                <w:noProof/>
              </w:rPr>
            </w:pPr>
            <w:r>
              <w:rPr>
                <w:noProof/>
              </w:rPr>
              <w:t>C1.1.1. R4-I5</w:t>
            </w:r>
          </w:p>
        </w:tc>
        <w:tc>
          <w:tcPr>
            <w:tcW w:w="1022" w:type="dxa"/>
            <w:tcBorders>
              <w:top w:val="single" w:sz="4" w:space="0" w:color="auto"/>
              <w:left w:val="nil"/>
              <w:bottom w:val="single" w:sz="4" w:space="0" w:color="auto"/>
              <w:right w:val="single" w:sz="4" w:space="0" w:color="auto"/>
            </w:tcBorders>
            <w:shd w:val="clear" w:color="auto" w:fill="C6EFCE"/>
          </w:tcPr>
          <w:p w14:paraId="29E22B04"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6498FEBC" w14:textId="77777777" w:rsidR="00FA7C11" w:rsidRDefault="00D84965">
            <w:pPr>
              <w:pStyle w:val="P68B1DB1-Normal66"/>
              <w:spacing w:line="240" w:lineRule="auto"/>
              <w:rPr>
                <w:noProof/>
              </w:rPr>
            </w:pPr>
            <w:r>
              <w:rPr>
                <w:noProof/>
              </w:rPr>
              <w:t>Politica de investiții pentru investiții digitale strategice și investiții verzi strategice</w:t>
            </w:r>
          </w:p>
        </w:tc>
        <w:tc>
          <w:tcPr>
            <w:tcW w:w="1555" w:type="dxa"/>
            <w:tcBorders>
              <w:top w:val="single" w:sz="4" w:space="0" w:color="auto"/>
              <w:left w:val="nil"/>
              <w:bottom w:val="single" w:sz="4" w:space="0" w:color="auto"/>
              <w:right w:val="single" w:sz="4" w:space="0" w:color="auto"/>
            </w:tcBorders>
            <w:shd w:val="clear" w:color="auto" w:fill="C6EFCE"/>
          </w:tcPr>
          <w:p w14:paraId="5C715AAC" w14:textId="77777777" w:rsidR="00FA7C11" w:rsidRDefault="00D84965">
            <w:pPr>
              <w:pStyle w:val="P68B1DB1-Normal66"/>
              <w:spacing w:line="240" w:lineRule="auto"/>
              <w:rPr>
                <w:noProof/>
              </w:rPr>
            </w:pPr>
            <w:r>
              <w:rPr>
                <w:noProof/>
              </w:rPr>
              <w:t>Adoptarea unei politici de investiții</w:t>
            </w:r>
          </w:p>
        </w:tc>
        <w:tc>
          <w:tcPr>
            <w:tcW w:w="1067" w:type="dxa"/>
            <w:tcBorders>
              <w:top w:val="single" w:sz="4" w:space="0" w:color="auto"/>
              <w:left w:val="nil"/>
              <w:bottom w:val="single" w:sz="4" w:space="0" w:color="auto"/>
              <w:right w:val="single" w:sz="4" w:space="0" w:color="auto"/>
            </w:tcBorders>
            <w:shd w:val="clear" w:color="auto" w:fill="C6EFCE"/>
          </w:tcPr>
          <w:p w14:paraId="03B0534D" w14:textId="77777777" w:rsidR="00FA7C11" w:rsidRDefault="00FA7C11">
            <w:pPr>
              <w:spacing w:line="240" w:lineRule="auto"/>
              <w:jc w:val="center"/>
              <w:rPr>
                <w:rFonts w:ascii="Times New Roman" w:eastAsia="Calibri" w:hAnsi="Times New Roman" w:cs="Times New Roman"/>
                <w:noProof/>
                <w:color w:val="000000"/>
                <w:sz w:val="20"/>
                <w:szCs w:val="20"/>
              </w:rPr>
            </w:pPr>
          </w:p>
        </w:tc>
        <w:tc>
          <w:tcPr>
            <w:tcW w:w="1056" w:type="dxa"/>
            <w:tcBorders>
              <w:top w:val="single" w:sz="4" w:space="0" w:color="auto"/>
              <w:left w:val="nil"/>
              <w:bottom w:val="single" w:sz="4" w:space="0" w:color="auto"/>
              <w:right w:val="single" w:sz="4" w:space="0" w:color="auto"/>
            </w:tcBorders>
            <w:shd w:val="clear" w:color="auto" w:fill="C6EFCE"/>
          </w:tcPr>
          <w:p w14:paraId="1E786A25" w14:textId="77777777" w:rsidR="00FA7C11" w:rsidRDefault="00FA7C11">
            <w:pPr>
              <w:spacing w:line="240" w:lineRule="auto"/>
              <w:jc w:val="center"/>
              <w:rPr>
                <w:rFonts w:ascii="Times New Roman" w:eastAsia="Calibri" w:hAnsi="Times New Roman" w:cs="Times New Roman"/>
                <w:noProof/>
                <w:color w:val="000000"/>
                <w:sz w:val="20"/>
                <w:szCs w:val="20"/>
              </w:rPr>
            </w:pPr>
          </w:p>
        </w:tc>
        <w:tc>
          <w:tcPr>
            <w:tcW w:w="1056" w:type="dxa"/>
            <w:tcBorders>
              <w:top w:val="single" w:sz="4" w:space="0" w:color="auto"/>
              <w:left w:val="nil"/>
              <w:bottom w:val="single" w:sz="4" w:space="0" w:color="auto"/>
              <w:right w:val="single" w:sz="4" w:space="0" w:color="auto"/>
            </w:tcBorders>
            <w:shd w:val="clear" w:color="auto" w:fill="C6EFCE"/>
          </w:tcPr>
          <w:p w14:paraId="0C8CD7A0" w14:textId="77777777" w:rsidR="00FA7C11" w:rsidRDefault="00FA7C11">
            <w:pPr>
              <w:spacing w:line="240" w:lineRule="auto"/>
              <w:jc w:val="center"/>
              <w:rPr>
                <w:rFonts w:ascii="Times New Roman" w:eastAsia="Calibri" w:hAnsi="Times New Roman" w:cs="Times New Roman"/>
                <w:noProof/>
                <w:color w:val="000000"/>
                <w:sz w:val="20"/>
                <w:szCs w:val="20"/>
              </w:rPr>
            </w:pPr>
          </w:p>
        </w:tc>
        <w:tc>
          <w:tcPr>
            <w:tcW w:w="756" w:type="dxa"/>
            <w:tcBorders>
              <w:top w:val="single" w:sz="4" w:space="0" w:color="auto"/>
              <w:left w:val="nil"/>
              <w:bottom w:val="single" w:sz="4" w:space="0" w:color="auto"/>
              <w:right w:val="single" w:sz="4" w:space="0" w:color="auto"/>
            </w:tcBorders>
            <w:shd w:val="clear" w:color="auto" w:fill="C6EFCE"/>
          </w:tcPr>
          <w:p w14:paraId="1238C1DC"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tcPr>
          <w:p w14:paraId="2671D942" w14:textId="77777777" w:rsidR="00FA7C11" w:rsidRDefault="00D84965">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tcPr>
          <w:p w14:paraId="78A885A0" w14:textId="77777777" w:rsidR="00FA7C11" w:rsidRDefault="00D84965">
            <w:pPr>
              <w:pStyle w:val="P68B1DB1-Normal76"/>
              <w:spacing w:after="0" w:line="240" w:lineRule="auto"/>
              <w:jc w:val="both"/>
              <w:rPr>
                <w:noProof/>
              </w:rPr>
            </w:pPr>
            <w:r>
              <w:rPr>
                <w:noProof/>
              </w:rPr>
              <w:t>Adoptarea unei noi politici de investiții pentru HBOR pentru utilizarea capitalului propriu suplimentar.</w:t>
            </w:r>
          </w:p>
          <w:p w14:paraId="741B445B" w14:textId="77777777" w:rsidR="00FA7C11" w:rsidRDefault="00FA7C11">
            <w:pPr>
              <w:spacing w:after="0" w:line="240" w:lineRule="auto"/>
              <w:jc w:val="both"/>
              <w:rPr>
                <w:rFonts w:ascii="Times New Roman" w:eastAsia="Times New Roman" w:hAnsi="Times New Roman" w:cs="Times New Roman"/>
                <w:noProof/>
                <w:sz w:val="20"/>
                <w:szCs w:val="20"/>
              </w:rPr>
            </w:pPr>
          </w:p>
          <w:p w14:paraId="551A535D" w14:textId="77777777" w:rsidR="00FA7C11" w:rsidRDefault="00D84965">
            <w:pPr>
              <w:pStyle w:val="P68B1DB1-Normal76"/>
              <w:spacing w:after="0" w:line="240" w:lineRule="auto"/>
              <w:jc w:val="both"/>
              <w:rPr>
                <w:noProof/>
              </w:rPr>
            </w:pPr>
            <w:r>
              <w:rPr>
                <w:noProof/>
              </w:rPr>
              <w:t xml:space="preserve">Politica de investiții se asigură că 74 303 410 EUR din capitalul propriu suplimentar este dedicat sprijinirii investițiilor verzi strategice, aliniate la domeniile de intervenție cărora li s-a atribuit un coeficient climatic de 100 % în temeiul anexei VI la Regulamentul (UE) 2021/241, care </w:t>
            </w:r>
            <w:bookmarkStart w:id="4" w:name="_Hlk211363584"/>
            <w:r>
              <w:rPr>
                <w:noProof/>
              </w:rPr>
              <w:t>pot include, dar nu se limitează la sprijin</w:t>
            </w:r>
            <w:bookmarkEnd w:id="4"/>
            <w:r>
              <w:rPr>
                <w:noProof/>
              </w:rPr>
              <w:t xml:space="preserve"> pentru noi capacități de:</w:t>
            </w:r>
          </w:p>
          <w:p w14:paraId="6DFCFDCF" w14:textId="77777777" w:rsidR="00FA7C11" w:rsidRDefault="00D84965">
            <w:pPr>
              <w:pStyle w:val="P68B1DB1-ListParagraph77"/>
              <w:numPr>
                <w:ilvl w:val="0"/>
                <w:numId w:val="45"/>
              </w:numPr>
              <w:spacing w:after="0" w:line="240" w:lineRule="auto"/>
              <w:ind w:left="335" w:hanging="320"/>
              <w:jc w:val="both"/>
              <w:rPr>
                <w:noProof/>
              </w:rPr>
            </w:pPr>
            <w:r>
              <w:rPr>
                <w:noProof/>
              </w:rPr>
              <w:t>surse regenerabile de energie eoliană instalate și conectate la rețea. Proiectele hibride cu stocare a energiei sunt, de asemenea, eligibile.</w:t>
            </w:r>
          </w:p>
          <w:p w14:paraId="1DA1E50A" w14:textId="77777777" w:rsidR="00FA7C11" w:rsidRDefault="00D84965">
            <w:pPr>
              <w:pStyle w:val="P68B1DB1-ListParagraph77"/>
              <w:numPr>
                <w:ilvl w:val="0"/>
                <w:numId w:val="45"/>
              </w:numPr>
              <w:spacing w:after="0" w:line="240" w:lineRule="auto"/>
              <w:ind w:left="335" w:hanging="320"/>
              <w:jc w:val="both"/>
              <w:rPr>
                <w:noProof/>
              </w:rPr>
            </w:pPr>
            <w:r>
              <w:rPr>
                <w:noProof/>
              </w:rPr>
              <w:t>surse regenerabile de energie fotovoltaică instalate și conectate la rețea. Proiectele hibride cu stocare a energiei sunt, de asemenea, eligibile.</w:t>
            </w:r>
          </w:p>
          <w:p w14:paraId="66DC6767" w14:textId="77777777" w:rsidR="00FA7C11" w:rsidRDefault="00D84965">
            <w:pPr>
              <w:pStyle w:val="P68B1DB1-ListParagraph77"/>
              <w:numPr>
                <w:ilvl w:val="0"/>
                <w:numId w:val="45"/>
              </w:numPr>
              <w:spacing w:after="0" w:line="240" w:lineRule="auto"/>
              <w:ind w:left="335" w:hanging="320"/>
              <w:jc w:val="both"/>
              <w:rPr>
                <w:noProof/>
              </w:rPr>
            </w:pPr>
            <w:r>
              <w:rPr>
                <w:noProof/>
              </w:rPr>
              <w:t>surse regenerabile de energie instalate și conectate la rețea (excluzând energia eoliană fotovoltaică, dar incluzând energia geotermală). În cazul energiei geotermale, forajul nu include explorarea sau extracția de petrol sau gaze. Nu trebuie să existe echipamente achiziționate sau utilizate în astfel de scopuri. Se asigură faptul că emisiile de metan sunt reduse la minimum și rămân cu mult sub pragul de 20,000 de tone de echivalent CO2/an. De asemenea, se asigură faptul că forajul geotermal nu are niciun impact dăunător asupra deficitului de apă și a calității apei.</w:t>
            </w:r>
          </w:p>
          <w:p w14:paraId="3077D228" w14:textId="77777777" w:rsidR="00FA7C11" w:rsidRDefault="00FA7C11">
            <w:pPr>
              <w:spacing w:after="0" w:line="240" w:lineRule="auto"/>
              <w:jc w:val="both"/>
              <w:rPr>
                <w:rFonts w:ascii="Times New Roman" w:eastAsia="Times New Roman" w:hAnsi="Times New Roman" w:cs="Times New Roman"/>
                <w:noProof/>
                <w:sz w:val="20"/>
                <w:szCs w:val="20"/>
              </w:rPr>
            </w:pPr>
          </w:p>
          <w:p w14:paraId="7FC6060B" w14:textId="43404845" w:rsidR="00FA7C11" w:rsidRDefault="00D84965">
            <w:pPr>
              <w:pStyle w:val="P68B1DB1-Normal76"/>
              <w:spacing w:after="0" w:line="240" w:lineRule="auto"/>
              <w:jc w:val="both"/>
              <w:rPr>
                <w:rFonts w:eastAsia="Calibri"/>
                <w:noProof/>
                <w:color w:val="000000"/>
              </w:rPr>
            </w:pPr>
            <w:r>
              <w:rPr>
                <w:noProof/>
              </w:rPr>
              <w:t>Politica de investiții se asigură că 203 094 958 EUR din capitalul propriu suplimentar este dedicat sprijinirii investițiilor digitale strategice, aliniate la domeniile de intervenție cărora li s-a atribuit un coeficient digital de 100 % în temeiul anexei VI la Regulamentul (UE) 2021/241, care pot include, dar nu se limitează la sprijin pentru digitalizarea întreprinderilor, inclusiv comerțul electronic, activitățile economice electronice și procesele economice în rețea, centrele de inovare digitală, laboratoarele vii, antreprenorii web și start-upurile din domeniul TIC, B2B.</w:t>
            </w:r>
          </w:p>
        </w:tc>
      </w:tr>
      <w:tr w:rsidR="00FA7C11" w14:paraId="4E5078A2"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1BAE51CC" w14:textId="77777777" w:rsidR="00FA7C11" w:rsidRDefault="00D84965">
            <w:pPr>
              <w:pStyle w:val="P68B1DB1-Normal66"/>
              <w:spacing w:line="240" w:lineRule="auto"/>
              <w:rPr>
                <w:noProof/>
              </w:rPr>
            </w:pPr>
            <w:r>
              <w:rPr>
                <w:noProof/>
              </w:rPr>
              <w:t>445</w:t>
            </w:r>
          </w:p>
        </w:tc>
        <w:tc>
          <w:tcPr>
            <w:tcW w:w="1205" w:type="dxa"/>
            <w:tcBorders>
              <w:top w:val="single" w:sz="4" w:space="0" w:color="auto"/>
              <w:left w:val="nil"/>
              <w:bottom w:val="single" w:sz="4" w:space="0" w:color="auto"/>
              <w:right w:val="single" w:sz="4" w:space="0" w:color="auto"/>
            </w:tcBorders>
            <w:shd w:val="clear" w:color="auto" w:fill="C6EFCE"/>
          </w:tcPr>
          <w:p w14:paraId="0984B2E3" w14:textId="77777777" w:rsidR="00FA7C11" w:rsidRDefault="00D84965">
            <w:pPr>
              <w:pStyle w:val="P68B1DB1-Normal66"/>
              <w:spacing w:line="240" w:lineRule="auto"/>
              <w:rPr>
                <w:noProof/>
              </w:rPr>
            </w:pPr>
            <w:r>
              <w:rPr>
                <w:noProof/>
              </w:rPr>
              <w:t>C1.1.1. R4-I5</w:t>
            </w:r>
          </w:p>
        </w:tc>
        <w:tc>
          <w:tcPr>
            <w:tcW w:w="1022" w:type="dxa"/>
            <w:tcBorders>
              <w:top w:val="single" w:sz="4" w:space="0" w:color="auto"/>
              <w:left w:val="nil"/>
              <w:bottom w:val="single" w:sz="4" w:space="0" w:color="auto"/>
              <w:right w:val="single" w:sz="4" w:space="0" w:color="auto"/>
            </w:tcBorders>
            <w:shd w:val="clear" w:color="auto" w:fill="C6EFCE"/>
          </w:tcPr>
          <w:p w14:paraId="42CF75A6"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2BE12A36" w14:textId="77777777" w:rsidR="00FA7C11" w:rsidRDefault="00D84965">
            <w:pPr>
              <w:pStyle w:val="P68B1DB1-Normal66"/>
              <w:spacing w:line="240" w:lineRule="auto"/>
              <w:rPr>
                <w:noProof/>
              </w:rPr>
            </w:pPr>
            <w:r>
              <w:rPr>
                <w:noProof/>
              </w:rPr>
              <w:t>Injecție de capital pentru investiții digitale strategice și investiții verzi strategice</w:t>
            </w:r>
          </w:p>
        </w:tc>
        <w:tc>
          <w:tcPr>
            <w:tcW w:w="1555" w:type="dxa"/>
            <w:tcBorders>
              <w:top w:val="single" w:sz="4" w:space="0" w:color="auto"/>
              <w:left w:val="nil"/>
              <w:bottom w:val="single" w:sz="4" w:space="0" w:color="auto"/>
              <w:right w:val="single" w:sz="4" w:space="0" w:color="auto"/>
            </w:tcBorders>
            <w:shd w:val="clear" w:color="auto" w:fill="C6EFCE"/>
          </w:tcPr>
          <w:p w14:paraId="781D2956" w14:textId="77777777" w:rsidR="00FA7C11" w:rsidRDefault="00D84965">
            <w:pPr>
              <w:pStyle w:val="P68B1DB1-Normal66"/>
              <w:spacing w:line="240" w:lineRule="auto"/>
              <w:rPr>
                <w:noProof/>
              </w:rPr>
            </w:pPr>
            <w:r>
              <w:rPr>
                <w:noProof/>
              </w:rPr>
              <w:t xml:space="preserve">Certificatul de transfer </w:t>
            </w:r>
          </w:p>
        </w:tc>
        <w:tc>
          <w:tcPr>
            <w:tcW w:w="1067" w:type="dxa"/>
            <w:tcBorders>
              <w:top w:val="single" w:sz="4" w:space="0" w:color="auto"/>
              <w:left w:val="nil"/>
              <w:bottom w:val="single" w:sz="4" w:space="0" w:color="auto"/>
              <w:right w:val="single" w:sz="4" w:space="0" w:color="auto"/>
            </w:tcBorders>
            <w:shd w:val="clear" w:color="auto" w:fill="C6EFCE"/>
          </w:tcPr>
          <w:p w14:paraId="11C7D2A3" w14:textId="77777777" w:rsidR="00FA7C11" w:rsidRDefault="00FA7C11">
            <w:pPr>
              <w:spacing w:line="240" w:lineRule="auto"/>
              <w:jc w:val="center"/>
              <w:rPr>
                <w:rFonts w:ascii="Times New Roman" w:eastAsia="Calibri" w:hAnsi="Times New Roman" w:cs="Times New Roman"/>
                <w:noProof/>
                <w:color w:val="000000"/>
                <w:sz w:val="20"/>
                <w:szCs w:val="20"/>
              </w:rPr>
            </w:pPr>
          </w:p>
        </w:tc>
        <w:tc>
          <w:tcPr>
            <w:tcW w:w="1056" w:type="dxa"/>
            <w:tcBorders>
              <w:top w:val="single" w:sz="4" w:space="0" w:color="auto"/>
              <w:left w:val="nil"/>
              <w:bottom w:val="single" w:sz="4" w:space="0" w:color="auto"/>
              <w:right w:val="single" w:sz="4" w:space="0" w:color="auto"/>
            </w:tcBorders>
            <w:shd w:val="clear" w:color="auto" w:fill="C6EFCE"/>
          </w:tcPr>
          <w:p w14:paraId="39E87D93" w14:textId="77777777" w:rsidR="00FA7C11" w:rsidRDefault="00FA7C11">
            <w:pPr>
              <w:spacing w:line="240" w:lineRule="auto"/>
              <w:jc w:val="center"/>
              <w:rPr>
                <w:rFonts w:ascii="Times New Roman" w:eastAsia="Calibri" w:hAnsi="Times New Roman" w:cs="Times New Roman"/>
                <w:noProof/>
                <w:color w:val="000000"/>
                <w:sz w:val="20"/>
                <w:szCs w:val="20"/>
              </w:rPr>
            </w:pPr>
          </w:p>
        </w:tc>
        <w:tc>
          <w:tcPr>
            <w:tcW w:w="1056" w:type="dxa"/>
            <w:tcBorders>
              <w:top w:val="single" w:sz="4" w:space="0" w:color="auto"/>
              <w:left w:val="nil"/>
              <w:bottom w:val="single" w:sz="4" w:space="0" w:color="auto"/>
              <w:right w:val="single" w:sz="4" w:space="0" w:color="auto"/>
            </w:tcBorders>
            <w:shd w:val="clear" w:color="auto" w:fill="C6EFCE"/>
          </w:tcPr>
          <w:p w14:paraId="27263962" w14:textId="77777777" w:rsidR="00FA7C11" w:rsidRDefault="00FA7C11">
            <w:pPr>
              <w:spacing w:line="240" w:lineRule="auto"/>
              <w:jc w:val="center"/>
              <w:rPr>
                <w:rFonts w:ascii="Times New Roman" w:eastAsia="Calibri" w:hAnsi="Times New Roman" w:cs="Times New Roman"/>
                <w:noProof/>
                <w:color w:val="000000"/>
                <w:sz w:val="20"/>
                <w:szCs w:val="20"/>
              </w:rPr>
            </w:pPr>
          </w:p>
        </w:tc>
        <w:tc>
          <w:tcPr>
            <w:tcW w:w="756" w:type="dxa"/>
            <w:tcBorders>
              <w:top w:val="single" w:sz="4" w:space="0" w:color="auto"/>
              <w:left w:val="nil"/>
              <w:bottom w:val="single" w:sz="4" w:space="0" w:color="auto"/>
              <w:right w:val="single" w:sz="4" w:space="0" w:color="auto"/>
            </w:tcBorders>
            <w:shd w:val="clear" w:color="auto" w:fill="C6EFCE"/>
          </w:tcPr>
          <w:p w14:paraId="00743B4C"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06138C28"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36F4A131" w14:textId="23EC70EE" w:rsidR="00FA7C11" w:rsidRDefault="00D84965">
            <w:pPr>
              <w:pStyle w:val="P68B1DB1-Normal66"/>
              <w:spacing w:line="240" w:lineRule="auto"/>
              <w:rPr>
                <w:noProof/>
              </w:rPr>
            </w:pPr>
            <w:r>
              <w:rPr>
                <w:noProof/>
              </w:rPr>
              <w:t>Croația transferă 277 398 368 EUR către HBOR pentru a-și majora capitalul propriu.</w:t>
            </w:r>
          </w:p>
          <w:p w14:paraId="61D89EC9" w14:textId="77777777" w:rsidR="00FA7C11" w:rsidRDefault="00D84965">
            <w:pPr>
              <w:pStyle w:val="P68B1DB1-Normal66"/>
              <w:spacing w:line="240" w:lineRule="auto"/>
              <w:rPr>
                <w:noProof/>
              </w:rPr>
            </w:pPr>
            <w:r>
              <w:rPr>
                <w:noProof/>
              </w:rPr>
              <w:t>Pe lângă injecția de capital în HBOR, care constituie investiția MRR, Croația transmite un raport în care prezintă acțiunile întreprinse de HBOR până la 31 august 2026 pentru a pune în aplicare politica de investiții, inclusiv măsurile luate pentru punerea în aplicare a produselor financiare pe care se preconizează că le va sprijini inițial capitalul propriu suplimentar, precum și măsurile preconizate a fi luate pentru punerea în aplicare în continuare a produselor respective.</w:t>
            </w:r>
          </w:p>
        </w:tc>
      </w:tr>
      <w:tr w:rsidR="00FA7C11" w14:paraId="3BBBD83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0030C31C" w14:textId="77777777" w:rsidR="00FA7C11" w:rsidRDefault="00D84965">
            <w:pPr>
              <w:pStyle w:val="P68B1DB1-Normal66"/>
              <w:spacing w:line="240" w:lineRule="auto"/>
              <w:jc w:val="center"/>
              <w:rPr>
                <w:noProof/>
              </w:rPr>
            </w:pPr>
            <w:r>
              <w:rPr>
                <w:noProof/>
              </w:rPr>
              <w:t>23</w:t>
            </w:r>
          </w:p>
        </w:tc>
        <w:tc>
          <w:tcPr>
            <w:tcW w:w="1205" w:type="dxa"/>
            <w:tcBorders>
              <w:top w:val="single" w:sz="4" w:space="0" w:color="auto"/>
              <w:left w:val="nil"/>
              <w:bottom w:val="single" w:sz="4" w:space="0" w:color="auto"/>
              <w:right w:val="single" w:sz="4" w:space="0" w:color="auto"/>
            </w:tcBorders>
            <w:shd w:val="clear" w:color="auto" w:fill="C6EFCE"/>
          </w:tcPr>
          <w:p w14:paraId="69B9BDFE" w14:textId="77777777" w:rsidR="00FA7C11" w:rsidRDefault="00D84965">
            <w:pPr>
              <w:pStyle w:val="P68B1DB1-Normal66"/>
              <w:spacing w:line="240" w:lineRule="auto"/>
              <w:rPr>
                <w:noProof/>
              </w:rPr>
            </w:pPr>
            <w:r>
              <w:rPr>
                <w:noProof/>
              </w:rPr>
              <w:t>C1.1.1. R5-I1</w:t>
            </w:r>
          </w:p>
        </w:tc>
        <w:tc>
          <w:tcPr>
            <w:tcW w:w="1022" w:type="dxa"/>
            <w:tcBorders>
              <w:top w:val="single" w:sz="4" w:space="0" w:color="auto"/>
              <w:left w:val="nil"/>
              <w:bottom w:val="single" w:sz="4" w:space="0" w:color="auto"/>
              <w:right w:val="single" w:sz="4" w:space="0" w:color="auto"/>
            </w:tcBorders>
            <w:shd w:val="clear" w:color="auto" w:fill="C6EFCE"/>
          </w:tcPr>
          <w:p w14:paraId="15BABBA7"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37BDB9A1" w14:textId="77777777" w:rsidR="00FA7C11" w:rsidRDefault="00D84965">
            <w:pPr>
              <w:pStyle w:val="P68B1DB1-Normal66"/>
              <w:spacing w:line="240" w:lineRule="auto"/>
              <w:rPr>
                <w:noProof/>
              </w:rPr>
            </w:pPr>
            <w:r>
              <w:rPr>
                <w:noProof/>
              </w:rPr>
              <w:t xml:space="preserve">Crearea unui instrument de finanțare prin capitaluri proprii și cvasicapitaluri (PE) </w:t>
            </w:r>
          </w:p>
        </w:tc>
        <w:tc>
          <w:tcPr>
            <w:tcW w:w="1555" w:type="dxa"/>
            <w:tcBorders>
              <w:top w:val="single" w:sz="4" w:space="0" w:color="auto"/>
              <w:left w:val="nil"/>
              <w:bottom w:val="single" w:sz="4" w:space="0" w:color="auto"/>
              <w:right w:val="single" w:sz="4" w:space="0" w:color="auto"/>
            </w:tcBorders>
            <w:shd w:val="clear" w:color="auto" w:fill="C6EFCE"/>
          </w:tcPr>
          <w:p w14:paraId="048725AA" w14:textId="77777777" w:rsidR="00FA7C11" w:rsidRDefault="00D84965">
            <w:pPr>
              <w:pStyle w:val="P68B1DB1-Normal66"/>
              <w:spacing w:line="240" w:lineRule="auto"/>
              <w:rPr>
                <w:noProof/>
              </w:rPr>
            </w:pPr>
            <w:r>
              <w:rPr>
                <w:noProof/>
              </w:rPr>
              <w:t>Acordul publicat între ministerul competent (MINGOR sau MINFIN) și HBOR pentru investiții în fonduri cu capital de risc, creșterea fondurilor de capital privat existente dezvoltate în cooperare cu FEI și/sau dezvoltarea de noi fonduri și/sau coinvestiții</w:t>
            </w:r>
          </w:p>
        </w:tc>
        <w:tc>
          <w:tcPr>
            <w:tcW w:w="1067" w:type="dxa"/>
            <w:tcBorders>
              <w:top w:val="single" w:sz="4" w:space="0" w:color="auto"/>
              <w:left w:val="nil"/>
              <w:bottom w:val="single" w:sz="4" w:space="0" w:color="auto"/>
              <w:right w:val="single" w:sz="4" w:space="0" w:color="auto"/>
            </w:tcBorders>
            <w:shd w:val="clear" w:color="auto" w:fill="C6EFCE"/>
          </w:tcPr>
          <w:p w14:paraId="4FBCABDF"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41A5DEF"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52925E15"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543037AD"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tcPr>
          <w:p w14:paraId="58D4BED7" w14:textId="77777777" w:rsidR="00FA7C11" w:rsidRDefault="00D84965">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74AA1385" w14:textId="77777777" w:rsidR="00FA7C11" w:rsidRDefault="00D84965">
            <w:pPr>
              <w:pStyle w:val="P68B1DB1-Normal66"/>
              <w:spacing w:line="240" w:lineRule="auto"/>
              <w:rPr>
                <w:noProof/>
              </w:rPr>
            </w:pPr>
            <w:r>
              <w:rPr>
                <w:noProof/>
              </w:rPr>
              <w:t xml:space="preserve">Ca parte a cooperării existente cu Fondul European de Investiții (FEI), HBOR instituie un instrument financiar care vizează creșterea sau atingerea dimensiunii maxime a fondurilor de capital privat și de capital de risc active pe piața croată și crearea de noi fonduri și/sau coinvestiții. </w:t>
            </w:r>
            <w:r>
              <w:rPr>
                <w:noProof/>
              </w:rPr>
              <w:br/>
              <w:t xml:space="preserve">Fondurile de investiții în societăți necotate și fondurile cu capital de risc se înființează cu participarea a 30 % din investitorii privați în raport cu dimensiunea vizată a fondului individual. </w:t>
            </w:r>
            <w:r>
              <w:rPr>
                <w:noProof/>
              </w:rPr>
              <w:br/>
              <w:t>Instrumentele financiare asigură conformitatea cu Orientările tehnice de „a nu prejudicia în mod semnificativ” (2021/C58/01) ale beneficiarilor care beneficiază de sprijin în cadrul acestei măsuri prin utilizarea evaluării durabilității, a cerinței de conformitate cu legislația UE și națională relevantă în materie de mediu și a cerinței ca beneficiarii care au obținut peste 10 % din veniturile lor în cursul exercițiului financiar precedent din activități sau active aflate pe lista de excludere să adopte și să publice planul pentru tranziția verde.</w:t>
            </w:r>
            <w:r>
              <w:rPr>
                <w:noProof/>
              </w:rPr>
              <w:br/>
              <w:t>Această măsură nu sprijină investițiile în instalațiile care intră în domeniul de aplicare al schemei UE de comercializare a certificatelor de emisii (ETS).</w:t>
            </w:r>
            <w:r>
              <w:rPr>
                <w:noProof/>
              </w:rPr>
              <w:br/>
              <w:t>Toate activitățile sunt direcționate către proiecte „viabile din punct de vedere financiar”, a căror viabilitate financiară este determinată de societățile de administrare a fondurilor în conformitate cu politicile de investiții stabilite de FEI și HBOR. La punerea în aplicare a investiției, HBOR se asigură că resursele sunt utilizate în conformitate cu limitele descrise în descrierea măsurii, precum și în lista de „excludere” descrisă în instrumentul financiar pentru IMM-uri, întreprinderi cu capitalizare medie și entități mari.</w:t>
            </w:r>
          </w:p>
        </w:tc>
      </w:tr>
      <w:tr w:rsidR="00FA7C11" w14:paraId="42DA2FB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30629C69" w14:textId="77777777" w:rsidR="00FA7C11" w:rsidRDefault="00D84965">
            <w:pPr>
              <w:pStyle w:val="P68B1DB1-Normal66"/>
              <w:spacing w:line="240" w:lineRule="auto"/>
              <w:jc w:val="center"/>
              <w:rPr>
                <w:noProof/>
              </w:rPr>
            </w:pPr>
            <w:r>
              <w:rPr>
                <w:noProof/>
              </w:rPr>
              <w:t>24</w:t>
            </w:r>
          </w:p>
        </w:tc>
        <w:tc>
          <w:tcPr>
            <w:tcW w:w="1205" w:type="dxa"/>
            <w:tcBorders>
              <w:top w:val="single" w:sz="4" w:space="0" w:color="auto"/>
              <w:left w:val="nil"/>
              <w:bottom w:val="single" w:sz="4" w:space="0" w:color="auto"/>
              <w:right w:val="single" w:sz="4" w:space="0" w:color="auto"/>
            </w:tcBorders>
            <w:shd w:val="clear" w:color="auto" w:fill="C6EFCE"/>
          </w:tcPr>
          <w:p w14:paraId="5217273C" w14:textId="77777777" w:rsidR="00FA7C11" w:rsidRDefault="00D84965">
            <w:pPr>
              <w:pStyle w:val="P68B1DB1-Normal66"/>
              <w:spacing w:line="240" w:lineRule="auto"/>
              <w:rPr>
                <w:noProof/>
              </w:rPr>
            </w:pPr>
            <w:r>
              <w:rPr>
                <w:noProof/>
              </w:rPr>
              <w:t>C1.1.1. R5-I1</w:t>
            </w:r>
          </w:p>
        </w:tc>
        <w:tc>
          <w:tcPr>
            <w:tcW w:w="1022" w:type="dxa"/>
            <w:tcBorders>
              <w:top w:val="single" w:sz="4" w:space="0" w:color="auto"/>
              <w:left w:val="nil"/>
              <w:bottom w:val="single" w:sz="4" w:space="0" w:color="auto"/>
              <w:right w:val="single" w:sz="4" w:space="0" w:color="auto"/>
            </w:tcBorders>
            <w:shd w:val="clear" w:color="auto" w:fill="C6EFCE"/>
          </w:tcPr>
          <w:p w14:paraId="5D490063"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54A0BCC4" w14:textId="77777777" w:rsidR="00FA7C11" w:rsidRDefault="00D84965">
            <w:pPr>
              <w:pStyle w:val="P68B1DB1-Normal66"/>
              <w:spacing w:line="240" w:lineRule="auto"/>
              <w:rPr>
                <w:noProof/>
              </w:rPr>
            </w:pPr>
            <w:r>
              <w:rPr>
                <w:noProof/>
              </w:rPr>
              <w:t>Investiții în instrumente de capital și cvasicapital</w:t>
            </w:r>
          </w:p>
        </w:tc>
        <w:tc>
          <w:tcPr>
            <w:tcW w:w="1555" w:type="dxa"/>
            <w:tcBorders>
              <w:top w:val="single" w:sz="4" w:space="0" w:color="auto"/>
              <w:left w:val="nil"/>
              <w:bottom w:val="single" w:sz="4" w:space="0" w:color="auto"/>
              <w:right w:val="single" w:sz="4" w:space="0" w:color="auto"/>
            </w:tcBorders>
            <w:shd w:val="clear" w:color="auto" w:fill="C6EFCE"/>
          </w:tcPr>
          <w:p w14:paraId="35768D23"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20113AB4"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5005CDB4"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09B142B8" w14:textId="77777777" w:rsidR="00FA7C11" w:rsidRDefault="00D84965">
            <w:pPr>
              <w:pStyle w:val="P68B1DB1-Normal66"/>
              <w:spacing w:line="240" w:lineRule="auto"/>
              <w:jc w:val="center"/>
              <w:rPr>
                <w:noProof/>
              </w:rPr>
            </w:pPr>
            <w:r>
              <w:rPr>
                <w:noProof/>
              </w:rPr>
              <w:t xml:space="preserve">29 862 632 </w:t>
            </w:r>
          </w:p>
        </w:tc>
        <w:tc>
          <w:tcPr>
            <w:tcW w:w="756" w:type="dxa"/>
            <w:tcBorders>
              <w:top w:val="single" w:sz="4" w:space="0" w:color="auto"/>
              <w:left w:val="nil"/>
              <w:bottom w:val="single" w:sz="4" w:space="0" w:color="auto"/>
              <w:right w:val="single" w:sz="4" w:space="0" w:color="auto"/>
            </w:tcBorders>
            <w:shd w:val="clear" w:color="auto" w:fill="C6EFCE"/>
          </w:tcPr>
          <w:p w14:paraId="70593587"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29676E16"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7FF70726" w14:textId="203F5DB7" w:rsidR="00FA7C11" w:rsidRDefault="00D84965">
            <w:pPr>
              <w:pStyle w:val="P68B1DB1-Normal66"/>
              <w:spacing w:line="240" w:lineRule="auto"/>
              <w:rPr>
                <w:noProof/>
              </w:rPr>
            </w:pPr>
            <w:r>
              <w:rPr>
                <w:noProof/>
              </w:rPr>
              <w:t>HBOR (în coinvestiție cu FEI) trebuie să fi încheiat acorduri juridice de finanțare cu fonduri de capital/fonduri cu capital de risc pentru o sumă necesară pentru a utiliza 100 % din investițiile MRR în mecanism (ținând seama de comisioanele de gestionare). Croația transferă 29 862 632 EUR către HBOR pentru instrument. </w:t>
            </w:r>
          </w:p>
        </w:tc>
      </w:tr>
      <w:tr w:rsidR="00FA7C11" w14:paraId="72D1D92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47667E70" w14:textId="77777777" w:rsidR="00FA7C11" w:rsidRDefault="00D84965">
            <w:pPr>
              <w:pStyle w:val="P68B1DB1-Normal66"/>
              <w:spacing w:line="240" w:lineRule="auto"/>
              <w:jc w:val="center"/>
              <w:rPr>
                <w:noProof/>
              </w:rPr>
            </w:pPr>
            <w:r>
              <w:rPr>
                <w:noProof/>
              </w:rPr>
              <w:t>25</w:t>
            </w:r>
          </w:p>
        </w:tc>
        <w:tc>
          <w:tcPr>
            <w:tcW w:w="1205" w:type="dxa"/>
            <w:tcBorders>
              <w:top w:val="single" w:sz="4" w:space="0" w:color="auto"/>
              <w:left w:val="nil"/>
              <w:bottom w:val="single" w:sz="4" w:space="0" w:color="auto"/>
              <w:right w:val="single" w:sz="4" w:space="0" w:color="auto"/>
            </w:tcBorders>
            <w:shd w:val="clear" w:color="auto" w:fill="C6EFCE"/>
          </w:tcPr>
          <w:p w14:paraId="420D768A" w14:textId="77777777" w:rsidR="00FA7C11" w:rsidRDefault="00D84965">
            <w:pPr>
              <w:pStyle w:val="P68B1DB1-Normal66"/>
              <w:spacing w:line="240" w:lineRule="auto"/>
              <w:rPr>
                <w:noProof/>
              </w:rPr>
            </w:pPr>
            <w:r>
              <w:rPr>
                <w:noProof/>
              </w:rPr>
              <w:t>C1.1.1. R6</w:t>
            </w:r>
          </w:p>
        </w:tc>
        <w:tc>
          <w:tcPr>
            <w:tcW w:w="1022" w:type="dxa"/>
            <w:tcBorders>
              <w:top w:val="single" w:sz="4" w:space="0" w:color="auto"/>
              <w:left w:val="nil"/>
              <w:bottom w:val="single" w:sz="4" w:space="0" w:color="auto"/>
              <w:right w:val="single" w:sz="4" w:space="0" w:color="auto"/>
            </w:tcBorders>
            <w:shd w:val="clear" w:color="auto" w:fill="C6EFCE"/>
          </w:tcPr>
          <w:p w14:paraId="19895C89"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45AFA36D" w14:textId="77777777" w:rsidR="00FA7C11" w:rsidRDefault="00D84965">
            <w:pPr>
              <w:pStyle w:val="P68B1DB1-Normal66"/>
              <w:spacing w:line="240" w:lineRule="auto"/>
              <w:rPr>
                <w:noProof/>
              </w:rPr>
            </w:pPr>
            <w:r>
              <w:rPr>
                <w:noProof/>
              </w:rPr>
              <w:t>Modificări ale cadrului juridic</w:t>
            </w:r>
          </w:p>
        </w:tc>
        <w:tc>
          <w:tcPr>
            <w:tcW w:w="1555" w:type="dxa"/>
            <w:tcBorders>
              <w:top w:val="single" w:sz="4" w:space="0" w:color="auto"/>
              <w:left w:val="nil"/>
              <w:bottom w:val="single" w:sz="4" w:space="0" w:color="auto"/>
              <w:right w:val="single" w:sz="4" w:space="0" w:color="auto"/>
            </w:tcBorders>
            <w:shd w:val="clear" w:color="auto" w:fill="C6EFCE"/>
          </w:tcPr>
          <w:p w14:paraId="7E1D5427" w14:textId="3952405D" w:rsidR="00FA7C11" w:rsidRDefault="00D84965">
            <w:pPr>
              <w:pStyle w:val="P68B1DB1-Normal66"/>
              <w:spacing w:line="240" w:lineRule="auto"/>
              <w:rPr>
                <w:noProof/>
              </w:rPr>
            </w:pPr>
            <w:r>
              <w:rPr>
                <w:noProof/>
              </w:rPr>
              <w:t xml:space="preserve">Intrarea în vigoare a Legii privind mass-media electronică și a Legii privind drepturile de autor și drepturile conexe                      </w:t>
            </w:r>
          </w:p>
        </w:tc>
        <w:tc>
          <w:tcPr>
            <w:tcW w:w="1067" w:type="dxa"/>
            <w:tcBorders>
              <w:top w:val="single" w:sz="4" w:space="0" w:color="auto"/>
              <w:left w:val="nil"/>
              <w:bottom w:val="single" w:sz="4" w:space="0" w:color="auto"/>
              <w:right w:val="single" w:sz="4" w:space="0" w:color="auto"/>
            </w:tcBorders>
            <w:shd w:val="clear" w:color="auto" w:fill="C6EFCE"/>
          </w:tcPr>
          <w:p w14:paraId="463247EA"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1FDBDA4"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4E610A0E"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7BCB8DE1"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4B0EE5ED" w14:textId="77777777" w:rsidR="00FA7C11" w:rsidRDefault="00D84965">
            <w:pPr>
              <w:pStyle w:val="P68B1DB1-Normal66"/>
              <w:spacing w:line="240" w:lineRule="auto"/>
              <w:jc w:val="center"/>
              <w:rPr>
                <w:noProof/>
              </w:rPr>
            </w:pPr>
            <w:r>
              <w:rPr>
                <w:noProof/>
              </w:rPr>
              <w:t>2022</w:t>
            </w:r>
          </w:p>
        </w:tc>
        <w:tc>
          <w:tcPr>
            <w:tcW w:w="5528" w:type="dxa"/>
            <w:tcBorders>
              <w:top w:val="single" w:sz="4" w:space="0" w:color="auto"/>
              <w:left w:val="nil"/>
              <w:bottom w:val="single" w:sz="4" w:space="0" w:color="auto"/>
              <w:right w:val="single" w:sz="4" w:space="0" w:color="auto"/>
            </w:tcBorders>
            <w:shd w:val="clear" w:color="auto" w:fill="C6EFCE"/>
          </w:tcPr>
          <w:p w14:paraId="1597923D" w14:textId="77777777" w:rsidR="00FA7C11" w:rsidRDefault="00D84965">
            <w:pPr>
              <w:pStyle w:val="P68B1DB1-Normal66"/>
              <w:spacing w:line="240" w:lineRule="auto"/>
              <w:rPr>
                <w:noProof/>
              </w:rPr>
            </w:pPr>
            <w:r>
              <w:rPr>
                <w:noProof/>
              </w:rPr>
              <w:t xml:space="preserve">Modificările aduse Legii privind mass-media electronică și Legii privind drepturile de autor și drepturile conexe sprijină întreprinderile din sectoarele culturale și creative să își adapteze întreprinderile la piața unică digitală și la noul cadru de reglementare al UE și al Croației, consolidând capacitatea de adaptare și de transformare rapidă în noi condiții de afaceri, realizând competitivitatea și valorificând potențialul pieței. </w:t>
            </w:r>
          </w:p>
        </w:tc>
      </w:tr>
      <w:tr w:rsidR="00FA7C11" w14:paraId="4075864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77852A7F" w14:textId="77777777" w:rsidR="00FA7C11" w:rsidRDefault="00D84965">
            <w:pPr>
              <w:pStyle w:val="P68B1DB1-Normal66"/>
              <w:spacing w:line="240" w:lineRule="auto"/>
              <w:jc w:val="center"/>
              <w:rPr>
                <w:noProof/>
              </w:rPr>
            </w:pPr>
            <w:r>
              <w:rPr>
                <w:noProof/>
              </w:rPr>
              <w:t>26</w:t>
            </w:r>
          </w:p>
        </w:tc>
        <w:tc>
          <w:tcPr>
            <w:tcW w:w="1205" w:type="dxa"/>
            <w:tcBorders>
              <w:top w:val="single" w:sz="4" w:space="0" w:color="auto"/>
              <w:left w:val="nil"/>
              <w:bottom w:val="single" w:sz="4" w:space="0" w:color="auto"/>
              <w:right w:val="single" w:sz="4" w:space="0" w:color="auto"/>
            </w:tcBorders>
            <w:shd w:val="clear" w:color="auto" w:fill="C6EFCE"/>
          </w:tcPr>
          <w:p w14:paraId="4ABC4F49" w14:textId="77777777" w:rsidR="00FA7C11" w:rsidRDefault="00D84965">
            <w:pPr>
              <w:pStyle w:val="P68B1DB1-Normal66"/>
              <w:spacing w:line="240" w:lineRule="auto"/>
              <w:rPr>
                <w:noProof/>
              </w:rPr>
            </w:pPr>
            <w:r>
              <w:rPr>
                <w:noProof/>
              </w:rPr>
              <w:t>C1.1.1. R6-I1</w:t>
            </w:r>
          </w:p>
        </w:tc>
        <w:tc>
          <w:tcPr>
            <w:tcW w:w="1022" w:type="dxa"/>
            <w:tcBorders>
              <w:top w:val="single" w:sz="4" w:space="0" w:color="auto"/>
              <w:left w:val="nil"/>
              <w:bottom w:val="single" w:sz="4" w:space="0" w:color="auto"/>
              <w:right w:val="single" w:sz="4" w:space="0" w:color="auto"/>
            </w:tcBorders>
            <w:shd w:val="clear" w:color="auto" w:fill="C6EFCE"/>
          </w:tcPr>
          <w:p w14:paraId="353A74D1"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1EA052D7" w14:textId="77777777" w:rsidR="00FA7C11" w:rsidRDefault="00D84965">
            <w:pPr>
              <w:pStyle w:val="P68B1DB1-Normal66"/>
              <w:spacing w:line="240" w:lineRule="auto"/>
              <w:rPr>
                <w:noProof/>
              </w:rPr>
            </w:pPr>
            <w:r>
              <w:rPr>
                <w:noProof/>
              </w:rPr>
              <w:t xml:space="preserve">Investiții în transformarea și competitivitatea industriilor culturale și creative </w:t>
            </w:r>
          </w:p>
        </w:tc>
        <w:tc>
          <w:tcPr>
            <w:tcW w:w="1555" w:type="dxa"/>
            <w:tcBorders>
              <w:top w:val="single" w:sz="4" w:space="0" w:color="auto"/>
              <w:left w:val="nil"/>
              <w:bottom w:val="single" w:sz="4" w:space="0" w:color="auto"/>
              <w:right w:val="single" w:sz="4" w:space="0" w:color="auto"/>
            </w:tcBorders>
            <w:shd w:val="clear" w:color="auto" w:fill="C6EFCE"/>
          </w:tcPr>
          <w:p w14:paraId="0796BE94"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3D19D748"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2364C2BE"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6B8FC7D7" w14:textId="77777777" w:rsidR="00FA7C11" w:rsidRDefault="00D84965">
            <w:pPr>
              <w:pStyle w:val="P68B1DB1-Normal66"/>
              <w:spacing w:line="240" w:lineRule="auto"/>
              <w:jc w:val="center"/>
              <w:rPr>
                <w:noProof/>
              </w:rPr>
            </w:pPr>
            <w:r>
              <w:rPr>
                <w:noProof/>
              </w:rPr>
              <w:t>100</w:t>
            </w:r>
          </w:p>
        </w:tc>
        <w:tc>
          <w:tcPr>
            <w:tcW w:w="756" w:type="dxa"/>
            <w:tcBorders>
              <w:top w:val="single" w:sz="4" w:space="0" w:color="auto"/>
              <w:left w:val="nil"/>
              <w:bottom w:val="single" w:sz="4" w:space="0" w:color="auto"/>
              <w:right w:val="single" w:sz="4" w:space="0" w:color="auto"/>
            </w:tcBorders>
            <w:shd w:val="clear" w:color="auto" w:fill="C6EFCE"/>
          </w:tcPr>
          <w:p w14:paraId="05F274A0"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4170D8CB"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2139C634" w14:textId="77777777" w:rsidR="00FA7C11" w:rsidRDefault="00D84965">
            <w:pPr>
              <w:pStyle w:val="P68B1DB1-Normal66"/>
              <w:spacing w:line="240" w:lineRule="auto"/>
              <w:rPr>
                <w:noProof/>
              </w:rPr>
            </w:pPr>
            <w:r>
              <w:rPr>
                <w:noProof/>
              </w:rPr>
              <w:t>Cel puțin 100 de măsuri de sprijin acordate microîntreprinderilor, întreprinderilor mici și mijlocii și altor persoane juridice și fizice în domeniul industriilor culturale și creative pentru a consolida capacitatea acestora de a se adapta la noul cadru legislativ și de reglementare al pieței unice digitale și de a crea, promova și distribui noi produse și servicii inovatoare.</w:t>
            </w:r>
          </w:p>
        </w:tc>
      </w:tr>
      <w:tr w:rsidR="00FA7C11" w14:paraId="2356F4B1"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77ADB712" w14:textId="77777777" w:rsidR="00FA7C11" w:rsidRDefault="00D84965">
            <w:pPr>
              <w:pStyle w:val="P68B1DB1-Normal66"/>
              <w:spacing w:line="240" w:lineRule="auto"/>
              <w:jc w:val="center"/>
              <w:rPr>
                <w:noProof/>
              </w:rPr>
            </w:pPr>
            <w:r>
              <w:rPr>
                <w:noProof/>
              </w:rPr>
              <w:t>27</w:t>
            </w:r>
          </w:p>
        </w:tc>
        <w:tc>
          <w:tcPr>
            <w:tcW w:w="1205" w:type="dxa"/>
            <w:tcBorders>
              <w:top w:val="single" w:sz="4" w:space="0" w:color="auto"/>
              <w:left w:val="nil"/>
              <w:bottom w:val="single" w:sz="4" w:space="0" w:color="auto"/>
              <w:right w:val="single" w:sz="4" w:space="0" w:color="auto"/>
            </w:tcBorders>
            <w:shd w:val="clear" w:color="auto" w:fill="C6EFCE"/>
          </w:tcPr>
          <w:p w14:paraId="5E5526D9" w14:textId="77777777" w:rsidR="00FA7C11" w:rsidRDefault="00D84965">
            <w:pPr>
              <w:pStyle w:val="P68B1DB1-Normal66"/>
              <w:spacing w:line="240" w:lineRule="auto"/>
              <w:rPr>
                <w:noProof/>
              </w:rPr>
            </w:pPr>
            <w:r>
              <w:rPr>
                <w:noProof/>
              </w:rPr>
              <w:t>C1.1.1. R6-I2</w:t>
            </w:r>
          </w:p>
        </w:tc>
        <w:tc>
          <w:tcPr>
            <w:tcW w:w="1022" w:type="dxa"/>
            <w:tcBorders>
              <w:top w:val="single" w:sz="4" w:space="0" w:color="auto"/>
              <w:left w:val="nil"/>
              <w:bottom w:val="single" w:sz="4" w:space="0" w:color="auto"/>
              <w:right w:val="single" w:sz="4" w:space="0" w:color="auto"/>
            </w:tcBorders>
            <w:shd w:val="clear" w:color="auto" w:fill="C6EFCE"/>
          </w:tcPr>
          <w:p w14:paraId="03C02FAC"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7EF18EFB" w14:textId="77777777" w:rsidR="00FA7C11" w:rsidRDefault="00D84965">
            <w:pPr>
              <w:pStyle w:val="P68B1DB1-Normal66"/>
              <w:spacing w:line="240" w:lineRule="auto"/>
              <w:rPr>
                <w:noProof/>
              </w:rPr>
            </w:pPr>
            <w:r>
              <w:rPr>
                <w:noProof/>
              </w:rPr>
              <w:t>Instituirea unui sistem de verificare a veridicității informațiilor</w:t>
            </w:r>
          </w:p>
        </w:tc>
        <w:tc>
          <w:tcPr>
            <w:tcW w:w="1555" w:type="dxa"/>
            <w:tcBorders>
              <w:top w:val="single" w:sz="4" w:space="0" w:color="auto"/>
              <w:left w:val="nil"/>
              <w:bottom w:val="single" w:sz="4" w:space="0" w:color="auto"/>
              <w:right w:val="single" w:sz="4" w:space="0" w:color="auto"/>
            </w:tcBorders>
            <w:shd w:val="clear" w:color="auto" w:fill="C6EFCE"/>
          </w:tcPr>
          <w:p w14:paraId="1407278D" w14:textId="77777777" w:rsidR="00FA7C11" w:rsidRDefault="00D84965">
            <w:pPr>
              <w:pStyle w:val="P68B1DB1-Normal66"/>
              <w:spacing w:line="240" w:lineRule="auto"/>
              <w:rPr>
                <w:noProof/>
              </w:rPr>
            </w:pPr>
            <w:r>
              <w:rPr>
                <w:noProof/>
              </w:rPr>
              <w:t>Sistemul existent de verificare a veridicității informațiilor</w:t>
            </w:r>
          </w:p>
        </w:tc>
        <w:tc>
          <w:tcPr>
            <w:tcW w:w="1067" w:type="dxa"/>
            <w:tcBorders>
              <w:top w:val="single" w:sz="4" w:space="0" w:color="auto"/>
              <w:left w:val="nil"/>
              <w:bottom w:val="single" w:sz="4" w:space="0" w:color="auto"/>
              <w:right w:val="single" w:sz="4" w:space="0" w:color="auto"/>
            </w:tcBorders>
            <w:shd w:val="clear" w:color="auto" w:fill="C6EFCE"/>
          </w:tcPr>
          <w:p w14:paraId="71850324"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16D681C1"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3E3C7E63"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31C97B6D"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1990C7D0"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624E276A" w14:textId="0CFAC79E" w:rsidR="00FA7C11" w:rsidRDefault="00D84965">
            <w:pPr>
              <w:pStyle w:val="P68B1DB1-Normal66"/>
              <w:spacing w:line="240" w:lineRule="auto"/>
              <w:rPr>
                <w:noProof/>
              </w:rPr>
            </w:pPr>
            <w:r>
              <w:rPr>
                <w:noProof/>
              </w:rPr>
              <w:t xml:space="preserve">Investiția pusă în aplicare de Agenția pentru Mass-media Electronică include: </w:t>
            </w:r>
          </w:p>
          <w:p w14:paraId="6B4AF7D4" w14:textId="302CD1F6" w:rsidR="00FA7C11" w:rsidRDefault="00D84965">
            <w:pPr>
              <w:pStyle w:val="P68B1DB1-ListParagraph78"/>
              <w:numPr>
                <w:ilvl w:val="0"/>
                <w:numId w:val="44"/>
              </w:numPr>
              <w:spacing w:before="120" w:after="120" w:line="240" w:lineRule="auto"/>
              <w:rPr>
                <w:noProof/>
              </w:rPr>
            </w:pPr>
            <w:r>
              <w:rPr>
                <w:noProof/>
              </w:rPr>
              <w:t xml:space="preserve">dezvoltarea unei platforme centrale de colaborare privind organizațiile de verificare a veridicității informațiilor; </w:t>
            </w:r>
          </w:p>
          <w:p w14:paraId="3612768E" w14:textId="24A8997C" w:rsidR="00FA7C11" w:rsidRDefault="00D84965">
            <w:pPr>
              <w:pStyle w:val="P68B1DB1-ListParagraph78"/>
              <w:numPr>
                <w:ilvl w:val="0"/>
                <w:numId w:val="44"/>
              </w:numPr>
              <w:spacing w:before="120" w:after="120" w:line="240" w:lineRule="auto"/>
              <w:rPr>
                <w:noProof/>
              </w:rPr>
            </w:pPr>
            <w:r>
              <w:rPr>
                <w:noProof/>
              </w:rPr>
              <w:t>semnarea contractelor cu organizațiile selectate prin intermediul unei cereri publice de propuneri care acordă granturi pentru proiecte de verificare a veridicității informațiilor și</w:t>
            </w:r>
          </w:p>
          <w:p w14:paraId="7D5AE6D8" w14:textId="69422350" w:rsidR="00FA7C11" w:rsidRDefault="00D84965">
            <w:pPr>
              <w:pStyle w:val="P68B1DB1-ListParagraph79"/>
              <w:numPr>
                <w:ilvl w:val="0"/>
                <w:numId w:val="44"/>
              </w:numPr>
              <w:spacing w:before="120" w:after="120" w:line="240" w:lineRule="auto"/>
              <w:rPr>
                <w:rFonts w:ascii="Times New Roman" w:eastAsia="Calibri" w:hAnsi="Times New Roman" w:cs="Times New Roman"/>
                <w:noProof/>
                <w:color w:val="000000"/>
              </w:rPr>
            </w:pPr>
            <w:r>
              <w:rPr>
                <w:rFonts w:ascii="Times New Roman" w:eastAsia="Calibri" w:hAnsi="Times New Roman" w:cs="Times New Roman"/>
                <w:noProof/>
                <w:color w:val="000000" w:themeColor="text1"/>
              </w:rPr>
              <w:t>dezvoltarea unei baze de date pentru publicarea datelor proprietare și a surselor de finanțare ale societăților din domeniul mass-mediei.</w:t>
            </w:r>
            <w:r>
              <w:rPr>
                <w:rFonts w:ascii="Times New Roman" w:hAnsi="Times New Roman" w:cs="Times New Roman"/>
                <w:noProof/>
              </w:rPr>
              <w:br/>
            </w:r>
          </w:p>
        </w:tc>
      </w:tr>
      <w:tr w:rsidR="00FA7C11" w14:paraId="4A86263C"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59F5E678" w14:textId="77777777" w:rsidR="00FA7C11" w:rsidRDefault="00D84965">
            <w:pPr>
              <w:pStyle w:val="P68B1DB1-Normal66"/>
              <w:spacing w:line="240" w:lineRule="auto"/>
              <w:jc w:val="center"/>
              <w:rPr>
                <w:noProof/>
              </w:rPr>
            </w:pPr>
            <w:r>
              <w:rPr>
                <w:noProof/>
              </w:rPr>
              <w:t>28</w:t>
            </w:r>
          </w:p>
        </w:tc>
        <w:tc>
          <w:tcPr>
            <w:tcW w:w="1205" w:type="dxa"/>
            <w:tcBorders>
              <w:top w:val="single" w:sz="4" w:space="0" w:color="auto"/>
              <w:left w:val="nil"/>
              <w:bottom w:val="single" w:sz="4" w:space="0" w:color="auto"/>
              <w:right w:val="single" w:sz="4" w:space="0" w:color="auto"/>
            </w:tcBorders>
            <w:shd w:val="clear" w:color="auto" w:fill="C6EFCE"/>
          </w:tcPr>
          <w:p w14:paraId="49975DF6" w14:textId="77777777" w:rsidR="00FA7C11" w:rsidRDefault="00D84965">
            <w:pPr>
              <w:pStyle w:val="P68B1DB1-Normal66"/>
              <w:spacing w:line="240" w:lineRule="auto"/>
              <w:rPr>
                <w:noProof/>
              </w:rPr>
            </w:pPr>
            <w:r>
              <w:rPr>
                <w:noProof/>
              </w:rPr>
              <w:t>C1.1.2. R1</w:t>
            </w:r>
          </w:p>
        </w:tc>
        <w:tc>
          <w:tcPr>
            <w:tcW w:w="1022" w:type="dxa"/>
            <w:tcBorders>
              <w:top w:val="single" w:sz="4" w:space="0" w:color="auto"/>
              <w:left w:val="nil"/>
              <w:bottom w:val="single" w:sz="4" w:space="0" w:color="auto"/>
              <w:right w:val="single" w:sz="4" w:space="0" w:color="auto"/>
            </w:tcBorders>
            <w:shd w:val="clear" w:color="auto" w:fill="C6EFCE"/>
          </w:tcPr>
          <w:p w14:paraId="4EFC9470" w14:textId="77777777" w:rsidR="00FA7C11" w:rsidRDefault="00D84965">
            <w:pPr>
              <w:pStyle w:val="P68B1DB1-Normal66"/>
              <w:spacing w:line="240" w:lineRule="auto"/>
              <w:jc w:val="center"/>
              <w:rPr>
                <w:noProof/>
              </w:rPr>
            </w:pPr>
            <w:r>
              <w:rPr>
                <w:noProof/>
              </w:rPr>
              <w:t>M</w:t>
            </w:r>
          </w:p>
        </w:tc>
        <w:tc>
          <w:tcPr>
            <w:tcW w:w="1768" w:type="dxa"/>
            <w:tcBorders>
              <w:top w:val="single" w:sz="4" w:space="0" w:color="auto"/>
              <w:left w:val="nil"/>
              <w:bottom w:val="single" w:sz="4" w:space="0" w:color="auto"/>
              <w:right w:val="single" w:sz="4" w:space="0" w:color="auto"/>
            </w:tcBorders>
            <w:shd w:val="clear" w:color="auto" w:fill="C6EFCE"/>
          </w:tcPr>
          <w:p w14:paraId="4AD76002" w14:textId="77777777" w:rsidR="00FA7C11" w:rsidRDefault="00D84965">
            <w:pPr>
              <w:pStyle w:val="P68B1DB1-Normal66"/>
              <w:spacing w:line="240" w:lineRule="auto"/>
              <w:rPr>
                <w:noProof/>
              </w:rPr>
            </w:pPr>
            <w:r>
              <w:rPr>
                <w:noProof/>
              </w:rPr>
              <w:t>De modificare și completare a cadrului juridic privind stimulentele fiscale pentru C &amp; D</w:t>
            </w:r>
          </w:p>
        </w:tc>
        <w:tc>
          <w:tcPr>
            <w:tcW w:w="1555" w:type="dxa"/>
            <w:tcBorders>
              <w:top w:val="single" w:sz="4" w:space="0" w:color="auto"/>
              <w:left w:val="nil"/>
              <w:bottom w:val="single" w:sz="4" w:space="0" w:color="auto"/>
              <w:right w:val="single" w:sz="4" w:space="0" w:color="auto"/>
            </w:tcBorders>
            <w:shd w:val="clear" w:color="auto" w:fill="C6EFCE"/>
          </w:tcPr>
          <w:p w14:paraId="438B05F7" w14:textId="77777777" w:rsidR="00FA7C11" w:rsidRDefault="00D84965">
            <w:pPr>
              <w:pStyle w:val="P68B1DB1-Normal66"/>
              <w:spacing w:line="240" w:lineRule="auto"/>
              <w:rPr>
                <w:noProof/>
              </w:rPr>
            </w:pPr>
            <w:r>
              <w:rPr>
                <w:noProof/>
              </w:rPr>
              <w:t xml:space="preserve">Intrarea în vigoare a Legii de modificare a Legii privind ajutoarele de stat pentru proiectele de cercetare și dezvoltare </w:t>
            </w:r>
          </w:p>
        </w:tc>
        <w:tc>
          <w:tcPr>
            <w:tcW w:w="1067" w:type="dxa"/>
            <w:tcBorders>
              <w:top w:val="single" w:sz="4" w:space="0" w:color="auto"/>
              <w:left w:val="nil"/>
              <w:bottom w:val="single" w:sz="4" w:space="0" w:color="auto"/>
              <w:right w:val="single" w:sz="4" w:space="0" w:color="auto"/>
            </w:tcBorders>
            <w:shd w:val="clear" w:color="auto" w:fill="C6EFCE"/>
          </w:tcPr>
          <w:p w14:paraId="4770BB62"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4AD17299" w14:textId="77777777" w:rsidR="00FA7C11" w:rsidRDefault="00D84965">
            <w:pPr>
              <w:pStyle w:val="P68B1DB1-Normal66"/>
              <w:spacing w:line="240" w:lineRule="auto"/>
              <w:jc w:val="center"/>
              <w:rPr>
                <w:noProof/>
              </w:rPr>
            </w:pPr>
            <w:r>
              <w:rPr>
                <w:noProof/>
              </w:rPr>
              <w:t> </w:t>
            </w:r>
          </w:p>
        </w:tc>
        <w:tc>
          <w:tcPr>
            <w:tcW w:w="1056" w:type="dxa"/>
            <w:tcBorders>
              <w:top w:val="single" w:sz="4" w:space="0" w:color="auto"/>
              <w:left w:val="nil"/>
              <w:bottom w:val="single" w:sz="4" w:space="0" w:color="auto"/>
              <w:right w:val="single" w:sz="4" w:space="0" w:color="auto"/>
            </w:tcBorders>
            <w:shd w:val="clear" w:color="auto" w:fill="C6EFCE"/>
          </w:tcPr>
          <w:p w14:paraId="602622CF" w14:textId="77777777" w:rsidR="00FA7C11" w:rsidRDefault="00D84965">
            <w:pPr>
              <w:pStyle w:val="P68B1DB1-Normal66"/>
              <w:spacing w:line="240"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tcPr>
          <w:p w14:paraId="32124720"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tcPr>
          <w:p w14:paraId="023F6DFF" w14:textId="77777777" w:rsidR="00FA7C11" w:rsidRDefault="00D84965">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tcPr>
          <w:p w14:paraId="566B7B2B" w14:textId="77777777" w:rsidR="00FA7C11" w:rsidRDefault="00D84965">
            <w:pPr>
              <w:pStyle w:val="P68B1DB1-Normal66"/>
              <w:spacing w:line="240" w:lineRule="auto"/>
              <w:rPr>
                <w:noProof/>
              </w:rPr>
            </w:pPr>
            <w:r>
              <w:rPr>
                <w:noProof/>
              </w:rPr>
              <w:t xml:space="preserve">În vederea creșterii numărului de întreprinderi care investesc în C &amp; D și a creșterii investițiilor private în C &amp; D, se efectuează o analiză a sistemului existent de stimulente fiscale pentru C &amp; D. Intră în vigoare modificări ale cadrului juridic privind stimulentele fiscale pentru C &amp; D pentru a încuraja sectorul privat să crească intensitatea investițiilor sale în C &amp; D, să crească numărul beneficiarilor de stimulente fiscale pentru C &amp; D, să simplifice procedurile și să reducă sarcinile administrative, îmbunătățind în același timp transparența și accesibilitatea. </w:t>
            </w:r>
          </w:p>
          <w:p w14:paraId="74610EEA" w14:textId="77777777" w:rsidR="00FA7C11" w:rsidRDefault="00D84965">
            <w:pPr>
              <w:pStyle w:val="P68B1DB1-Normal66"/>
              <w:spacing w:line="240" w:lineRule="auto"/>
              <w:rPr>
                <w:noProof/>
              </w:rPr>
            </w:pPr>
            <w:r>
              <w:rPr>
                <w:noProof/>
              </w:rPr>
              <w:t>Modificările aduse Legii privind ajutoarele de stat se efectuează pe baza rezultatelor analizei efectuate cu privire la caracterul adecvat și eficacitatea sistemului actual de stimulente fiscale și implică părțile interesate relevante, în special MFIN și administrația fiscală. MINGOR pregătește modificările legislative și le supune procedurii parlamentare.</w:t>
            </w:r>
          </w:p>
        </w:tc>
      </w:tr>
      <w:tr w:rsidR="00FA7C11" w14:paraId="339E0702"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1775B61F" w14:textId="77777777" w:rsidR="00FA7C11" w:rsidRDefault="00D84965">
            <w:pPr>
              <w:pStyle w:val="P68B1DB1-Normal66"/>
              <w:spacing w:line="240" w:lineRule="auto"/>
              <w:jc w:val="center"/>
              <w:rPr>
                <w:noProof/>
              </w:rPr>
            </w:pPr>
            <w:r>
              <w:rPr>
                <w:noProof/>
              </w:rPr>
              <w:t>29</w:t>
            </w:r>
          </w:p>
        </w:tc>
        <w:tc>
          <w:tcPr>
            <w:tcW w:w="1205" w:type="dxa"/>
            <w:tcBorders>
              <w:top w:val="single" w:sz="4" w:space="0" w:color="auto"/>
              <w:left w:val="nil"/>
              <w:bottom w:val="single" w:sz="4" w:space="0" w:color="auto"/>
              <w:right w:val="single" w:sz="4" w:space="0" w:color="auto"/>
            </w:tcBorders>
            <w:shd w:val="clear" w:color="auto" w:fill="C6EFCE"/>
          </w:tcPr>
          <w:p w14:paraId="19D89370" w14:textId="77777777" w:rsidR="00FA7C11" w:rsidRDefault="00D84965">
            <w:pPr>
              <w:pStyle w:val="P68B1DB1-Normal66"/>
              <w:spacing w:line="240" w:lineRule="auto"/>
              <w:rPr>
                <w:noProof/>
              </w:rPr>
            </w:pPr>
            <w:r>
              <w:rPr>
                <w:noProof/>
              </w:rPr>
              <w:t>C1.1.2. R2-I2</w:t>
            </w:r>
          </w:p>
        </w:tc>
        <w:tc>
          <w:tcPr>
            <w:tcW w:w="1022" w:type="dxa"/>
            <w:tcBorders>
              <w:top w:val="single" w:sz="4" w:space="0" w:color="auto"/>
              <w:left w:val="nil"/>
              <w:bottom w:val="single" w:sz="4" w:space="0" w:color="auto"/>
              <w:right w:val="single" w:sz="4" w:space="0" w:color="auto"/>
            </w:tcBorders>
            <w:shd w:val="clear" w:color="auto" w:fill="C6EFCE"/>
          </w:tcPr>
          <w:p w14:paraId="249CF0CD"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33CEBC65" w14:textId="77777777" w:rsidR="00FA7C11" w:rsidRDefault="00D84965">
            <w:pPr>
              <w:pStyle w:val="P68B1DB1-Normal66"/>
              <w:spacing w:line="240" w:lineRule="auto"/>
              <w:rPr>
                <w:noProof/>
              </w:rPr>
            </w:pPr>
            <w:r>
              <w:rPr>
                <w:noProof/>
              </w:rPr>
              <w:t xml:space="preserve">Sprijinirea IMM-urilor în vederea modernizării capacității de gestionare </w:t>
            </w:r>
          </w:p>
        </w:tc>
        <w:tc>
          <w:tcPr>
            <w:tcW w:w="1555" w:type="dxa"/>
            <w:tcBorders>
              <w:top w:val="single" w:sz="4" w:space="0" w:color="auto"/>
              <w:left w:val="nil"/>
              <w:bottom w:val="single" w:sz="4" w:space="0" w:color="auto"/>
              <w:right w:val="single" w:sz="4" w:space="0" w:color="auto"/>
            </w:tcBorders>
            <w:shd w:val="clear" w:color="auto" w:fill="C6EFCE"/>
          </w:tcPr>
          <w:p w14:paraId="1D1E32F4"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2A958053"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4468C725"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02ACABDD" w14:textId="77777777" w:rsidR="00FA7C11" w:rsidRDefault="00D84965">
            <w:pPr>
              <w:pStyle w:val="P68B1DB1-Normal66"/>
              <w:spacing w:line="240" w:lineRule="auto"/>
              <w:jc w:val="center"/>
              <w:rPr>
                <w:noProof/>
              </w:rPr>
            </w:pPr>
            <w:r>
              <w:rPr>
                <w:noProof/>
              </w:rPr>
              <w:t>150</w:t>
            </w:r>
          </w:p>
        </w:tc>
        <w:tc>
          <w:tcPr>
            <w:tcW w:w="756" w:type="dxa"/>
            <w:tcBorders>
              <w:top w:val="single" w:sz="4" w:space="0" w:color="auto"/>
              <w:left w:val="nil"/>
              <w:bottom w:val="single" w:sz="4" w:space="0" w:color="auto"/>
              <w:right w:val="single" w:sz="4" w:space="0" w:color="auto"/>
            </w:tcBorders>
            <w:shd w:val="clear" w:color="auto" w:fill="C6EFCE"/>
          </w:tcPr>
          <w:p w14:paraId="3549F376"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tcPr>
          <w:p w14:paraId="710DB5DB" w14:textId="77777777" w:rsidR="00FA7C11" w:rsidRDefault="00D84965">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tcPr>
          <w:p w14:paraId="3606880C" w14:textId="1B90C4BE" w:rsidR="00FA7C11" w:rsidRDefault="00D84965">
            <w:pPr>
              <w:pStyle w:val="P68B1DB1-Normal66"/>
              <w:spacing w:line="240" w:lineRule="auto"/>
              <w:rPr>
                <w:noProof/>
              </w:rPr>
            </w:pPr>
            <w:r>
              <w:rPr>
                <w:noProof/>
              </w:rPr>
              <w:t>Cel puțin 150 de întreprinderi mici și mijlocii beneficiază de sprijin consultativ în afaceri pentru a-și îmbunătăți capacitatea de gestionare, cum ar fi formare sau mentorat individual în afaceri.</w:t>
            </w:r>
          </w:p>
        </w:tc>
      </w:tr>
      <w:tr w:rsidR="00FA7C11" w14:paraId="14EC79DD"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507F989D" w14:textId="77777777" w:rsidR="00FA7C11" w:rsidRDefault="00D84965">
            <w:pPr>
              <w:pStyle w:val="P68B1DB1-Normal66"/>
              <w:spacing w:line="240" w:lineRule="auto"/>
              <w:jc w:val="center"/>
              <w:rPr>
                <w:noProof/>
              </w:rPr>
            </w:pPr>
            <w:r>
              <w:rPr>
                <w:noProof/>
              </w:rPr>
              <w:t>30</w:t>
            </w:r>
          </w:p>
        </w:tc>
        <w:tc>
          <w:tcPr>
            <w:tcW w:w="1205" w:type="dxa"/>
            <w:tcBorders>
              <w:top w:val="single" w:sz="4" w:space="0" w:color="auto"/>
              <w:left w:val="nil"/>
              <w:bottom w:val="single" w:sz="4" w:space="0" w:color="auto"/>
              <w:right w:val="single" w:sz="4" w:space="0" w:color="auto"/>
            </w:tcBorders>
            <w:shd w:val="clear" w:color="auto" w:fill="C6EFCE"/>
          </w:tcPr>
          <w:p w14:paraId="4A0EA46A" w14:textId="77777777" w:rsidR="00FA7C11" w:rsidRDefault="00D84965">
            <w:pPr>
              <w:pStyle w:val="P68B1DB1-Normal66"/>
              <w:spacing w:line="240" w:lineRule="auto"/>
              <w:rPr>
                <w:noProof/>
              </w:rPr>
            </w:pPr>
            <w:r>
              <w:rPr>
                <w:noProof/>
              </w:rPr>
              <w:t>C1.1.2. R2-I3</w:t>
            </w:r>
          </w:p>
        </w:tc>
        <w:tc>
          <w:tcPr>
            <w:tcW w:w="1022" w:type="dxa"/>
            <w:tcBorders>
              <w:top w:val="single" w:sz="4" w:space="0" w:color="auto"/>
              <w:left w:val="nil"/>
              <w:bottom w:val="single" w:sz="4" w:space="0" w:color="auto"/>
              <w:right w:val="single" w:sz="4" w:space="0" w:color="auto"/>
            </w:tcBorders>
            <w:shd w:val="clear" w:color="auto" w:fill="C6EFCE"/>
          </w:tcPr>
          <w:p w14:paraId="2EC64722"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07A3A7EA" w14:textId="77777777" w:rsidR="00FA7C11" w:rsidRDefault="00D84965">
            <w:pPr>
              <w:pStyle w:val="P68B1DB1-Normal66"/>
              <w:spacing w:line="240" w:lineRule="auto"/>
              <w:rPr>
                <w:noProof/>
              </w:rPr>
            </w:pPr>
            <w:r>
              <w:rPr>
                <w:noProof/>
              </w:rPr>
              <w:t xml:space="preserve">Acordarea de sprijin pentru stimularea creșterii întreprinderilor nou-înființate în sectoarele de înaltă tehnologie și cunoaștere </w:t>
            </w:r>
          </w:p>
        </w:tc>
        <w:tc>
          <w:tcPr>
            <w:tcW w:w="1555" w:type="dxa"/>
            <w:tcBorders>
              <w:top w:val="single" w:sz="4" w:space="0" w:color="auto"/>
              <w:left w:val="nil"/>
              <w:bottom w:val="single" w:sz="4" w:space="0" w:color="auto"/>
              <w:right w:val="single" w:sz="4" w:space="0" w:color="auto"/>
            </w:tcBorders>
            <w:shd w:val="clear" w:color="auto" w:fill="C6EFCE"/>
          </w:tcPr>
          <w:p w14:paraId="2C6D7734" w14:textId="77777777" w:rsidR="00FA7C11" w:rsidRDefault="00D84965">
            <w:pPr>
              <w:pStyle w:val="P68B1DB1-Normal66"/>
              <w:spacing w:line="240" w:lineRule="auto"/>
              <w:rPr>
                <w:noProof/>
              </w:rPr>
            </w:pPr>
            <w:r>
              <w:rPr>
                <w:noProof/>
              </w:rPr>
              <w:t> </w:t>
            </w:r>
          </w:p>
        </w:tc>
        <w:tc>
          <w:tcPr>
            <w:tcW w:w="1067" w:type="dxa"/>
            <w:tcBorders>
              <w:top w:val="single" w:sz="4" w:space="0" w:color="auto"/>
              <w:left w:val="nil"/>
              <w:bottom w:val="single" w:sz="4" w:space="0" w:color="auto"/>
              <w:right w:val="single" w:sz="4" w:space="0" w:color="auto"/>
            </w:tcBorders>
            <w:shd w:val="clear" w:color="auto" w:fill="C6EFCE"/>
          </w:tcPr>
          <w:p w14:paraId="7E82CC65"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7AE83BF8"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3A518DE8" w14:textId="77777777" w:rsidR="00FA7C11" w:rsidRDefault="00D84965">
            <w:pPr>
              <w:pStyle w:val="P68B1DB1-Normal66"/>
              <w:spacing w:line="240" w:lineRule="auto"/>
              <w:jc w:val="center"/>
              <w:rPr>
                <w:noProof/>
              </w:rPr>
            </w:pPr>
            <w:r>
              <w:rPr>
                <w:noProof/>
              </w:rPr>
              <w:t>141</w:t>
            </w:r>
          </w:p>
        </w:tc>
        <w:tc>
          <w:tcPr>
            <w:tcW w:w="756" w:type="dxa"/>
            <w:tcBorders>
              <w:top w:val="single" w:sz="4" w:space="0" w:color="auto"/>
              <w:left w:val="nil"/>
              <w:bottom w:val="single" w:sz="4" w:space="0" w:color="auto"/>
              <w:right w:val="single" w:sz="4" w:space="0" w:color="auto"/>
            </w:tcBorders>
            <w:shd w:val="clear" w:color="auto" w:fill="C6EFCE"/>
          </w:tcPr>
          <w:p w14:paraId="65BDDE03"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3FFB0609" w14:textId="77777777" w:rsidR="00FA7C11" w:rsidRDefault="00D84965">
            <w:pPr>
              <w:pStyle w:val="P68B1DB1-Normal66"/>
              <w:spacing w:line="240" w:lineRule="auto"/>
              <w:jc w:val="center"/>
              <w:rPr>
                <w:noProof/>
              </w:rPr>
            </w:pPr>
            <w:r>
              <w:rPr>
                <w:noProof/>
              </w:rPr>
              <w:t>2025</w:t>
            </w:r>
          </w:p>
        </w:tc>
        <w:tc>
          <w:tcPr>
            <w:tcW w:w="5528" w:type="dxa"/>
            <w:tcBorders>
              <w:top w:val="single" w:sz="4" w:space="0" w:color="auto"/>
              <w:left w:val="nil"/>
              <w:bottom w:val="single" w:sz="4" w:space="0" w:color="auto"/>
              <w:right w:val="single" w:sz="4" w:space="0" w:color="auto"/>
            </w:tcBorders>
            <w:shd w:val="clear" w:color="auto" w:fill="C6EFCE"/>
          </w:tcPr>
          <w:p w14:paraId="1C236528" w14:textId="77777777" w:rsidR="00FA7C11" w:rsidRDefault="00D84965">
            <w:pPr>
              <w:pStyle w:val="P68B1DB1-Normal66"/>
              <w:spacing w:line="240" w:lineRule="auto"/>
              <w:jc w:val="both"/>
              <w:rPr>
                <w:noProof/>
                <w:color w:val="000000" w:themeColor="text1"/>
              </w:rPr>
            </w:pPr>
            <w:r>
              <w:rPr>
                <w:noProof/>
              </w:rPr>
              <w:t>Acordarea de ajutoare în urma evaluărilor propunerilor de proiecte în cadrul cererii de „ajutoare nerambursabile la înființare”, cu scopul de a stimula creșterea întreprinderilor nou-înființate în faza precomercială în sectorul înaltei tehnologii și al cunoașterii prin sprijin pentru dezvoltarea de produse, creșterea capacității de producție și pregătirea pentru investiții, cel puțin 141 de întreprinderi nou-înființate beneficiind de ajutorul acordat. Aceasta include modernizarea, proiectarea, validarea performanței, validarea pe piață, testarea, dezvoltarea liniilor-pilot, protecția proprietății intelectuale și serviciile externe menite să dezvolte o idee inovatoare, precum și formarea privind atenuarea și evaluarea riscurilor legate de nevoile de finanțare. Activitățile finanțate pot include, de asemenea, o parte din costurile de acces la rețelele sau clusterele globale de întreprinderi, adoptarea de noi instrumente de marketing și accesul la noi piețe. Beneficiarii eligibili includ IMM-urile inovatoare, în termen de până la cinci ani de la înregistrare, care nu sunt generate de o fuziune și se încadrează în definiția unui IMM inovator în conformitate cu Regulamentul general de exceptare pe categorii de ajutoare (RGECA).</w:t>
            </w:r>
          </w:p>
        </w:tc>
      </w:tr>
      <w:tr w:rsidR="00FA7C11" w14:paraId="1189196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4F0BCDF4" w14:textId="77777777" w:rsidR="00FA7C11" w:rsidRDefault="00D84965">
            <w:pPr>
              <w:pStyle w:val="P68B1DB1-Normal66"/>
              <w:spacing w:line="240" w:lineRule="auto"/>
              <w:jc w:val="center"/>
              <w:rPr>
                <w:noProof/>
              </w:rPr>
            </w:pPr>
            <w:r>
              <w:rPr>
                <w:noProof/>
              </w:rPr>
              <w:t>31</w:t>
            </w:r>
          </w:p>
        </w:tc>
        <w:tc>
          <w:tcPr>
            <w:tcW w:w="1205" w:type="dxa"/>
            <w:tcBorders>
              <w:top w:val="single" w:sz="4" w:space="0" w:color="auto"/>
              <w:left w:val="nil"/>
              <w:bottom w:val="single" w:sz="4" w:space="0" w:color="auto"/>
              <w:right w:val="single" w:sz="4" w:space="0" w:color="auto"/>
            </w:tcBorders>
            <w:shd w:val="clear" w:color="auto" w:fill="C6EFCE"/>
          </w:tcPr>
          <w:p w14:paraId="12E8EC19" w14:textId="77777777" w:rsidR="00FA7C11" w:rsidRDefault="00D84965">
            <w:pPr>
              <w:pStyle w:val="P68B1DB1-Normal66"/>
              <w:spacing w:line="240" w:lineRule="auto"/>
              <w:rPr>
                <w:noProof/>
              </w:rPr>
            </w:pPr>
            <w:r>
              <w:rPr>
                <w:noProof/>
              </w:rPr>
              <w:t>C1.1.2. R2-I4</w:t>
            </w:r>
          </w:p>
        </w:tc>
        <w:tc>
          <w:tcPr>
            <w:tcW w:w="1022" w:type="dxa"/>
            <w:tcBorders>
              <w:top w:val="single" w:sz="4" w:space="0" w:color="auto"/>
              <w:left w:val="nil"/>
              <w:bottom w:val="single" w:sz="4" w:space="0" w:color="auto"/>
              <w:right w:val="single" w:sz="4" w:space="0" w:color="auto"/>
            </w:tcBorders>
            <w:shd w:val="clear" w:color="auto" w:fill="C6EFCE"/>
          </w:tcPr>
          <w:p w14:paraId="0CB6487D"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480788E0" w14:textId="77777777" w:rsidR="00FA7C11" w:rsidRDefault="00D84965">
            <w:pPr>
              <w:pStyle w:val="P68B1DB1-Normal66"/>
              <w:spacing w:line="240" w:lineRule="auto"/>
              <w:rPr>
                <w:noProof/>
              </w:rPr>
            </w:pPr>
            <w:r>
              <w:rPr>
                <w:noProof/>
              </w:rPr>
              <w:t>Sprijinirea creșterii întreprinderilor nou-înființate prin instituirea unui program accelerator.</w:t>
            </w:r>
          </w:p>
        </w:tc>
        <w:tc>
          <w:tcPr>
            <w:tcW w:w="1555" w:type="dxa"/>
            <w:tcBorders>
              <w:top w:val="single" w:sz="4" w:space="0" w:color="auto"/>
              <w:left w:val="nil"/>
              <w:bottom w:val="single" w:sz="4" w:space="0" w:color="auto"/>
              <w:right w:val="single" w:sz="4" w:space="0" w:color="auto"/>
            </w:tcBorders>
            <w:shd w:val="clear" w:color="auto" w:fill="C6EFCE"/>
          </w:tcPr>
          <w:p w14:paraId="641ACC52"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731D428C"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448EF01E"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3A9E8118" w14:textId="77777777" w:rsidR="00FA7C11" w:rsidRDefault="00D84965">
            <w:pPr>
              <w:pStyle w:val="P68B1DB1-Normal66"/>
              <w:spacing w:line="240" w:lineRule="auto"/>
              <w:jc w:val="center"/>
              <w:rPr>
                <w:noProof/>
              </w:rPr>
            </w:pPr>
            <w:r>
              <w:rPr>
                <w:noProof/>
              </w:rPr>
              <w:t>120</w:t>
            </w:r>
          </w:p>
        </w:tc>
        <w:tc>
          <w:tcPr>
            <w:tcW w:w="756" w:type="dxa"/>
            <w:tcBorders>
              <w:top w:val="single" w:sz="4" w:space="0" w:color="auto"/>
              <w:left w:val="nil"/>
              <w:bottom w:val="single" w:sz="4" w:space="0" w:color="auto"/>
              <w:right w:val="single" w:sz="4" w:space="0" w:color="auto"/>
            </w:tcBorders>
            <w:shd w:val="clear" w:color="auto" w:fill="C6EFCE"/>
          </w:tcPr>
          <w:p w14:paraId="6DCB5985"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2D36416C"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4ED30C3B" w14:textId="39FB01FC" w:rsidR="00FA7C11" w:rsidRDefault="00D84965">
            <w:pPr>
              <w:pStyle w:val="P68B1DB1-Normal66"/>
              <w:spacing w:line="240" w:lineRule="auto"/>
              <w:jc w:val="both"/>
              <w:rPr>
                <w:noProof/>
              </w:rPr>
            </w:pPr>
            <w:r>
              <w:rPr>
                <w:noProof/>
              </w:rPr>
              <w:t>Programul Accelerator oferă mentorat, sprijin pentru investiții și acces la rețele de investitori pentru cel puțin 120 de întreprinderi nou-înființate pe o perioadă de cel puțin trei luni.</w:t>
            </w:r>
          </w:p>
        </w:tc>
      </w:tr>
      <w:tr w:rsidR="00FA7C11" w14:paraId="7235481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53A0B326" w14:textId="77777777" w:rsidR="00FA7C11" w:rsidRDefault="00D84965">
            <w:pPr>
              <w:pStyle w:val="P68B1DB1-Normal66"/>
              <w:spacing w:line="240" w:lineRule="auto"/>
              <w:jc w:val="center"/>
              <w:rPr>
                <w:noProof/>
              </w:rPr>
            </w:pPr>
            <w:r>
              <w:rPr>
                <w:noProof/>
              </w:rPr>
              <w:t>32</w:t>
            </w:r>
          </w:p>
        </w:tc>
        <w:tc>
          <w:tcPr>
            <w:tcW w:w="1205" w:type="dxa"/>
            <w:tcBorders>
              <w:top w:val="single" w:sz="4" w:space="0" w:color="auto"/>
              <w:left w:val="nil"/>
              <w:bottom w:val="single" w:sz="4" w:space="0" w:color="auto"/>
              <w:right w:val="single" w:sz="4" w:space="0" w:color="auto"/>
            </w:tcBorders>
            <w:shd w:val="clear" w:color="auto" w:fill="C6EFCE"/>
          </w:tcPr>
          <w:p w14:paraId="5705A91F" w14:textId="77777777" w:rsidR="00FA7C11" w:rsidRDefault="00D84965">
            <w:pPr>
              <w:pStyle w:val="P68B1DB1-Normal66"/>
              <w:spacing w:line="240" w:lineRule="auto"/>
              <w:rPr>
                <w:noProof/>
              </w:rPr>
            </w:pPr>
            <w:r>
              <w:rPr>
                <w:noProof/>
              </w:rPr>
              <w:t>C1.1.2. R2-I5</w:t>
            </w:r>
          </w:p>
        </w:tc>
        <w:tc>
          <w:tcPr>
            <w:tcW w:w="1022" w:type="dxa"/>
            <w:tcBorders>
              <w:top w:val="single" w:sz="4" w:space="0" w:color="auto"/>
              <w:left w:val="nil"/>
              <w:bottom w:val="single" w:sz="4" w:space="0" w:color="auto"/>
              <w:right w:val="single" w:sz="4" w:space="0" w:color="auto"/>
            </w:tcBorders>
            <w:shd w:val="clear" w:color="auto" w:fill="C6EFCE"/>
          </w:tcPr>
          <w:p w14:paraId="0F35EED2"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231798A0" w14:textId="66F7A2E7" w:rsidR="00FA7C11" w:rsidRDefault="00D84965">
            <w:pPr>
              <w:pStyle w:val="P68B1DB1-Normal66"/>
              <w:spacing w:line="240" w:lineRule="auto"/>
              <w:rPr>
                <w:noProof/>
              </w:rPr>
            </w:pPr>
            <w:r>
              <w:rPr>
                <w:noProof/>
              </w:rPr>
              <w:t>Sprijin pentru proiecte de comercializare a inovării</w:t>
            </w:r>
          </w:p>
        </w:tc>
        <w:tc>
          <w:tcPr>
            <w:tcW w:w="1555" w:type="dxa"/>
            <w:tcBorders>
              <w:top w:val="single" w:sz="4" w:space="0" w:color="auto"/>
              <w:left w:val="nil"/>
              <w:bottom w:val="single" w:sz="4" w:space="0" w:color="auto"/>
              <w:right w:val="single" w:sz="4" w:space="0" w:color="auto"/>
            </w:tcBorders>
            <w:shd w:val="clear" w:color="auto" w:fill="C6EFCE"/>
          </w:tcPr>
          <w:p w14:paraId="5B46FDA7"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4D7DCD1A"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6E324BB0"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1A8E98B3" w14:textId="77777777" w:rsidR="00FA7C11" w:rsidRDefault="00D84965">
            <w:pPr>
              <w:pStyle w:val="P68B1DB1-Normal66"/>
              <w:spacing w:line="240" w:lineRule="auto"/>
              <w:jc w:val="center"/>
              <w:rPr>
                <w:noProof/>
              </w:rPr>
            </w:pPr>
            <w:r>
              <w:rPr>
                <w:noProof/>
              </w:rPr>
              <w:t>95</w:t>
            </w:r>
          </w:p>
        </w:tc>
        <w:tc>
          <w:tcPr>
            <w:tcW w:w="756" w:type="dxa"/>
            <w:tcBorders>
              <w:top w:val="single" w:sz="4" w:space="0" w:color="auto"/>
              <w:left w:val="nil"/>
              <w:bottom w:val="single" w:sz="4" w:space="0" w:color="auto"/>
              <w:right w:val="single" w:sz="4" w:space="0" w:color="auto"/>
            </w:tcBorders>
            <w:shd w:val="clear" w:color="auto" w:fill="C6EFCE"/>
          </w:tcPr>
          <w:p w14:paraId="6B84C4F2" w14:textId="77777777" w:rsidR="00FA7C11" w:rsidRDefault="00D84965">
            <w:pPr>
              <w:pStyle w:val="P68B1DB1-Normal66"/>
              <w:spacing w:line="240"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tcPr>
          <w:p w14:paraId="5F846169" w14:textId="77777777" w:rsidR="00FA7C11" w:rsidRDefault="00D84965">
            <w:pPr>
              <w:pStyle w:val="P68B1DB1-Normal66"/>
              <w:spacing w:line="240" w:lineRule="auto"/>
              <w:jc w:val="center"/>
              <w:rPr>
                <w:noProof/>
              </w:rPr>
            </w:pPr>
            <w:r>
              <w:rPr>
                <w:noProof/>
              </w:rPr>
              <w:t>2024</w:t>
            </w:r>
          </w:p>
        </w:tc>
        <w:tc>
          <w:tcPr>
            <w:tcW w:w="5528" w:type="dxa"/>
            <w:tcBorders>
              <w:top w:val="single" w:sz="4" w:space="0" w:color="auto"/>
              <w:left w:val="nil"/>
              <w:bottom w:val="single" w:sz="4" w:space="0" w:color="auto"/>
              <w:right w:val="single" w:sz="4" w:space="0" w:color="auto"/>
            </w:tcBorders>
            <w:shd w:val="clear" w:color="auto" w:fill="C6EFCE"/>
          </w:tcPr>
          <w:p w14:paraId="7499EFC1" w14:textId="77777777" w:rsidR="00FA7C11" w:rsidRDefault="00D84965">
            <w:pPr>
              <w:pStyle w:val="P68B1DB1-Normal66"/>
              <w:spacing w:line="240" w:lineRule="auto"/>
              <w:rPr>
                <w:noProof/>
              </w:rPr>
            </w:pPr>
            <w:r>
              <w:rPr>
                <w:noProof/>
              </w:rPr>
              <w:t xml:space="preserve">Acordarea de ajutoare unui număr de cel puțin 95 de întreprinderi mici și mijlocii cu proiecte de inovare mature (nivelul de maturitate tehnologică 7 sau mai mare) pentru comercializarea și internaționalizarea activităților lor de comercializare, vânzare și distribuție legate de un produs inovator lansat pe piața internă. </w:t>
            </w:r>
          </w:p>
          <w:p w14:paraId="508FAD8F" w14:textId="77777777" w:rsidR="00FA7C11" w:rsidRDefault="00D84965">
            <w:pPr>
              <w:pStyle w:val="P68B1DB1-Normal66"/>
              <w:spacing w:line="240" w:lineRule="auto"/>
              <w:jc w:val="both"/>
              <w:rPr>
                <w:noProof/>
              </w:rPr>
            </w:pPr>
            <w:r>
              <w:rPr>
                <w:noProof/>
              </w:rPr>
              <w:t>Această investiție-țintă sprijină adaptarea unui produs sau serviciu dezvoltat și pregătirea pentru lansarea acestora pe piață. Activitățile eligibile pentru adaptarea unui produs dezvoltat includ testarea suplimentară și integrarea rezultatelor testelor în produsul final, servicii de consiliere, consolidarea capacităților, audituri ale studiilor de fezabilitate, proiectarea produsului și protecția drepturilor de proprietate intelectuală. Activitățile eligibile pentru pregătirea lansărilor de produse includ pregătirea sau revizuirea unui plan de afaceri sau a unui plan de marketing, cercetarea și testarea pieței, testarea produselor cu potențialii clienți, pregătirea producției și investițiile în produse de serie zero, precum și activitățile operaționale de marketing.</w:t>
            </w:r>
          </w:p>
          <w:p w14:paraId="330216E6" w14:textId="77777777" w:rsidR="00FA7C11" w:rsidRDefault="00D84965">
            <w:pPr>
              <w:pStyle w:val="P68B1DB1-Normal66"/>
              <w:spacing w:line="240" w:lineRule="auto"/>
              <w:jc w:val="both"/>
              <w:rPr>
                <w:noProof/>
              </w:rPr>
            </w:pPr>
            <w:r>
              <w:rPr>
                <w:noProof/>
              </w:rPr>
              <w:t>Acesta sprijină IMM-urile cu proiecte de inovare mature care sunt aproape de lansarea pe piață și care se preconizează că vor acorda prioritate propunerilor care contribuie la tranziția verde.</w:t>
            </w:r>
          </w:p>
        </w:tc>
      </w:tr>
      <w:tr w:rsidR="00FA7C11" w14:paraId="3FBEF1CC"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011CD3E9" w14:textId="77777777" w:rsidR="00FA7C11" w:rsidRDefault="00D84965">
            <w:pPr>
              <w:pStyle w:val="P68B1DB1-Normal66"/>
              <w:spacing w:line="240" w:lineRule="auto"/>
              <w:jc w:val="center"/>
              <w:rPr>
                <w:noProof/>
              </w:rPr>
            </w:pPr>
            <w:r>
              <w:rPr>
                <w:noProof/>
              </w:rPr>
              <w:t>33</w:t>
            </w:r>
          </w:p>
        </w:tc>
        <w:tc>
          <w:tcPr>
            <w:tcW w:w="1205" w:type="dxa"/>
            <w:tcBorders>
              <w:top w:val="single" w:sz="4" w:space="0" w:color="auto"/>
              <w:left w:val="nil"/>
              <w:bottom w:val="single" w:sz="4" w:space="0" w:color="auto"/>
              <w:right w:val="single" w:sz="4" w:space="0" w:color="auto"/>
            </w:tcBorders>
            <w:shd w:val="clear" w:color="auto" w:fill="C6EFCE"/>
          </w:tcPr>
          <w:p w14:paraId="49FA54DB" w14:textId="77777777" w:rsidR="00FA7C11" w:rsidRDefault="00D84965">
            <w:pPr>
              <w:pStyle w:val="P68B1DB1-Normal66"/>
              <w:spacing w:line="240" w:lineRule="auto"/>
              <w:rPr>
                <w:noProof/>
              </w:rPr>
            </w:pPr>
            <w:r>
              <w:rPr>
                <w:noProof/>
              </w:rPr>
              <w:t>C1.1.2. R3-I2</w:t>
            </w:r>
          </w:p>
        </w:tc>
        <w:tc>
          <w:tcPr>
            <w:tcW w:w="1022" w:type="dxa"/>
            <w:tcBorders>
              <w:top w:val="single" w:sz="4" w:space="0" w:color="auto"/>
              <w:left w:val="nil"/>
              <w:bottom w:val="single" w:sz="4" w:space="0" w:color="auto"/>
              <w:right w:val="single" w:sz="4" w:space="0" w:color="auto"/>
            </w:tcBorders>
            <w:shd w:val="clear" w:color="auto" w:fill="C6EFCE"/>
          </w:tcPr>
          <w:p w14:paraId="23962CC7"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53409DB7" w14:textId="77777777" w:rsidR="00FA7C11" w:rsidRDefault="00D84965">
            <w:pPr>
              <w:pStyle w:val="P68B1DB1-Normal66"/>
              <w:spacing w:line="240" w:lineRule="auto"/>
              <w:rPr>
                <w:noProof/>
              </w:rPr>
            </w:pPr>
            <w:r>
              <w:rPr>
                <w:noProof/>
              </w:rPr>
              <w:t xml:space="preserve">Acordarea de sprijin sub formă de vouchere </w:t>
            </w:r>
          </w:p>
        </w:tc>
        <w:tc>
          <w:tcPr>
            <w:tcW w:w="1555" w:type="dxa"/>
            <w:tcBorders>
              <w:top w:val="single" w:sz="4" w:space="0" w:color="auto"/>
              <w:left w:val="nil"/>
              <w:bottom w:val="single" w:sz="4" w:space="0" w:color="auto"/>
              <w:right w:val="single" w:sz="4" w:space="0" w:color="auto"/>
            </w:tcBorders>
            <w:shd w:val="clear" w:color="auto" w:fill="C6EFCE"/>
          </w:tcPr>
          <w:p w14:paraId="70EF63FF"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2ADC2AC5"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5B61883A"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47B40FE8" w14:textId="77777777" w:rsidR="00FA7C11" w:rsidRDefault="00D84965">
            <w:pPr>
              <w:pStyle w:val="P68B1DB1-Normal66"/>
              <w:spacing w:line="240" w:lineRule="auto"/>
              <w:jc w:val="center"/>
              <w:rPr>
                <w:noProof/>
                <w:highlight w:val="yellow"/>
              </w:rPr>
            </w:pPr>
            <w:r>
              <w:rPr>
                <w:noProof/>
              </w:rPr>
              <w:t>1 500</w:t>
            </w:r>
          </w:p>
        </w:tc>
        <w:tc>
          <w:tcPr>
            <w:tcW w:w="756" w:type="dxa"/>
            <w:tcBorders>
              <w:top w:val="single" w:sz="4" w:space="0" w:color="auto"/>
              <w:left w:val="nil"/>
              <w:bottom w:val="single" w:sz="4" w:space="0" w:color="auto"/>
              <w:right w:val="single" w:sz="4" w:space="0" w:color="auto"/>
            </w:tcBorders>
            <w:shd w:val="clear" w:color="auto" w:fill="C6EFCE"/>
          </w:tcPr>
          <w:p w14:paraId="61D31444"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79BD5E80" w14:textId="77777777" w:rsidR="00FA7C11" w:rsidRDefault="00D84965">
            <w:pPr>
              <w:pStyle w:val="P68B1DB1-Normal66"/>
              <w:spacing w:line="240" w:lineRule="auto"/>
              <w:jc w:val="center"/>
              <w:rPr>
                <w:noProof/>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70DF409E" w14:textId="77777777" w:rsidR="00FA7C11" w:rsidRDefault="00D84965">
            <w:pPr>
              <w:pStyle w:val="P68B1DB1-Normal66"/>
              <w:spacing w:line="240" w:lineRule="auto"/>
              <w:rPr>
                <w:noProof/>
              </w:rPr>
            </w:pPr>
            <w:r>
              <w:rPr>
                <w:noProof/>
              </w:rPr>
              <w:t>Cel puțin 1 500 de IMM-uri care beneficiază de vouchere de sprijin pentru digitalizare. Voucherele se utilizează pentru a-i ajuta pe angajați să își îmbunătățească competențele digitale, inclusiv competențele legate de tehnologiile de tip cloud, să testeze sustenabilitatea ideilor și să conceapă strategii pentru o posibilă transformare digitală, să achiziționeze servicii de marketing digital, să sporească securitatea cibernetică prin introducerea unor controale de securitate ale sistemului sau pentru dezvoltarea sau implementarea de produse și servicii digitale complexe.</w:t>
            </w:r>
          </w:p>
        </w:tc>
      </w:tr>
      <w:tr w:rsidR="00FA7C11" w14:paraId="40C5FC8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tcPr>
          <w:p w14:paraId="1B4EF774" w14:textId="77777777" w:rsidR="00FA7C11" w:rsidRDefault="00D84965">
            <w:pPr>
              <w:pStyle w:val="P68B1DB1-Normal66"/>
              <w:spacing w:line="240" w:lineRule="auto"/>
              <w:jc w:val="center"/>
              <w:rPr>
                <w:noProof/>
              </w:rPr>
            </w:pPr>
            <w:r>
              <w:rPr>
                <w:noProof/>
              </w:rPr>
              <w:t>34</w:t>
            </w:r>
          </w:p>
        </w:tc>
        <w:tc>
          <w:tcPr>
            <w:tcW w:w="1205" w:type="dxa"/>
            <w:tcBorders>
              <w:top w:val="single" w:sz="4" w:space="0" w:color="auto"/>
              <w:left w:val="nil"/>
              <w:bottom w:val="single" w:sz="4" w:space="0" w:color="auto"/>
              <w:right w:val="single" w:sz="4" w:space="0" w:color="auto"/>
            </w:tcBorders>
            <w:shd w:val="clear" w:color="auto" w:fill="C6EFCE"/>
          </w:tcPr>
          <w:p w14:paraId="3F77D689" w14:textId="77777777" w:rsidR="00FA7C11" w:rsidRDefault="00D84965">
            <w:pPr>
              <w:pStyle w:val="P68B1DB1-Normal66"/>
              <w:spacing w:line="240" w:lineRule="auto"/>
              <w:rPr>
                <w:noProof/>
              </w:rPr>
            </w:pPr>
            <w:r>
              <w:rPr>
                <w:noProof/>
              </w:rPr>
              <w:t>C1.1.2. R3-I3</w:t>
            </w:r>
          </w:p>
        </w:tc>
        <w:tc>
          <w:tcPr>
            <w:tcW w:w="1022" w:type="dxa"/>
            <w:tcBorders>
              <w:top w:val="single" w:sz="4" w:space="0" w:color="auto"/>
              <w:left w:val="nil"/>
              <w:bottom w:val="single" w:sz="4" w:space="0" w:color="auto"/>
              <w:right w:val="single" w:sz="4" w:space="0" w:color="auto"/>
            </w:tcBorders>
            <w:shd w:val="clear" w:color="auto" w:fill="C6EFCE"/>
          </w:tcPr>
          <w:p w14:paraId="736E24DA" w14:textId="77777777" w:rsidR="00FA7C11" w:rsidRDefault="00D84965">
            <w:pPr>
              <w:pStyle w:val="P68B1DB1-Normal66"/>
              <w:spacing w:line="240" w:lineRule="auto"/>
              <w:jc w:val="center"/>
              <w:rPr>
                <w:noProof/>
              </w:rPr>
            </w:pPr>
            <w:r>
              <w:rPr>
                <w:noProof/>
              </w:rPr>
              <w:t>T</w:t>
            </w:r>
          </w:p>
        </w:tc>
        <w:tc>
          <w:tcPr>
            <w:tcW w:w="1768" w:type="dxa"/>
            <w:tcBorders>
              <w:top w:val="single" w:sz="4" w:space="0" w:color="auto"/>
              <w:left w:val="nil"/>
              <w:bottom w:val="single" w:sz="4" w:space="0" w:color="auto"/>
              <w:right w:val="single" w:sz="4" w:space="0" w:color="auto"/>
            </w:tcBorders>
            <w:shd w:val="clear" w:color="auto" w:fill="C6EFCE"/>
          </w:tcPr>
          <w:p w14:paraId="6388AC4A" w14:textId="10428F57" w:rsidR="00FA7C11" w:rsidRDefault="00D84965">
            <w:pPr>
              <w:pStyle w:val="P68B1DB1-Normal66"/>
              <w:spacing w:line="240" w:lineRule="auto"/>
              <w:rPr>
                <w:noProof/>
              </w:rPr>
            </w:pPr>
            <w:r>
              <w:rPr>
                <w:noProof/>
              </w:rPr>
              <w:t xml:space="preserve">Acordarea de sprijin pentru transformarea digitală a IMM-urilor croate </w:t>
            </w:r>
          </w:p>
        </w:tc>
        <w:tc>
          <w:tcPr>
            <w:tcW w:w="1555" w:type="dxa"/>
            <w:tcBorders>
              <w:top w:val="single" w:sz="4" w:space="0" w:color="auto"/>
              <w:left w:val="nil"/>
              <w:bottom w:val="single" w:sz="4" w:space="0" w:color="auto"/>
              <w:right w:val="single" w:sz="4" w:space="0" w:color="auto"/>
            </w:tcBorders>
            <w:shd w:val="clear" w:color="auto" w:fill="C6EFCE"/>
          </w:tcPr>
          <w:p w14:paraId="0D467EB5" w14:textId="77777777" w:rsidR="00FA7C11" w:rsidRDefault="00D84965">
            <w:pPr>
              <w:pStyle w:val="P68B1DB1-Normal66"/>
              <w:spacing w:line="240"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tcPr>
          <w:p w14:paraId="6477A7D7" w14:textId="77777777" w:rsidR="00FA7C11" w:rsidRDefault="00D84965">
            <w:pPr>
              <w:pStyle w:val="P68B1DB1-Normal66"/>
              <w:spacing w:line="240" w:lineRule="auto"/>
              <w:jc w:val="center"/>
              <w:rPr>
                <w:noProof/>
              </w:rPr>
            </w:pPr>
            <w:r>
              <w:rPr>
                <w:noProof/>
              </w:rPr>
              <w:t>Număr</w:t>
            </w:r>
          </w:p>
        </w:tc>
        <w:tc>
          <w:tcPr>
            <w:tcW w:w="1056" w:type="dxa"/>
            <w:tcBorders>
              <w:top w:val="single" w:sz="4" w:space="0" w:color="auto"/>
              <w:left w:val="nil"/>
              <w:bottom w:val="single" w:sz="4" w:space="0" w:color="auto"/>
              <w:right w:val="single" w:sz="4" w:space="0" w:color="auto"/>
            </w:tcBorders>
            <w:shd w:val="clear" w:color="auto" w:fill="C6EFCE"/>
          </w:tcPr>
          <w:p w14:paraId="5D6EC4E3" w14:textId="77777777" w:rsidR="00FA7C11" w:rsidRDefault="00D84965">
            <w:pPr>
              <w:pStyle w:val="P68B1DB1-Normal66"/>
              <w:spacing w:line="240" w:lineRule="auto"/>
              <w:jc w:val="center"/>
              <w:rPr>
                <w:noProof/>
              </w:rPr>
            </w:pPr>
            <w:r>
              <w:rPr>
                <w:noProof/>
              </w:rPr>
              <w:t>0</w:t>
            </w:r>
          </w:p>
        </w:tc>
        <w:tc>
          <w:tcPr>
            <w:tcW w:w="1056" w:type="dxa"/>
            <w:tcBorders>
              <w:top w:val="single" w:sz="4" w:space="0" w:color="auto"/>
              <w:left w:val="nil"/>
              <w:bottom w:val="single" w:sz="4" w:space="0" w:color="auto"/>
              <w:right w:val="single" w:sz="4" w:space="0" w:color="auto"/>
            </w:tcBorders>
            <w:shd w:val="clear" w:color="auto" w:fill="C6EFCE"/>
          </w:tcPr>
          <w:p w14:paraId="7D8413E0" w14:textId="77777777" w:rsidR="00FA7C11" w:rsidRDefault="00D84965">
            <w:pPr>
              <w:pStyle w:val="P68B1DB1-Normal66"/>
              <w:spacing w:line="240" w:lineRule="auto"/>
              <w:jc w:val="center"/>
              <w:rPr>
                <w:noProof/>
                <w:highlight w:val="yellow"/>
              </w:rPr>
            </w:pPr>
            <w:r>
              <w:rPr>
                <w:noProof/>
              </w:rPr>
              <w:t>360</w:t>
            </w:r>
          </w:p>
        </w:tc>
        <w:tc>
          <w:tcPr>
            <w:tcW w:w="756" w:type="dxa"/>
            <w:tcBorders>
              <w:top w:val="single" w:sz="4" w:space="0" w:color="auto"/>
              <w:left w:val="nil"/>
              <w:bottom w:val="single" w:sz="4" w:space="0" w:color="auto"/>
              <w:right w:val="single" w:sz="4" w:space="0" w:color="auto"/>
            </w:tcBorders>
            <w:shd w:val="clear" w:color="auto" w:fill="C6EFCE"/>
          </w:tcPr>
          <w:p w14:paraId="4EFB694B" w14:textId="77777777" w:rsidR="00FA7C11" w:rsidRDefault="00D84965">
            <w:pPr>
              <w:pStyle w:val="P68B1DB1-Normal66"/>
              <w:spacing w:line="240"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tcPr>
          <w:p w14:paraId="1E0331E6" w14:textId="77777777" w:rsidR="00FA7C11" w:rsidRDefault="00D84965">
            <w:pPr>
              <w:pStyle w:val="P68B1DB1-Normal66"/>
              <w:spacing w:line="240" w:lineRule="auto"/>
              <w:jc w:val="center"/>
              <w:rPr>
                <w:noProof/>
                <w:highlight w:val="yellow"/>
              </w:rPr>
            </w:pPr>
            <w:r>
              <w:rPr>
                <w:noProof/>
              </w:rPr>
              <w:t>2026</w:t>
            </w:r>
          </w:p>
        </w:tc>
        <w:tc>
          <w:tcPr>
            <w:tcW w:w="5528" w:type="dxa"/>
            <w:tcBorders>
              <w:top w:val="single" w:sz="4" w:space="0" w:color="auto"/>
              <w:left w:val="nil"/>
              <w:bottom w:val="single" w:sz="4" w:space="0" w:color="auto"/>
              <w:right w:val="single" w:sz="4" w:space="0" w:color="auto"/>
            </w:tcBorders>
            <w:shd w:val="clear" w:color="auto" w:fill="C6EFCE"/>
          </w:tcPr>
          <w:p w14:paraId="7B9DFB40" w14:textId="1BD86CB7" w:rsidR="00FA7C11" w:rsidRDefault="00D84965">
            <w:pPr>
              <w:pStyle w:val="P68B1DB1-Normal76"/>
              <w:spacing w:line="240" w:lineRule="auto"/>
              <w:jc w:val="both"/>
              <w:rPr>
                <w:noProof/>
              </w:rPr>
            </w:pPr>
            <w:r>
              <w:rPr>
                <w:noProof/>
              </w:rPr>
              <w:t xml:space="preserve">Se semnează contracte cu cel puțin 360 IMM-uri care acordă granturi pentru proiecte de digitalizare a întreprinderilor. </w:t>
            </w:r>
          </w:p>
          <w:p w14:paraId="76BCB704" w14:textId="7FA284DC" w:rsidR="00FA7C11" w:rsidRDefault="00D84965">
            <w:pPr>
              <w:pStyle w:val="P68B1DB1-Normal66"/>
              <w:spacing w:line="240" w:lineRule="auto"/>
              <w:jc w:val="both"/>
              <w:rPr>
                <w:noProof/>
              </w:rPr>
            </w:pPr>
            <w:r>
              <w:rPr>
                <w:noProof/>
              </w:rPr>
              <w:t>Un proiect eligibil de digitalizare a întreprinderilor include următoarele: (I) o soluție digitală sau o tehnologie digitală care sprijină transformarea întreprinderilor; sau (ii) activități care vizează capacitatea digitală.</w:t>
            </w:r>
          </w:p>
        </w:tc>
      </w:tr>
    </w:tbl>
    <w:p w14:paraId="0675AC6D" w14:textId="77777777" w:rsidR="00FA7C11" w:rsidRDefault="00FA7C11">
      <w:pPr>
        <w:spacing w:line="240" w:lineRule="auto"/>
        <w:jc w:val="both"/>
        <w:rPr>
          <w:rFonts w:eastAsia="Calibri"/>
          <w:noProof/>
        </w:rPr>
        <w:sectPr w:rsidR="00FA7C11" w:rsidSect="00FA29B2">
          <w:headerReference w:type="even" r:id="rId20"/>
          <w:headerReference w:type="default" r:id="rId21"/>
          <w:footerReference w:type="even" r:id="rId22"/>
          <w:footerReference w:type="default" r:id="rId23"/>
          <w:headerReference w:type="first" r:id="rId24"/>
          <w:footerReference w:type="first" r:id="rId25"/>
          <w:pgSz w:w="16839" w:h="11907" w:orient="landscape"/>
          <w:pgMar w:top="1134" w:right="1134" w:bottom="1134" w:left="1134" w:header="567" w:footer="567" w:gutter="0"/>
          <w:cols w:space="720"/>
          <w:docGrid w:linePitch="360"/>
        </w:sectPr>
      </w:pPr>
    </w:p>
    <w:p w14:paraId="6B647BDB" w14:textId="77777777" w:rsidR="00FA7C11" w:rsidRDefault="00D84965">
      <w:pPr>
        <w:pStyle w:val="P68B1DB1-Normal80"/>
        <w:spacing w:line="240" w:lineRule="auto"/>
        <w:jc w:val="both"/>
        <w:textAlignment w:val="baseline"/>
        <w:rPr>
          <w:rFonts w:ascii="Times New Roman" w:eastAsia="Times New Roman" w:hAnsi="Times New Roman" w:cs="Times New Roman"/>
          <w:noProof/>
          <w:color w:val="000000" w:themeColor="text1"/>
        </w:rPr>
      </w:pPr>
      <w:r>
        <w:rPr>
          <w:rFonts w:ascii="Times New Roman" w:eastAsia="Times New Roman" w:hAnsi="Times New Roman" w:cs="Times New Roman"/>
          <w:b/>
          <w:noProof/>
          <w:color w:val="000000" w:themeColor="text1"/>
        </w:rPr>
        <w:t xml:space="preserve">A.3. </w:t>
      </w:r>
      <w:r>
        <w:rPr>
          <w:rFonts w:ascii="Times New Roman" w:hAnsi="Times New Roman" w:cs="Times New Roman"/>
          <w:noProof/>
        </w:rPr>
        <w:t xml:space="preserve"> </w:t>
      </w:r>
      <w:r>
        <w:rPr>
          <w:rFonts w:ascii="Times New Roman" w:eastAsia="Times New Roman" w:hAnsi="Times New Roman" w:cs="Times New Roman"/>
          <w:b/>
          <w:noProof/>
          <w:color w:val="000000" w:themeColor="text1"/>
        </w:rPr>
        <w:t xml:space="preserve">Descrierea reformelor și a investițiilor pentru împrumut </w:t>
      </w:r>
    </w:p>
    <w:p w14:paraId="08F06B7C" w14:textId="77777777" w:rsidR="00FA7C11" w:rsidRDefault="00D84965">
      <w:pPr>
        <w:pStyle w:val="P68B1DB1-Normal81"/>
        <w:keepNext/>
        <w:spacing w:line="240" w:lineRule="auto"/>
        <w:ind w:left="720"/>
        <w:jc w:val="both"/>
        <w:textAlignment w:val="baseline"/>
        <w:rPr>
          <w:rFonts w:eastAsia="Times New Roman"/>
          <w:noProof/>
        </w:rPr>
      </w:pPr>
      <w:r>
        <w:rPr>
          <w:noProof/>
        </w:rPr>
        <w:t>Reforma C1.1.1 R5 – Diversificarea piețelor de capital și îmbunătățirea accesului la finanțare alternativă</w:t>
      </w:r>
    </w:p>
    <w:p w14:paraId="0A582F52" w14:textId="77777777" w:rsidR="00FA7C11" w:rsidRDefault="00D84965">
      <w:pPr>
        <w:pStyle w:val="paragraph"/>
        <w:spacing w:before="0" w:beforeAutospacing="0" w:after="240" w:afterAutospacing="0"/>
        <w:jc w:val="both"/>
        <w:textAlignment w:val="baseline"/>
        <w:rPr>
          <w:rStyle w:val="eop"/>
          <w:noProof/>
          <w:szCs w:val="24"/>
        </w:rPr>
      </w:pPr>
      <w:r>
        <w:rPr>
          <w:rStyle w:val="normaltextrun"/>
          <w:noProof/>
          <w:szCs w:val="24"/>
        </w:rPr>
        <w:t>Obiectivul acestei măsuri este de a crea un cadru strategic și acțiuni de dezvoltare a pieței naționale de capital. Reforma constă în adoptarea unei strategii, urmată de un plan de acțiune. </w:t>
      </w:r>
    </w:p>
    <w:p w14:paraId="741C03E6" w14:textId="77777777" w:rsidR="00FA7C11" w:rsidRDefault="00D84965">
      <w:pPr>
        <w:pStyle w:val="P68B1DB1-Normal82"/>
        <w:spacing w:line="240" w:lineRule="auto"/>
        <w:ind w:firstLine="720"/>
        <w:jc w:val="both"/>
        <w:textAlignment w:val="baseline"/>
        <w:rPr>
          <w:noProof/>
        </w:rPr>
      </w:pPr>
      <w:r>
        <w:rPr>
          <w:noProof/>
        </w:rPr>
        <w:t>Reforma C1.1.1 R7 – Instituirea Forumului de sprijin pentru finanțarea durabilă</w:t>
      </w:r>
    </w:p>
    <w:p w14:paraId="71CE87B6" w14:textId="77777777" w:rsidR="00FA7C11" w:rsidRDefault="00D84965">
      <w:pPr>
        <w:pStyle w:val="P68B1DB1-Normal83"/>
        <w:spacing w:after="240" w:line="240" w:lineRule="auto"/>
        <w:jc w:val="both"/>
        <w:textAlignment w:val="baseline"/>
        <w:rPr>
          <w:noProof/>
        </w:rPr>
      </w:pPr>
      <w:r>
        <w:rPr>
          <w:noProof/>
        </w:rPr>
        <w:t>Obiectivul reformei este de a consolida contribuția sectorului financiar la tranziția verde și de a-l sprijini în punerea în aplicare a cerințelor de reglementare în domeniul finanțării durabile. Măsura constă în adoptarea unui plan de acțiune și în instituirea unei platforme a părților interesate.</w:t>
      </w:r>
    </w:p>
    <w:p w14:paraId="1B394662" w14:textId="77777777" w:rsidR="00FA7C11" w:rsidRDefault="00D84965">
      <w:pPr>
        <w:spacing w:after="0" w:line="240" w:lineRule="auto"/>
        <w:ind w:left="720"/>
        <w:jc w:val="both"/>
        <w:rPr>
          <w:rFonts w:ascii="Times New Roman" w:eastAsia="Calibri" w:hAnsi="Times New Roman" w:cs="Times New Roman"/>
          <w:noProof/>
          <w:sz w:val="24"/>
          <w:szCs w:val="24"/>
          <w:u w:val="single"/>
        </w:rPr>
      </w:pPr>
      <w:r>
        <w:rPr>
          <w:rStyle w:val="eop"/>
          <w:rFonts w:ascii="Times New Roman" w:hAnsi="Times New Roman" w:cs="Times New Roman"/>
          <w:noProof/>
          <w:sz w:val="24"/>
          <w:szCs w:val="24"/>
          <w:u w:val="single"/>
        </w:rPr>
        <w:t>Investiția C1.1.1. R4-I6 Investiții – Injecție de capital în HBOR pentru a sprijini investițiile strategice în apărare și securitate </w:t>
      </w:r>
    </w:p>
    <w:p w14:paraId="7F4DDB6A" w14:textId="77777777" w:rsidR="00FA7C11" w:rsidRDefault="00FA7C11">
      <w:pPr>
        <w:spacing w:after="0" w:line="240" w:lineRule="auto"/>
        <w:ind w:left="720"/>
        <w:jc w:val="both"/>
        <w:rPr>
          <w:rFonts w:ascii="Times New Roman" w:eastAsia="Calibri" w:hAnsi="Times New Roman" w:cs="Times New Roman"/>
          <w:noProof/>
          <w:sz w:val="24"/>
          <w:szCs w:val="24"/>
          <w:u w:val="single"/>
        </w:rPr>
      </w:pPr>
    </w:p>
    <w:p w14:paraId="68E76C17" w14:textId="77777777" w:rsidR="00FA7C11" w:rsidRDefault="00D84965">
      <w:pPr>
        <w:pStyle w:val="P68B1DB1-Normal84"/>
        <w:spacing w:after="0" w:line="240" w:lineRule="auto"/>
        <w:jc w:val="both"/>
        <w:textAlignment w:val="baseline"/>
        <w:rPr>
          <w:noProof/>
        </w:rPr>
      </w:pPr>
      <w:r>
        <w:rPr>
          <w:noProof/>
        </w:rPr>
        <w:t>Această măsură vizează sprijinirea potențialului de creștere al economiei croate prin ajustarea structurală a nivelului sprijinului public disponibil pentru a remedia disfuncționalitățile pieței și ineficiențele din cadrul economiei în domeniul apărării și securității.</w:t>
      </w:r>
    </w:p>
    <w:p w14:paraId="112A8E7E" w14:textId="77777777" w:rsidR="00FA7C11" w:rsidRDefault="00FA7C11">
      <w:pPr>
        <w:spacing w:after="0" w:line="240" w:lineRule="auto"/>
        <w:jc w:val="both"/>
        <w:textAlignment w:val="baseline"/>
        <w:rPr>
          <w:rFonts w:ascii="Times New Roman" w:eastAsia="Aptos" w:hAnsi="Times New Roman" w:cs="Times New Roman"/>
          <w:noProof/>
          <w:sz w:val="24"/>
          <w:szCs w:val="24"/>
          <w14:ligatures w14:val="none"/>
        </w:rPr>
      </w:pPr>
    </w:p>
    <w:p w14:paraId="28A92CF9" w14:textId="20E2EED6" w:rsidR="00FA7C11" w:rsidRDefault="00D84965">
      <w:pPr>
        <w:spacing w:after="0" w:line="240" w:lineRule="auto"/>
        <w:jc w:val="both"/>
        <w:textAlignment w:val="baseline"/>
        <w:rPr>
          <w:rFonts w:ascii="Times New Roman" w:eastAsia="Aptos" w:hAnsi="Times New Roman" w:cs="Times New Roman"/>
          <w:noProof/>
          <w:sz w:val="24"/>
          <w:szCs w:val="24"/>
        </w:rPr>
      </w:pPr>
      <w:r>
        <w:rPr>
          <w:rFonts w:ascii="Times New Roman" w:eastAsia="Aptos" w:hAnsi="Times New Roman" w:cs="Times New Roman"/>
          <w:noProof/>
          <w:sz w:val="24"/>
          <w:szCs w:val="24"/>
          <w14:ligatures w14:val="none"/>
        </w:rPr>
        <w:t>Măsura constă într-o injecție de capital în valoare de 133</w:t>
      </w:r>
      <w:r>
        <w:rPr>
          <w:rFonts w:ascii="Times New Roman" w:eastAsia="Calibri" w:hAnsi="Times New Roman" w:cs="Times New Roman"/>
          <w:noProof/>
          <w:color w:val="000000" w:themeColor="text1"/>
          <w:sz w:val="20"/>
          <w:szCs w:val="20"/>
        </w:rPr>
        <w:t xml:space="preserve"> </w:t>
      </w:r>
      <w:r>
        <w:rPr>
          <w:rFonts w:ascii="Times New Roman" w:eastAsia="Aptos" w:hAnsi="Times New Roman" w:cs="Times New Roman"/>
          <w:noProof/>
          <w:sz w:val="24"/>
          <w:szCs w:val="24"/>
          <w14:ligatures w14:val="none"/>
        </w:rPr>
        <w:t>214</w:t>
      </w:r>
      <w:r>
        <w:rPr>
          <w:rFonts w:ascii="Times New Roman" w:eastAsia="Calibri" w:hAnsi="Times New Roman" w:cs="Times New Roman"/>
          <w:noProof/>
          <w:color w:val="000000" w:themeColor="text1"/>
          <w:sz w:val="20"/>
          <w:szCs w:val="20"/>
        </w:rPr>
        <w:t xml:space="preserve"> </w:t>
      </w:r>
      <w:r>
        <w:rPr>
          <w:rFonts w:ascii="Times New Roman" w:eastAsia="Aptos" w:hAnsi="Times New Roman" w:cs="Times New Roman"/>
          <w:noProof/>
          <w:sz w:val="24"/>
          <w:szCs w:val="24"/>
          <w14:ligatures w14:val="none"/>
        </w:rPr>
        <w:t>015 EUR  în Banca Croată pentru Restructurare și Dezvoltare (HBOR)</w:t>
      </w:r>
      <w:r>
        <w:rPr>
          <w:rFonts w:ascii="Times New Roman" w:eastAsia="Aptos" w:hAnsi="Times New Roman" w:cs="Times New Roman"/>
          <w:noProof/>
          <w:sz w:val="24"/>
          <w:szCs w:val="24"/>
        </w:rPr>
        <w:t xml:space="preserve">. </w:t>
      </w:r>
    </w:p>
    <w:p w14:paraId="7D2F24F2" w14:textId="77777777" w:rsidR="00FA7C11" w:rsidRDefault="00FA7C11">
      <w:pPr>
        <w:spacing w:after="0" w:line="240" w:lineRule="auto"/>
        <w:jc w:val="both"/>
        <w:textAlignment w:val="baseline"/>
        <w:rPr>
          <w:rFonts w:ascii="Times New Roman" w:eastAsia="Aptos" w:hAnsi="Times New Roman" w:cs="Times New Roman"/>
          <w:noProof/>
          <w:sz w:val="24"/>
          <w:szCs w:val="24"/>
          <w14:ligatures w14:val="none"/>
        </w:rPr>
      </w:pPr>
    </w:p>
    <w:p w14:paraId="14A9459D" w14:textId="77777777" w:rsidR="00FA7C11" w:rsidRDefault="00D84965">
      <w:pPr>
        <w:pStyle w:val="P68B1DB1-Normal85"/>
        <w:spacing w:after="0" w:line="240" w:lineRule="auto"/>
        <w:jc w:val="both"/>
        <w:rPr>
          <w:noProof/>
          <w14:ligatures w14:val="none"/>
        </w:rPr>
      </w:pPr>
      <w:r>
        <w:rPr>
          <w:noProof/>
        </w:rPr>
        <w:t>HBOR adoptă o nouă politică de investiții pentru utilizarea capitalului propriu suplimentar. Politica de investiții include descrierea produsului (produselor) financiar (financiare) cu tipul preconizat de beneficiari finali eligibili pe care se preconizează că îl va sprijini inițial prin capitaluri proprii suplimentare, inclusiv calendarul preconizat pentru punerea în aplicare și valoarea preconizată a fiecărui produs financiar. HBOR utilizează pentru capitalul propriu suplimentar același sistem de audit și control care a fost evaluat pozitiv de Comisie în conformitate cu articolul 157 din Regulamentul (UE, Euratom) 2024/2509. </w:t>
      </w:r>
    </w:p>
    <w:p w14:paraId="3CE04884" w14:textId="77777777" w:rsidR="00FA7C11" w:rsidRDefault="00FA7C11">
      <w:pPr>
        <w:spacing w:after="0" w:line="240" w:lineRule="auto"/>
        <w:jc w:val="both"/>
        <w:rPr>
          <w:rFonts w:ascii="Times New Roman" w:eastAsiaTheme="majorEastAsia" w:hAnsi="Times New Roman" w:cs="Times New Roman"/>
          <w:noProof/>
          <w:sz w:val="24"/>
          <w:szCs w:val="24"/>
          <w14:ligatures w14:val="none"/>
        </w:rPr>
      </w:pPr>
    </w:p>
    <w:p w14:paraId="034AB770" w14:textId="77777777" w:rsidR="00FA7C11" w:rsidRDefault="00D84965">
      <w:pPr>
        <w:pStyle w:val="P68B1DB1-Normal86"/>
        <w:spacing w:after="0" w:line="240" w:lineRule="auto"/>
        <w:jc w:val="both"/>
        <w:textAlignment w:val="baseline"/>
        <w:rPr>
          <w:noProof/>
        </w:rPr>
      </w:pPr>
      <w:r>
        <w:rPr>
          <w:noProof/>
        </w:rPr>
        <w:t>Politica de investiții impune ca produsele financiare pe care le sprijină capitalurile proprii suplimentare să respecte principiul de „a nu prejudicia în mod semnificativ”, astfel cum este prevăzut în Orientările tehnice privind aplicarea principiului de „a nu prejudicia în mod semnificativ” (2021/C58/01). În special, pentru împrumuturi sau instrumente echivalente, politica de investiții exclude de la eligibilitate următoarea listă de activități și active: (I) activitățile și activele legate de combustibilii fosili, inclusiv utilizarea în aval</w:t>
      </w:r>
      <w:r>
        <w:rPr>
          <w:noProof/>
        </w:rPr>
        <w:footnoteReference w:id="10"/>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11"/>
      </w:r>
      <w:r>
        <w:rPr>
          <w:noProof/>
        </w:rPr>
        <w:t>, (iii) activitățile și activele legate de depozitele de deșeuri, incineratoare</w:t>
      </w:r>
      <w:r>
        <w:rPr>
          <w:noProof/>
        </w:rPr>
        <w:footnoteReference w:id="12"/>
      </w:r>
      <w:r>
        <w:rPr>
          <w:noProof/>
        </w:rPr>
        <w:t xml:space="preserve"> și stațiile de tratare mecano-biologică</w:t>
      </w:r>
      <w:r>
        <w:rPr>
          <w:noProof/>
        </w:rPr>
        <w:footnoteReference w:id="13"/>
      </w:r>
      <w:r>
        <w:rPr>
          <w:noProof/>
        </w:rPr>
        <w:t>. În ceea ce privește capitalurile proprii, politica de investiții exclude întreprinderile cu un accent substanțial</w:t>
      </w:r>
      <w:r>
        <w:rPr>
          <w:noProof/>
        </w:rPr>
        <w:footnoteReference w:id="14"/>
      </w:r>
      <w:r>
        <w:rPr>
          <w:noProof/>
        </w:rPr>
        <w:t xml:space="preserve"> pe următoarele sectoare: (I) producția de energie pe bază de combustibili fosili și activitățile conexe</w:t>
      </w:r>
      <w:r>
        <w:rPr>
          <w:noProof/>
        </w:rPr>
        <w:footnoteReference w:id="15"/>
      </w:r>
      <w:r>
        <w:rPr>
          <w:noProof/>
        </w:rPr>
        <w:t>; (II) industriile mari consumatoare de energie și/sau cu emisii ridicate de CO2</w:t>
      </w:r>
      <w:r>
        <w:rPr>
          <w:noProof/>
        </w:rPr>
        <w:footnoteReference w:id="16"/>
      </w:r>
      <w:r>
        <w:rPr>
          <w:noProof/>
        </w:rPr>
        <w:t>; (III) producția, închirierea sau vânzarea de vehicule poluante</w:t>
      </w:r>
      <w:r>
        <w:rPr>
          <w:noProof/>
        </w:rPr>
        <w:footnoteReference w:id="17"/>
      </w:r>
      <w:r>
        <w:rPr>
          <w:noProof/>
        </w:rPr>
        <w:t>; (IV) colectarea deșeurilor, tratarea și eliminarea deșeurilor</w:t>
      </w:r>
      <w:r>
        <w:rPr>
          <w:noProof/>
        </w:rPr>
        <w:footnoteReference w:id="18"/>
      </w:r>
      <w:r>
        <w:rPr>
          <w:noProof/>
        </w:rPr>
        <w:t>, (v) prelucrarea combustibilului nuclear, producția de energie nucleară. În plus, politica de investiții impune</w:t>
      </w:r>
      <w:r>
        <w:rPr>
          <w:b/>
          <w:noProof/>
        </w:rPr>
        <w:t xml:space="preserve"> </w:t>
      </w:r>
      <w:r>
        <w:rPr>
          <w:noProof/>
        </w:rPr>
        <w:t>respectarea legislației UE și naționale relevante în materie de mediu de către destinatarii finali ai facilității.</w:t>
      </w:r>
    </w:p>
    <w:p w14:paraId="646C021A" w14:textId="77777777" w:rsidR="00FA7C11" w:rsidRDefault="00FA7C11">
      <w:pPr>
        <w:spacing w:after="0" w:line="240" w:lineRule="auto"/>
        <w:jc w:val="both"/>
        <w:textAlignment w:val="baseline"/>
        <w:rPr>
          <w:rFonts w:ascii="Times New Roman" w:eastAsiaTheme="majorEastAsia" w:hAnsi="Times New Roman" w:cs="Times New Roman"/>
          <w:noProof/>
          <w:sz w:val="24"/>
          <w:szCs w:val="24"/>
          <w14:ligatures w14:val="none"/>
        </w:rPr>
      </w:pPr>
    </w:p>
    <w:p w14:paraId="1E99850E" w14:textId="77777777" w:rsidR="00FA7C11" w:rsidRDefault="00D84965">
      <w:pPr>
        <w:pStyle w:val="P68B1DB1-Normal86"/>
        <w:spacing w:after="0" w:line="240" w:lineRule="auto"/>
        <w:rPr>
          <w:noProof/>
        </w:rPr>
      </w:pPr>
      <w:r>
        <w:rPr>
          <w:noProof/>
        </w:rPr>
        <w:t>Punerea în aplicare a măsurii se finalizează până la 31 august 2026.  </w:t>
      </w:r>
    </w:p>
    <w:p w14:paraId="029219E5" w14:textId="77777777" w:rsidR="00FA7C11" w:rsidRDefault="00FA7C11">
      <w:pPr>
        <w:spacing w:line="240" w:lineRule="auto"/>
        <w:textAlignment w:val="baseline"/>
        <w:rPr>
          <w:rStyle w:val="eop"/>
          <w:rFonts w:eastAsia="Calibri"/>
          <w:noProof/>
          <w:szCs w:val="24"/>
        </w:rPr>
        <w:sectPr w:rsidR="00FA7C11" w:rsidSect="00FA29B2">
          <w:headerReference w:type="even" r:id="rId26"/>
          <w:headerReference w:type="default" r:id="rId27"/>
          <w:footerReference w:type="even" r:id="rId28"/>
          <w:footerReference w:type="default" r:id="rId29"/>
          <w:headerReference w:type="first" r:id="rId30"/>
          <w:footerReference w:type="first" r:id="rId31"/>
          <w:pgSz w:w="11907" w:h="16839"/>
          <w:pgMar w:top="1134" w:right="1134" w:bottom="1134" w:left="1134" w:header="567" w:footer="567" w:gutter="0"/>
          <w:cols w:space="708"/>
          <w:docGrid w:linePitch="360"/>
        </w:sectPr>
      </w:pPr>
    </w:p>
    <w:p w14:paraId="39F81552" w14:textId="77777777" w:rsidR="00FA7C11" w:rsidRDefault="00D84965">
      <w:pPr>
        <w:pStyle w:val="P68B1DB1-Normal80"/>
        <w:spacing w:line="240" w:lineRule="auto"/>
        <w:jc w:val="both"/>
        <w:textAlignment w:val="baseline"/>
        <w:rPr>
          <w:rFonts w:ascii="Times New Roman" w:eastAsia="Times New Roman" w:hAnsi="Times New Roman" w:cs="Times New Roman"/>
          <w:b/>
          <w:bCs/>
          <w:noProof/>
          <w:color w:val="000000" w:themeColor="text1"/>
        </w:rPr>
      </w:pPr>
      <w:r>
        <w:rPr>
          <w:rFonts w:ascii="Times New Roman" w:eastAsia="Times New Roman" w:hAnsi="Times New Roman" w:cs="Times New Roman"/>
          <w:b/>
          <w:noProof/>
          <w:color w:val="000000" w:themeColor="text1"/>
        </w:rPr>
        <w:t xml:space="preserve">A.4. </w:t>
      </w:r>
      <w:r>
        <w:rPr>
          <w:rFonts w:ascii="Times New Roman" w:hAnsi="Times New Roman" w:cs="Times New Roman"/>
          <w:noProof/>
        </w:rPr>
        <w:t xml:space="preserve"> </w:t>
      </w:r>
      <w:r>
        <w:rPr>
          <w:rFonts w:ascii="Times New Roman" w:eastAsia="Times New Roman" w:hAnsi="Times New Roman" w:cs="Times New Roman"/>
          <w:b/>
          <w:noProof/>
          <w:color w:val="000000" w:themeColor="text1"/>
        </w:rPr>
        <w:t xml:space="preserve">Jaloane, ținte, indicatori și calendarul de monitorizare și implementare aplicabile împrumutului </w:t>
      </w:r>
    </w:p>
    <w:tbl>
      <w:tblPr>
        <w:tblW w:w="16060" w:type="dxa"/>
        <w:jc w:val="center"/>
        <w:tblCellMar>
          <w:top w:w="28" w:type="dxa"/>
          <w:left w:w="28" w:type="dxa"/>
          <w:bottom w:w="28" w:type="dxa"/>
          <w:right w:w="28" w:type="dxa"/>
        </w:tblCellMar>
        <w:tblLook w:val="04A0" w:firstRow="1" w:lastRow="0" w:firstColumn="1" w:lastColumn="0" w:noHBand="0" w:noVBand="1"/>
      </w:tblPr>
      <w:tblGrid>
        <w:gridCol w:w="799"/>
        <w:gridCol w:w="1496"/>
        <w:gridCol w:w="1345"/>
        <w:gridCol w:w="2089"/>
        <w:gridCol w:w="1717"/>
        <w:gridCol w:w="1168"/>
        <w:gridCol w:w="826"/>
        <w:gridCol w:w="1059"/>
        <w:gridCol w:w="919"/>
        <w:gridCol w:w="709"/>
        <w:gridCol w:w="4381"/>
      </w:tblGrid>
      <w:tr w:rsidR="00FA7C11" w14:paraId="16B56999" w14:textId="77777777">
        <w:trPr>
          <w:tblHeader/>
          <w:jc w:val="center"/>
        </w:trPr>
        <w:tc>
          <w:tcPr>
            <w:tcW w:w="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56CE4B" w14:textId="77777777" w:rsidR="00FA7C11" w:rsidRDefault="00D84965">
            <w:pPr>
              <w:pStyle w:val="P68B1DB1-Normal58"/>
              <w:spacing w:after="0" w:line="276" w:lineRule="auto"/>
              <w:jc w:val="center"/>
              <w:rPr>
                <w:bCs/>
                <w:noProof/>
              </w:rPr>
            </w:pPr>
            <w:bookmarkStart w:id="5" w:name="_Hlk198760236"/>
            <w:r>
              <w:rPr>
                <w:noProof/>
              </w:rPr>
              <w:t>Număr</w:t>
            </w:r>
          </w:p>
        </w:tc>
        <w:tc>
          <w:tcPr>
            <w:tcW w:w="14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350C7C" w14:textId="77777777" w:rsidR="00FA7C11" w:rsidRDefault="00D84965">
            <w:pPr>
              <w:pStyle w:val="P68B1DB1-Normal87"/>
              <w:spacing w:after="0" w:line="276" w:lineRule="auto"/>
              <w:jc w:val="center"/>
              <w:rPr>
                <w:bCs/>
                <w:noProof/>
              </w:rPr>
            </w:pPr>
            <w:r>
              <w:rPr>
                <w:noProof/>
              </w:rPr>
              <w:t>Măsură conexă (reformă sau investiții)</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2CA0A0" w14:textId="77777777" w:rsidR="00FA7C11" w:rsidRDefault="00D84965">
            <w:pPr>
              <w:pStyle w:val="P68B1DB1-Normal58"/>
              <w:spacing w:after="0" w:line="276" w:lineRule="auto"/>
              <w:jc w:val="center"/>
              <w:rPr>
                <w:bCs/>
                <w:noProof/>
              </w:rPr>
            </w:pPr>
            <w:r>
              <w:rPr>
                <w:noProof/>
              </w:rPr>
              <w:t>Etapă/Obiectiv</w:t>
            </w:r>
          </w:p>
        </w:tc>
        <w:tc>
          <w:tcPr>
            <w:tcW w:w="20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1B0114" w14:textId="77777777" w:rsidR="00FA7C11" w:rsidRDefault="00D84965">
            <w:pPr>
              <w:pStyle w:val="P68B1DB1-Normal58"/>
              <w:spacing w:after="0" w:line="276" w:lineRule="auto"/>
              <w:jc w:val="center"/>
              <w:rPr>
                <w:bCs/>
                <w:noProof/>
              </w:rPr>
            </w:pPr>
            <w:r>
              <w:rPr>
                <w:noProof/>
              </w:rPr>
              <w:t>Nume</w:t>
            </w:r>
          </w:p>
        </w:tc>
        <w:tc>
          <w:tcPr>
            <w:tcW w:w="17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0525C6"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305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A86D7AD"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465" w:type="dxa"/>
            <w:gridSpan w:val="2"/>
            <w:tcBorders>
              <w:top w:val="single" w:sz="4" w:space="0" w:color="auto"/>
              <w:left w:val="nil"/>
              <w:bottom w:val="single" w:sz="4" w:space="0" w:color="auto"/>
              <w:right w:val="single" w:sz="4" w:space="0" w:color="auto"/>
            </w:tcBorders>
            <w:shd w:val="clear" w:color="auto" w:fill="BDD7EE"/>
            <w:vAlign w:val="center"/>
            <w:hideMark/>
          </w:tcPr>
          <w:p w14:paraId="420CCAE9" w14:textId="77777777" w:rsidR="00FA7C11" w:rsidRDefault="00D84965">
            <w:pPr>
              <w:pStyle w:val="P68B1DB1-Normal58"/>
              <w:spacing w:after="0" w:line="276" w:lineRule="auto"/>
              <w:jc w:val="center"/>
              <w:rPr>
                <w:bCs/>
                <w:noProof/>
              </w:rPr>
            </w:pPr>
            <w:r>
              <w:rPr>
                <w:noProof/>
              </w:rPr>
              <w:t>Timp</w:t>
            </w:r>
          </w:p>
        </w:tc>
        <w:tc>
          <w:tcPr>
            <w:tcW w:w="438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D12CEC"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4C1AE41C" w14:textId="77777777">
        <w:trPr>
          <w:tblHeader/>
          <w:jc w:val="center"/>
        </w:trPr>
        <w:tc>
          <w:tcPr>
            <w:tcW w:w="799" w:type="dxa"/>
            <w:vMerge/>
            <w:tcBorders>
              <w:top w:val="single" w:sz="4" w:space="0" w:color="auto"/>
              <w:left w:val="single" w:sz="4" w:space="0" w:color="auto"/>
              <w:bottom w:val="single" w:sz="4" w:space="0" w:color="auto"/>
              <w:right w:val="single" w:sz="4" w:space="0" w:color="auto"/>
            </w:tcBorders>
            <w:hideMark/>
          </w:tcPr>
          <w:p w14:paraId="48A0E2D4"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496" w:type="dxa"/>
            <w:vMerge/>
            <w:tcBorders>
              <w:top w:val="single" w:sz="4" w:space="0" w:color="auto"/>
              <w:left w:val="single" w:sz="4" w:space="0" w:color="auto"/>
              <w:bottom w:val="single" w:sz="4" w:space="0" w:color="auto"/>
              <w:right w:val="single" w:sz="4" w:space="0" w:color="auto"/>
            </w:tcBorders>
            <w:hideMark/>
          </w:tcPr>
          <w:p w14:paraId="5F2ACD75"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60" w:type="dxa"/>
            <w:vMerge/>
            <w:tcBorders>
              <w:top w:val="single" w:sz="4" w:space="0" w:color="auto"/>
              <w:left w:val="single" w:sz="4" w:space="0" w:color="auto"/>
              <w:bottom w:val="single" w:sz="4" w:space="0" w:color="auto"/>
              <w:right w:val="single" w:sz="4" w:space="0" w:color="auto"/>
            </w:tcBorders>
            <w:hideMark/>
          </w:tcPr>
          <w:p w14:paraId="0818F7AB"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089" w:type="dxa"/>
            <w:vMerge/>
            <w:tcBorders>
              <w:top w:val="single" w:sz="4" w:space="0" w:color="auto"/>
              <w:left w:val="single" w:sz="4" w:space="0" w:color="auto"/>
              <w:bottom w:val="single" w:sz="4" w:space="0" w:color="auto"/>
              <w:right w:val="single" w:sz="4" w:space="0" w:color="auto"/>
            </w:tcBorders>
            <w:hideMark/>
          </w:tcPr>
          <w:p w14:paraId="40E21FC1" w14:textId="77777777" w:rsidR="00FA7C11" w:rsidRDefault="00FA7C11">
            <w:pPr>
              <w:spacing w:after="0" w:line="276" w:lineRule="auto"/>
              <w:rPr>
                <w:rFonts w:ascii="Times New Roman" w:eastAsia="Times New Roman" w:hAnsi="Times New Roman" w:cs="Times New Roman"/>
                <w:b/>
                <w:noProof/>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3DE917A4" w14:textId="77777777" w:rsidR="00FA7C11" w:rsidRDefault="00FA7C11">
            <w:pPr>
              <w:spacing w:after="0" w:line="276" w:lineRule="auto"/>
              <w:rPr>
                <w:rFonts w:ascii="Times New Roman" w:eastAsia="Times New Roman" w:hAnsi="Times New Roman" w:cs="Times New Roman"/>
                <w:b/>
                <w:noProof/>
                <w:sz w:val="20"/>
                <w:szCs w:val="20"/>
              </w:rPr>
            </w:pPr>
          </w:p>
        </w:tc>
        <w:tc>
          <w:tcPr>
            <w:tcW w:w="1168" w:type="dxa"/>
            <w:tcBorders>
              <w:top w:val="single" w:sz="4" w:space="0" w:color="auto"/>
              <w:left w:val="single" w:sz="4" w:space="0" w:color="auto"/>
              <w:bottom w:val="single" w:sz="4" w:space="0" w:color="auto"/>
              <w:right w:val="single" w:sz="4" w:space="0" w:color="auto"/>
            </w:tcBorders>
            <w:shd w:val="clear" w:color="auto" w:fill="BDD7EE"/>
            <w:hideMark/>
          </w:tcPr>
          <w:p w14:paraId="323CB0F7" w14:textId="77777777" w:rsidR="00FA7C11" w:rsidRDefault="00D84965">
            <w:pPr>
              <w:pStyle w:val="P68B1DB1-Normal58"/>
              <w:spacing w:after="0" w:line="276" w:lineRule="auto"/>
              <w:jc w:val="center"/>
              <w:rPr>
                <w:bCs/>
                <w:noProof/>
              </w:rPr>
            </w:pPr>
            <w:r>
              <w:rPr>
                <w:noProof/>
              </w:rPr>
              <w:t>Unitate</w:t>
            </w:r>
          </w:p>
        </w:tc>
        <w:tc>
          <w:tcPr>
            <w:tcW w:w="826" w:type="dxa"/>
            <w:tcBorders>
              <w:top w:val="single" w:sz="4" w:space="0" w:color="auto"/>
              <w:left w:val="single" w:sz="4" w:space="0" w:color="auto"/>
              <w:bottom w:val="single" w:sz="4" w:space="0" w:color="auto"/>
              <w:right w:val="single" w:sz="4" w:space="0" w:color="auto"/>
            </w:tcBorders>
            <w:shd w:val="clear" w:color="auto" w:fill="BDD7EE"/>
            <w:hideMark/>
          </w:tcPr>
          <w:p w14:paraId="5D5DCB05" w14:textId="77777777" w:rsidR="00FA7C11" w:rsidRDefault="00D84965">
            <w:pPr>
              <w:pStyle w:val="P68B1DB1-Normal58"/>
              <w:spacing w:after="0" w:line="276" w:lineRule="auto"/>
              <w:jc w:val="center"/>
              <w:rPr>
                <w:bCs/>
                <w:noProof/>
              </w:rPr>
            </w:pPr>
            <w:r>
              <w:rPr>
                <w:noProof/>
              </w:rPr>
              <w:t>Situația de referință</w:t>
            </w:r>
          </w:p>
        </w:tc>
        <w:tc>
          <w:tcPr>
            <w:tcW w:w="1059" w:type="dxa"/>
            <w:tcBorders>
              <w:top w:val="single" w:sz="4" w:space="0" w:color="auto"/>
              <w:left w:val="single" w:sz="4" w:space="0" w:color="auto"/>
              <w:bottom w:val="single" w:sz="4" w:space="0" w:color="auto"/>
              <w:right w:val="single" w:sz="4" w:space="0" w:color="auto"/>
            </w:tcBorders>
            <w:shd w:val="clear" w:color="auto" w:fill="BDD7EE"/>
            <w:hideMark/>
          </w:tcPr>
          <w:p w14:paraId="7242701B" w14:textId="77777777" w:rsidR="00FA7C11" w:rsidRDefault="00D84965">
            <w:pPr>
              <w:pStyle w:val="P68B1DB1-Normal58"/>
              <w:spacing w:after="0" w:line="276" w:lineRule="auto"/>
              <w:jc w:val="center"/>
              <w:rPr>
                <w:bCs/>
                <w:noProof/>
              </w:rPr>
            </w:pPr>
            <w:r>
              <w:rPr>
                <w:noProof/>
              </w:rPr>
              <w:t>Obiectiv</w:t>
            </w:r>
          </w:p>
        </w:tc>
        <w:tc>
          <w:tcPr>
            <w:tcW w:w="756" w:type="dxa"/>
            <w:tcBorders>
              <w:top w:val="single" w:sz="4" w:space="0" w:color="auto"/>
              <w:left w:val="single" w:sz="4" w:space="0" w:color="auto"/>
              <w:bottom w:val="single" w:sz="4" w:space="0" w:color="auto"/>
              <w:right w:val="single" w:sz="4" w:space="0" w:color="auto"/>
            </w:tcBorders>
            <w:shd w:val="clear" w:color="auto" w:fill="BDD7EE"/>
            <w:hideMark/>
          </w:tcPr>
          <w:p w14:paraId="79D3AE39" w14:textId="77777777" w:rsidR="00FA7C11" w:rsidRDefault="00D84965">
            <w:pPr>
              <w:pStyle w:val="P68B1DB1-Normal58"/>
              <w:spacing w:after="0" w:line="276" w:lineRule="auto"/>
              <w:jc w:val="center"/>
              <w:rPr>
                <w:bCs/>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hideMark/>
          </w:tcPr>
          <w:p w14:paraId="48CFA8A2" w14:textId="77777777" w:rsidR="00FA7C11" w:rsidRDefault="00D84965">
            <w:pPr>
              <w:pStyle w:val="P68B1DB1-Normal58"/>
              <w:spacing w:after="0" w:line="276" w:lineRule="auto"/>
              <w:jc w:val="center"/>
              <w:rPr>
                <w:bCs/>
                <w:noProof/>
              </w:rPr>
            </w:pPr>
            <w:r>
              <w:rPr>
                <w:noProof/>
              </w:rPr>
              <w:t>Anul</w:t>
            </w:r>
          </w:p>
        </w:tc>
        <w:tc>
          <w:tcPr>
            <w:tcW w:w="4381" w:type="dxa"/>
            <w:vMerge/>
            <w:tcBorders>
              <w:top w:val="single" w:sz="4" w:space="0" w:color="auto"/>
              <w:left w:val="single" w:sz="4" w:space="0" w:color="auto"/>
              <w:bottom w:val="single" w:sz="4" w:space="0" w:color="auto"/>
              <w:right w:val="single" w:sz="4" w:space="0" w:color="auto"/>
            </w:tcBorders>
            <w:hideMark/>
          </w:tcPr>
          <w:p w14:paraId="6185264B"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272C8841" w14:textId="77777777">
        <w:trPr>
          <w:jc w:val="center"/>
        </w:trPr>
        <w:tc>
          <w:tcPr>
            <w:tcW w:w="799" w:type="dxa"/>
            <w:tcBorders>
              <w:top w:val="single" w:sz="4" w:space="0" w:color="auto"/>
              <w:left w:val="single" w:sz="4" w:space="0" w:color="auto"/>
              <w:bottom w:val="single" w:sz="4" w:space="0" w:color="auto"/>
              <w:right w:val="single" w:sz="4" w:space="0" w:color="auto"/>
            </w:tcBorders>
            <w:shd w:val="clear" w:color="auto" w:fill="C6EFCE"/>
            <w:noWrap/>
          </w:tcPr>
          <w:p w14:paraId="3EADF058" w14:textId="77777777" w:rsidR="00FA7C11" w:rsidRDefault="00D84965">
            <w:pPr>
              <w:pStyle w:val="P68B1DB1-Normal70"/>
              <w:spacing w:after="200" w:line="276" w:lineRule="auto"/>
              <w:jc w:val="center"/>
              <w:rPr>
                <w:noProof/>
                <w:color w:val="000000"/>
              </w:rPr>
            </w:pPr>
            <w:r>
              <w:rPr>
                <w:noProof/>
              </w:rPr>
              <w:t>373</w:t>
            </w:r>
          </w:p>
        </w:tc>
        <w:tc>
          <w:tcPr>
            <w:tcW w:w="1496" w:type="dxa"/>
            <w:tcBorders>
              <w:top w:val="single" w:sz="4" w:space="0" w:color="auto"/>
              <w:left w:val="nil"/>
              <w:bottom w:val="single" w:sz="4" w:space="0" w:color="auto"/>
              <w:right w:val="single" w:sz="4" w:space="0" w:color="auto"/>
            </w:tcBorders>
            <w:shd w:val="clear" w:color="auto" w:fill="C6EFCE"/>
            <w:noWrap/>
          </w:tcPr>
          <w:p w14:paraId="31EA4892" w14:textId="77777777" w:rsidR="00FA7C11" w:rsidRDefault="00D84965">
            <w:pPr>
              <w:pStyle w:val="P68B1DB1-Normal70"/>
              <w:spacing w:after="200" w:line="276" w:lineRule="auto"/>
              <w:jc w:val="center"/>
              <w:rPr>
                <w:noProof/>
              </w:rPr>
            </w:pPr>
            <w:r>
              <w:rPr>
                <w:noProof/>
              </w:rPr>
              <w:t>C1.1.1.R5</w:t>
            </w:r>
          </w:p>
        </w:tc>
        <w:tc>
          <w:tcPr>
            <w:tcW w:w="1060" w:type="dxa"/>
            <w:tcBorders>
              <w:top w:val="single" w:sz="4" w:space="0" w:color="auto"/>
              <w:left w:val="nil"/>
              <w:bottom w:val="single" w:sz="4" w:space="0" w:color="auto"/>
              <w:right w:val="single" w:sz="4" w:space="0" w:color="auto"/>
            </w:tcBorders>
            <w:shd w:val="clear" w:color="auto" w:fill="C6EFCE"/>
            <w:noWrap/>
          </w:tcPr>
          <w:p w14:paraId="03EED266" w14:textId="77777777" w:rsidR="00FA7C11" w:rsidRDefault="00D84965">
            <w:pPr>
              <w:pStyle w:val="P68B1DB1-Normal70"/>
              <w:spacing w:after="200" w:line="276" w:lineRule="auto"/>
              <w:jc w:val="center"/>
              <w:rPr>
                <w:noProof/>
              </w:rPr>
            </w:pPr>
            <w:r>
              <w:rPr>
                <w:noProof/>
              </w:rPr>
              <w:t>M</w:t>
            </w:r>
          </w:p>
        </w:tc>
        <w:tc>
          <w:tcPr>
            <w:tcW w:w="2089" w:type="dxa"/>
            <w:tcBorders>
              <w:top w:val="single" w:sz="4" w:space="0" w:color="auto"/>
              <w:left w:val="nil"/>
              <w:bottom w:val="single" w:sz="4" w:space="0" w:color="auto"/>
              <w:right w:val="single" w:sz="4" w:space="0" w:color="auto"/>
            </w:tcBorders>
            <w:shd w:val="clear" w:color="auto" w:fill="C6EFCE"/>
            <w:noWrap/>
          </w:tcPr>
          <w:p w14:paraId="3040CC97" w14:textId="0E42DBF7" w:rsidR="00FA7C11" w:rsidRDefault="00D84965">
            <w:pPr>
              <w:pStyle w:val="P68B1DB1-Normal70"/>
              <w:spacing w:line="240" w:lineRule="auto"/>
              <w:rPr>
                <w:noProof/>
              </w:rPr>
            </w:pPr>
            <w:r>
              <w:rPr>
                <w:noProof/>
              </w:rPr>
              <w:t>Adoptarea cadrului strategic pentru dezvoltarea pieței de capital în Croația și a planului de acțiune aferent</w:t>
            </w:r>
          </w:p>
        </w:tc>
        <w:tc>
          <w:tcPr>
            <w:tcW w:w="1717" w:type="dxa"/>
            <w:tcBorders>
              <w:top w:val="single" w:sz="4" w:space="0" w:color="auto"/>
              <w:left w:val="nil"/>
              <w:bottom w:val="single" w:sz="4" w:space="0" w:color="auto"/>
              <w:right w:val="single" w:sz="4" w:space="0" w:color="auto"/>
            </w:tcBorders>
            <w:shd w:val="clear" w:color="auto" w:fill="C6EFCE"/>
            <w:noWrap/>
          </w:tcPr>
          <w:p w14:paraId="260DDA15" w14:textId="3CF14077" w:rsidR="00FA7C11" w:rsidRDefault="00D84965">
            <w:pPr>
              <w:pStyle w:val="P68B1DB1-Normal70"/>
              <w:spacing w:line="240" w:lineRule="auto"/>
              <w:rPr>
                <w:noProof/>
              </w:rPr>
            </w:pPr>
            <w:r>
              <w:rPr>
                <w:noProof/>
              </w:rPr>
              <w:t>Cadrul strategic și planul de acțiune pentru sprijinirea dezvoltării pieței naționale de capital adoptate de guvernul croat</w:t>
            </w:r>
          </w:p>
        </w:tc>
        <w:tc>
          <w:tcPr>
            <w:tcW w:w="1168" w:type="dxa"/>
            <w:tcBorders>
              <w:top w:val="single" w:sz="4" w:space="0" w:color="auto"/>
              <w:left w:val="nil"/>
              <w:bottom w:val="single" w:sz="4" w:space="0" w:color="auto"/>
              <w:right w:val="single" w:sz="4" w:space="0" w:color="auto"/>
            </w:tcBorders>
            <w:shd w:val="clear" w:color="auto" w:fill="C6EFCE"/>
            <w:noWrap/>
          </w:tcPr>
          <w:p w14:paraId="7C7425C7" w14:textId="77777777" w:rsidR="00FA7C11" w:rsidRDefault="00FA7C11">
            <w:pPr>
              <w:spacing w:after="200" w:line="276" w:lineRule="auto"/>
              <w:jc w:val="center"/>
              <w:rPr>
                <w:rFonts w:ascii="Times New Roman" w:eastAsia="Calibri" w:hAnsi="Times New Roman" w:cs="Times New Roman"/>
                <w:noProof/>
                <w:sz w:val="20"/>
                <w:szCs w:val="20"/>
              </w:rPr>
            </w:pPr>
          </w:p>
        </w:tc>
        <w:tc>
          <w:tcPr>
            <w:tcW w:w="826" w:type="dxa"/>
            <w:tcBorders>
              <w:top w:val="single" w:sz="4" w:space="0" w:color="auto"/>
              <w:left w:val="nil"/>
              <w:bottom w:val="single" w:sz="4" w:space="0" w:color="auto"/>
              <w:right w:val="single" w:sz="4" w:space="0" w:color="auto"/>
            </w:tcBorders>
            <w:shd w:val="clear" w:color="auto" w:fill="C6EFCE"/>
            <w:noWrap/>
          </w:tcPr>
          <w:p w14:paraId="0EDA2E72" w14:textId="77777777" w:rsidR="00FA7C11" w:rsidRDefault="00FA7C11">
            <w:pPr>
              <w:spacing w:after="200" w:line="276" w:lineRule="auto"/>
              <w:jc w:val="center"/>
              <w:rPr>
                <w:rFonts w:ascii="Times New Roman" w:eastAsia="Calibri" w:hAnsi="Times New Roman" w:cs="Times New Roman"/>
                <w:noProof/>
                <w:sz w:val="20"/>
                <w:szCs w:val="20"/>
              </w:rPr>
            </w:pPr>
          </w:p>
        </w:tc>
        <w:tc>
          <w:tcPr>
            <w:tcW w:w="1059" w:type="dxa"/>
            <w:tcBorders>
              <w:top w:val="single" w:sz="4" w:space="0" w:color="auto"/>
              <w:left w:val="nil"/>
              <w:bottom w:val="single" w:sz="4" w:space="0" w:color="auto"/>
              <w:right w:val="single" w:sz="4" w:space="0" w:color="auto"/>
            </w:tcBorders>
            <w:shd w:val="clear" w:color="auto" w:fill="C6EFCE"/>
            <w:noWrap/>
          </w:tcPr>
          <w:p w14:paraId="6334754C" w14:textId="77777777" w:rsidR="00FA7C11" w:rsidRDefault="00FA7C11">
            <w:pPr>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6E84D30D" w14:textId="77777777" w:rsidR="00FA7C11" w:rsidRDefault="00D84965">
            <w:pPr>
              <w:pStyle w:val="P68B1DB1-Normal70"/>
              <w:spacing w:line="240" w:lineRule="auto"/>
              <w:jc w:val="center"/>
              <w:rPr>
                <w:rFonts w:eastAsia="Times New Roman"/>
                <w:strike/>
                <w:noProof/>
              </w:rPr>
            </w:pPr>
            <w:r>
              <w:rPr>
                <w:noProof/>
              </w:rPr>
              <w:t>Î4</w:t>
            </w:r>
          </w:p>
          <w:p w14:paraId="78A18FE2" w14:textId="77777777" w:rsidR="00FA7C11" w:rsidRDefault="00FA7C11">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6919BC2C" w14:textId="77777777" w:rsidR="00FA7C11" w:rsidRDefault="00D84965">
            <w:pPr>
              <w:pStyle w:val="P68B1DB1-Normal70"/>
              <w:spacing w:line="240" w:lineRule="auto"/>
              <w:jc w:val="center"/>
              <w:rPr>
                <w:noProof/>
              </w:rPr>
            </w:pPr>
            <w:r>
              <w:rPr>
                <w:noProof/>
              </w:rPr>
              <w:t>2024</w:t>
            </w:r>
          </w:p>
          <w:p w14:paraId="1B54D38E" w14:textId="77777777" w:rsidR="00FA7C11" w:rsidRDefault="00FA7C11">
            <w:pPr>
              <w:spacing w:after="200" w:line="276" w:lineRule="auto"/>
              <w:jc w:val="center"/>
              <w:rPr>
                <w:rFonts w:ascii="Times New Roman" w:eastAsia="Calibri" w:hAnsi="Times New Roman" w:cs="Times New Roman"/>
                <w:noProof/>
                <w:sz w:val="20"/>
                <w:szCs w:val="20"/>
              </w:rPr>
            </w:pPr>
          </w:p>
        </w:tc>
        <w:tc>
          <w:tcPr>
            <w:tcW w:w="4381" w:type="dxa"/>
            <w:tcBorders>
              <w:top w:val="single" w:sz="4" w:space="0" w:color="auto"/>
              <w:left w:val="nil"/>
              <w:bottom w:val="single" w:sz="4" w:space="0" w:color="auto"/>
              <w:right w:val="single" w:sz="4" w:space="0" w:color="auto"/>
            </w:tcBorders>
            <w:shd w:val="clear" w:color="auto" w:fill="C6EFCE"/>
            <w:noWrap/>
          </w:tcPr>
          <w:p w14:paraId="2044B3D2" w14:textId="532D11E3" w:rsidR="00FA7C11" w:rsidRDefault="00D84965">
            <w:pPr>
              <w:pStyle w:val="P68B1DB1-Normal70"/>
              <w:spacing w:line="240" w:lineRule="auto"/>
              <w:rPr>
                <w:noProof/>
              </w:rPr>
            </w:pPr>
            <w:r>
              <w:rPr>
                <w:noProof/>
              </w:rPr>
              <w:t>Ministerul Finanțelor, în cooperare cu părțile interesate relevante, elaborează un cadru strategic pentru dezvoltarea pieței de capital din Republica Croația și un plan de acțiune, care urmează să fie adoptate de guvernul croat.</w:t>
            </w:r>
          </w:p>
          <w:p w14:paraId="06B352D7" w14:textId="77777777" w:rsidR="00FA7C11" w:rsidRDefault="00D84965">
            <w:pPr>
              <w:pStyle w:val="P68B1DB1-paragraph88"/>
              <w:spacing w:before="0" w:beforeAutospacing="0" w:after="240" w:afterAutospacing="0"/>
              <w:jc w:val="both"/>
              <w:textAlignment w:val="baseline"/>
              <w:rPr>
                <w:noProof/>
              </w:rPr>
            </w:pPr>
            <w:r>
              <w:rPr>
                <w:noProof/>
              </w:rPr>
              <w:t>Planul de acțiune însoțește cadrul strategic și include termene pentru punerea în aplicare a activităților individuale. Strategia (cadrul strategic pentru dezvoltarea pieței de capital din Croația) oferă o analiză a situației pieței de capital din Croația, identificând principalele obstacole în calea funcționării acesteia ca sursă alternativă de finanțare și oportunități pentru diversificarea și dezvoltarea acesteia. Trebuie abordate cel puțin următoarele elemente: </w:t>
            </w:r>
          </w:p>
          <w:p w14:paraId="287DA386" w14:textId="77777777" w:rsidR="00FA7C11" w:rsidRDefault="00D84965">
            <w:pPr>
              <w:pStyle w:val="P68B1DB1-paragraph88"/>
              <w:numPr>
                <w:ilvl w:val="0"/>
                <w:numId w:val="46"/>
              </w:numPr>
              <w:spacing w:before="0" w:beforeAutospacing="0" w:after="0" w:afterAutospacing="0"/>
              <w:jc w:val="both"/>
              <w:textAlignment w:val="baseline"/>
              <w:rPr>
                <w:noProof/>
              </w:rPr>
            </w:pPr>
            <w:r>
              <w:rPr>
                <w:noProof/>
              </w:rPr>
              <w:t>Rolul marilor investitori instituționali pe piața de capital, inclusiv al instituțiilor din al doilea pilon (în special fondurile de pensii obligatorii și societățile de asigurări de pensii) și al societăților de asigurări; </w:t>
            </w:r>
          </w:p>
          <w:p w14:paraId="76F725F7" w14:textId="77777777" w:rsidR="00FA7C11" w:rsidRDefault="00D84965">
            <w:pPr>
              <w:pStyle w:val="P68B1DB1-paragraph88"/>
              <w:numPr>
                <w:ilvl w:val="0"/>
                <w:numId w:val="46"/>
              </w:numPr>
              <w:spacing w:before="0" w:beforeAutospacing="0" w:after="0" w:afterAutospacing="0"/>
              <w:jc w:val="both"/>
              <w:textAlignment w:val="baseline"/>
              <w:rPr>
                <w:noProof/>
              </w:rPr>
            </w:pPr>
            <w:r>
              <w:rPr>
                <w:noProof/>
              </w:rPr>
              <w:t>Extinderea posibilităților și simplificarea procedurilor de cotare la bursă, ținând seama de întreprinderile de stat, de IMM-uri și de întreprinderile cu capitalizare medie; </w:t>
            </w:r>
          </w:p>
          <w:p w14:paraId="02787037" w14:textId="77777777" w:rsidR="00FA7C11" w:rsidRDefault="00D84965">
            <w:pPr>
              <w:pStyle w:val="P68B1DB1-paragraph88"/>
              <w:numPr>
                <w:ilvl w:val="0"/>
                <w:numId w:val="46"/>
              </w:numPr>
              <w:spacing w:before="0" w:beforeAutospacing="0" w:after="0" w:afterAutospacing="0"/>
              <w:jc w:val="both"/>
              <w:textAlignment w:val="baseline"/>
              <w:rPr>
                <w:noProof/>
              </w:rPr>
            </w:pPr>
            <w:r>
              <w:rPr>
                <w:noProof/>
              </w:rPr>
              <w:t>Creșterea lichidității, a diversificării și a cifrei de afaceri pe piața de capital, inclusiv încurajarea activității de formare a pieței; </w:t>
            </w:r>
          </w:p>
          <w:p w14:paraId="6175AEA4" w14:textId="77777777" w:rsidR="00FA7C11" w:rsidRDefault="00D84965">
            <w:pPr>
              <w:pStyle w:val="P68B1DB1-paragraph88"/>
              <w:numPr>
                <w:ilvl w:val="0"/>
                <w:numId w:val="46"/>
              </w:numPr>
              <w:spacing w:before="0" w:beforeAutospacing="0" w:after="0" w:afterAutospacing="0"/>
              <w:jc w:val="both"/>
              <w:textAlignment w:val="baseline"/>
              <w:rPr>
                <w:noProof/>
              </w:rPr>
            </w:pPr>
            <w:r>
              <w:rPr>
                <w:noProof/>
              </w:rPr>
              <w:t>Promovarea unei piețe mai profunde a instrumentelor financiare, cum ar fi obligațiunile corporative și obligațiunile de stat, precum și a instrumentelor financiare derivate pe mărfuri și a securitizărilor; </w:t>
            </w:r>
          </w:p>
          <w:p w14:paraId="7AB9C06A" w14:textId="77777777" w:rsidR="00FA7C11" w:rsidRDefault="00D84965">
            <w:pPr>
              <w:pStyle w:val="P68B1DB1-paragraph88"/>
              <w:numPr>
                <w:ilvl w:val="0"/>
                <w:numId w:val="46"/>
              </w:numPr>
              <w:spacing w:before="0" w:beforeAutospacing="0" w:after="0" w:afterAutospacing="0"/>
              <w:jc w:val="both"/>
              <w:textAlignment w:val="baseline"/>
              <w:rPr>
                <w:noProof/>
              </w:rPr>
            </w:pPr>
            <w:r>
              <w:rPr>
                <w:noProof/>
              </w:rPr>
              <w:t>Dezvoltarea infrastructurilor existente ale pieței financiare, inclusiv a opțiunilor de îmbunătățire a modelului de afaceri al contrapărții centrale; </w:t>
            </w:r>
          </w:p>
          <w:p w14:paraId="4317967F" w14:textId="77777777" w:rsidR="00FA7C11" w:rsidRDefault="00D84965">
            <w:pPr>
              <w:pStyle w:val="P68B1DB1-paragraph88"/>
              <w:numPr>
                <w:ilvl w:val="0"/>
                <w:numId w:val="46"/>
              </w:numPr>
              <w:spacing w:before="0" w:beforeAutospacing="0" w:after="0" w:afterAutospacing="0"/>
              <w:jc w:val="both"/>
              <w:textAlignment w:val="baseline"/>
              <w:rPr>
                <w:noProof/>
              </w:rPr>
            </w:pPr>
            <w:r>
              <w:rPr>
                <w:noProof/>
              </w:rPr>
              <w:t>Adaptarea cadrului de reglementare pentru a răspunde mai bine obiectivului de dezvoltare a pieței de capital; </w:t>
            </w:r>
          </w:p>
          <w:p w14:paraId="7AF566DE" w14:textId="77777777" w:rsidR="00FA7C11" w:rsidRDefault="00D84965">
            <w:pPr>
              <w:pStyle w:val="P68B1DB1-paragraph88"/>
              <w:numPr>
                <w:ilvl w:val="0"/>
                <w:numId w:val="46"/>
              </w:numPr>
              <w:spacing w:before="0" w:beforeAutospacing="0" w:after="0" w:afterAutospacing="0"/>
              <w:jc w:val="both"/>
              <w:textAlignment w:val="baseline"/>
              <w:rPr>
                <w:noProof/>
              </w:rPr>
            </w:pPr>
            <w:r>
              <w:rPr>
                <w:noProof/>
              </w:rPr>
              <w:t>Consolidarea alfabetizării financiare a investitorilor; </w:t>
            </w:r>
          </w:p>
          <w:p w14:paraId="33783F98" w14:textId="77777777" w:rsidR="00FA7C11" w:rsidRDefault="00D84965">
            <w:pPr>
              <w:pStyle w:val="P68B1DB1-paragraph88"/>
              <w:numPr>
                <w:ilvl w:val="0"/>
                <w:numId w:val="46"/>
              </w:numPr>
              <w:spacing w:before="0" w:beforeAutospacing="0" w:after="0" w:afterAutospacing="0"/>
              <w:jc w:val="both"/>
              <w:textAlignment w:val="baseline"/>
              <w:rPr>
                <w:noProof/>
              </w:rPr>
            </w:pPr>
            <w:r>
              <w:rPr>
                <w:noProof/>
              </w:rPr>
              <w:t>Consolidarea cadrului pentru finanțarea durabilă. </w:t>
            </w:r>
          </w:p>
        </w:tc>
      </w:tr>
      <w:tr w:rsidR="00FA7C11" w14:paraId="4580FD82" w14:textId="77777777">
        <w:trPr>
          <w:jc w:val="center"/>
        </w:trPr>
        <w:tc>
          <w:tcPr>
            <w:tcW w:w="799" w:type="dxa"/>
            <w:tcBorders>
              <w:top w:val="single" w:sz="4" w:space="0" w:color="auto"/>
              <w:left w:val="single" w:sz="4" w:space="0" w:color="auto"/>
              <w:bottom w:val="single" w:sz="4" w:space="0" w:color="auto"/>
              <w:right w:val="single" w:sz="4" w:space="0" w:color="auto"/>
            </w:tcBorders>
            <w:shd w:val="clear" w:color="auto" w:fill="C6EFCE"/>
            <w:noWrap/>
          </w:tcPr>
          <w:p w14:paraId="7273FDE0" w14:textId="77777777" w:rsidR="00FA7C11" w:rsidRDefault="00D84965">
            <w:pPr>
              <w:pStyle w:val="P68B1DB1-Normal70"/>
              <w:spacing w:after="200" w:line="276" w:lineRule="auto"/>
              <w:jc w:val="center"/>
              <w:rPr>
                <w:noProof/>
              </w:rPr>
            </w:pPr>
            <w:r>
              <w:rPr>
                <w:noProof/>
              </w:rPr>
              <w:t>375</w:t>
            </w:r>
          </w:p>
        </w:tc>
        <w:tc>
          <w:tcPr>
            <w:tcW w:w="1496" w:type="dxa"/>
            <w:tcBorders>
              <w:top w:val="single" w:sz="4" w:space="0" w:color="auto"/>
              <w:left w:val="nil"/>
              <w:bottom w:val="single" w:sz="4" w:space="0" w:color="auto"/>
              <w:right w:val="single" w:sz="4" w:space="0" w:color="auto"/>
            </w:tcBorders>
            <w:shd w:val="clear" w:color="auto" w:fill="C6EFCE"/>
            <w:noWrap/>
          </w:tcPr>
          <w:p w14:paraId="66DF7987" w14:textId="77777777" w:rsidR="00FA7C11" w:rsidRDefault="00D84965">
            <w:pPr>
              <w:pStyle w:val="P68B1DB1-Normal70"/>
              <w:spacing w:after="200" w:line="276" w:lineRule="auto"/>
              <w:jc w:val="center"/>
              <w:rPr>
                <w:noProof/>
              </w:rPr>
            </w:pPr>
            <w:r>
              <w:rPr>
                <w:noProof/>
              </w:rPr>
              <w:t>C1.1.1. R7</w:t>
            </w:r>
          </w:p>
        </w:tc>
        <w:tc>
          <w:tcPr>
            <w:tcW w:w="1060" w:type="dxa"/>
            <w:tcBorders>
              <w:top w:val="single" w:sz="4" w:space="0" w:color="auto"/>
              <w:left w:val="nil"/>
              <w:bottom w:val="single" w:sz="4" w:space="0" w:color="auto"/>
              <w:right w:val="single" w:sz="4" w:space="0" w:color="auto"/>
            </w:tcBorders>
            <w:shd w:val="clear" w:color="auto" w:fill="C6EFCE"/>
            <w:noWrap/>
          </w:tcPr>
          <w:p w14:paraId="26461353" w14:textId="77777777" w:rsidR="00FA7C11" w:rsidRDefault="00D84965">
            <w:pPr>
              <w:pStyle w:val="P68B1DB1-Normal70"/>
              <w:spacing w:after="200" w:line="276" w:lineRule="auto"/>
              <w:jc w:val="center"/>
              <w:rPr>
                <w:noProof/>
              </w:rPr>
            </w:pPr>
            <w:r>
              <w:rPr>
                <w:noProof/>
              </w:rPr>
              <w:t>M</w:t>
            </w:r>
          </w:p>
        </w:tc>
        <w:tc>
          <w:tcPr>
            <w:tcW w:w="2089" w:type="dxa"/>
            <w:tcBorders>
              <w:top w:val="single" w:sz="4" w:space="0" w:color="auto"/>
              <w:left w:val="nil"/>
              <w:bottom w:val="single" w:sz="4" w:space="0" w:color="auto"/>
              <w:right w:val="single" w:sz="4" w:space="0" w:color="auto"/>
            </w:tcBorders>
            <w:shd w:val="clear" w:color="auto" w:fill="C6EFCE"/>
            <w:noWrap/>
          </w:tcPr>
          <w:p w14:paraId="6960247A" w14:textId="77777777" w:rsidR="00FA7C11" w:rsidRDefault="00D84965">
            <w:pPr>
              <w:pStyle w:val="P68B1DB1-Normal70"/>
              <w:spacing w:after="200" w:line="276" w:lineRule="auto"/>
              <w:rPr>
                <w:noProof/>
              </w:rPr>
            </w:pPr>
            <w:r>
              <w:rPr>
                <w:noProof/>
              </w:rPr>
              <w:t xml:space="preserve">Adoptarea primului plan de acțiune pentru sprijinirea obiectivelor privind finanțarea durabilă </w:t>
            </w:r>
          </w:p>
        </w:tc>
        <w:tc>
          <w:tcPr>
            <w:tcW w:w="1717" w:type="dxa"/>
            <w:tcBorders>
              <w:top w:val="single" w:sz="4" w:space="0" w:color="auto"/>
              <w:left w:val="nil"/>
              <w:bottom w:val="single" w:sz="4" w:space="0" w:color="auto"/>
              <w:right w:val="single" w:sz="4" w:space="0" w:color="auto"/>
            </w:tcBorders>
            <w:shd w:val="clear" w:color="auto" w:fill="C6EFCE"/>
            <w:noWrap/>
          </w:tcPr>
          <w:p w14:paraId="2864478B" w14:textId="77777777" w:rsidR="00FA7C11" w:rsidRDefault="00D84965">
            <w:pPr>
              <w:pStyle w:val="P68B1DB1-Normal70"/>
              <w:spacing w:after="200" w:line="276" w:lineRule="auto"/>
              <w:rPr>
                <w:noProof/>
              </w:rPr>
            </w:pPr>
            <w:r>
              <w:rPr>
                <w:noProof/>
              </w:rPr>
              <w:t>A fost adoptat primul plan de acțiune cu măsuri de sprijinire a obiectivelor privind finanțarea durabilă, care stabilește termene pentru punerea în aplicare</w:t>
            </w:r>
          </w:p>
        </w:tc>
        <w:tc>
          <w:tcPr>
            <w:tcW w:w="1168" w:type="dxa"/>
            <w:tcBorders>
              <w:top w:val="single" w:sz="4" w:space="0" w:color="auto"/>
              <w:left w:val="nil"/>
              <w:bottom w:val="single" w:sz="4" w:space="0" w:color="auto"/>
              <w:right w:val="single" w:sz="4" w:space="0" w:color="auto"/>
            </w:tcBorders>
            <w:shd w:val="clear" w:color="auto" w:fill="C6EFCE"/>
            <w:noWrap/>
          </w:tcPr>
          <w:p w14:paraId="2A197690" w14:textId="77777777" w:rsidR="00FA7C11" w:rsidRDefault="00FA7C11">
            <w:pPr>
              <w:spacing w:after="200" w:line="276" w:lineRule="auto"/>
              <w:jc w:val="center"/>
              <w:rPr>
                <w:rFonts w:ascii="Times New Roman" w:eastAsia="Calibri" w:hAnsi="Times New Roman" w:cs="Times New Roman"/>
                <w:noProof/>
                <w:sz w:val="20"/>
                <w:szCs w:val="20"/>
              </w:rPr>
            </w:pPr>
          </w:p>
        </w:tc>
        <w:tc>
          <w:tcPr>
            <w:tcW w:w="826" w:type="dxa"/>
            <w:tcBorders>
              <w:top w:val="single" w:sz="4" w:space="0" w:color="auto"/>
              <w:left w:val="nil"/>
              <w:bottom w:val="single" w:sz="4" w:space="0" w:color="auto"/>
              <w:right w:val="single" w:sz="4" w:space="0" w:color="auto"/>
            </w:tcBorders>
            <w:shd w:val="clear" w:color="auto" w:fill="C6EFCE"/>
            <w:noWrap/>
          </w:tcPr>
          <w:p w14:paraId="2DE64EB3" w14:textId="77777777" w:rsidR="00FA7C11" w:rsidRDefault="00D84965">
            <w:pPr>
              <w:pStyle w:val="P68B1DB1-Normal76"/>
              <w:spacing w:after="200" w:line="276" w:lineRule="auto"/>
              <w:jc w:val="center"/>
              <w:rPr>
                <w:rFonts w:eastAsia="Calibri"/>
                <w:noProof/>
              </w:rPr>
            </w:pPr>
            <w:r>
              <w:rPr>
                <w:noProof/>
              </w:rPr>
              <w:t xml:space="preserve"> </w:t>
            </w:r>
          </w:p>
        </w:tc>
        <w:tc>
          <w:tcPr>
            <w:tcW w:w="1059" w:type="dxa"/>
            <w:tcBorders>
              <w:top w:val="single" w:sz="4" w:space="0" w:color="auto"/>
              <w:left w:val="nil"/>
              <w:bottom w:val="single" w:sz="4" w:space="0" w:color="auto"/>
              <w:right w:val="single" w:sz="4" w:space="0" w:color="auto"/>
            </w:tcBorders>
            <w:shd w:val="clear" w:color="auto" w:fill="C6EFCE"/>
            <w:noWrap/>
          </w:tcPr>
          <w:p w14:paraId="77660171" w14:textId="77777777" w:rsidR="00FA7C11" w:rsidRDefault="00D84965">
            <w:pPr>
              <w:pStyle w:val="P68B1DB1-Normal76"/>
              <w:spacing w:after="200" w:line="276" w:lineRule="auto"/>
              <w:jc w:val="center"/>
              <w:rPr>
                <w:rFonts w:eastAsia="Calibri"/>
                <w:noProof/>
              </w:rPr>
            </w:pPr>
            <w:r>
              <w:rPr>
                <w:noProof/>
              </w:rPr>
              <w:t xml:space="preserve"> </w:t>
            </w:r>
          </w:p>
        </w:tc>
        <w:tc>
          <w:tcPr>
            <w:tcW w:w="756" w:type="dxa"/>
            <w:tcBorders>
              <w:top w:val="single" w:sz="4" w:space="0" w:color="auto"/>
              <w:left w:val="nil"/>
              <w:bottom w:val="single" w:sz="4" w:space="0" w:color="auto"/>
              <w:right w:val="single" w:sz="4" w:space="0" w:color="auto"/>
            </w:tcBorders>
            <w:shd w:val="clear" w:color="auto" w:fill="C6EFCE"/>
            <w:noWrap/>
          </w:tcPr>
          <w:p w14:paraId="1F5232C8" w14:textId="77777777" w:rsidR="00FA7C11" w:rsidRDefault="00D84965">
            <w:pPr>
              <w:pStyle w:val="P68B1DB1-Normal70"/>
              <w:spacing w:line="240" w:lineRule="auto"/>
              <w:jc w:val="center"/>
              <w:rPr>
                <w:noProof/>
              </w:rPr>
            </w:pPr>
            <w:r>
              <w:rPr>
                <w:noProof/>
              </w:rPr>
              <w:t>Î1</w:t>
            </w:r>
          </w:p>
        </w:tc>
        <w:tc>
          <w:tcPr>
            <w:tcW w:w="709" w:type="dxa"/>
            <w:tcBorders>
              <w:top w:val="single" w:sz="4" w:space="0" w:color="auto"/>
              <w:left w:val="nil"/>
              <w:bottom w:val="single" w:sz="4" w:space="0" w:color="auto"/>
              <w:right w:val="single" w:sz="4" w:space="0" w:color="auto"/>
            </w:tcBorders>
            <w:shd w:val="clear" w:color="auto" w:fill="C6EFCE"/>
            <w:noWrap/>
          </w:tcPr>
          <w:p w14:paraId="2F72D755" w14:textId="77777777" w:rsidR="00FA7C11" w:rsidRDefault="00D84965">
            <w:pPr>
              <w:pStyle w:val="P68B1DB1-Normal70"/>
              <w:spacing w:line="240" w:lineRule="auto"/>
              <w:jc w:val="center"/>
              <w:rPr>
                <w:noProof/>
              </w:rPr>
            </w:pPr>
            <w:r>
              <w:rPr>
                <w:noProof/>
              </w:rPr>
              <w:t>2025</w:t>
            </w:r>
          </w:p>
        </w:tc>
        <w:tc>
          <w:tcPr>
            <w:tcW w:w="4381" w:type="dxa"/>
            <w:tcBorders>
              <w:top w:val="single" w:sz="4" w:space="0" w:color="auto"/>
              <w:left w:val="nil"/>
              <w:bottom w:val="single" w:sz="4" w:space="0" w:color="auto"/>
              <w:right w:val="single" w:sz="4" w:space="0" w:color="auto"/>
            </w:tcBorders>
            <w:shd w:val="clear" w:color="auto" w:fill="C6EFCE"/>
            <w:noWrap/>
          </w:tcPr>
          <w:p w14:paraId="63BBA5F4" w14:textId="77777777" w:rsidR="00FA7C11" w:rsidRDefault="00D84965">
            <w:pPr>
              <w:pStyle w:val="P68B1DB1-Normal70"/>
              <w:spacing w:after="200" w:line="276" w:lineRule="auto"/>
              <w:rPr>
                <w:noProof/>
              </w:rPr>
            </w:pPr>
            <w:r>
              <w:rPr>
                <w:noProof/>
              </w:rPr>
              <w:t xml:space="preserve">Ministerul Finanțelor elaborează un prim plan de acțiune cu măsuri și calendare pentru punerea în aplicare a activităților individuale care sprijină sectorul financiar în slujba intereselor tranziției verzi și facilitează pregătirea în timp util a acestuia pentru noi cerințe de reglementare și alte inițiative în domeniul finanțării durabile. </w:t>
            </w:r>
          </w:p>
          <w:p w14:paraId="30DA65D2" w14:textId="77777777" w:rsidR="00FA7C11" w:rsidRDefault="00D84965">
            <w:pPr>
              <w:pStyle w:val="P68B1DB1-Normal70"/>
              <w:spacing w:after="200" w:line="276" w:lineRule="auto"/>
              <w:jc w:val="both"/>
              <w:rPr>
                <w:noProof/>
              </w:rPr>
            </w:pPr>
            <w:r>
              <w:rPr>
                <w:noProof/>
              </w:rPr>
              <w:t xml:space="preserve">Se instituie o platformă comună denumită Forumul de sprijin pentru finanțarea durabilă (SFSF), cu scopul de a face schimb de informații și de a interconecta sectorul financiar (bancar și nebancar) cu ministerele de resort, cu autoritățile de supraveghere, cu experții și cu alte părți interesate. </w:t>
            </w:r>
          </w:p>
        </w:tc>
      </w:tr>
      <w:tr w:rsidR="00FA7C11" w14:paraId="1681716D" w14:textId="77777777">
        <w:trPr>
          <w:trHeight w:val="300"/>
          <w:jc w:val="center"/>
        </w:trPr>
        <w:tc>
          <w:tcPr>
            <w:tcW w:w="799" w:type="dxa"/>
            <w:tcBorders>
              <w:top w:val="single" w:sz="4" w:space="0" w:color="auto"/>
              <w:left w:val="single" w:sz="4" w:space="0" w:color="auto"/>
              <w:bottom w:val="single" w:sz="4" w:space="0" w:color="auto"/>
              <w:right w:val="single" w:sz="4" w:space="0" w:color="auto"/>
            </w:tcBorders>
            <w:shd w:val="clear" w:color="auto" w:fill="C6EFCE"/>
            <w:noWrap/>
          </w:tcPr>
          <w:p w14:paraId="008A445D" w14:textId="77777777" w:rsidR="00FA7C11" w:rsidRDefault="00D84965">
            <w:pPr>
              <w:pStyle w:val="P68B1DB1-Normal70"/>
              <w:spacing w:after="200" w:line="276" w:lineRule="auto"/>
              <w:jc w:val="center"/>
              <w:rPr>
                <w:noProof/>
              </w:rPr>
            </w:pPr>
            <w:r>
              <w:rPr>
                <w:noProof/>
              </w:rPr>
              <w:t>446</w:t>
            </w:r>
          </w:p>
        </w:tc>
        <w:tc>
          <w:tcPr>
            <w:tcW w:w="1496" w:type="dxa"/>
            <w:tcBorders>
              <w:top w:val="single" w:sz="4" w:space="0" w:color="auto"/>
              <w:left w:val="nil"/>
              <w:bottom w:val="single" w:sz="4" w:space="0" w:color="auto"/>
              <w:right w:val="single" w:sz="4" w:space="0" w:color="auto"/>
            </w:tcBorders>
            <w:shd w:val="clear" w:color="auto" w:fill="C6EFCE"/>
            <w:noWrap/>
          </w:tcPr>
          <w:p w14:paraId="536D58FC" w14:textId="77777777" w:rsidR="00FA7C11" w:rsidRDefault="00D84965">
            <w:pPr>
              <w:pStyle w:val="P68B1DB1-Normal70"/>
              <w:spacing w:after="200" w:line="276" w:lineRule="auto"/>
              <w:jc w:val="center"/>
              <w:rPr>
                <w:noProof/>
              </w:rPr>
            </w:pPr>
            <w:r>
              <w:rPr>
                <w:noProof/>
              </w:rPr>
              <w:t>C1.1.1. R4-I6</w:t>
            </w:r>
          </w:p>
        </w:tc>
        <w:tc>
          <w:tcPr>
            <w:tcW w:w="1060" w:type="dxa"/>
            <w:tcBorders>
              <w:top w:val="single" w:sz="4" w:space="0" w:color="auto"/>
              <w:left w:val="nil"/>
              <w:bottom w:val="single" w:sz="4" w:space="0" w:color="auto"/>
              <w:right w:val="single" w:sz="4" w:space="0" w:color="auto"/>
            </w:tcBorders>
            <w:shd w:val="clear" w:color="auto" w:fill="C6EFCE"/>
            <w:noWrap/>
          </w:tcPr>
          <w:p w14:paraId="24FB940A" w14:textId="77777777" w:rsidR="00FA7C11" w:rsidRDefault="00D84965">
            <w:pPr>
              <w:pStyle w:val="P68B1DB1-Normal70"/>
              <w:spacing w:after="200" w:line="276" w:lineRule="auto"/>
              <w:jc w:val="center"/>
              <w:rPr>
                <w:noProof/>
              </w:rPr>
            </w:pPr>
            <w:r>
              <w:rPr>
                <w:noProof/>
              </w:rPr>
              <w:t>M</w:t>
            </w:r>
          </w:p>
        </w:tc>
        <w:tc>
          <w:tcPr>
            <w:tcW w:w="2089" w:type="dxa"/>
            <w:tcBorders>
              <w:top w:val="single" w:sz="4" w:space="0" w:color="auto"/>
              <w:left w:val="nil"/>
              <w:bottom w:val="single" w:sz="4" w:space="0" w:color="auto"/>
              <w:right w:val="single" w:sz="4" w:space="0" w:color="auto"/>
            </w:tcBorders>
            <w:shd w:val="clear" w:color="auto" w:fill="C6EFCE"/>
            <w:noWrap/>
          </w:tcPr>
          <w:p w14:paraId="626B166D" w14:textId="77777777" w:rsidR="00FA7C11" w:rsidRDefault="00D84965">
            <w:pPr>
              <w:pStyle w:val="P68B1DB1-Normal89"/>
              <w:spacing w:after="0" w:line="240" w:lineRule="auto"/>
              <w:rPr>
                <w:rFonts w:eastAsia="Calibri"/>
                <w:noProof/>
              </w:rPr>
            </w:pPr>
            <w:r>
              <w:rPr>
                <w:noProof/>
              </w:rPr>
              <w:t xml:space="preserve">Politica de investiții pentru investiții strategice în domeniul apărării și securității </w:t>
            </w:r>
          </w:p>
        </w:tc>
        <w:tc>
          <w:tcPr>
            <w:tcW w:w="1717" w:type="dxa"/>
            <w:tcBorders>
              <w:top w:val="single" w:sz="4" w:space="0" w:color="auto"/>
              <w:left w:val="nil"/>
              <w:bottom w:val="single" w:sz="4" w:space="0" w:color="auto"/>
              <w:right w:val="single" w:sz="4" w:space="0" w:color="auto"/>
            </w:tcBorders>
            <w:shd w:val="clear" w:color="auto" w:fill="C6EFCE"/>
            <w:noWrap/>
          </w:tcPr>
          <w:p w14:paraId="414848C9" w14:textId="77777777" w:rsidR="00FA7C11" w:rsidRDefault="00D84965">
            <w:pPr>
              <w:pStyle w:val="P68B1DB1-Normal89"/>
              <w:spacing w:after="0" w:line="240" w:lineRule="auto"/>
              <w:rPr>
                <w:rFonts w:eastAsia="Calibri"/>
                <w:noProof/>
              </w:rPr>
            </w:pPr>
            <w:r>
              <w:rPr>
                <w:noProof/>
              </w:rPr>
              <w:t>Adoptarea unei politici de investiții</w:t>
            </w:r>
          </w:p>
        </w:tc>
        <w:tc>
          <w:tcPr>
            <w:tcW w:w="1168" w:type="dxa"/>
            <w:tcBorders>
              <w:top w:val="single" w:sz="4" w:space="0" w:color="auto"/>
              <w:left w:val="nil"/>
              <w:bottom w:val="single" w:sz="4" w:space="0" w:color="auto"/>
              <w:right w:val="single" w:sz="4" w:space="0" w:color="auto"/>
            </w:tcBorders>
            <w:shd w:val="clear" w:color="auto" w:fill="C6EFCE"/>
            <w:noWrap/>
          </w:tcPr>
          <w:p w14:paraId="0D1D2429" w14:textId="77777777" w:rsidR="00FA7C11" w:rsidRDefault="00D84965">
            <w:pPr>
              <w:pStyle w:val="P68B1DB1-Normal89"/>
              <w:spacing w:after="0" w:line="240" w:lineRule="auto"/>
              <w:jc w:val="center"/>
              <w:rPr>
                <w:rFonts w:eastAsia="Calibri"/>
                <w:noProof/>
              </w:rPr>
            </w:pPr>
            <w:r>
              <w:rPr>
                <w:noProof/>
              </w:rPr>
              <w:t xml:space="preserve"> </w:t>
            </w:r>
          </w:p>
        </w:tc>
        <w:tc>
          <w:tcPr>
            <w:tcW w:w="826" w:type="dxa"/>
            <w:tcBorders>
              <w:top w:val="single" w:sz="4" w:space="0" w:color="auto"/>
              <w:left w:val="nil"/>
              <w:bottom w:val="single" w:sz="4" w:space="0" w:color="auto"/>
              <w:right w:val="single" w:sz="4" w:space="0" w:color="auto"/>
            </w:tcBorders>
            <w:shd w:val="clear" w:color="auto" w:fill="C6EFCE"/>
            <w:noWrap/>
          </w:tcPr>
          <w:p w14:paraId="3200E3E8" w14:textId="77777777" w:rsidR="00FA7C11" w:rsidRDefault="00D84965">
            <w:pPr>
              <w:pStyle w:val="P68B1DB1-Normal89"/>
              <w:spacing w:after="0" w:line="240" w:lineRule="auto"/>
              <w:jc w:val="center"/>
              <w:rPr>
                <w:rFonts w:eastAsia="Times New Roman"/>
                <w:noProof/>
              </w:rPr>
            </w:pPr>
            <w:r>
              <w:rPr>
                <w:noProof/>
              </w:rPr>
              <w:t xml:space="preserve"> </w:t>
            </w:r>
          </w:p>
        </w:tc>
        <w:tc>
          <w:tcPr>
            <w:tcW w:w="1059" w:type="dxa"/>
            <w:tcBorders>
              <w:top w:val="single" w:sz="4" w:space="0" w:color="auto"/>
              <w:left w:val="nil"/>
              <w:bottom w:val="single" w:sz="4" w:space="0" w:color="auto"/>
              <w:right w:val="single" w:sz="4" w:space="0" w:color="auto"/>
            </w:tcBorders>
            <w:shd w:val="clear" w:color="auto" w:fill="C6EFCE"/>
            <w:noWrap/>
          </w:tcPr>
          <w:p w14:paraId="6733F8CC" w14:textId="77777777" w:rsidR="00FA7C11" w:rsidRDefault="00D84965">
            <w:pPr>
              <w:pStyle w:val="P68B1DB1-Normal89"/>
              <w:spacing w:after="0" w:line="240" w:lineRule="auto"/>
              <w:jc w:val="center"/>
              <w:rPr>
                <w:rFonts w:eastAsia="Times New Roman"/>
                <w:noProof/>
              </w:rPr>
            </w:pPr>
            <w:r>
              <w:rPr>
                <w:noProof/>
              </w:rPr>
              <w:t xml:space="preserve"> </w:t>
            </w:r>
          </w:p>
        </w:tc>
        <w:tc>
          <w:tcPr>
            <w:tcW w:w="756" w:type="dxa"/>
            <w:tcBorders>
              <w:top w:val="single" w:sz="4" w:space="0" w:color="auto"/>
              <w:left w:val="nil"/>
              <w:bottom w:val="single" w:sz="4" w:space="0" w:color="auto"/>
              <w:right w:val="single" w:sz="4" w:space="0" w:color="auto"/>
            </w:tcBorders>
            <w:shd w:val="clear" w:color="auto" w:fill="C6EFCE"/>
            <w:noWrap/>
          </w:tcPr>
          <w:p w14:paraId="4FDC88D1" w14:textId="77777777" w:rsidR="00FA7C11" w:rsidRDefault="00D84965">
            <w:pPr>
              <w:pStyle w:val="P68B1DB1-Normal89"/>
              <w:spacing w:after="0" w:line="240" w:lineRule="auto"/>
              <w:jc w:val="center"/>
              <w:rPr>
                <w:rFonts w:eastAsia="Calibri"/>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5A79AA8B" w14:textId="77777777" w:rsidR="00FA7C11" w:rsidRDefault="00D84965">
            <w:pPr>
              <w:pStyle w:val="P68B1DB1-Normal89"/>
              <w:spacing w:after="0" w:line="240" w:lineRule="auto"/>
              <w:jc w:val="center"/>
              <w:rPr>
                <w:rFonts w:eastAsia="Calibri"/>
                <w:noProof/>
              </w:rPr>
            </w:pPr>
            <w:r>
              <w:rPr>
                <w:noProof/>
              </w:rPr>
              <w:t>2025</w:t>
            </w:r>
          </w:p>
        </w:tc>
        <w:tc>
          <w:tcPr>
            <w:tcW w:w="4381" w:type="dxa"/>
            <w:tcBorders>
              <w:top w:val="single" w:sz="4" w:space="0" w:color="auto"/>
              <w:left w:val="nil"/>
              <w:bottom w:val="single" w:sz="4" w:space="0" w:color="auto"/>
              <w:right w:val="single" w:sz="4" w:space="0" w:color="auto"/>
            </w:tcBorders>
            <w:shd w:val="clear" w:color="auto" w:fill="C6EFCE"/>
            <w:noWrap/>
          </w:tcPr>
          <w:p w14:paraId="08907090" w14:textId="77777777" w:rsidR="00FA7C11" w:rsidRDefault="00D84965">
            <w:pPr>
              <w:pStyle w:val="P68B1DB1-Normal89"/>
              <w:spacing w:after="0" w:line="240" w:lineRule="auto"/>
              <w:jc w:val="both"/>
              <w:rPr>
                <w:noProof/>
              </w:rPr>
            </w:pPr>
            <w:r>
              <w:rPr>
                <w:noProof/>
              </w:rPr>
              <w:t>Adoptarea unei noi politici de investiții pentru HBOR pentru utilizarea capitalului propriu suplimentar.</w:t>
            </w:r>
          </w:p>
          <w:p w14:paraId="283B0487" w14:textId="77777777" w:rsidR="00FA7C11" w:rsidRDefault="00FA7C11">
            <w:pPr>
              <w:spacing w:after="0" w:line="240" w:lineRule="auto"/>
              <w:jc w:val="both"/>
              <w:rPr>
                <w:rFonts w:ascii="Times New Roman" w:hAnsi="Times New Roman" w:cs="Times New Roman"/>
                <w:noProof/>
                <w:sz w:val="20"/>
                <w:szCs w:val="20"/>
              </w:rPr>
            </w:pPr>
          </w:p>
          <w:p w14:paraId="7B297C11" w14:textId="77777777" w:rsidR="00FA7C11" w:rsidRDefault="00D84965">
            <w:pPr>
              <w:pStyle w:val="P68B1DB1-Normal59"/>
              <w:spacing w:after="0" w:line="240" w:lineRule="auto"/>
              <w:jc w:val="both"/>
              <w:rPr>
                <w:rFonts w:ascii="Times New Roman" w:hAnsi="Times New Roman" w:cs="Times New Roman"/>
                <w:noProof/>
              </w:rPr>
            </w:pPr>
            <w:r>
              <w:rPr>
                <w:rFonts w:ascii="Times New Roman" w:hAnsi="Times New Roman" w:cs="Times New Roman"/>
                <w:noProof/>
              </w:rPr>
              <w:t>Politica de investiții se asigură că</w:t>
            </w:r>
            <w:r>
              <w:rPr>
                <w:rFonts w:ascii="Times New Roman" w:eastAsia="Calibri" w:hAnsi="Times New Roman" w:cs="Times New Roman"/>
                <w:noProof/>
                <w:color w:val="000000"/>
              </w:rPr>
              <w:t xml:space="preserve"> </w:t>
            </w:r>
            <w:r>
              <w:rPr>
                <w:rFonts w:ascii="Times New Roman" w:hAnsi="Times New Roman" w:cs="Times New Roman"/>
                <w:noProof/>
              </w:rPr>
              <w:t>133</w:t>
            </w:r>
            <w:r>
              <w:rPr>
                <w:rFonts w:ascii="Times New Roman" w:eastAsia="Calibri" w:hAnsi="Times New Roman" w:cs="Times New Roman"/>
                <w:noProof/>
                <w:color w:val="000000"/>
              </w:rPr>
              <w:t xml:space="preserve"> </w:t>
            </w:r>
            <w:r>
              <w:rPr>
                <w:rFonts w:ascii="Times New Roman" w:hAnsi="Times New Roman" w:cs="Times New Roman"/>
                <w:noProof/>
              </w:rPr>
              <w:t>214</w:t>
            </w:r>
            <w:r>
              <w:rPr>
                <w:rFonts w:ascii="Times New Roman" w:eastAsia="Calibri" w:hAnsi="Times New Roman" w:cs="Times New Roman"/>
                <w:noProof/>
                <w:color w:val="000000"/>
              </w:rPr>
              <w:t xml:space="preserve"> </w:t>
            </w:r>
            <w:r>
              <w:rPr>
                <w:rFonts w:ascii="Times New Roman" w:hAnsi="Times New Roman" w:cs="Times New Roman"/>
                <w:noProof/>
              </w:rPr>
              <w:t>015 EUR din capitalul propriu suplimentar este dedicat sprijinirii investițiilor în sectoarele strategice de apărare și securitate ale economiei croate, care pot include, dar nu se limitează la sprijin pentru:</w:t>
            </w:r>
          </w:p>
          <w:p w14:paraId="01898DE4" w14:textId="77777777" w:rsidR="00FA7C11" w:rsidRDefault="00D84965">
            <w:pPr>
              <w:pStyle w:val="P68B1DB1-Normal89"/>
              <w:numPr>
                <w:ilvl w:val="0"/>
                <w:numId w:val="47"/>
              </w:numPr>
              <w:spacing w:after="0" w:line="240" w:lineRule="auto"/>
              <w:jc w:val="both"/>
              <w:rPr>
                <w:noProof/>
              </w:rPr>
            </w:pPr>
            <w:r>
              <w:rPr>
                <w:noProof/>
              </w:rPr>
              <w:t>construirea de structuri de protecție și de infrastructuri de protecție civilă;</w:t>
            </w:r>
          </w:p>
          <w:p w14:paraId="15152518" w14:textId="77777777" w:rsidR="00FA7C11" w:rsidRDefault="00D84965">
            <w:pPr>
              <w:pStyle w:val="P68B1DB1-Normal89"/>
              <w:numPr>
                <w:ilvl w:val="0"/>
                <w:numId w:val="47"/>
              </w:numPr>
              <w:spacing w:after="0" w:line="240" w:lineRule="auto"/>
              <w:jc w:val="both"/>
              <w:rPr>
                <w:noProof/>
              </w:rPr>
            </w:pPr>
            <w:r>
              <w:rPr>
                <w:noProof/>
              </w:rPr>
              <w:t>construirea și modernizarea infrastructurii cu dublă utilizare;</w:t>
            </w:r>
          </w:p>
          <w:p w14:paraId="673CC536" w14:textId="77777777" w:rsidR="00FA7C11" w:rsidRDefault="00D84965">
            <w:pPr>
              <w:pStyle w:val="P68B1DB1-Normal89"/>
              <w:numPr>
                <w:ilvl w:val="0"/>
                <w:numId w:val="47"/>
              </w:numPr>
              <w:spacing w:after="0" w:line="240" w:lineRule="auto"/>
              <w:jc w:val="both"/>
              <w:rPr>
                <w:noProof/>
              </w:rPr>
            </w:pPr>
            <w:r>
              <w:rPr>
                <w:noProof/>
              </w:rPr>
              <w:t>investiții în securitatea cibernetică;</w:t>
            </w:r>
          </w:p>
          <w:p w14:paraId="21669680" w14:textId="77777777" w:rsidR="00FA7C11" w:rsidRDefault="00D84965">
            <w:pPr>
              <w:pStyle w:val="P68B1DB1-Normal89"/>
              <w:numPr>
                <w:ilvl w:val="0"/>
                <w:numId w:val="47"/>
              </w:numPr>
              <w:spacing w:after="0" w:line="240" w:lineRule="auto"/>
              <w:jc w:val="both"/>
              <w:rPr>
                <w:noProof/>
              </w:rPr>
            </w:pPr>
            <w:r>
              <w:rPr>
                <w:noProof/>
              </w:rPr>
              <w:t>modernizarea întreprinderilor;</w:t>
            </w:r>
          </w:p>
          <w:p w14:paraId="77A8819E" w14:textId="77777777" w:rsidR="00FA7C11" w:rsidRDefault="00D84965">
            <w:pPr>
              <w:pStyle w:val="P68B1DB1-ListParagraph90"/>
              <w:numPr>
                <w:ilvl w:val="0"/>
                <w:numId w:val="47"/>
              </w:numPr>
              <w:spacing w:after="0" w:line="240" w:lineRule="auto"/>
              <w:jc w:val="both"/>
              <w:rPr>
                <w:rFonts w:eastAsia="Calibri"/>
                <w:noProof/>
              </w:rPr>
            </w:pPr>
            <w:r>
              <w:rPr>
                <w:noProof/>
              </w:rPr>
              <w:t>sprijin pentru cercetare și dezvoltare (C &amp; D).</w:t>
            </w:r>
          </w:p>
        </w:tc>
      </w:tr>
      <w:tr w:rsidR="00FA7C11" w14:paraId="5FC17952" w14:textId="77777777">
        <w:trPr>
          <w:trHeight w:val="300"/>
          <w:jc w:val="center"/>
        </w:trPr>
        <w:tc>
          <w:tcPr>
            <w:tcW w:w="799" w:type="dxa"/>
            <w:tcBorders>
              <w:top w:val="single" w:sz="4" w:space="0" w:color="auto"/>
              <w:left w:val="single" w:sz="4" w:space="0" w:color="auto"/>
              <w:bottom w:val="single" w:sz="4" w:space="0" w:color="auto"/>
              <w:right w:val="single" w:sz="4" w:space="0" w:color="auto"/>
            </w:tcBorders>
            <w:shd w:val="clear" w:color="auto" w:fill="C6EFCE"/>
            <w:noWrap/>
          </w:tcPr>
          <w:p w14:paraId="7EE93324" w14:textId="77777777" w:rsidR="00FA7C11" w:rsidRDefault="00D84965">
            <w:pPr>
              <w:pStyle w:val="P68B1DB1-Normal70"/>
              <w:spacing w:after="200" w:line="276" w:lineRule="auto"/>
              <w:jc w:val="center"/>
              <w:rPr>
                <w:noProof/>
              </w:rPr>
            </w:pPr>
            <w:r>
              <w:rPr>
                <w:noProof/>
              </w:rPr>
              <w:t>447</w:t>
            </w:r>
          </w:p>
        </w:tc>
        <w:tc>
          <w:tcPr>
            <w:tcW w:w="1496" w:type="dxa"/>
            <w:tcBorders>
              <w:top w:val="single" w:sz="4" w:space="0" w:color="auto"/>
              <w:left w:val="nil"/>
              <w:bottom w:val="single" w:sz="4" w:space="0" w:color="auto"/>
              <w:right w:val="single" w:sz="4" w:space="0" w:color="auto"/>
            </w:tcBorders>
            <w:shd w:val="clear" w:color="auto" w:fill="C6EFCE"/>
            <w:noWrap/>
          </w:tcPr>
          <w:p w14:paraId="535BF665" w14:textId="77777777" w:rsidR="00FA7C11" w:rsidRDefault="00D84965">
            <w:pPr>
              <w:pStyle w:val="P68B1DB1-Normal70"/>
              <w:spacing w:after="200" w:line="276" w:lineRule="auto"/>
              <w:jc w:val="center"/>
              <w:rPr>
                <w:noProof/>
              </w:rPr>
            </w:pPr>
            <w:r>
              <w:rPr>
                <w:noProof/>
              </w:rPr>
              <w:t>C1.1.1. R4-I6</w:t>
            </w:r>
          </w:p>
        </w:tc>
        <w:tc>
          <w:tcPr>
            <w:tcW w:w="1060" w:type="dxa"/>
            <w:tcBorders>
              <w:top w:val="single" w:sz="4" w:space="0" w:color="auto"/>
              <w:left w:val="nil"/>
              <w:bottom w:val="single" w:sz="4" w:space="0" w:color="auto"/>
              <w:right w:val="single" w:sz="4" w:space="0" w:color="auto"/>
            </w:tcBorders>
            <w:shd w:val="clear" w:color="auto" w:fill="C6EFCE"/>
            <w:noWrap/>
          </w:tcPr>
          <w:p w14:paraId="0A086686" w14:textId="77777777" w:rsidR="00FA7C11" w:rsidRDefault="00D84965">
            <w:pPr>
              <w:pStyle w:val="P68B1DB1-Normal70"/>
              <w:spacing w:after="200" w:line="276" w:lineRule="auto"/>
              <w:jc w:val="center"/>
              <w:rPr>
                <w:noProof/>
              </w:rPr>
            </w:pPr>
            <w:r>
              <w:rPr>
                <w:noProof/>
              </w:rPr>
              <w:t>M</w:t>
            </w:r>
          </w:p>
        </w:tc>
        <w:tc>
          <w:tcPr>
            <w:tcW w:w="2089" w:type="dxa"/>
            <w:tcBorders>
              <w:top w:val="single" w:sz="4" w:space="0" w:color="auto"/>
              <w:left w:val="nil"/>
              <w:bottom w:val="single" w:sz="4" w:space="0" w:color="auto"/>
              <w:right w:val="single" w:sz="4" w:space="0" w:color="auto"/>
            </w:tcBorders>
            <w:shd w:val="clear" w:color="auto" w:fill="C6EFCE"/>
            <w:noWrap/>
          </w:tcPr>
          <w:p w14:paraId="7F51D062" w14:textId="77777777" w:rsidR="00FA7C11" w:rsidRDefault="00D84965">
            <w:pPr>
              <w:pStyle w:val="P68B1DB1-Normal89"/>
              <w:spacing w:after="0" w:line="240" w:lineRule="auto"/>
              <w:rPr>
                <w:rFonts w:eastAsia="Calibri"/>
                <w:noProof/>
              </w:rPr>
            </w:pPr>
            <w:r>
              <w:rPr>
                <w:noProof/>
              </w:rPr>
              <w:t>Injecție de capital pentru investiții strategice în domeniul apărării și securității</w:t>
            </w:r>
          </w:p>
        </w:tc>
        <w:tc>
          <w:tcPr>
            <w:tcW w:w="1717" w:type="dxa"/>
            <w:tcBorders>
              <w:top w:val="single" w:sz="4" w:space="0" w:color="auto"/>
              <w:left w:val="nil"/>
              <w:bottom w:val="single" w:sz="4" w:space="0" w:color="auto"/>
              <w:right w:val="single" w:sz="4" w:space="0" w:color="auto"/>
            </w:tcBorders>
            <w:shd w:val="clear" w:color="auto" w:fill="C6EFCE"/>
            <w:noWrap/>
          </w:tcPr>
          <w:p w14:paraId="00B4382A" w14:textId="77777777" w:rsidR="00FA7C11" w:rsidRDefault="00D84965">
            <w:pPr>
              <w:pStyle w:val="P68B1DB1-Normal89"/>
              <w:spacing w:after="0" w:line="240" w:lineRule="auto"/>
              <w:rPr>
                <w:rFonts w:eastAsia="Calibri"/>
                <w:noProof/>
              </w:rPr>
            </w:pPr>
            <w:r>
              <w:rPr>
                <w:noProof/>
              </w:rPr>
              <w:t xml:space="preserve">Certificatul de transfer </w:t>
            </w:r>
          </w:p>
        </w:tc>
        <w:tc>
          <w:tcPr>
            <w:tcW w:w="1168" w:type="dxa"/>
            <w:tcBorders>
              <w:top w:val="single" w:sz="4" w:space="0" w:color="auto"/>
              <w:left w:val="nil"/>
              <w:bottom w:val="single" w:sz="4" w:space="0" w:color="auto"/>
              <w:right w:val="single" w:sz="4" w:space="0" w:color="auto"/>
            </w:tcBorders>
            <w:shd w:val="clear" w:color="auto" w:fill="C6EFCE"/>
            <w:noWrap/>
          </w:tcPr>
          <w:p w14:paraId="1CDB60C7" w14:textId="77777777" w:rsidR="00FA7C11" w:rsidRDefault="00FA7C11">
            <w:pPr>
              <w:spacing w:after="0" w:line="240" w:lineRule="auto"/>
              <w:jc w:val="center"/>
              <w:rPr>
                <w:rFonts w:ascii="Times New Roman" w:eastAsia="Calibri" w:hAnsi="Times New Roman" w:cs="Times New Roman"/>
                <w:noProof/>
                <w:sz w:val="20"/>
                <w:szCs w:val="20"/>
              </w:rPr>
            </w:pPr>
          </w:p>
        </w:tc>
        <w:tc>
          <w:tcPr>
            <w:tcW w:w="826" w:type="dxa"/>
            <w:tcBorders>
              <w:top w:val="single" w:sz="4" w:space="0" w:color="auto"/>
              <w:left w:val="nil"/>
              <w:bottom w:val="single" w:sz="4" w:space="0" w:color="auto"/>
              <w:right w:val="single" w:sz="4" w:space="0" w:color="auto"/>
            </w:tcBorders>
            <w:shd w:val="clear" w:color="auto" w:fill="C6EFCE"/>
            <w:noWrap/>
          </w:tcPr>
          <w:p w14:paraId="271C6AA4" w14:textId="77777777" w:rsidR="00FA7C11" w:rsidRDefault="00FA7C11">
            <w:pPr>
              <w:spacing w:after="0" w:line="240" w:lineRule="auto"/>
              <w:jc w:val="center"/>
              <w:rPr>
                <w:rFonts w:ascii="Times New Roman" w:eastAsia="Times New Roman" w:hAnsi="Times New Roman" w:cs="Times New Roman"/>
                <w:noProof/>
                <w:sz w:val="20"/>
                <w:szCs w:val="20"/>
              </w:rPr>
            </w:pPr>
          </w:p>
        </w:tc>
        <w:tc>
          <w:tcPr>
            <w:tcW w:w="1059" w:type="dxa"/>
            <w:tcBorders>
              <w:top w:val="single" w:sz="4" w:space="0" w:color="auto"/>
              <w:left w:val="nil"/>
              <w:bottom w:val="single" w:sz="4" w:space="0" w:color="auto"/>
              <w:right w:val="single" w:sz="4" w:space="0" w:color="auto"/>
            </w:tcBorders>
            <w:shd w:val="clear" w:color="auto" w:fill="C6EFCE"/>
            <w:noWrap/>
          </w:tcPr>
          <w:p w14:paraId="0833EB56" w14:textId="77777777" w:rsidR="00FA7C11" w:rsidRDefault="00FA7C11">
            <w:pPr>
              <w:spacing w:after="0" w:line="240" w:lineRule="auto"/>
              <w:jc w:val="center"/>
              <w:rPr>
                <w:rFonts w:ascii="Times New Roman" w:eastAsia="Times New Roman"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4AD80497" w14:textId="77777777" w:rsidR="00FA7C11" w:rsidRDefault="00D84965">
            <w:pPr>
              <w:pStyle w:val="P68B1DB1-Normal89"/>
              <w:spacing w:after="0" w:line="240" w:lineRule="auto"/>
              <w:jc w:val="center"/>
              <w:rPr>
                <w:rFonts w:eastAsia="Calibri"/>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noWrap/>
          </w:tcPr>
          <w:p w14:paraId="5C34FBD8" w14:textId="77777777" w:rsidR="00FA7C11" w:rsidRDefault="00D84965">
            <w:pPr>
              <w:pStyle w:val="P68B1DB1-Normal89"/>
              <w:spacing w:after="0" w:line="240" w:lineRule="auto"/>
              <w:jc w:val="center"/>
              <w:rPr>
                <w:rFonts w:eastAsia="Calibri"/>
                <w:noProof/>
              </w:rPr>
            </w:pPr>
            <w:r>
              <w:rPr>
                <w:noProof/>
              </w:rPr>
              <w:t>2026</w:t>
            </w:r>
          </w:p>
        </w:tc>
        <w:tc>
          <w:tcPr>
            <w:tcW w:w="4381" w:type="dxa"/>
            <w:tcBorders>
              <w:top w:val="single" w:sz="4" w:space="0" w:color="auto"/>
              <w:left w:val="nil"/>
              <w:bottom w:val="single" w:sz="4" w:space="0" w:color="auto"/>
              <w:right w:val="single" w:sz="4" w:space="0" w:color="auto"/>
            </w:tcBorders>
            <w:shd w:val="clear" w:color="auto" w:fill="C6EFCE"/>
            <w:noWrap/>
          </w:tcPr>
          <w:p w14:paraId="77AE6DAC" w14:textId="77777777" w:rsidR="00FA7C11" w:rsidRDefault="00D84965">
            <w:pPr>
              <w:pStyle w:val="P68B1DB1-Normal59"/>
              <w:spacing w:after="0" w:line="240" w:lineRule="auto"/>
              <w:jc w:val="both"/>
              <w:rPr>
                <w:rFonts w:ascii="Times New Roman" w:hAnsi="Times New Roman" w:cs="Times New Roman"/>
                <w:noProof/>
              </w:rPr>
            </w:pPr>
            <w:r>
              <w:rPr>
                <w:rFonts w:ascii="Times New Roman" w:hAnsi="Times New Roman" w:cs="Times New Roman"/>
                <w:noProof/>
              </w:rPr>
              <w:t>Croația transferă</w:t>
            </w:r>
            <w:r>
              <w:rPr>
                <w:rFonts w:ascii="Times New Roman" w:eastAsia="Calibri" w:hAnsi="Times New Roman" w:cs="Times New Roman"/>
                <w:noProof/>
                <w:color w:val="000000"/>
              </w:rPr>
              <w:t xml:space="preserve"> </w:t>
            </w:r>
            <w:r>
              <w:rPr>
                <w:rFonts w:ascii="Times New Roman" w:hAnsi="Times New Roman" w:cs="Times New Roman"/>
                <w:noProof/>
              </w:rPr>
              <w:t>133</w:t>
            </w:r>
            <w:r>
              <w:rPr>
                <w:rFonts w:ascii="Times New Roman" w:eastAsia="Calibri" w:hAnsi="Times New Roman" w:cs="Times New Roman"/>
                <w:noProof/>
                <w:color w:val="000000"/>
              </w:rPr>
              <w:t xml:space="preserve"> </w:t>
            </w:r>
            <w:r>
              <w:rPr>
                <w:rFonts w:ascii="Times New Roman" w:hAnsi="Times New Roman" w:cs="Times New Roman"/>
                <w:noProof/>
              </w:rPr>
              <w:t>214</w:t>
            </w:r>
            <w:r>
              <w:rPr>
                <w:rFonts w:ascii="Times New Roman" w:eastAsia="Calibri" w:hAnsi="Times New Roman" w:cs="Times New Roman"/>
                <w:noProof/>
                <w:color w:val="000000"/>
              </w:rPr>
              <w:t xml:space="preserve"> </w:t>
            </w:r>
            <w:r>
              <w:rPr>
                <w:rFonts w:ascii="Times New Roman" w:hAnsi="Times New Roman" w:cs="Times New Roman"/>
                <w:noProof/>
              </w:rPr>
              <w:t>015 EUR către HBOR pentru a-și majora capitalul propriu.</w:t>
            </w:r>
          </w:p>
          <w:p w14:paraId="79B26860" w14:textId="77777777" w:rsidR="00FA7C11" w:rsidRDefault="00FA7C11">
            <w:pPr>
              <w:spacing w:after="0" w:line="240" w:lineRule="auto"/>
              <w:jc w:val="both"/>
              <w:rPr>
                <w:rFonts w:ascii="Times New Roman" w:hAnsi="Times New Roman" w:cs="Times New Roman"/>
                <w:noProof/>
                <w:sz w:val="20"/>
                <w:szCs w:val="20"/>
              </w:rPr>
            </w:pPr>
          </w:p>
          <w:p w14:paraId="4C5B25AF" w14:textId="77777777" w:rsidR="00FA7C11" w:rsidRDefault="00D84965">
            <w:pPr>
              <w:pStyle w:val="P68B1DB1-Normal89"/>
              <w:spacing w:after="0" w:line="240" w:lineRule="auto"/>
              <w:jc w:val="both"/>
              <w:rPr>
                <w:rFonts w:eastAsia="Calibri"/>
                <w:noProof/>
              </w:rPr>
            </w:pPr>
            <w:r>
              <w:rPr>
                <w:noProof/>
              </w:rPr>
              <w:t>Pe lângă injecția de capital în HBOR, care constituie investiția MRR, Croația transmite un raport în care prezintă acțiunile întreprinse de HBOR până la 31 august 2026 pentru a pune în aplicare politica de investiții, inclusiv măsurile luate pentru punerea în aplicare a produselor financiare pe care se preconizează că le va sprijini inițial capitalul propriu suplimentar, precum și măsurile preconizate a fi luate pentru punerea în aplicare în continuare a produselor respective.</w:t>
            </w:r>
          </w:p>
        </w:tc>
      </w:tr>
      <w:bookmarkEnd w:id="5"/>
    </w:tbl>
    <w:p w14:paraId="1C583B53" w14:textId="77777777" w:rsidR="00FA7C11" w:rsidRDefault="00FA7C11">
      <w:pPr>
        <w:spacing w:line="240" w:lineRule="auto"/>
        <w:jc w:val="both"/>
        <w:textAlignment w:val="baseline"/>
        <w:rPr>
          <w:rFonts w:eastAsia="Times New Roman"/>
          <w:noProof/>
          <w:color w:val="000000" w:themeColor="text1"/>
          <w:szCs w:val="24"/>
        </w:rPr>
      </w:pPr>
    </w:p>
    <w:p w14:paraId="7FE88E47" w14:textId="77777777" w:rsidR="00FA7C11" w:rsidRDefault="00FA7C11">
      <w:pPr>
        <w:spacing w:line="240" w:lineRule="auto"/>
        <w:jc w:val="both"/>
        <w:textAlignment w:val="baseline"/>
        <w:rPr>
          <w:rFonts w:eastAsia="Times New Roman"/>
          <w:noProof/>
          <w:color w:val="000000" w:themeColor="text1"/>
          <w:szCs w:val="24"/>
        </w:rPr>
      </w:pPr>
    </w:p>
    <w:p w14:paraId="17A743AA" w14:textId="77777777" w:rsidR="00FA7C11" w:rsidRDefault="00FA7C11">
      <w:pPr>
        <w:rPr>
          <w:noProof/>
        </w:rPr>
      </w:pPr>
    </w:p>
    <w:p w14:paraId="06DB8CA1" w14:textId="77777777" w:rsidR="00FA7C11" w:rsidRDefault="00FA7C11">
      <w:pPr>
        <w:keepNext/>
        <w:tabs>
          <w:tab w:val="left" w:pos="850"/>
        </w:tabs>
        <w:spacing w:before="360" w:line="240" w:lineRule="auto"/>
        <w:ind w:left="850" w:hanging="850"/>
        <w:jc w:val="center"/>
        <w:outlineLvl w:val="0"/>
        <w:rPr>
          <w:rFonts w:ascii="Times New Roman" w:eastAsia="Calibri" w:hAnsi="Times New Roman" w:cs="Times New Roman"/>
          <w:b/>
          <w:bCs/>
          <w:smallCaps/>
          <w:noProof/>
          <w:sz w:val="24"/>
          <w:szCs w:val="28"/>
        </w:rPr>
        <w:sectPr w:rsidR="00FA7C11" w:rsidSect="00FA29B2">
          <w:headerReference w:type="even" r:id="rId32"/>
          <w:headerReference w:type="default" r:id="rId33"/>
          <w:footerReference w:type="even" r:id="rId34"/>
          <w:footerReference w:type="default" r:id="rId35"/>
          <w:headerReference w:type="first" r:id="rId36"/>
          <w:footerReference w:type="first" r:id="rId37"/>
          <w:pgSz w:w="16838" w:h="11906" w:orient="landscape"/>
          <w:pgMar w:top="1134" w:right="1134" w:bottom="1134" w:left="1134" w:header="567" w:footer="567" w:gutter="0"/>
          <w:cols w:space="708"/>
          <w:docGrid w:linePitch="360"/>
        </w:sectPr>
      </w:pPr>
    </w:p>
    <w:p w14:paraId="2FAEB4FC" w14:textId="77777777" w:rsidR="00FA7C11" w:rsidRDefault="00D84965">
      <w:pPr>
        <w:pStyle w:val="P68B1DB1-Normal91"/>
        <w:keepNext/>
        <w:tabs>
          <w:tab w:val="left" w:pos="850"/>
        </w:tabs>
        <w:spacing w:before="360" w:line="240" w:lineRule="auto"/>
        <w:ind w:left="850" w:hanging="850"/>
        <w:jc w:val="center"/>
        <w:outlineLvl w:val="0"/>
        <w:rPr>
          <w:bCs/>
          <w:noProof/>
        </w:rPr>
      </w:pPr>
      <w:r>
        <w:rPr>
          <w:noProof/>
        </w:rPr>
        <w:t>B. COMPONENTA 1.2: TRANZIȚIA ENERGETICĂ PENTRU O ECONOMIE DURABILĂ</w:t>
      </w:r>
    </w:p>
    <w:p w14:paraId="5C61FFBC" w14:textId="77777777" w:rsidR="00FA7C11" w:rsidRDefault="00D84965">
      <w:pPr>
        <w:pStyle w:val="P68B1DB1-Normal33"/>
        <w:spacing w:line="240" w:lineRule="auto"/>
        <w:jc w:val="both"/>
        <w:rPr>
          <w:noProof/>
        </w:rPr>
      </w:pPr>
      <w:r>
        <w:rPr>
          <w:noProof/>
        </w:rPr>
        <w:t xml:space="preserve">Obiectivul acestei componente a planului croat de redresare și reziliență este de a facilita decarbonizarea sectoarelor energiei și transporturilor, inclusiv dezvoltarea de tehnologii inovatoare, și de a contribui la atingerea obiectivului pentru 2030 privind o pondere de 36,6 % a surselor regenerabile de energie, care a fost stabilit în Planul național croat privind energia și clima (PNEC), și la îndeplinirea contribuției Croației la obiectivul UE în materie de eficiență energetică de 32,5 % până în 2030. Aceasta urmărește, de asemenea, să contribuie la obiectivul sporit privind ponderea energiei din surse regenerabile în transporturi de 14 % până în 2030. Reformele din cadrul componentei constau în inițiative legislative pentru (i) eliminarea barierelor și a procedurilor administrative care limitează utilizarea surselor regenerabile de energie; (II) să finalizeze certificarea operatorului de sistem de transport al gazelor; și (iii) promovarea utilizării combustibililor alternativi în transporturi, inclusiv a hidrogenului și a biocombustibililor avansați. </w:t>
      </w:r>
    </w:p>
    <w:p w14:paraId="369CC77C" w14:textId="77777777" w:rsidR="00FA7C11" w:rsidRDefault="00D84965">
      <w:pPr>
        <w:pStyle w:val="P68B1DB1-Normal33"/>
        <w:spacing w:line="240" w:lineRule="auto"/>
        <w:jc w:val="both"/>
        <w:rPr>
          <w:noProof/>
        </w:rPr>
      </w:pPr>
      <w:r>
        <w:rPr>
          <w:noProof/>
        </w:rPr>
        <w:t xml:space="preserve">Se preconizează că reformele și investițiile componentei vor contribui la tranziția verde și la atingerea obiectivului climatic prin reducerea emisiilor de gaze cu efect de seră în sectoarele energiei și transporturilor, în conformitate cu Planul național privind energia și clima. </w:t>
      </w:r>
    </w:p>
    <w:p w14:paraId="379DA103" w14:textId="77777777" w:rsidR="00FA7C11" w:rsidRDefault="00D84965">
      <w:pPr>
        <w:pStyle w:val="P68B1DB1-Normal33"/>
        <w:spacing w:line="240" w:lineRule="auto"/>
        <w:jc w:val="both"/>
        <w:rPr>
          <w:noProof/>
        </w:rPr>
      </w:pPr>
      <w:r>
        <w:rPr>
          <w:noProof/>
        </w:rPr>
        <w:t>Aceste investiții și reforme contribuie la punerea în aplicare a recomandărilor specifice fiecărei țări adresate Croației cu privire la necesitatea de a „concentra politica legată de investiții asupra [...] eficienței energetice și a surselor regenerabile de energie” (recomandarea specifică 3, 2019) și de a „concentra investițiile asupra tranziției verzi [...], în special asupra [...] producției și utilizării energiei curate și eficiente” (recomandarea specifică 3, 2020).</w:t>
      </w:r>
    </w:p>
    <w:p w14:paraId="3536B613" w14:textId="77777777" w:rsidR="00FA7C11" w:rsidRDefault="00D84965">
      <w:pPr>
        <w:pStyle w:val="P68B1DB1-Normal92"/>
        <w:keepNext/>
        <w:spacing w:after="200" w:line="276" w:lineRule="auto"/>
        <w:ind w:left="851"/>
        <w:jc w:val="both"/>
        <w:outlineLvl w:val="1"/>
        <w:rPr>
          <w:rFonts w:eastAsia="Calibri"/>
          <w:noProof/>
          <w:szCs w:val="24"/>
        </w:rPr>
      </w:pPr>
      <w:r>
        <w:rPr>
          <w:noProof/>
        </w:rPr>
        <w:t xml:space="preserve">B.1. </w:t>
      </w:r>
      <w:r>
        <w:rPr>
          <w:noProof/>
        </w:rPr>
        <w:tab/>
        <w:t>Descrierea reformelor și a investițiilor pentru sprijinul financiar nerambursabil</w:t>
      </w:r>
    </w:p>
    <w:p w14:paraId="0EF3C368" w14:textId="77777777" w:rsidR="00FA7C11" w:rsidRDefault="00D84965">
      <w:pPr>
        <w:pStyle w:val="P68B1DB1-Normal93"/>
        <w:spacing w:line="240" w:lineRule="auto"/>
        <w:ind w:left="851"/>
        <w:jc w:val="both"/>
        <w:rPr>
          <w:noProof/>
        </w:rPr>
      </w:pPr>
      <w:r>
        <w:rPr>
          <w:noProof/>
        </w:rPr>
        <w:t>Reforma C.1.2 R1 – Decarbonizarea sectorului energetic</w:t>
      </w:r>
    </w:p>
    <w:p w14:paraId="389C31B7" w14:textId="77777777" w:rsidR="00FA7C11" w:rsidRDefault="00D84965">
      <w:pPr>
        <w:pStyle w:val="P68B1DB1-Normal33"/>
        <w:spacing w:line="240" w:lineRule="auto"/>
        <w:jc w:val="both"/>
        <w:rPr>
          <w:noProof/>
        </w:rPr>
      </w:pPr>
      <w:r>
        <w:rPr>
          <w:noProof/>
        </w:rPr>
        <w:t>Obiectivul reformei este de a facilita decarbonizarea sectoarelor energiei și transporturilor și de a sprijini contribuția națională la obiectivul Uniunii privind energia din surse regenerabile. Reforma include:</w:t>
      </w:r>
    </w:p>
    <w:p w14:paraId="5B2C1784" w14:textId="77777777" w:rsidR="00FA7C11" w:rsidRDefault="00D84965">
      <w:pPr>
        <w:pStyle w:val="P68B1DB1-Normal33"/>
        <w:numPr>
          <w:ilvl w:val="0"/>
          <w:numId w:val="48"/>
        </w:numPr>
        <w:spacing w:before="120" w:after="120" w:line="240" w:lineRule="auto"/>
        <w:jc w:val="both"/>
        <w:rPr>
          <w:noProof/>
        </w:rPr>
      </w:pPr>
      <w:r>
        <w:rPr>
          <w:noProof/>
        </w:rPr>
        <w:t xml:space="preserve">Modificări legislative ale Legii privind piața energiei electrice și ale Legii privind cogenerarea de înaltă eficiență pentru a atenua obstacolele administrative și de reglementare care limitează dezvoltarea proiectelor privind energia din surse regenerabile, pe baza rezultatelor unei analize aprofundate a blocajelor existente și în urma consultărilor publice, precum și introducerea unui sistem bazat pe prime pentru sprijinirea investițiilor în surse regenerabile de energie, care să faciliteze instalarea unei capacități suplimentare de alimentare cu energie din surse regenerabile (SRE) de 1 500 MW. </w:t>
      </w:r>
    </w:p>
    <w:p w14:paraId="458EFB38" w14:textId="6115C73A" w:rsidR="00FA7C11" w:rsidRDefault="00D84965">
      <w:pPr>
        <w:pStyle w:val="P68B1DB1-Normal94"/>
        <w:numPr>
          <w:ilvl w:val="0"/>
          <w:numId w:val="48"/>
        </w:numPr>
        <w:spacing w:before="120" w:after="120" w:line="240" w:lineRule="auto"/>
        <w:jc w:val="both"/>
        <w:rPr>
          <w:noProof/>
        </w:rPr>
      </w:pPr>
      <w:r>
        <w:rPr>
          <w:noProof/>
        </w:rPr>
        <w:t xml:space="preserve">Decizia privind emiterea unui certificat către OTS Plinacro, adoptată de autoritatea națională croată de reglementare în domeniul energiei (HERA), care finalizează separarea activităților de transport pe piața gazelor și care separă supravegherea operatorului de sistem de transport al gazelor (OTS) deținut de stat de activitățile de furnizare și producție deținute de stat. </w:t>
      </w:r>
    </w:p>
    <w:p w14:paraId="19486C23" w14:textId="77777777" w:rsidR="00FA7C11" w:rsidRDefault="00D84965">
      <w:pPr>
        <w:pStyle w:val="P68B1DB1-Normal33"/>
        <w:numPr>
          <w:ilvl w:val="0"/>
          <w:numId w:val="48"/>
        </w:numPr>
        <w:spacing w:before="120" w:after="120" w:line="240" w:lineRule="auto"/>
        <w:jc w:val="both"/>
        <w:rPr>
          <w:noProof/>
        </w:rPr>
      </w:pPr>
      <w:r>
        <w:rPr>
          <w:noProof/>
        </w:rPr>
        <w:t xml:space="preserve">Adoptarea unei noi legi privind combustibilii alternativi în transporturi pentru a crea un cadru legislativ pentru introducerea combustibililor alternativi în sectorul transporturilor și pentru a promova producția și utilizarea biocombustibililor avansați și a hidrogenului în transporturi. Se elaborează strategia de dezvoltare a hidrogenului, care definește obiectivele pentru 2030 privind producția de hidrogen verde în Croația. </w:t>
      </w:r>
    </w:p>
    <w:p w14:paraId="0A69378F" w14:textId="77777777" w:rsidR="00FA7C11" w:rsidRDefault="00D84965">
      <w:pPr>
        <w:pStyle w:val="P68B1DB1-Normal94"/>
        <w:spacing w:after="200" w:line="276" w:lineRule="auto"/>
        <w:rPr>
          <w:noProof/>
        </w:rPr>
      </w:pPr>
      <w:r>
        <w:rPr>
          <w:noProof/>
        </w:rPr>
        <w:t>Reforma se finalizează până la 31 decembrie 2024.</w:t>
      </w:r>
    </w:p>
    <w:p w14:paraId="01852F50" w14:textId="77777777" w:rsidR="00FA7C11" w:rsidRDefault="00D84965">
      <w:pPr>
        <w:pStyle w:val="P68B1DB1-Normal93"/>
        <w:spacing w:after="200" w:line="276" w:lineRule="auto"/>
        <w:ind w:left="720"/>
        <w:rPr>
          <w:noProof/>
          <w:szCs w:val="24"/>
        </w:rPr>
      </w:pPr>
      <w:r>
        <w:rPr>
          <w:noProof/>
        </w:rPr>
        <w:t>Investiția C1.2 R1-I1 – Revitalizarea, construirea și digitalizarea sistemului energetic și sprijinirea infrastructurii pentru decarbonizarea sectorului energetic</w:t>
      </w:r>
    </w:p>
    <w:p w14:paraId="6D74B2AD" w14:textId="77777777" w:rsidR="00FA7C11" w:rsidRDefault="00D84965">
      <w:pPr>
        <w:pStyle w:val="P68B1DB1-Normal33"/>
        <w:spacing w:line="240" w:lineRule="auto"/>
        <w:jc w:val="both"/>
        <w:rPr>
          <w:noProof/>
        </w:rPr>
      </w:pPr>
      <w:r>
        <w:rPr>
          <w:noProof/>
        </w:rPr>
        <w:t xml:space="preserve">Obiectivul acestei investiții este de a sprijini electrificarea și decarbonizarea sectorului energetic și de a moderniza conectarea rețelei sud-nord din Croația. </w:t>
      </w:r>
    </w:p>
    <w:p w14:paraId="30F793E8" w14:textId="18CFF378" w:rsidR="00FA7C11" w:rsidRDefault="00D84965">
      <w:pPr>
        <w:pStyle w:val="P68B1DB1-Normal33"/>
        <w:spacing w:line="240" w:lineRule="auto"/>
        <w:jc w:val="both"/>
        <w:rPr>
          <w:noProof/>
        </w:rPr>
      </w:pPr>
      <w:r>
        <w:rPr>
          <w:noProof/>
        </w:rPr>
        <w:t xml:space="preserve">Investiția constă în modernizarea rețelei de înaltă tensiune și a cablurilor submarine instalate, modernizarea cablurilor subterane care conectează 6 insule la rețeaua continentală, instalarea de contoare inteligente și instalarea de noi capacități de stocare a energiei. </w:t>
      </w:r>
    </w:p>
    <w:p w14:paraId="24F1F071" w14:textId="77777777" w:rsidR="00FA7C11" w:rsidRDefault="00D84965">
      <w:pPr>
        <w:pStyle w:val="P68B1DB1-Normal94"/>
        <w:spacing w:after="200" w:line="276" w:lineRule="auto"/>
        <w:ind w:left="720"/>
        <w:jc w:val="both"/>
        <w:rPr>
          <w:noProof/>
          <w:u w:val="single"/>
        </w:rPr>
      </w:pPr>
      <w:r>
        <w:rPr>
          <w:noProof/>
          <w:u w:val="single"/>
        </w:rPr>
        <w:t xml:space="preserve">Investiția C1.2 R1-I2 – Promovarea eficienței energetice, a căldurii și a energiei din surse regenerabile pentru decarbonizarea </w:t>
      </w:r>
      <w:r>
        <w:rPr>
          <w:noProof/>
          <w:u w:val="double"/>
        </w:rPr>
        <w:t>sectorului</w:t>
      </w:r>
      <w:r>
        <w:rPr>
          <w:noProof/>
          <w:u w:val="single"/>
        </w:rPr>
        <w:t xml:space="preserve"> energetic</w:t>
      </w:r>
    </w:p>
    <w:p w14:paraId="70A1EBA0" w14:textId="77777777" w:rsidR="00FA7C11" w:rsidRDefault="00D84965">
      <w:pPr>
        <w:pStyle w:val="P68B1DB1-Normal33"/>
        <w:spacing w:after="200" w:line="276" w:lineRule="auto"/>
        <w:jc w:val="both"/>
        <w:rPr>
          <w:noProof/>
        </w:rPr>
      </w:pPr>
      <w:r>
        <w:rPr>
          <w:noProof/>
        </w:rPr>
        <w:t xml:space="preserve">Obiectivul acestei investiții este de a spori eficiența energetică în industrie și de a spori utilizarea surselor regenerabile de energie. </w:t>
      </w:r>
    </w:p>
    <w:p w14:paraId="0ED94B65" w14:textId="77777777" w:rsidR="00FA7C11" w:rsidRDefault="00D84965">
      <w:pPr>
        <w:pStyle w:val="P68B1DB1-Normal33"/>
        <w:spacing w:after="200" w:line="276" w:lineRule="auto"/>
        <w:jc w:val="both"/>
        <w:rPr>
          <w:noProof/>
        </w:rPr>
      </w:pPr>
      <w:r>
        <w:rPr>
          <w:noProof/>
        </w:rPr>
        <w:t xml:space="preserve">Investiția constă în explorarea potențialului geotermal, în sprijinirea eficienței energetice și a utilizării energiei din surse regenerabile în industrie pentru întreprinderi și în adoptarea programului privind eficiența energetică. </w:t>
      </w:r>
    </w:p>
    <w:p w14:paraId="412E1551" w14:textId="77777777" w:rsidR="00FA7C11" w:rsidRDefault="00D84965">
      <w:pPr>
        <w:pStyle w:val="P68B1DB1-Normal93"/>
        <w:spacing w:after="200" w:line="276" w:lineRule="auto"/>
        <w:ind w:left="850"/>
        <w:jc w:val="both"/>
        <w:rPr>
          <w:noProof/>
          <w:szCs w:val="24"/>
        </w:rPr>
      </w:pPr>
      <w:r>
        <w:rPr>
          <w:noProof/>
        </w:rPr>
        <w:t>Investiția C1.2 R1-I3 – Utilizarea hidrogenului și noile tehnologii</w:t>
      </w:r>
    </w:p>
    <w:p w14:paraId="1FF4A409" w14:textId="77777777" w:rsidR="00FA7C11" w:rsidRDefault="00D84965">
      <w:pPr>
        <w:pStyle w:val="P68B1DB1-Normal95"/>
        <w:spacing w:line="240" w:lineRule="auto"/>
        <w:jc w:val="both"/>
        <w:rPr>
          <w:noProof/>
          <w:szCs w:val="24"/>
        </w:rPr>
      </w:pPr>
      <w:r>
        <w:rPr>
          <w:noProof/>
          <w:szCs w:val="24"/>
        </w:rPr>
        <w:t xml:space="preserve">Obiectivul acestei investiții este de a îmbunătăți utilizarea hidrogenului și a noilor tehnologii în Croația, pentru a reduce emisiile de gaze cu efect de seră (GES) în sectorul transporturilor și în industrie, prin adoptarea Legii privind combustibilii </w:t>
      </w:r>
      <w:r>
        <w:rPr>
          <w:noProof/>
          <w:szCs w:val="28"/>
        </w:rPr>
        <w:t xml:space="preserve">alternativi </w:t>
      </w:r>
      <w:r>
        <w:rPr>
          <w:noProof/>
          <w:szCs w:val="24"/>
        </w:rPr>
        <w:t xml:space="preserve">pentru transport și </w:t>
      </w:r>
      <w:r>
        <w:rPr>
          <w:noProof/>
          <w:szCs w:val="28"/>
        </w:rPr>
        <w:t xml:space="preserve">a Strategiei de dezvoltare a </w:t>
      </w:r>
      <w:r>
        <w:rPr>
          <w:noProof/>
          <w:szCs w:val="24"/>
        </w:rPr>
        <w:t xml:space="preserve">hidrogenului. </w:t>
      </w:r>
    </w:p>
    <w:p w14:paraId="0745BE6C" w14:textId="77777777" w:rsidR="00FA7C11" w:rsidRDefault="00D84965">
      <w:pPr>
        <w:pStyle w:val="P68B1DB1-Normal94"/>
        <w:spacing w:after="200" w:line="276" w:lineRule="auto"/>
        <w:jc w:val="both"/>
        <w:rPr>
          <w:noProof/>
          <w:szCs w:val="24"/>
        </w:rPr>
      </w:pPr>
      <w:r>
        <w:rPr>
          <w:noProof/>
        </w:rPr>
        <w:t>Această investiție se finalizează până la 31 martie 2022.</w:t>
      </w:r>
    </w:p>
    <w:p w14:paraId="19A6DDD9" w14:textId="77777777" w:rsidR="00FA7C11" w:rsidRDefault="00FA7C11">
      <w:pPr>
        <w:rPr>
          <w:noProof/>
        </w:rPr>
        <w:sectPr w:rsidR="00FA7C11" w:rsidSect="00FA29B2">
          <w:headerReference w:type="even" r:id="rId38"/>
          <w:headerReference w:type="default" r:id="rId39"/>
          <w:footerReference w:type="even" r:id="rId40"/>
          <w:footerReference w:type="default" r:id="rId41"/>
          <w:headerReference w:type="first" r:id="rId42"/>
          <w:footerReference w:type="first" r:id="rId43"/>
          <w:pgSz w:w="11906" w:h="16838"/>
          <w:pgMar w:top="1134" w:right="1134" w:bottom="1134" w:left="1134" w:header="567" w:footer="567" w:gutter="0"/>
          <w:cols w:space="708"/>
          <w:docGrid w:linePitch="360"/>
        </w:sectPr>
      </w:pPr>
    </w:p>
    <w:p w14:paraId="3199928B" w14:textId="77777777" w:rsidR="00FA7C11" w:rsidRDefault="00D84965">
      <w:pPr>
        <w:pStyle w:val="P68B1DB1-Normal80"/>
        <w:keepNext/>
        <w:tabs>
          <w:tab w:val="num" w:pos="850"/>
        </w:tabs>
        <w:spacing w:after="200" w:line="276" w:lineRule="auto"/>
        <w:ind w:left="851" w:right="-873"/>
        <w:jc w:val="both"/>
        <w:outlineLvl w:val="1"/>
        <w:rPr>
          <w:rFonts w:ascii="Times New Roman" w:eastAsia="Calibri" w:hAnsi="Times New Roman" w:cs="Times New Roman"/>
          <w:noProof/>
        </w:rPr>
      </w:pPr>
      <w:r>
        <w:rPr>
          <w:rFonts w:ascii="Times New Roman" w:eastAsia="SimSun" w:hAnsi="Times New Roman" w:cs="Times New Roman"/>
          <w:b/>
          <w:noProof/>
        </w:rPr>
        <w:t xml:space="preserve">B.2. </w:t>
      </w:r>
      <w:r>
        <w:rPr>
          <w:rFonts w:ascii="Times New Roman" w:hAnsi="Times New Roman" w:cs="Times New Roman"/>
          <w:noProof/>
        </w:rPr>
        <w:t xml:space="preserve"> </w:t>
      </w:r>
      <w:r>
        <w:rPr>
          <w:rFonts w:ascii="Times New Roman" w:eastAsia="SimSun" w:hAnsi="Times New Roman" w:cs="Times New Roman"/>
          <w:b/>
          <w:noProof/>
        </w:rPr>
        <w:t>Jaloane, ținte, indicatori și calendarul de monitorizare și implementare aplicabile sprijinului financiar nerambursabil</w:t>
      </w:r>
    </w:p>
    <w:tbl>
      <w:tblPr>
        <w:tblW w:w="15826" w:type="dxa"/>
        <w:jc w:val="center"/>
        <w:tblCellMar>
          <w:top w:w="28" w:type="dxa"/>
          <w:left w:w="28" w:type="dxa"/>
          <w:bottom w:w="28" w:type="dxa"/>
          <w:right w:w="28" w:type="dxa"/>
        </w:tblCellMar>
        <w:tblLook w:val="04A0" w:firstRow="1" w:lastRow="0" w:firstColumn="1" w:lastColumn="0" w:noHBand="0" w:noVBand="1"/>
      </w:tblPr>
      <w:tblGrid>
        <w:gridCol w:w="768"/>
        <w:gridCol w:w="1077"/>
        <w:gridCol w:w="1345"/>
        <w:gridCol w:w="1825"/>
        <w:gridCol w:w="2017"/>
        <w:gridCol w:w="790"/>
        <w:gridCol w:w="808"/>
        <w:gridCol w:w="779"/>
        <w:gridCol w:w="919"/>
        <w:gridCol w:w="567"/>
        <w:gridCol w:w="5577"/>
      </w:tblGrid>
      <w:tr w:rsidR="00FA7C11" w14:paraId="47DE3837" w14:textId="77777777">
        <w:trPr>
          <w:trHeight w:val="438"/>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97A7A0" w14:textId="77777777" w:rsidR="00FA7C11" w:rsidRDefault="00D84965">
            <w:pPr>
              <w:pStyle w:val="P68B1DB1-Normal58"/>
              <w:spacing w:after="200" w:line="276" w:lineRule="auto"/>
              <w:jc w:val="center"/>
              <w:rPr>
                <w:rFonts w:eastAsia="Calibri"/>
                <w:noProof/>
              </w:rPr>
            </w:pPr>
            <w:r>
              <w:rPr>
                <w:noProof/>
              </w:rPr>
              <w:t>Număr</w:t>
            </w:r>
          </w:p>
        </w:tc>
        <w:tc>
          <w:tcPr>
            <w:tcW w:w="10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0689C1" w14:textId="77777777" w:rsidR="00FA7C11" w:rsidRDefault="00D84965">
            <w:pPr>
              <w:pStyle w:val="P68B1DB1-Normal58"/>
              <w:spacing w:after="200" w:line="276" w:lineRule="auto"/>
              <w:jc w:val="center"/>
              <w:rPr>
                <w:rFonts w:eastAsia="Calibri"/>
                <w:noProof/>
              </w:rPr>
            </w:pPr>
            <w:r>
              <w:rPr>
                <w:noProof/>
              </w:rPr>
              <w:t>Măsură</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DF88DA" w14:textId="77777777" w:rsidR="00FA7C11" w:rsidRDefault="00D84965">
            <w:pPr>
              <w:pStyle w:val="P68B1DB1-Normal58"/>
              <w:spacing w:after="200" w:line="276" w:lineRule="auto"/>
              <w:jc w:val="center"/>
              <w:rPr>
                <w:rFonts w:eastAsia="Calibri"/>
                <w:noProof/>
              </w:rPr>
            </w:pPr>
            <w:r>
              <w:rPr>
                <w:noProof/>
              </w:rPr>
              <w:t>Etapă/Obiectiv</w:t>
            </w:r>
          </w:p>
        </w:tc>
        <w:tc>
          <w:tcPr>
            <w:tcW w:w="18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9207F0" w14:textId="77777777" w:rsidR="00FA7C11" w:rsidRDefault="00D84965">
            <w:pPr>
              <w:pStyle w:val="P68B1DB1-Normal58"/>
              <w:spacing w:after="200" w:line="276" w:lineRule="auto"/>
              <w:jc w:val="center"/>
              <w:rPr>
                <w:rFonts w:eastAsia="Calibri"/>
                <w:noProof/>
              </w:rPr>
            </w:pPr>
            <w:r>
              <w:rPr>
                <w:noProof/>
              </w:rPr>
              <w:t>Nume</w:t>
            </w:r>
          </w:p>
        </w:tc>
        <w:tc>
          <w:tcPr>
            <w:tcW w:w="20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4735A9" w14:textId="77777777" w:rsidR="00FA7C11" w:rsidRDefault="00D84965">
            <w:pPr>
              <w:pStyle w:val="P68B1DB1-Normal58"/>
              <w:spacing w:after="200" w:line="276" w:lineRule="auto"/>
              <w:jc w:val="center"/>
              <w:rPr>
                <w:rFonts w:eastAsia="Calibri"/>
                <w:noProof/>
              </w:rPr>
            </w:pPr>
            <w:r>
              <w:rPr>
                <w:noProof/>
              </w:rPr>
              <w:t xml:space="preserve">Indicatori calitativi </w:t>
            </w:r>
            <w:r>
              <w:rPr>
                <w:noProof/>
              </w:rPr>
              <w:br/>
              <w:t>(pentru jaloane)</w:t>
            </w:r>
          </w:p>
        </w:tc>
        <w:tc>
          <w:tcPr>
            <w:tcW w:w="220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6E28C6D" w14:textId="77777777" w:rsidR="00FA7C11" w:rsidRDefault="00D84965">
            <w:pPr>
              <w:pStyle w:val="P68B1DB1-Normal58"/>
              <w:spacing w:after="200" w:line="276" w:lineRule="auto"/>
              <w:jc w:val="center"/>
              <w:rPr>
                <w:rFonts w:eastAsia="Calibri"/>
                <w:noProof/>
              </w:rPr>
            </w:pPr>
            <w:r>
              <w:rPr>
                <w:noProof/>
              </w:rPr>
              <w:t xml:space="preserve">Indicatori cantitativi </w:t>
            </w:r>
            <w:r>
              <w:rPr>
                <w:noProof/>
              </w:rPr>
              <w:br/>
              <w:t>(pentru obiective)</w:t>
            </w:r>
          </w:p>
        </w:tc>
        <w:tc>
          <w:tcPr>
            <w:tcW w:w="1323"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6C32317F" w14:textId="77777777" w:rsidR="00FA7C11" w:rsidRDefault="00D84965">
            <w:pPr>
              <w:pStyle w:val="P68B1DB1-Normal58"/>
              <w:spacing w:after="200" w:line="276" w:lineRule="auto"/>
              <w:jc w:val="center"/>
              <w:rPr>
                <w:rFonts w:eastAsia="Calibri"/>
                <w:noProof/>
              </w:rPr>
            </w:pPr>
            <w:r>
              <w:rPr>
                <w:noProof/>
              </w:rPr>
              <w:t>Timp</w:t>
            </w:r>
          </w:p>
        </w:tc>
        <w:tc>
          <w:tcPr>
            <w:tcW w:w="5577" w:type="dxa"/>
            <w:vMerge w:val="restart"/>
            <w:tcBorders>
              <w:top w:val="single" w:sz="4" w:space="0" w:color="auto"/>
              <w:left w:val="single" w:sz="4" w:space="0" w:color="auto"/>
              <w:right w:val="single" w:sz="4" w:space="0" w:color="auto"/>
            </w:tcBorders>
            <w:shd w:val="clear" w:color="auto" w:fill="BDD7EE"/>
            <w:vAlign w:val="center"/>
            <w:hideMark/>
          </w:tcPr>
          <w:p w14:paraId="5CA1D7BC" w14:textId="77777777" w:rsidR="00FA7C11" w:rsidRDefault="00D84965">
            <w:pPr>
              <w:pStyle w:val="P68B1DB1-Normal58"/>
              <w:spacing w:after="200" w:line="276" w:lineRule="auto"/>
              <w:jc w:val="center"/>
              <w:rPr>
                <w:rFonts w:eastAsia="Calibri"/>
                <w:noProof/>
              </w:rPr>
            </w:pPr>
            <w:r>
              <w:rPr>
                <w:noProof/>
              </w:rPr>
              <w:t>Descrierea fiecărui jalon și a fiecărei ținte</w:t>
            </w:r>
          </w:p>
        </w:tc>
      </w:tr>
      <w:tr w:rsidR="00FA7C11" w14:paraId="7AC6AE3C" w14:textId="77777777">
        <w:trPr>
          <w:trHeight w:val="122"/>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331F658E" w14:textId="77777777" w:rsidR="00FA7C11" w:rsidRDefault="00FA7C11">
            <w:pPr>
              <w:spacing w:after="0" w:line="276" w:lineRule="auto"/>
              <w:rPr>
                <w:rFonts w:ascii="Times New Roman" w:eastAsia="Times New Roman" w:hAnsi="Times New Roman" w:cs="Times New Roman"/>
                <w:b/>
                <w:noProof/>
                <w:sz w:val="20"/>
                <w:szCs w:val="20"/>
              </w:rPr>
            </w:pPr>
          </w:p>
        </w:tc>
        <w:tc>
          <w:tcPr>
            <w:tcW w:w="1077" w:type="dxa"/>
            <w:vMerge/>
            <w:tcBorders>
              <w:top w:val="single" w:sz="4" w:space="0" w:color="auto"/>
              <w:left w:val="single" w:sz="4" w:space="0" w:color="auto"/>
              <w:bottom w:val="single" w:sz="4" w:space="0" w:color="auto"/>
              <w:right w:val="single" w:sz="4" w:space="0" w:color="auto"/>
            </w:tcBorders>
            <w:hideMark/>
          </w:tcPr>
          <w:p w14:paraId="5687CEAD" w14:textId="77777777" w:rsidR="00FA7C11" w:rsidRDefault="00FA7C11">
            <w:pPr>
              <w:spacing w:after="0" w:line="276" w:lineRule="auto"/>
              <w:rPr>
                <w:rFonts w:ascii="Times New Roman" w:eastAsia="Times New Roman" w:hAnsi="Times New Roman" w:cs="Times New Roman"/>
                <w:b/>
                <w:noProof/>
                <w:sz w:val="20"/>
                <w:szCs w:val="20"/>
              </w:rPr>
            </w:pPr>
          </w:p>
        </w:tc>
        <w:tc>
          <w:tcPr>
            <w:tcW w:w="1030" w:type="dxa"/>
            <w:vMerge/>
            <w:tcBorders>
              <w:top w:val="single" w:sz="4" w:space="0" w:color="auto"/>
              <w:left w:val="single" w:sz="4" w:space="0" w:color="auto"/>
              <w:bottom w:val="single" w:sz="4" w:space="0" w:color="auto"/>
              <w:right w:val="single" w:sz="4" w:space="0" w:color="auto"/>
            </w:tcBorders>
            <w:hideMark/>
          </w:tcPr>
          <w:p w14:paraId="3310B7BD"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825" w:type="dxa"/>
            <w:vMerge/>
            <w:tcBorders>
              <w:top w:val="single" w:sz="4" w:space="0" w:color="auto"/>
              <w:left w:val="single" w:sz="4" w:space="0" w:color="auto"/>
              <w:bottom w:val="single" w:sz="4" w:space="0" w:color="auto"/>
              <w:right w:val="single" w:sz="4" w:space="0" w:color="auto"/>
            </w:tcBorders>
            <w:hideMark/>
          </w:tcPr>
          <w:p w14:paraId="23658EED" w14:textId="77777777" w:rsidR="00FA7C11" w:rsidRDefault="00FA7C11">
            <w:pPr>
              <w:spacing w:after="0" w:line="276" w:lineRule="auto"/>
              <w:rPr>
                <w:rFonts w:ascii="Times New Roman" w:eastAsia="Times New Roman" w:hAnsi="Times New Roman" w:cs="Times New Roman"/>
                <w:b/>
                <w:noProof/>
                <w:sz w:val="20"/>
                <w:szCs w:val="20"/>
              </w:rPr>
            </w:pPr>
          </w:p>
        </w:tc>
        <w:tc>
          <w:tcPr>
            <w:tcW w:w="2017" w:type="dxa"/>
            <w:vMerge/>
            <w:tcBorders>
              <w:top w:val="single" w:sz="4" w:space="0" w:color="auto"/>
              <w:left w:val="single" w:sz="4" w:space="0" w:color="auto"/>
              <w:bottom w:val="single" w:sz="4" w:space="0" w:color="auto"/>
              <w:right w:val="single" w:sz="4" w:space="0" w:color="auto"/>
            </w:tcBorders>
            <w:hideMark/>
          </w:tcPr>
          <w:p w14:paraId="0A28D598" w14:textId="77777777" w:rsidR="00FA7C11" w:rsidRDefault="00FA7C11">
            <w:pPr>
              <w:spacing w:after="0" w:line="276" w:lineRule="auto"/>
              <w:rPr>
                <w:rFonts w:ascii="Times New Roman" w:eastAsia="Times New Roman" w:hAnsi="Times New Roman" w:cs="Times New Roman"/>
                <w:b/>
                <w:noProof/>
                <w:sz w:val="20"/>
                <w:szCs w:val="20"/>
              </w:rPr>
            </w:pPr>
          </w:p>
        </w:tc>
        <w:tc>
          <w:tcPr>
            <w:tcW w:w="725" w:type="dxa"/>
            <w:tcBorders>
              <w:top w:val="nil"/>
              <w:left w:val="single" w:sz="4" w:space="0" w:color="auto"/>
              <w:bottom w:val="single" w:sz="4" w:space="0" w:color="auto"/>
              <w:right w:val="single" w:sz="4" w:space="0" w:color="auto"/>
            </w:tcBorders>
            <w:shd w:val="clear" w:color="auto" w:fill="BDD7EE"/>
            <w:hideMark/>
          </w:tcPr>
          <w:p w14:paraId="5B96E43C" w14:textId="77777777" w:rsidR="00FA7C11" w:rsidRDefault="00D84965">
            <w:pPr>
              <w:pStyle w:val="P68B1DB1-Normal58"/>
              <w:spacing w:after="200" w:line="276" w:lineRule="auto"/>
              <w:jc w:val="center"/>
              <w:rPr>
                <w:rFonts w:eastAsia="Calibri"/>
                <w:noProof/>
              </w:rPr>
            </w:pPr>
            <w:r>
              <w:rPr>
                <w:noProof/>
              </w:rPr>
              <w:t>Unitate</w:t>
            </w:r>
          </w:p>
        </w:tc>
        <w:tc>
          <w:tcPr>
            <w:tcW w:w="775" w:type="dxa"/>
            <w:tcBorders>
              <w:top w:val="nil"/>
              <w:left w:val="nil"/>
              <w:bottom w:val="single" w:sz="4" w:space="0" w:color="auto"/>
              <w:right w:val="single" w:sz="4" w:space="0" w:color="auto"/>
            </w:tcBorders>
            <w:shd w:val="clear" w:color="auto" w:fill="BDD7EE"/>
            <w:hideMark/>
          </w:tcPr>
          <w:p w14:paraId="46BEBE98" w14:textId="77777777" w:rsidR="00FA7C11" w:rsidRDefault="00D84965">
            <w:pPr>
              <w:pStyle w:val="P68B1DB1-Normal58"/>
              <w:spacing w:after="200" w:line="276" w:lineRule="auto"/>
              <w:jc w:val="center"/>
              <w:rPr>
                <w:rFonts w:eastAsia="Calibri"/>
                <w:noProof/>
              </w:rPr>
            </w:pPr>
            <w:r>
              <w:rPr>
                <w:noProof/>
              </w:rPr>
              <w:t>Situația de referință</w:t>
            </w:r>
          </w:p>
        </w:tc>
        <w:tc>
          <w:tcPr>
            <w:tcW w:w="709" w:type="dxa"/>
            <w:tcBorders>
              <w:top w:val="nil"/>
              <w:left w:val="nil"/>
              <w:bottom w:val="single" w:sz="4" w:space="0" w:color="auto"/>
              <w:right w:val="single" w:sz="4" w:space="0" w:color="auto"/>
            </w:tcBorders>
            <w:shd w:val="clear" w:color="auto" w:fill="BDD7EE"/>
            <w:hideMark/>
          </w:tcPr>
          <w:p w14:paraId="1EA29D2B" w14:textId="77777777" w:rsidR="00FA7C11" w:rsidRDefault="00D84965">
            <w:pPr>
              <w:pStyle w:val="P68B1DB1-Normal58"/>
              <w:spacing w:after="200" w:line="276" w:lineRule="auto"/>
              <w:jc w:val="center"/>
              <w:rPr>
                <w:rFonts w:eastAsia="Calibri"/>
                <w:noProof/>
              </w:rPr>
            </w:pPr>
            <w:r>
              <w:rPr>
                <w:noProof/>
              </w:rPr>
              <w:t>Obiectiv</w:t>
            </w:r>
          </w:p>
        </w:tc>
        <w:tc>
          <w:tcPr>
            <w:tcW w:w="756" w:type="dxa"/>
            <w:tcBorders>
              <w:top w:val="nil"/>
              <w:left w:val="nil"/>
              <w:bottom w:val="single" w:sz="4" w:space="0" w:color="auto"/>
              <w:right w:val="single" w:sz="4" w:space="0" w:color="auto"/>
            </w:tcBorders>
            <w:shd w:val="clear" w:color="auto" w:fill="BDD7EE"/>
            <w:hideMark/>
          </w:tcPr>
          <w:p w14:paraId="5F744D31" w14:textId="77777777" w:rsidR="00FA7C11" w:rsidRDefault="00D84965">
            <w:pPr>
              <w:pStyle w:val="P68B1DB1-Normal58"/>
              <w:spacing w:after="200" w:line="276" w:lineRule="auto"/>
              <w:jc w:val="center"/>
              <w:rPr>
                <w:rFonts w:eastAsia="Calibri"/>
                <w:noProof/>
              </w:rPr>
            </w:pPr>
            <w:r>
              <w:rPr>
                <w:noProof/>
              </w:rPr>
              <w:t>Trimestru</w:t>
            </w:r>
          </w:p>
        </w:tc>
        <w:tc>
          <w:tcPr>
            <w:tcW w:w="567" w:type="dxa"/>
            <w:tcBorders>
              <w:top w:val="nil"/>
              <w:left w:val="nil"/>
              <w:bottom w:val="single" w:sz="4" w:space="0" w:color="auto"/>
              <w:right w:val="single" w:sz="4" w:space="0" w:color="auto"/>
            </w:tcBorders>
            <w:shd w:val="clear" w:color="auto" w:fill="BDD7EE"/>
            <w:hideMark/>
          </w:tcPr>
          <w:p w14:paraId="0BC23116" w14:textId="77777777" w:rsidR="00FA7C11" w:rsidRDefault="00D84965">
            <w:pPr>
              <w:pStyle w:val="P68B1DB1-Normal58"/>
              <w:spacing w:after="200" w:line="276" w:lineRule="auto"/>
              <w:jc w:val="center"/>
              <w:rPr>
                <w:rFonts w:eastAsia="Calibri"/>
                <w:noProof/>
              </w:rPr>
            </w:pPr>
            <w:r>
              <w:rPr>
                <w:noProof/>
              </w:rPr>
              <w:t>Anul</w:t>
            </w:r>
          </w:p>
        </w:tc>
        <w:tc>
          <w:tcPr>
            <w:tcW w:w="5577" w:type="dxa"/>
            <w:vMerge/>
            <w:tcBorders>
              <w:left w:val="single" w:sz="4" w:space="0" w:color="auto"/>
              <w:right w:val="single" w:sz="4" w:space="0" w:color="auto"/>
            </w:tcBorders>
            <w:hideMark/>
          </w:tcPr>
          <w:p w14:paraId="33E1DC21"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24B8812C"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317223E" w14:textId="77777777" w:rsidR="00FA7C11" w:rsidRDefault="00D84965">
            <w:pPr>
              <w:pStyle w:val="P68B1DB1-Normal66"/>
              <w:spacing w:after="0" w:line="276" w:lineRule="auto"/>
              <w:jc w:val="center"/>
              <w:rPr>
                <w:noProof/>
              </w:rPr>
            </w:pPr>
            <w:r>
              <w:rPr>
                <w:noProof/>
              </w:rPr>
              <w:t>36</w:t>
            </w:r>
          </w:p>
        </w:tc>
        <w:tc>
          <w:tcPr>
            <w:tcW w:w="1077" w:type="dxa"/>
            <w:tcBorders>
              <w:top w:val="single" w:sz="4" w:space="0" w:color="auto"/>
              <w:left w:val="nil"/>
              <w:bottom w:val="single" w:sz="4" w:space="0" w:color="auto"/>
              <w:right w:val="single" w:sz="4" w:space="0" w:color="auto"/>
            </w:tcBorders>
            <w:shd w:val="clear" w:color="auto" w:fill="C6EFCE"/>
            <w:noWrap/>
          </w:tcPr>
          <w:p w14:paraId="19897479" w14:textId="77777777" w:rsidR="00FA7C11" w:rsidRDefault="00D84965">
            <w:pPr>
              <w:pStyle w:val="P68B1DB1-Normal66"/>
              <w:spacing w:after="200" w:line="276" w:lineRule="auto"/>
              <w:jc w:val="center"/>
              <w:rPr>
                <w:noProof/>
              </w:rPr>
            </w:pPr>
            <w:r>
              <w:rPr>
                <w:noProof/>
              </w:rPr>
              <w:t>C1.2. R1</w:t>
            </w:r>
          </w:p>
        </w:tc>
        <w:tc>
          <w:tcPr>
            <w:tcW w:w="1030" w:type="dxa"/>
            <w:tcBorders>
              <w:top w:val="single" w:sz="4" w:space="0" w:color="auto"/>
              <w:left w:val="nil"/>
              <w:bottom w:val="single" w:sz="4" w:space="0" w:color="auto"/>
              <w:right w:val="single" w:sz="4" w:space="0" w:color="auto"/>
            </w:tcBorders>
            <w:shd w:val="clear" w:color="auto" w:fill="C6EFCE"/>
            <w:noWrap/>
          </w:tcPr>
          <w:p w14:paraId="49461887" w14:textId="77777777" w:rsidR="00FA7C11" w:rsidRDefault="00D84965">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2127D354" w14:textId="77777777" w:rsidR="00FA7C11" w:rsidRDefault="00D84965">
            <w:pPr>
              <w:pStyle w:val="P68B1DB1-Normal66"/>
              <w:spacing w:after="200" w:line="276" w:lineRule="auto"/>
              <w:rPr>
                <w:noProof/>
              </w:rPr>
            </w:pPr>
            <w:r>
              <w:rPr>
                <w:noProof/>
              </w:rPr>
              <w:t>Publicarea unui document de evaluare cu recomandări pentru reducerea barierelor și a procedurilor administrative care limitează utilizarea pe scară mai largă a surselor regenerabile de energie</w:t>
            </w:r>
          </w:p>
        </w:tc>
        <w:tc>
          <w:tcPr>
            <w:tcW w:w="2017" w:type="dxa"/>
            <w:tcBorders>
              <w:top w:val="single" w:sz="4" w:space="0" w:color="auto"/>
              <w:left w:val="nil"/>
              <w:bottom w:val="single" w:sz="4" w:space="0" w:color="auto"/>
              <w:right w:val="single" w:sz="4" w:space="0" w:color="auto"/>
            </w:tcBorders>
            <w:shd w:val="clear" w:color="auto" w:fill="C6EFCE"/>
            <w:noWrap/>
          </w:tcPr>
          <w:p w14:paraId="0FE300A8" w14:textId="77777777" w:rsidR="00FA7C11" w:rsidRDefault="00D84965">
            <w:pPr>
              <w:pStyle w:val="P68B1DB1-Normal66"/>
              <w:spacing w:after="200" w:line="276" w:lineRule="auto"/>
              <w:rPr>
                <w:noProof/>
              </w:rPr>
            </w:pPr>
            <w:r>
              <w:rPr>
                <w:noProof/>
              </w:rPr>
              <w:t xml:space="preserve">Publicarea unui document de evaluare de către Ministerul Economiei și Dezvoltării Durabile </w:t>
            </w:r>
          </w:p>
        </w:tc>
        <w:tc>
          <w:tcPr>
            <w:tcW w:w="725" w:type="dxa"/>
            <w:tcBorders>
              <w:top w:val="single" w:sz="4" w:space="0" w:color="auto"/>
              <w:left w:val="nil"/>
              <w:bottom w:val="single" w:sz="4" w:space="0" w:color="auto"/>
              <w:right w:val="single" w:sz="4" w:space="0" w:color="auto"/>
            </w:tcBorders>
            <w:shd w:val="clear" w:color="auto" w:fill="C6EFCE"/>
            <w:noWrap/>
          </w:tcPr>
          <w:p w14:paraId="129CD6EB" w14:textId="77777777" w:rsidR="00FA7C11" w:rsidRDefault="00D84965">
            <w:pPr>
              <w:pStyle w:val="P68B1DB1-Normal66"/>
              <w:spacing w:after="200" w:line="276" w:lineRule="auto"/>
              <w:jc w:val="center"/>
              <w:rPr>
                <w:noProof/>
              </w:rPr>
            </w:pPr>
            <w:r>
              <w:rPr>
                <w:noProof/>
              </w:rPr>
              <w:t> </w:t>
            </w:r>
          </w:p>
        </w:tc>
        <w:tc>
          <w:tcPr>
            <w:tcW w:w="775" w:type="dxa"/>
            <w:tcBorders>
              <w:top w:val="nil"/>
              <w:left w:val="nil"/>
              <w:bottom w:val="single" w:sz="4" w:space="0" w:color="auto"/>
              <w:right w:val="single" w:sz="4" w:space="0" w:color="auto"/>
            </w:tcBorders>
            <w:shd w:val="clear" w:color="auto" w:fill="C6EFCE"/>
            <w:noWrap/>
          </w:tcPr>
          <w:p w14:paraId="25EDBD74" w14:textId="77777777" w:rsidR="00FA7C11" w:rsidRDefault="00D84965">
            <w:pPr>
              <w:pStyle w:val="P68B1DB1-Normal66"/>
              <w:spacing w:after="200" w:line="276" w:lineRule="auto"/>
              <w:jc w:val="center"/>
              <w:rPr>
                <w:noProof/>
              </w:rPr>
            </w:pPr>
            <w:r>
              <w:rPr>
                <w:noProof/>
              </w:rPr>
              <w:t> </w:t>
            </w:r>
          </w:p>
        </w:tc>
        <w:tc>
          <w:tcPr>
            <w:tcW w:w="709" w:type="dxa"/>
            <w:tcBorders>
              <w:top w:val="nil"/>
              <w:left w:val="nil"/>
              <w:bottom w:val="single" w:sz="4" w:space="0" w:color="auto"/>
              <w:right w:val="single" w:sz="4" w:space="0" w:color="auto"/>
            </w:tcBorders>
            <w:shd w:val="clear" w:color="auto" w:fill="C6EFCE"/>
            <w:noWrap/>
          </w:tcPr>
          <w:p w14:paraId="2C89DAF1" w14:textId="77777777" w:rsidR="00FA7C11" w:rsidRDefault="00D84965">
            <w:pPr>
              <w:pStyle w:val="P68B1DB1-Normal66"/>
              <w:spacing w:after="200"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3FA1142F" w14:textId="77777777" w:rsidR="00FA7C11" w:rsidRDefault="00D84965">
            <w:pPr>
              <w:pStyle w:val="P68B1DB1-Normal66"/>
              <w:spacing w:after="200" w:line="276" w:lineRule="auto"/>
              <w:jc w:val="center"/>
              <w:rPr>
                <w:noProof/>
              </w:rPr>
            </w:pPr>
            <w:r>
              <w:rPr>
                <w:noProof/>
              </w:rPr>
              <w:t>Î2</w:t>
            </w:r>
          </w:p>
        </w:tc>
        <w:tc>
          <w:tcPr>
            <w:tcW w:w="567" w:type="dxa"/>
            <w:tcBorders>
              <w:top w:val="nil"/>
              <w:left w:val="nil"/>
              <w:bottom w:val="single" w:sz="4" w:space="0" w:color="auto"/>
              <w:right w:val="single" w:sz="4" w:space="0" w:color="auto"/>
            </w:tcBorders>
            <w:shd w:val="clear" w:color="auto" w:fill="C6EFCE"/>
            <w:noWrap/>
          </w:tcPr>
          <w:p w14:paraId="2190379A" w14:textId="77777777" w:rsidR="00FA7C11" w:rsidRDefault="00D84965">
            <w:pPr>
              <w:pStyle w:val="P68B1DB1-Normal66"/>
              <w:spacing w:after="200" w:line="276" w:lineRule="auto"/>
              <w:jc w:val="center"/>
              <w:rPr>
                <w:noProof/>
              </w:rPr>
            </w:pPr>
            <w:r>
              <w:rPr>
                <w:noProof/>
              </w:rPr>
              <w:t>2022</w:t>
            </w:r>
          </w:p>
        </w:tc>
        <w:tc>
          <w:tcPr>
            <w:tcW w:w="5577" w:type="dxa"/>
            <w:tcBorders>
              <w:top w:val="single" w:sz="4" w:space="0" w:color="auto"/>
              <w:left w:val="nil"/>
              <w:bottom w:val="single" w:sz="4" w:space="0" w:color="auto"/>
              <w:right w:val="single" w:sz="4" w:space="0" w:color="auto"/>
            </w:tcBorders>
            <w:shd w:val="clear" w:color="auto" w:fill="C6EFCE"/>
            <w:noWrap/>
          </w:tcPr>
          <w:p w14:paraId="34B1D155" w14:textId="77777777" w:rsidR="00FA7C11" w:rsidRDefault="00D84965">
            <w:pPr>
              <w:pStyle w:val="P68B1DB1-Normal66"/>
              <w:spacing w:after="200" w:line="276" w:lineRule="auto"/>
              <w:rPr>
                <w:noProof/>
              </w:rPr>
            </w:pPr>
            <w:r>
              <w:rPr>
                <w:noProof/>
              </w:rPr>
              <w:t xml:space="preserve">Documentul furnizează o evaluare și recomandări privind măsurile de politică menite să reducă barierele și procedurile administrative care limitează utilizarea pe scară mai largă a surselor regenerabile de energie. Analiza și recomandările includ, de asemenea, măsuri de promovare a autoconsumului de energie din surse regenerabile și a comunităților de energie din surse regenerabile. </w:t>
            </w:r>
          </w:p>
        </w:tc>
      </w:tr>
      <w:tr w:rsidR="00FA7C11" w14:paraId="0E3C67A3" w14:textId="77777777">
        <w:trPr>
          <w:jc w:val="center"/>
        </w:trPr>
        <w:tc>
          <w:tcPr>
            <w:tcW w:w="768" w:type="dxa"/>
            <w:tcBorders>
              <w:top w:val="nil"/>
              <w:left w:val="single" w:sz="4" w:space="0" w:color="auto"/>
              <w:bottom w:val="single" w:sz="4" w:space="0" w:color="auto"/>
              <w:right w:val="single" w:sz="4" w:space="0" w:color="auto"/>
            </w:tcBorders>
            <w:shd w:val="clear" w:color="auto" w:fill="C6EFCE"/>
            <w:noWrap/>
          </w:tcPr>
          <w:p w14:paraId="55403FE9" w14:textId="77777777" w:rsidR="00FA7C11" w:rsidRDefault="00D84965">
            <w:pPr>
              <w:pStyle w:val="P68B1DB1-Normal66"/>
              <w:spacing w:after="200" w:line="276" w:lineRule="auto"/>
              <w:jc w:val="center"/>
              <w:rPr>
                <w:noProof/>
              </w:rPr>
            </w:pPr>
            <w:r>
              <w:rPr>
                <w:noProof/>
              </w:rPr>
              <w:t>37</w:t>
            </w:r>
          </w:p>
        </w:tc>
        <w:tc>
          <w:tcPr>
            <w:tcW w:w="1077" w:type="dxa"/>
            <w:tcBorders>
              <w:top w:val="nil"/>
              <w:left w:val="nil"/>
              <w:bottom w:val="single" w:sz="4" w:space="0" w:color="auto"/>
              <w:right w:val="single" w:sz="4" w:space="0" w:color="auto"/>
            </w:tcBorders>
            <w:shd w:val="clear" w:color="auto" w:fill="C6EFCE"/>
            <w:noWrap/>
          </w:tcPr>
          <w:p w14:paraId="1CE0C010" w14:textId="77777777" w:rsidR="00FA7C11" w:rsidRDefault="00D84965">
            <w:pPr>
              <w:pStyle w:val="P68B1DB1-Normal66"/>
              <w:spacing w:after="200" w:line="276" w:lineRule="auto"/>
              <w:jc w:val="center"/>
              <w:rPr>
                <w:noProof/>
              </w:rPr>
            </w:pPr>
            <w:r>
              <w:rPr>
                <w:noProof/>
              </w:rPr>
              <w:t>C1.2. R1</w:t>
            </w:r>
          </w:p>
        </w:tc>
        <w:tc>
          <w:tcPr>
            <w:tcW w:w="1030" w:type="dxa"/>
            <w:tcBorders>
              <w:top w:val="nil"/>
              <w:left w:val="nil"/>
              <w:bottom w:val="single" w:sz="4" w:space="0" w:color="auto"/>
              <w:right w:val="single" w:sz="4" w:space="0" w:color="auto"/>
            </w:tcBorders>
            <w:shd w:val="clear" w:color="auto" w:fill="C6EFCE"/>
            <w:noWrap/>
          </w:tcPr>
          <w:p w14:paraId="7534E74C" w14:textId="77777777" w:rsidR="00FA7C11" w:rsidRDefault="00D84965">
            <w:pPr>
              <w:pStyle w:val="P68B1DB1-Normal66"/>
              <w:spacing w:after="200" w:line="276" w:lineRule="auto"/>
              <w:jc w:val="center"/>
              <w:rPr>
                <w:noProof/>
              </w:rPr>
            </w:pPr>
            <w:r>
              <w:rPr>
                <w:noProof/>
              </w:rPr>
              <w:t>M</w:t>
            </w:r>
          </w:p>
        </w:tc>
        <w:tc>
          <w:tcPr>
            <w:tcW w:w="1825" w:type="dxa"/>
            <w:tcBorders>
              <w:top w:val="nil"/>
              <w:left w:val="nil"/>
              <w:bottom w:val="single" w:sz="4" w:space="0" w:color="auto"/>
              <w:right w:val="single" w:sz="4" w:space="0" w:color="auto"/>
            </w:tcBorders>
            <w:shd w:val="clear" w:color="auto" w:fill="C6EFCE"/>
            <w:noWrap/>
          </w:tcPr>
          <w:p w14:paraId="099A4560" w14:textId="77777777" w:rsidR="00FA7C11" w:rsidRDefault="00D84965">
            <w:pPr>
              <w:pStyle w:val="P68B1DB1-Normal66"/>
              <w:spacing w:after="200" w:line="276" w:lineRule="auto"/>
              <w:rPr>
                <w:noProof/>
              </w:rPr>
            </w:pPr>
            <w:r>
              <w:rPr>
                <w:noProof/>
              </w:rPr>
              <w:t>Intrarea în vigoare a legislației și/sau a reglementărilor menite să îmbunătățească utilizarea surselor regenerabile de energie, inclusiv introducerea unui sistem bazat pe prime pentru sprijinirea surselor regenerabile de energie.</w:t>
            </w:r>
          </w:p>
        </w:tc>
        <w:tc>
          <w:tcPr>
            <w:tcW w:w="2017" w:type="dxa"/>
            <w:tcBorders>
              <w:top w:val="nil"/>
              <w:left w:val="nil"/>
              <w:bottom w:val="single" w:sz="4" w:space="0" w:color="auto"/>
              <w:right w:val="single" w:sz="4" w:space="0" w:color="auto"/>
            </w:tcBorders>
            <w:shd w:val="clear" w:color="auto" w:fill="C6EFCE"/>
            <w:noWrap/>
          </w:tcPr>
          <w:p w14:paraId="7E64239A" w14:textId="77777777" w:rsidR="00FA7C11" w:rsidRDefault="00D84965">
            <w:pPr>
              <w:pStyle w:val="P68B1DB1-Normal66"/>
              <w:spacing w:after="200" w:line="276" w:lineRule="auto"/>
              <w:rPr>
                <w:noProof/>
              </w:rPr>
            </w:pPr>
            <w:r>
              <w:rPr>
                <w:noProof/>
              </w:rPr>
              <w:t xml:space="preserve">Intrarea în vigoare a legislației și/sau a regulamentului </w:t>
            </w:r>
          </w:p>
        </w:tc>
        <w:tc>
          <w:tcPr>
            <w:tcW w:w="725" w:type="dxa"/>
            <w:tcBorders>
              <w:top w:val="nil"/>
              <w:left w:val="nil"/>
              <w:bottom w:val="single" w:sz="4" w:space="0" w:color="auto"/>
              <w:right w:val="single" w:sz="4" w:space="0" w:color="auto"/>
            </w:tcBorders>
            <w:shd w:val="clear" w:color="auto" w:fill="C6EFCE"/>
            <w:noWrap/>
          </w:tcPr>
          <w:p w14:paraId="62B6BFD5" w14:textId="77777777" w:rsidR="00FA7C11" w:rsidRDefault="00D84965">
            <w:pPr>
              <w:pStyle w:val="P68B1DB1-Normal66"/>
              <w:spacing w:after="200" w:line="276" w:lineRule="auto"/>
              <w:jc w:val="center"/>
              <w:rPr>
                <w:noProof/>
              </w:rPr>
            </w:pPr>
            <w:r>
              <w:rPr>
                <w:noProof/>
              </w:rPr>
              <w:t> </w:t>
            </w:r>
          </w:p>
        </w:tc>
        <w:tc>
          <w:tcPr>
            <w:tcW w:w="775" w:type="dxa"/>
            <w:tcBorders>
              <w:top w:val="nil"/>
              <w:left w:val="nil"/>
              <w:bottom w:val="single" w:sz="4" w:space="0" w:color="auto"/>
              <w:right w:val="single" w:sz="4" w:space="0" w:color="auto"/>
            </w:tcBorders>
            <w:shd w:val="clear" w:color="auto" w:fill="C6EFCE"/>
            <w:noWrap/>
          </w:tcPr>
          <w:p w14:paraId="17EA3602" w14:textId="77777777" w:rsidR="00FA7C11" w:rsidRDefault="00D84965">
            <w:pPr>
              <w:pStyle w:val="P68B1DB1-Normal66"/>
              <w:spacing w:after="200" w:line="276" w:lineRule="auto"/>
              <w:jc w:val="center"/>
              <w:rPr>
                <w:noProof/>
              </w:rPr>
            </w:pPr>
            <w:r>
              <w:rPr>
                <w:noProof/>
              </w:rPr>
              <w:t> </w:t>
            </w:r>
          </w:p>
        </w:tc>
        <w:tc>
          <w:tcPr>
            <w:tcW w:w="709" w:type="dxa"/>
            <w:tcBorders>
              <w:top w:val="nil"/>
              <w:left w:val="nil"/>
              <w:bottom w:val="single" w:sz="4" w:space="0" w:color="auto"/>
              <w:right w:val="single" w:sz="4" w:space="0" w:color="auto"/>
            </w:tcBorders>
            <w:shd w:val="clear" w:color="auto" w:fill="C6EFCE"/>
            <w:noWrap/>
          </w:tcPr>
          <w:p w14:paraId="0F26A639" w14:textId="77777777" w:rsidR="00FA7C11" w:rsidRDefault="00D84965">
            <w:pPr>
              <w:pStyle w:val="P68B1DB1-Normal66"/>
              <w:spacing w:after="200"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58C394B9" w14:textId="77777777" w:rsidR="00FA7C11" w:rsidRDefault="00D84965">
            <w:pPr>
              <w:pStyle w:val="P68B1DB1-Normal66"/>
              <w:spacing w:after="200" w:line="276" w:lineRule="auto"/>
              <w:jc w:val="center"/>
              <w:rPr>
                <w:noProof/>
              </w:rPr>
            </w:pPr>
            <w:r>
              <w:rPr>
                <w:noProof/>
              </w:rPr>
              <w:t>Î4</w:t>
            </w:r>
          </w:p>
        </w:tc>
        <w:tc>
          <w:tcPr>
            <w:tcW w:w="567" w:type="dxa"/>
            <w:tcBorders>
              <w:top w:val="nil"/>
              <w:left w:val="nil"/>
              <w:bottom w:val="single" w:sz="4" w:space="0" w:color="auto"/>
              <w:right w:val="single" w:sz="4" w:space="0" w:color="auto"/>
            </w:tcBorders>
            <w:shd w:val="clear" w:color="auto" w:fill="C6EFCE"/>
            <w:noWrap/>
          </w:tcPr>
          <w:p w14:paraId="622D6A00" w14:textId="77777777" w:rsidR="00FA7C11" w:rsidRDefault="00D84965">
            <w:pPr>
              <w:pStyle w:val="P68B1DB1-Normal66"/>
              <w:spacing w:after="200" w:line="276" w:lineRule="auto"/>
              <w:jc w:val="center"/>
              <w:rPr>
                <w:noProof/>
              </w:rPr>
            </w:pPr>
            <w:r>
              <w:rPr>
                <w:noProof/>
              </w:rPr>
              <w:t>2022</w:t>
            </w:r>
          </w:p>
        </w:tc>
        <w:tc>
          <w:tcPr>
            <w:tcW w:w="5577" w:type="dxa"/>
            <w:tcBorders>
              <w:top w:val="nil"/>
              <w:left w:val="nil"/>
              <w:bottom w:val="single" w:sz="4" w:space="0" w:color="auto"/>
              <w:right w:val="single" w:sz="4" w:space="0" w:color="auto"/>
            </w:tcBorders>
            <w:shd w:val="clear" w:color="auto" w:fill="C6EFCE"/>
            <w:noWrap/>
          </w:tcPr>
          <w:p w14:paraId="03487851" w14:textId="77777777" w:rsidR="00FA7C11" w:rsidRDefault="00D84965">
            <w:pPr>
              <w:pStyle w:val="P68B1DB1-Normal66"/>
              <w:spacing w:after="200" w:line="276" w:lineRule="auto"/>
              <w:rPr>
                <w:noProof/>
              </w:rPr>
            </w:pPr>
            <w:r>
              <w:rPr>
                <w:noProof/>
              </w:rPr>
              <w:t>Legea revizuită privind piața energiei electrice și Legea privind cogenerarea de înaltă eficiență reduc barierele și procedurile administrative care limitează utilizarea pe scară mai largă a surselor regenerabile de energie, inclusiv măsurile de promovare a autoconsumului de energie din surse regenerabile și a comunităților de energie din surse regenerabile. Sistemul bazat pe prime pentru sprijinirea surselor regenerabile de energie va fi pe deplin operațional.</w:t>
            </w:r>
          </w:p>
        </w:tc>
      </w:tr>
      <w:tr w:rsidR="00FA7C11" w14:paraId="5025887D"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E609223" w14:textId="77777777" w:rsidR="00FA7C11" w:rsidRDefault="00D84965">
            <w:pPr>
              <w:pStyle w:val="P68B1DB1-Normal66"/>
              <w:spacing w:after="200" w:line="276" w:lineRule="auto"/>
              <w:jc w:val="center"/>
              <w:rPr>
                <w:noProof/>
              </w:rPr>
            </w:pPr>
            <w:r>
              <w:rPr>
                <w:noProof/>
              </w:rPr>
              <w:t>38</w:t>
            </w:r>
          </w:p>
        </w:tc>
        <w:tc>
          <w:tcPr>
            <w:tcW w:w="1077" w:type="dxa"/>
            <w:tcBorders>
              <w:top w:val="single" w:sz="4" w:space="0" w:color="auto"/>
              <w:left w:val="nil"/>
              <w:bottom w:val="single" w:sz="4" w:space="0" w:color="auto"/>
              <w:right w:val="single" w:sz="4" w:space="0" w:color="auto"/>
            </w:tcBorders>
            <w:shd w:val="clear" w:color="auto" w:fill="C6EFCE"/>
            <w:noWrap/>
          </w:tcPr>
          <w:p w14:paraId="19D322DB" w14:textId="77777777" w:rsidR="00FA7C11" w:rsidRDefault="00D84965">
            <w:pPr>
              <w:pStyle w:val="P68B1DB1-Normal66"/>
              <w:spacing w:after="200" w:line="276" w:lineRule="auto"/>
              <w:jc w:val="center"/>
              <w:rPr>
                <w:noProof/>
              </w:rPr>
            </w:pPr>
            <w:r>
              <w:rPr>
                <w:noProof/>
              </w:rPr>
              <w:t>C1.2. R1</w:t>
            </w:r>
          </w:p>
        </w:tc>
        <w:tc>
          <w:tcPr>
            <w:tcW w:w="1030" w:type="dxa"/>
            <w:tcBorders>
              <w:top w:val="single" w:sz="4" w:space="0" w:color="auto"/>
              <w:left w:val="nil"/>
              <w:bottom w:val="single" w:sz="4" w:space="0" w:color="auto"/>
              <w:right w:val="single" w:sz="4" w:space="0" w:color="auto"/>
            </w:tcBorders>
            <w:shd w:val="clear" w:color="auto" w:fill="C6EFCE"/>
            <w:noWrap/>
          </w:tcPr>
          <w:p w14:paraId="53ECF2BD" w14:textId="77777777" w:rsidR="00FA7C11" w:rsidRDefault="00D84965">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44292BEE" w14:textId="77777777" w:rsidR="00FA7C11" w:rsidRDefault="00D84965">
            <w:pPr>
              <w:pStyle w:val="P68B1DB1-Normal66"/>
              <w:spacing w:after="200" w:line="276" w:lineRule="auto"/>
              <w:rPr>
                <w:noProof/>
              </w:rPr>
            </w:pPr>
            <w:r>
              <w:rPr>
                <w:noProof/>
              </w:rPr>
              <w:t>Certificarea Plinacro de către autoritatea națională croată de reglementare în domeniul energiei (HERA)</w:t>
            </w:r>
          </w:p>
        </w:tc>
        <w:tc>
          <w:tcPr>
            <w:tcW w:w="2017" w:type="dxa"/>
            <w:tcBorders>
              <w:top w:val="single" w:sz="4" w:space="0" w:color="auto"/>
              <w:left w:val="nil"/>
              <w:bottom w:val="single" w:sz="4" w:space="0" w:color="auto"/>
              <w:right w:val="single" w:sz="4" w:space="0" w:color="auto"/>
            </w:tcBorders>
            <w:shd w:val="clear" w:color="auto" w:fill="C6EFCE"/>
            <w:noWrap/>
          </w:tcPr>
          <w:p w14:paraId="7A87192E" w14:textId="77777777" w:rsidR="00FA7C11" w:rsidRDefault="00D84965">
            <w:pPr>
              <w:pStyle w:val="P68B1DB1-Normal66"/>
              <w:spacing w:after="200" w:line="276" w:lineRule="auto"/>
              <w:rPr>
                <w:noProof/>
              </w:rPr>
            </w:pPr>
            <w:r>
              <w:rPr>
                <w:noProof/>
              </w:rPr>
              <w:t xml:space="preserve">Decizia privind eliberarea unui certificat adoptată de autoritatea națională croată de reglementare în domeniul energiei (HERA) </w:t>
            </w:r>
          </w:p>
        </w:tc>
        <w:tc>
          <w:tcPr>
            <w:tcW w:w="725" w:type="dxa"/>
            <w:tcBorders>
              <w:top w:val="single" w:sz="4" w:space="0" w:color="auto"/>
              <w:left w:val="nil"/>
              <w:bottom w:val="single" w:sz="4" w:space="0" w:color="auto"/>
              <w:right w:val="single" w:sz="4" w:space="0" w:color="auto"/>
            </w:tcBorders>
            <w:shd w:val="clear" w:color="auto" w:fill="C6EFCE"/>
            <w:noWrap/>
          </w:tcPr>
          <w:p w14:paraId="2BDE041B" w14:textId="77777777" w:rsidR="00FA7C11" w:rsidRDefault="00D84965">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7F50462A"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45A0A89A"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3F70F2CA" w14:textId="77777777" w:rsidR="00FA7C11" w:rsidRDefault="00D84965">
            <w:pPr>
              <w:pStyle w:val="P68B1DB1-Normal66"/>
              <w:spacing w:after="200" w:line="276" w:lineRule="auto"/>
              <w:jc w:val="center"/>
              <w:rPr>
                <w:noProof/>
              </w:rPr>
            </w:pPr>
            <w:r>
              <w:rPr>
                <w:noProof/>
              </w:rPr>
              <w:t>Î4</w:t>
            </w:r>
          </w:p>
        </w:tc>
        <w:tc>
          <w:tcPr>
            <w:tcW w:w="567" w:type="dxa"/>
            <w:tcBorders>
              <w:top w:val="single" w:sz="4" w:space="0" w:color="auto"/>
              <w:left w:val="nil"/>
              <w:bottom w:val="single" w:sz="4" w:space="0" w:color="auto"/>
              <w:right w:val="single" w:sz="4" w:space="0" w:color="auto"/>
            </w:tcBorders>
            <w:shd w:val="clear" w:color="auto" w:fill="C6EFCE"/>
            <w:noWrap/>
          </w:tcPr>
          <w:p w14:paraId="6B1EF6DD" w14:textId="77777777" w:rsidR="00FA7C11" w:rsidRDefault="00D84965">
            <w:pPr>
              <w:pStyle w:val="P68B1DB1-Normal66"/>
              <w:spacing w:after="200" w:line="276" w:lineRule="auto"/>
              <w:jc w:val="center"/>
              <w:rPr>
                <w:noProof/>
              </w:rPr>
            </w:pPr>
            <w:r>
              <w:rPr>
                <w:noProof/>
              </w:rPr>
              <w:t>2023</w:t>
            </w:r>
          </w:p>
        </w:tc>
        <w:tc>
          <w:tcPr>
            <w:tcW w:w="5577" w:type="dxa"/>
            <w:tcBorders>
              <w:top w:val="single" w:sz="4" w:space="0" w:color="auto"/>
              <w:left w:val="nil"/>
              <w:bottom w:val="single" w:sz="4" w:space="0" w:color="auto"/>
              <w:right w:val="single" w:sz="4" w:space="0" w:color="auto"/>
            </w:tcBorders>
            <w:shd w:val="clear" w:color="auto" w:fill="C6EFCE"/>
            <w:noWrap/>
          </w:tcPr>
          <w:p w14:paraId="1DF16111" w14:textId="77777777" w:rsidR="00FA7C11" w:rsidRDefault="00D84965">
            <w:pPr>
              <w:pStyle w:val="P68B1DB1-Normal66"/>
              <w:spacing w:after="200" w:line="276" w:lineRule="auto"/>
              <w:rPr>
                <w:noProof/>
              </w:rPr>
            </w:pPr>
            <w:r>
              <w:rPr>
                <w:noProof/>
              </w:rPr>
              <w:t>Separarea deplină a conducerii operatorului de sistem de transport al gazelor (Plinacro) de activitățile de furnizare și producție ale statului și certificarea acesteia de către autoritatea națională croată de reglementare în domeniul energiei (HERA).</w:t>
            </w:r>
          </w:p>
        </w:tc>
      </w:tr>
      <w:tr w:rsidR="00FA7C11" w14:paraId="146E859A"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AF20FE8" w14:textId="77777777" w:rsidR="00FA7C11" w:rsidRDefault="00D84965">
            <w:pPr>
              <w:pStyle w:val="P68B1DB1-Normal66"/>
              <w:spacing w:after="200" w:line="276" w:lineRule="auto"/>
              <w:jc w:val="center"/>
              <w:rPr>
                <w:noProof/>
              </w:rPr>
            </w:pPr>
            <w:r>
              <w:rPr>
                <w:noProof/>
              </w:rPr>
              <w:t>39</w:t>
            </w:r>
          </w:p>
        </w:tc>
        <w:tc>
          <w:tcPr>
            <w:tcW w:w="1077" w:type="dxa"/>
            <w:tcBorders>
              <w:top w:val="single" w:sz="4" w:space="0" w:color="auto"/>
              <w:left w:val="nil"/>
              <w:bottom w:val="single" w:sz="4" w:space="0" w:color="auto"/>
              <w:right w:val="single" w:sz="4" w:space="0" w:color="auto"/>
            </w:tcBorders>
            <w:shd w:val="clear" w:color="auto" w:fill="C6EFCE"/>
            <w:noWrap/>
          </w:tcPr>
          <w:p w14:paraId="435911B8" w14:textId="77777777" w:rsidR="00FA7C11" w:rsidRDefault="00D84965">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4B09A2E6" w14:textId="77777777" w:rsidR="00FA7C11" w:rsidRDefault="00D84965">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4BBB3057" w14:textId="77777777" w:rsidR="00FA7C11" w:rsidRDefault="00D84965">
            <w:pPr>
              <w:pStyle w:val="P68B1DB1-Normal66"/>
              <w:spacing w:after="200" w:line="276" w:lineRule="auto"/>
              <w:rPr>
                <w:noProof/>
              </w:rPr>
            </w:pPr>
            <w:r>
              <w:rPr>
                <w:noProof/>
              </w:rPr>
              <w:t>Autorizație de construcție acordată pentru modernizarea rețelei de înaltă tensiune</w:t>
            </w:r>
          </w:p>
        </w:tc>
        <w:tc>
          <w:tcPr>
            <w:tcW w:w="2017" w:type="dxa"/>
            <w:tcBorders>
              <w:top w:val="single" w:sz="4" w:space="0" w:color="auto"/>
              <w:left w:val="nil"/>
              <w:bottom w:val="single" w:sz="4" w:space="0" w:color="auto"/>
              <w:right w:val="single" w:sz="4" w:space="0" w:color="auto"/>
            </w:tcBorders>
            <w:shd w:val="clear" w:color="auto" w:fill="C6EFCE"/>
            <w:noWrap/>
          </w:tcPr>
          <w:p w14:paraId="673A4AD3" w14:textId="77777777" w:rsidR="00FA7C11" w:rsidRDefault="00D84965">
            <w:pPr>
              <w:pStyle w:val="P68B1DB1-Normal66"/>
              <w:spacing w:after="200" w:line="276" w:lineRule="auto"/>
              <w:rPr>
                <w:noProof/>
              </w:rPr>
            </w:pPr>
            <w:r>
              <w:rPr>
                <w:noProof/>
              </w:rPr>
              <w:t>Autorizație de construcție acordată de Ministerul Amenajării Teritoriale, Construcțiilor și Activelor Statului</w:t>
            </w:r>
          </w:p>
        </w:tc>
        <w:tc>
          <w:tcPr>
            <w:tcW w:w="725" w:type="dxa"/>
            <w:tcBorders>
              <w:top w:val="single" w:sz="4" w:space="0" w:color="auto"/>
              <w:left w:val="nil"/>
              <w:bottom w:val="single" w:sz="4" w:space="0" w:color="auto"/>
              <w:right w:val="single" w:sz="4" w:space="0" w:color="auto"/>
            </w:tcBorders>
            <w:shd w:val="clear" w:color="auto" w:fill="C6EFCE"/>
            <w:noWrap/>
          </w:tcPr>
          <w:p w14:paraId="42557CF5" w14:textId="77777777" w:rsidR="00FA7C11" w:rsidRDefault="00D84965">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64A7A9F4"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0F2FE583"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3B848D56" w14:textId="77777777" w:rsidR="00FA7C11" w:rsidRDefault="00D84965">
            <w:pPr>
              <w:pStyle w:val="P68B1DB1-Normal66"/>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672EDF4D" w14:textId="77777777" w:rsidR="00FA7C11" w:rsidRDefault="00D84965">
            <w:pPr>
              <w:pStyle w:val="P68B1DB1-Normal66"/>
              <w:spacing w:after="200" w:line="276" w:lineRule="auto"/>
              <w:jc w:val="center"/>
              <w:rPr>
                <w:noProof/>
              </w:rPr>
            </w:pPr>
            <w:r>
              <w:rPr>
                <w:noProof/>
              </w:rPr>
              <w:t>2023</w:t>
            </w:r>
          </w:p>
        </w:tc>
        <w:tc>
          <w:tcPr>
            <w:tcW w:w="5577" w:type="dxa"/>
            <w:tcBorders>
              <w:top w:val="single" w:sz="4" w:space="0" w:color="auto"/>
              <w:left w:val="nil"/>
              <w:bottom w:val="single" w:sz="4" w:space="0" w:color="auto"/>
              <w:right w:val="single" w:sz="4" w:space="0" w:color="auto"/>
            </w:tcBorders>
            <w:shd w:val="clear" w:color="auto" w:fill="C6EFCE"/>
            <w:noWrap/>
          </w:tcPr>
          <w:p w14:paraId="0C397C9F" w14:textId="77777777" w:rsidR="00FA7C11" w:rsidRDefault="00D84965">
            <w:pPr>
              <w:pStyle w:val="P68B1DB1-Normal66"/>
              <w:spacing w:after="200" w:line="276" w:lineRule="auto"/>
              <w:rPr>
                <w:noProof/>
              </w:rPr>
            </w:pPr>
            <w:r>
              <w:rPr>
                <w:noProof/>
              </w:rPr>
              <w:t xml:space="preserve">Autorizația de construcție acordată, în urma preevaluării și/sau a evaluării corespunzătoare în temeiul articolului 6 alineatul (3) din Directiva privind habitatele, efectuată în raport cu obiectivele de conservare specifice sitului, în conformitate cu cerințele directivei. Se furnizează dovezi că proiectul nu are un efect semnificativ asupra integrității siturilor Natura 2 000 în cauză. </w:t>
            </w:r>
          </w:p>
        </w:tc>
      </w:tr>
      <w:tr w:rsidR="00FA7C11" w14:paraId="22B9C6E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F08345E" w14:textId="77777777" w:rsidR="00FA7C11" w:rsidRDefault="00D84965">
            <w:pPr>
              <w:pStyle w:val="P68B1DB1-Normal66"/>
              <w:spacing w:after="200" w:line="276" w:lineRule="auto"/>
              <w:jc w:val="center"/>
              <w:rPr>
                <w:noProof/>
              </w:rPr>
            </w:pPr>
            <w:r>
              <w:rPr>
                <w:noProof/>
              </w:rPr>
              <w:t>40</w:t>
            </w:r>
          </w:p>
        </w:tc>
        <w:tc>
          <w:tcPr>
            <w:tcW w:w="1077" w:type="dxa"/>
            <w:tcBorders>
              <w:top w:val="single" w:sz="4" w:space="0" w:color="auto"/>
              <w:left w:val="nil"/>
              <w:bottom w:val="single" w:sz="4" w:space="0" w:color="auto"/>
              <w:right w:val="single" w:sz="4" w:space="0" w:color="auto"/>
            </w:tcBorders>
            <w:shd w:val="clear" w:color="auto" w:fill="C6EFCE"/>
            <w:noWrap/>
          </w:tcPr>
          <w:p w14:paraId="28CDE8AB" w14:textId="77777777" w:rsidR="00FA7C11" w:rsidRDefault="00D84965">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7E63BEF6" w14:textId="77777777" w:rsidR="00FA7C11" w:rsidRDefault="00D84965">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53A1D136" w14:textId="77777777" w:rsidR="00FA7C11" w:rsidRDefault="00D84965">
            <w:pPr>
              <w:pStyle w:val="P68B1DB1-Normal66"/>
              <w:spacing w:after="200" w:line="276" w:lineRule="auto"/>
              <w:rPr>
                <w:noProof/>
              </w:rPr>
            </w:pPr>
            <w:r>
              <w:rPr>
                <w:noProof/>
              </w:rPr>
              <w:t xml:space="preserve">Modernizarea cablurilor subterane care conectează 6 insule la rețeaua continentală a fost finalizată </w:t>
            </w:r>
          </w:p>
        </w:tc>
        <w:tc>
          <w:tcPr>
            <w:tcW w:w="2017" w:type="dxa"/>
            <w:tcBorders>
              <w:top w:val="single" w:sz="4" w:space="0" w:color="auto"/>
              <w:left w:val="nil"/>
              <w:bottom w:val="single" w:sz="4" w:space="0" w:color="auto"/>
              <w:right w:val="single" w:sz="4" w:space="0" w:color="auto"/>
            </w:tcBorders>
            <w:shd w:val="clear" w:color="auto" w:fill="C6EFCE"/>
            <w:noWrap/>
          </w:tcPr>
          <w:p w14:paraId="01E3E98D" w14:textId="77777777" w:rsidR="00FA7C11" w:rsidRDefault="00D84965">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1F836D0A" w14:textId="77777777" w:rsidR="00FA7C11" w:rsidRDefault="00D84965">
            <w:pPr>
              <w:pStyle w:val="P68B1DB1-Normal66"/>
              <w:spacing w:after="200" w:line="276" w:lineRule="auto"/>
              <w:jc w:val="center"/>
              <w:rPr>
                <w:noProof/>
              </w:rPr>
            </w:pPr>
            <w:r>
              <w:rPr>
                <w:noProof/>
              </w:rPr>
              <w:t>Număr</w:t>
            </w:r>
          </w:p>
        </w:tc>
        <w:tc>
          <w:tcPr>
            <w:tcW w:w="775" w:type="dxa"/>
            <w:tcBorders>
              <w:top w:val="single" w:sz="4" w:space="0" w:color="auto"/>
              <w:left w:val="nil"/>
              <w:bottom w:val="single" w:sz="4" w:space="0" w:color="auto"/>
              <w:right w:val="single" w:sz="4" w:space="0" w:color="auto"/>
            </w:tcBorders>
            <w:shd w:val="clear" w:color="auto" w:fill="C6EFCE"/>
            <w:noWrap/>
          </w:tcPr>
          <w:p w14:paraId="0FFACF90"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23F970E6" w14:textId="77777777" w:rsidR="00FA7C11" w:rsidRDefault="00D84965">
            <w:pPr>
              <w:pStyle w:val="P68B1DB1-Normal66"/>
              <w:spacing w:after="200" w:line="276" w:lineRule="auto"/>
              <w:jc w:val="center"/>
              <w:rPr>
                <w:noProof/>
              </w:rPr>
            </w:pPr>
            <w:r>
              <w:rPr>
                <w:noProof/>
              </w:rPr>
              <w:t>6</w:t>
            </w:r>
          </w:p>
        </w:tc>
        <w:tc>
          <w:tcPr>
            <w:tcW w:w="756" w:type="dxa"/>
            <w:tcBorders>
              <w:top w:val="single" w:sz="4" w:space="0" w:color="auto"/>
              <w:left w:val="nil"/>
              <w:bottom w:val="single" w:sz="4" w:space="0" w:color="auto"/>
              <w:right w:val="single" w:sz="4" w:space="0" w:color="auto"/>
            </w:tcBorders>
            <w:shd w:val="clear" w:color="auto" w:fill="C6EFCE"/>
            <w:noWrap/>
          </w:tcPr>
          <w:p w14:paraId="336CFA20" w14:textId="77777777" w:rsidR="00FA7C11" w:rsidRDefault="00D84965">
            <w:pPr>
              <w:pStyle w:val="P68B1DB1-Normal66"/>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76C47DE8" w14:textId="77777777" w:rsidR="00FA7C11" w:rsidRDefault="00D84965">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6B1F16C7" w14:textId="77777777" w:rsidR="00FA7C11" w:rsidRDefault="00D84965">
            <w:pPr>
              <w:pStyle w:val="P68B1DB1-Normal66"/>
              <w:spacing w:after="200" w:line="276" w:lineRule="auto"/>
              <w:rPr>
                <w:noProof/>
              </w:rPr>
            </w:pPr>
            <w:r>
              <w:rPr>
                <w:noProof/>
              </w:rPr>
              <w:t>Cel puțin șase insule trebuie să aibă o conexiune modernizată la rețeaua de energie electrică de pe continent (insulele planificate sunt Krk, Cres, Lošinj, Brač, Hvar și Korčula). Investiția va include înlocuirea vechilor cabluri submarine cu cabluri noi, ecologice.</w:t>
            </w:r>
          </w:p>
        </w:tc>
      </w:tr>
      <w:tr w:rsidR="00FA7C11" w14:paraId="5ACF79F4"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C107A70" w14:textId="77777777" w:rsidR="00FA7C11" w:rsidRDefault="00D84965">
            <w:pPr>
              <w:pStyle w:val="P68B1DB1-Normal66"/>
              <w:spacing w:after="200" w:line="276" w:lineRule="auto"/>
              <w:jc w:val="center"/>
              <w:rPr>
                <w:noProof/>
              </w:rPr>
            </w:pPr>
            <w:r>
              <w:rPr>
                <w:noProof/>
              </w:rPr>
              <w:t>41</w:t>
            </w:r>
          </w:p>
        </w:tc>
        <w:tc>
          <w:tcPr>
            <w:tcW w:w="1077" w:type="dxa"/>
            <w:tcBorders>
              <w:top w:val="single" w:sz="4" w:space="0" w:color="auto"/>
              <w:left w:val="nil"/>
              <w:bottom w:val="single" w:sz="4" w:space="0" w:color="auto"/>
              <w:right w:val="single" w:sz="4" w:space="0" w:color="auto"/>
            </w:tcBorders>
            <w:shd w:val="clear" w:color="auto" w:fill="C6EFCE"/>
            <w:noWrap/>
          </w:tcPr>
          <w:p w14:paraId="2F35F175" w14:textId="77777777" w:rsidR="00FA7C11" w:rsidRDefault="00D84965">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437CD604" w14:textId="77777777" w:rsidR="00FA7C11" w:rsidRDefault="00D84965">
            <w:pPr>
              <w:pStyle w:val="P68B1DB1-Normal66"/>
              <w:spacing w:after="200" w:line="276" w:lineRule="auto"/>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272B405B" w14:textId="77777777" w:rsidR="00FA7C11" w:rsidRDefault="00D84965">
            <w:pPr>
              <w:pStyle w:val="P68B1DB1-Normal66"/>
              <w:spacing w:after="200" w:line="276" w:lineRule="auto"/>
              <w:rPr>
                <w:noProof/>
              </w:rPr>
            </w:pPr>
            <w:r>
              <w:rPr>
                <w:noProof/>
              </w:rPr>
              <w:t xml:space="preserve">Finalizarea modernizării rețelei de înaltă tensiune (220/110 kV) </w:t>
            </w:r>
          </w:p>
        </w:tc>
        <w:tc>
          <w:tcPr>
            <w:tcW w:w="2017" w:type="dxa"/>
            <w:tcBorders>
              <w:top w:val="single" w:sz="4" w:space="0" w:color="auto"/>
              <w:left w:val="nil"/>
              <w:bottom w:val="single" w:sz="4" w:space="0" w:color="auto"/>
              <w:right w:val="single" w:sz="4" w:space="0" w:color="auto"/>
            </w:tcBorders>
            <w:shd w:val="clear" w:color="auto" w:fill="C6EFCE"/>
            <w:noWrap/>
          </w:tcPr>
          <w:p w14:paraId="4150A1EC" w14:textId="77777777" w:rsidR="00FA7C11" w:rsidRDefault="00D84965">
            <w:pPr>
              <w:pStyle w:val="P68B1DB1-Normal66"/>
              <w:spacing w:after="200" w:line="276" w:lineRule="auto"/>
              <w:rPr>
                <w:noProof/>
              </w:rPr>
            </w:pPr>
            <w:r>
              <w:rPr>
                <w:noProof/>
              </w:rPr>
              <w:t>Finalizarea modernizării rețelei de înaltă tensiune și de medie tensiune (220/110 kV)</w:t>
            </w:r>
          </w:p>
        </w:tc>
        <w:tc>
          <w:tcPr>
            <w:tcW w:w="725" w:type="dxa"/>
            <w:tcBorders>
              <w:top w:val="single" w:sz="4" w:space="0" w:color="auto"/>
              <w:left w:val="nil"/>
              <w:bottom w:val="single" w:sz="4" w:space="0" w:color="auto"/>
              <w:right w:val="single" w:sz="4" w:space="0" w:color="auto"/>
            </w:tcBorders>
            <w:shd w:val="clear" w:color="auto" w:fill="C6EFCE"/>
            <w:noWrap/>
          </w:tcPr>
          <w:p w14:paraId="4D60C3C9" w14:textId="77777777" w:rsidR="00FA7C11" w:rsidRDefault="00D84965">
            <w:pPr>
              <w:pStyle w:val="P68B1DB1-Normal66"/>
              <w:spacing w:after="200" w:line="276" w:lineRule="auto"/>
              <w:jc w:val="center"/>
              <w:rPr>
                <w:noProof/>
              </w:rPr>
            </w:pPr>
            <w:r>
              <w:rPr>
                <w:noProof/>
              </w:rPr>
              <w:t>kilometri</w:t>
            </w:r>
          </w:p>
        </w:tc>
        <w:tc>
          <w:tcPr>
            <w:tcW w:w="775" w:type="dxa"/>
            <w:tcBorders>
              <w:top w:val="single" w:sz="4" w:space="0" w:color="auto"/>
              <w:left w:val="nil"/>
              <w:bottom w:val="single" w:sz="4" w:space="0" w:color="auto"/>
              <w:right w:val="single" w:sz="4" w:space="0" w:color="auto"/>
            </w:tcBorders>
            <w:shd w:val="clear" w:color="auto" w:fill="C6EFCE"/>
            <w:noWrap/>
          </w:tcPr>
          <w:p w14:paraId="1443C2D3"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695D31A" w14:textId="77777777" w:rsidR="00FA7C11" w:rsidRDefault="00D84965">
            <w:pPr>
              <w:pStyle w:val="P68B1DB1-Normal66"/>
              <w:spacing w:after="200" w:line="276" w:lineRule="auto"/>
              <w:jc w:val="center"/>
              <w:rPr>
                <w:noProof/>
              </w:rPr>
            </w:pPr>
            <w:r>
              <w:rPr>
                <w:noProof/>
              </w:rPr>
              <w:t>300</w:t>
            </w:r>
          </w:p>
        </w:tc>
        <w:tc>
          <w:tcPr>
            <w:tcW w:w="756" w:type="dxa"/>
            <w:tcBorders>
              <w:top w:val="single" w:sz="4" w:space="0" w:color="auto"/>
              <w:left w:val="nil"/>
              <w:bottom w:val="single" w:sz="4" w:space="0" w:color="auto"/>
              <w:right w:val="single" w:sz="4" w:space="0" w:color="auto"/>
            </w:tcBorders>
            <w:shd w:val="clear" w:color="auto" w:fill="C6EFCE"/>
            <w:noWrap/>
          </w:tcPr>
          <w:p w14:paraId="3CD033A2" w14:textId="77777777" w:rsidR="00FA7C11" w:rsidRDefault="00D84965">
            <w:pPr>
              <w:pStyle w:val="P68B1DB1-Normal66"/>
              <w:spacing w:after="200" w:line="276" w:lineRule="auto"/>
              <w:jc w:val="center"/>
              <w:rPr>
                <w:noProof/>
              </w:rPr>
            </w:pPr>
            <w:r>
              <w:rPr>
                <w:noProof/>
              </w:rPr>
              <w:t>Î3</w:t>
            </w:r>
          </w:p>
        </w:tc>
        <w:tc>
          <w:tcPr>
            <w:tcW w:w="567" w:type="dxa"/>
            <w:tcBorders>
              <w:top w:val="single" w:sz="4" w:space="0" w:color="auto"/>
              <w:left w:val="nil"/>
              <w:bottom w:val="single" w:sz="4" w:space="0" w:color="auto"/>
              <w:right w:val="single" w:sz="4" w:space="0" w:color="auto"/>
            </w:tcBorders>
            <w:shd w:val="clear" w:color="auto" w:fill="C6EFCE"/>
            <w:noWrap/>
          </w:tcPr>
          <w:p w14:paraId="1A59A79E" w14:textId="77777777" w:rsidR="00FA7C11" w:rsidRDefault="00D84965">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7C802319" w14:textId="3C5646CF" w:rsidR="00FA7C11" w:rsidRDefault="00D84965">
            <w:pPr>
              <w:pStyle w:val="P68B1DB1-Normal66"/>
              <w:spacing w:after="200" w:line="276" w:lineRule="auto"/>
              <w:rPr>
                <w:noProof/>
              </w:rPr>
            </w:pPr>
            <w:r>
              <w:rPr>
                <w:noProof/>
              </w:rPr>
              <w:t xml:space="preserve">Modernizarea a cel puțin 300 km de linii electrice de înaltă tensiune, ceea ce contribuie la consolidarea conexiunilor la rețea. </w:t>
            </w:r>
          </w:p>
        </w:tc>
      </w:tr>
      <w:tr w:rsidR="00FA7C11" w14:paraId="3032E0E2"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48679DA" w14:textId="77777777" w:rsidR="00FA7C11" w:rsidRDefault="00D84965">
            <w:pPr>
              <w:pStyle w:val="P68B1DB1-Normal66"/>
              <w:spacing w:after="200" w:line="276" w:lineRule="auto"/>
              <w:jc w:val="center"/>
              <w:rPr>
                <w:noProof/>
              </w:rPr>
            </w:pPr>
            <w:r>
              <w:rPr>
                <w:noProof/>
              </w:rPr>
              <w:t>42</w:t>
            </w:r>
          </w:p>
        </w:tc>
        <w:tc>
          <w:tcPr>
            <w:tcW w:w="1077" w:type="dxa"/>
            <w:tcBorders>
              <w:top w:val="single" w:sz="4" w:space="0" w:color="auto"/>
              <w:left w:val="nil"/>
              <w:bottom w:val="single" w:sz="4" w:space="0" w:color="auto"/>
              <w:right w:val="single" w:sz="4" w:space="0" w:color="auto"/>
            </w:tcBorders>
            <w:shd w:val="clear" w:color="auto" w:fill="C6EFCE"/>
            <w:noWrap/>
          </w:tcPr>
          <w:p w14:paraId="15FD95D6" w14:textId="77777777" w:rsidR="00FA7C11" w:rsidRDefault="00D84965">
            <w:pPr>
              <w:pStyle w:val="P68B1DB1-Normal66"/>
              <w:spacing w:after="200" w:line="276" w:lineRule="auto"/>
              <w:jc w:val="center"/>
              <w:rPr>
                <w:noProof/>
              </w:rPr>
            </w:pPr>
            <w:r>
              <w:rPr>
                <w:noProof/>
              </w:rPr>
              <w:t>C1.2. R1</w:t>
            </w:r>
          </w:p>
        </w:tc>
        <w:tc>
          <w:tcPr>
            <w:tcW w:w="1030" w:type="dxa"/>
            <w:tcBorders>
              <w:top w:val="single" w:sz="4" w:space="0" w:color="auto"/>
              <w:left w:val="nil"/>
              <w:bottom w:val="single" w:sz="4" w:space="0" w:color="auto"/>
              <w:right w:val="single" w:sz="4" w:space="0" w:color="auto"/>
            </w:tcBorders>
            <w:shd w:val="clear" w:color="auto" w:fill="C6EFCE"/>
            <w:noWrap/>
          </w:tcPr>
          <w:p w14:paraId="3C69ECF6" w14:textId="77777777" w:rsidR="00FA7C11" w:rsidRDefault="00D84965">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46B47860" w14:textId="77777777" w:rsidR="00FA7C11" w:rsidRDefault="00D84965">
            <w:pPr>
              <w:pStyle w:val="P68B1DB1-Normal66"/>
              <w:spacing w:after="200" w:line="276" w:lineRule="auto"/>
              <w:rPr>
                <w:noProof/>
              </w:rPr>
            </w:pPr>
            <w:r>
              <w:rPr>
                <w:noProof/>
              </w:rPr>
              <w:t>O capacitate suplimentară instalată de SRE de 1 500 MW</w:t>
            </w:r>
          </w:p>
        </w:tc>
        <w:tc>
          <w:tcPr>
            <w:tcW w:w="2017" w:type="dxa"/>
            <w:tcBorders>
              <w:top w:val="single" w:sz="4" w:space="0" w:color="auto"/>
              <w:left w:val="nil"/>
              <w:bottom w:val="single" w:sz="4" w:space="0" w:color="auto"/>
              <w:right w:val="single" w:sz="4" w:space="0" w:color="auto"/>
            </w:tcBorders>
            <w:shd w:val="clear" w:color="auto" w:fill="C6EFCE"/>
            <w:noWrap/>
          </w:tcPr>
          <w:p w14:paraId="147AE101" w14:textId="77777777" w:rsidR="00FA7C11" w:rsidRDefault="00D84965">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4916ACF1" w14:textId="77777777" w:rsidR="00FA7C11" w:rsidRDefault="00D84965">
            <w:pPr>
              <w:pStyle w:val="P68B1DB1-Normal66"/>
              <w:spacing w:after="200" w:line="276" w:lineRule="auto"/>
              <w:jc w:val="center"/>
              <w:rPr>
                <w:noProof/>
              </w:rPr>
            </w:pPr>
            <w:r>
              <w:rPr>
                <w:noProof/>
              </w:rPr>
              <w:t>Număr</w:t>
            </w:r>
          </w:p>
        </w:tc>
        <w:tc>
          <w:tcPr>
            <w:tcW w:w="775" w:type="dxa"/>
            <w:tcBorders>
              <w:top w:val="single" w:sz="4" w:space="0" w:color="auto"/>
              <w:left w:val="nil"/>
              <w:bottom w:val="single" w:sz="4" w:space="0" w:color="auto"/>
              <w:right w:val="single" w:sz="4" w:space="0" w:color="auto"/>
            </w:tcBorders>
            <w:shd w:val="clear" w:color="auto" w:fill="C6EFCE"/>
            <w:noWrap/>
          </w:tcPr>
          <w:p w14:paraId="05F581A1"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367ABC6E" w14:textId="77777777" w:rsidR="00FA7C11" w:rsidRDefault="00D84965">
            <w:pPr>
              <w:pStyle w:val="P68B1DB1-Normal66"/>
              <w:spacing w:after="200" w:line="276" w:lineRule="auto"/>
              <w:jc w:val="center"/>
              <w:rPr>
                <w:noProof/>
              </w:rPr>
            </w:pPr>
            <w:r>
              <w:rPr>
                <w:noProof/>
              </w:rPr>
              <w:t>1 500</w:t>
            </w:r>
          </w:p>
        </w:tc>
        <w:tc>
          <w:tcPr>
            <w:tcW w:w="756" w:type="dxa"/>
            <w:tcBorders>
              <w:top w:val="single" w:sz="4" w:space="0" w:color="auto"/>
              <w:left w:val="nil"/>
              <w:bottom w:val="single" w:sz="4" w:space="0" w:color="auto"/>
              <w:right w:val="single" w:sz="4" w:space="0" w:color="auto"/>
            </w:tcBorders>
            <w:shd w:val="clear" w:color="auto" w:fill="C6EFCE"/>
            <w:noWrap/>
          </w:tcPr>
          <w:p w14:paraId="1D9B919E" w14:textId="77777777" w:rsidR="00FA7C11" w:rsidRDefault="00D84965">
            <w:pPr>
              <w:pStyle w:val="P68B1DB1-Normal66"/>
              <w:spacing w:after="200" w:line="276" w:lineRule="auto"/>
              <w:jc w:val="center"/>
              <w:rPr>
                <w:noProof/>
              </w:rPr>
            </w:pPr>
            <w:r>
              <w:rPr>
                <w:noProof/>
              </w:rPr>
              <w:t>Î4</w:t>
            </w:r>
          </w:p>
        </w:tc>
        <w:tc>
          <w:tcPr>
            <w:tcW w:w="567" w:type="dxa"/>
            <w:tcBorders>
              <w:top w:val="single" w:sz="4" w:space="0" w:color="auto"/>
              <w:left w:val="nil"/>
              <w:bottom w:val="single" w:sz="4" w:space="0" w:color="auto"/>
              <w:right w:val="single" w:sz="4" w:space="0" w:color="auto"/>
            </w:tcBorders>
            <w:shd w:val="clear" w:color="auto" w:fill="C6EFCE"/>
            <w:noWrap/>
          </w:tcPr>
          <w:p w14:paraId="742E2313" w14:textId="77777777" w:rsidR="00FA7C11" w:rsidRDefault="00D84965">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29049773" w14:textId="77777777" w:rsidR="00FA7C11" w:rsidRDefault="00D84965">
            <w:pPr>
              <w:pStyle w:val="P68B1DB1-Normal66"/>
              <w:spacing w:after="200" w:line="276" w:lineRule="auto"/>
              <w:rPr>
                <w:noProof/>
              </w:rPr>
            </w:pPr>
            <w:r>
              <w:rPr>
                <w:noProof/>
              </w:rPr>
              <w:t>O nouă capacitate SRE instalată de cel puțin 1 500 MW.</w:t>
            </w:r>
          </w:p>
        </w:tc>
      </w:tr>
      <w:tr w:rsidR="00FA7C11" w14:paraId="6B8106B7"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AEA0A3B" w14:textId="77777777" w:rsidR="00FA7C11" w:rsidRDefault="00D84965">
            <w:pPr>
              <w:pStyle w:val="P68B1DB1-Normal66"/>
              <w:spacing w:after="200" w:line="276" w:lineRule="auto"/>
              <w:jc w:val="center"/>
              <w:rPr>
                <w:noProof/>
              </w:rPr>
            </w:pPr>
            <w:r>
              <w:rPr>
                <w:noProof/>
              </w:rPr>
              <w:t>43</w:t>
            </w:r>
          </w:p>
        </w:tc>
        <w:tc>
          <w:tcPr>
            <w:tcW w:w="1077" w:type="dxa"/>
            <w:tcBorders>
              <w:top w:val="single" w:sz="4" w:space="0" w:color="auto"/>
              <w:left w:val="nil"/>
              <w:bottom w:val="single" w:sz="4" w:space="0" w:color="auto"/>
              <w:right w:val="single" w:sz="4" w:space="0" w:color="auto"/>
            </w:tcBorders>
            <w:shd w:val="clear" w:color="auto" w:fill="C6EFCE"/>
            <w:noWrap/>
          </w:tcPr>
          <w:p w14:paraId="6F9741E3" w14:textId="77777777" w:rsidR="00FA7C11" w:rsidRDefault="00D84965">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18C7941C" w14:textId="77777777" w:rsidR="00FA7C11" w:rsidRDefault="00D84965">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3B89A65A" w14:textId="77777777" w:rsidR="00FA7C11" w:rsidRDefault="00D84965">
            <w:pPr>
              <w:pStyle w:val="P68B1DB1-Normal66"/>
              <w:spacing w:after="200" w:line="276" w:lineRule="auto"/>
              <w:rPr>
                <w:noProof/>
              </w:rPr>
            </w:pPr>
            <w:r>
              <w:rPr>
                <w:noProof/>
              </w:rPr>
              <w:t>Numărul de contoare inteligente instalate</w:t>
            </w:r>
          </w:p>
        </w:tc>
        <w:tc>
          <w:tcPr>
            <w:tcW w:w="2017" w:type="dxa"/>
            <w:tcBorders>
              <w:top w:val="single" w:sz="4" w:space="0" w:color="auto"/>
              <w:left w:val="nil"/>
              <w:bottom w:val="single" w:sz="4" w:space="0" w:color="auto"/>
              <w:right w:val="single" w:sz="4" w:space="0" w:color="auto"/>
            </w:tcBorders>
            <w:shd w:val="clear" w:color="auto" w:fill="C6EFCE"/>
            <w:noWrap/>
          </w:tcPr>
          <w:p w14:paraId="2ABF9CAB" w14:textId="77777777" w:rsidR="00FA7C11" w:rsidRDefault="00D84965">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13EA1B06" w14:textId="77777777" w:rsidR="00FA7C11" w:rsidRDefault="00D84965">
            <w:pPr>
              <w:pStyle w:val="P68B1DB1-Normal66"/>
              <w:spacing w:after="200" w:line="276" w:lineRule="auto"/>
              <w:jc w:val="center"/>
              <w:rPr>
                <w:noProof/>
              </w:rPr>
            </w:pPr>
            <w:r>
              <w:rPr>
                <w:noProof/>
              </w:rPr>
              <w:t>Număr</w:t>
            </w:r>
          </w:p>
        </w:tc>
        <w:tc>
          <w:tcPr>
            <w:tcW w:w="775" w:type="dxa"/>
            <w:tcBorders>
              <w:top w:val="single" w:sz="4" w:space="0" w:color="auto"/>
              <w:left w:val="nil"/>
              <w:bottom w:val="single" w:sz="4" w:space="0" w:color="auto"/>
              <w:right w:val="single" w:sz="4" w:space="0" w:color="auto"/>
            </w:tcBorders>
            <w:shd w:val="clear" w:color="auto" w:fill="C6EFCE"/>
            <w:noWrap/>
          </w:tcPr>
          <w:p w14:paraId="171B72EC"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31494FD" w14:textId="48D3C6AF" w:rsidR="00FA7C11" w:rsidRDefault="00D84965">
            <w:pPr>
              <w:pStyle w:val="P68B1DB1-Normal66"/>
              <w:spacing w:after="200" w:line="276" w:lineRule="auto"/>
              <w:jc w:val="center"/>
              <w:rPr>
                <w:noProof/>
              </w:rPr>
            </w:pPr>
            <w:r>
              <w:rPr>
                <w:noProof/>
              </w:rPr>
              <w:t>40 000</w:t>
            </w:r>
          </w:p>
        </w:tc>
        <w:tc>
          <w:tcPr>
            <w:tcW w:w="756" w:type="dxa"/>
            <w:tcBorders>
              <w:top w:val="single" w:sz="4" w:space="0" w:color="auto"/>
              <w:left w:val="nil"/>
              <w:bottom w:val="single" w:sz="4" w:space="0" w:color="auto"/>
              <w:right w:val="single" w:sz="4" w:space="0" w:color="auto"/>
            </w:tcBorders>
            <w:shd w:val="clear" w:color="auto" w:fill="C6EFCE"/>
            <w:noWrap/>
          </w:tcPr>
          <w:p w14:paraId="17A46BCE" w14:textId="77777777" w:rsidR="00FA7C11" w:rsidRDefault="00D84965">
            <w:pPr>
              <w:pStyle w:val="P68B1DB1-Normal66"/>
              <w:spacing w:after="200" w:line="276" w:lineRule="auto"/>
              <w:jc w:val="center"/>
              <w:rPr>
                <w:noProof/>
              </w:rPr>
            </w:pPr>
            <w:r>
              <w:rPr>
                <w:noProof/>
              </w:rPr>
              <w:t>Î4</w:t>
            </w:r>
          </w:p>
        </w:tc>
        <w:tc>
          <w:tcPr>
            <w:tcW w:w="567" w:type="dxa"/>
            <w:tcBorders>
              <w:top w:val="single" w:sz="4" w:space="0" w:color="auto"/>
              <w:left w:val="nil"/>
              <w:bottom w:val="single" w:sz="4" w:space="0" w:color="auto"/>
              <w:right w:val="single" w:sz="4" w:space="0" w:color="auto"/>
            </w:tcBorders>
            <w:shd w:val="clear" w:color="auto" w:fill="C6EFCE"/>
            <w:noWrap/>
          </w:tcPr>
          <w:p w14:paraId="19C872AA" w14:textId="77777777" w:rsidR="00FA7C11" w:rsidRDefault="00D84965">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39E39968" w14:textId="77777777" w:rsidR="00FA7C11" w:rsidRDefault="00D84965">
            <w:pPr>
              <w:pStyle w:val="P68B1DB1-Normal66"/>
              <w:spacing w:after="200" w:line="276" w:lineRule="auto"/>
              <w:rPr>
                <w:noProof/>
              </w:rPr>
            </w:pPr>
            <w:r>
              <w:rPr>
                <w:noProof/>
              </w:rPr>
              <w:t>Au fost instalate cel puțin 40 000 de contoare inteligente de energie electrică.</w:t>
            </w:r>
          </w:p>
        </w:tc>
      </w:tr>
      <w:tr w:rsidR="00FA7C11" w14:paraId="512B080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FEB95D0" w14:textId="77777777" w:rsidR="00FA7C11" w:rsidRDefault="00D84965">
            <w:pPr>
              <w:pStyle w:val="P68B1DB1-Normal66"/>
              <w:spacing w:after="200" w:line="276" w:lineRule="auto"/>
              <w:jc w:val="center"/>
              <w:rPr>
                <w:noProof/>
              </w:rPr>
            </w:pPr>
            <w:r>
              <w:rPr>
                <w:noProof/>
              </w:rPr>
              <w:t>376</w:t>
            </w:r>
          </w:p>
        </w:tc>
        <w:tc>
          <w:tcPr>
            <w:tcW w:w="1077" w:type="dxa"/>
            <w:tcBorders>
              <w:top w:val="single" w:sz="4" w:space="0" w:color="auto"/>
              <w:left w:val="nil"/>
              <w:bottom w:val="single" w:sz="4" w:space="0" w:color="auto"/>
              <w:right w:val="single" w:sz="4" w:space="0" w:color="auto"/>
            </w:tcBorders>
            <w:shd w:val="clear" w:color="auto" w:fill="C6EFCE"/>
            <w:noWrap/>
          </w:tcPr>
          <w:p w14:paraId="1BDF25CE" w14:textId="77777777" w:rsidR="00FA7C11" w:rsidRDefault="00D84965">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5ABA1020" w14:textId="77777777" w:rsidR="00FA7C11" w:rsidRDefault="00D84965">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2F096F9F" w14:textId="77777777" w:rsidR="00FA7C11" w:rsidRDefault="00D84965">
            <w:pPr>
              <w:pStyle w:val="P68B1DB1-Normal66"/>
              <w:spacing w:after="200" w:line="276" w:lineRule="auto"/>
              <w:rPr>
                <w:noProof/>
              </w:rPr>
            </w:pPr>
            <w:r>
              <w:rPr>
                <w:noProof/>
              </w:rPr>
              <w:t>Numărul de contoare inteligente instalate</w:t>
            </w:r>
          </w:p>
        </w:tc>
        <w:tc>
          <w:tcPr>
            <w:tcW w:w="2017" w:type="dxa"/>
            <w:tcBorders>
              <w:top w:val="single" w:sz="4" w:space="0" w:color="auto"/>
              <w:left w:val="nil"/>
              <w:bottom w:val="single" w:sz="4" w:space="0" w:color="auto"/>
              <w:right w:val="single" w:sz="4" w:space="0" w:color="auto"/>
            </w:tcBorders>
            <w:shd w:val="clear" w:color="auto" w:fill="C6EFCE"/>
            <w:noWrap/>
          </w:tcPr>
          <w:p w14:paraId="180BF1FE" w14:textId="77777777" w:rsidR="00FA7C11" w:rsidRDefault="00FA7C11">
            <w:pPr>
              <w:spacing w:after="200" w:line="276" w:lineRule="auto"/>
              <w:rPr>
                <w:rFonts w:ascii="Times New Roman" w:eastAsia="Calibri" w:hAnsi="Times New Roman" w:cs="Times New Roman"/>
                <w:noProof/>
                <w:color w:val="000000"/>
                <w:sz w:val="20"/>
                <w:szCs w:val="20"/>
              </w:rPr>
            </w:pPr>
          </w:p>
        </w:tc>
        <w:tc>
          <w:tcPr>
            <w:tcW w:w="725" w:type="dxa"/>
            <w:tcBorders>
              <w:top w:val="single" w:sz="4" w:space="0" w:color="auto"/>
              <w:left w:val="nil"/>
              <w:bottom w:val="single" w:sz="4" w:space="0" w:color="auto"/>
              <w:right w:val="single" w:sz="4" w:space="0" w:color="auto"/>
            </w:tcBorders>
            <w:shd w:val="clear" w:color="auto" w:fill="C6EFCE"/>
            <w:noWrap/>
          </w:tcPr>
          <w:p w14:paraId="1D4F5ED7" w14:textId="77777777" w:rsidR="00FA7C11" w:rsidRDefault="00D84965">
            <w:pPr>
              <w:pStyle w:val="P68B1DB1-Normal66"/>
              <w:spacing w:after="200" w:line="276" w:lineRule="auto"/>
              <w:jc w:val="center"/>
              <w:rPr>
                <w:noProof/>
              </w:rPr>
            </w:pPr>
            <w:r>
              <w:rPr>
                <w:noProof/>
              </w:rPr>
              <w:t>Număr</w:t>
            </w:r>
          </w:p>
        </w:tc>
        <w:tc>
          <w:tcPr>
            <w:tcW w:w="775" w:type="dxa"/>
            <w:tcBorders>
              <w:top w:val="single" w:sz="4" w:space="0" w:color="auto"/>
              <w:left w:val="nil"/>
              <w:bottom w:val="single" w:sz="4" w:space="0" w:color="auto"/>
              <w:right w:val="single" w:sz="4" w:space="0" w:color="auto"/>
            </w:tcBorders>
            <w:shd w:val="clear" w:color="auto" w:fill="C6EFCE"/>
            <w:noWrap/>
          </w:tcPr>
          <w:p w14:paraId="08F60F1D" w14:textId="0678527A" w:rsidR="00FA7C11" w:rsidRDefault="00D84965">
            <w:pPr>
              <w:pStyle w:val="P68B1DB1-Normal66"/>
              <w:spacing w:after="200" w:line="276" w:lineRule="auto"/>
              <w:jc w:val="center"/>
              <w:rPr>
                <w:noProof/>
              </w:rPr>
            </w:pPr>
            <w:r>
              <w:rPr>
                <w:noProof/>
              </w:rPr>
              <w:t>40 000</w:t>
            </w:r>
          </w:p>
        </w:tc>
        <w:tc>
          <w:tcPr>
            <w:tcW w:w="709" w:type="dxa"/>
            <w:tcBorders>
              <w:top w:val="single" w:sz="4" w:space="0" w:color="auto"/>
              <w:left w:val="nil"/>
              <w:bottom w:val="single" w:sz="4" w:space="0" w:color="auto"/>
              <w:right w:val="single" w:sz="4" w:space="0" w:color="auto"/>
            </w:tcBorders>
            <w:shd w:val="clear" w:color="auto" w:fill="C6EFCE"/>
            <w:noWrap/>
          </w:tcPr>
          <w:p w14:paraId="62AE7711" w14:textId="260CF0A5" w:rsidR="00FA7C11" w:rsidRDefault="00D84965">
            <w:pPr>
              <w:pStyle w:val="P68B1DB1-Normal66"/>
              <w:spacing w:after="200" w:line="276" w:lineRule="auto"/>
              <w:jc w:val="center"/>
              <w:rPr>
                <w:noProof/>
              </w:rPr>
            </w:pPr>
            <w:r>
              <w:rPr>
                <w:noProof/>
              </w:rPr>
              <w:t>100 000</w:t>
            </w:r>
          </w:p>
        </w:tc>
        <w:tc>
          <w:tcPr>
            <w:tcW w:w="756" w:type="dxa"/>
            <w:tcBorders>
              <w:top w:val="single" w:sz="4" w:space="0" w:color="auto"/>
              <w:left w:val="nil"/>
              <w:bottom w:val="single" w:sz="4" w:space="0" w:color="auto"/>
              <w:right w:val="single" w:sz="4" w:space="0" w:color="auto"/>
            </w:tcBorders>
            <w:shd w:val="clear" w:color="auto" w:fill="C6EFCE"/>
            <w:noWrap/>
          </w:tcPr>
          <w:p w14:paraId="5A1AB578" w14:textId="77777777" w:rsidR="00FA7C11" w:rsidRDefault="00D84965">
            <w:pPr>
              <w:pStyle w:val="P68B1DB1-Normal66"/>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4DB0A4D2" w14:textId="77777777" w:rsidR="00FA7C11" w:rsidRDefault="00D84965">
            <w:pPr>
              <w:pStyle w:val="P68B1DB1-Normal66"/>
              <w:spacing w:after="200" w:line="276" w:lineRule="auto"/>
              <w:jc w:val="center"/>
              <w:rPr>
                <w:noProof/>
              </w:rPr>
            </w:pPr>
            <w:r>
              <w:rPr>
                <w:noProof/>
              </w:rPr>
              <w:t>2026</w:t>
            </w:r>
          </w:p>
        </w:tc>
        <w:tc>
          <w:tcPr>
            <w:tcW w:w="5577" w:type="dxa"/>
            <w:tcBorders>
              <w:top w:val="single" w:sz="4" w:space="0" w:color="auto"/>
              <w:left w:val="nil"/>
              <w:bottom w:val="single" w:sz="4" w:space="0" w:color="auto"/>
              <w:right w:val="single" w:sz="4" w:space="0" w:color="auto"/>
            </w:tcBorders>
            <w:shd w:val="clear" w:color="auto" w:fill="C6EFCE"/>
            <w:noWrap/>
          </w:tcPr>
          <w:p w14:paraId="0CAFD92B" w14:textId="77777777" w:rsidR="00FA7C11" w:rsidRDefault="00D84965">
            <w:pPr>
              <w:pStyle w:val="P68B1DB1-Normal66"/>
              <w:spacing w:after="200" w:line="276" w:lineRule="auto"/>
              <w:rPr>
                <w:noProof/>
              </w:rPr>
            </w:pPr>
            <w:r>
              <w:rPr>
                <w:noProof/>
              </w:rPr>
              <w:t>Au fost instalate cel puțin 60 000 de contoare inteligente de energie electrică.</w:t>
            </w:r>
          </w:p>
        </w:tc>
      </w:tr>
      <w:tr w:rsidR="00FA7C11" w14:paraId="03EA0436"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AE00AB2" w14:textId="77777777" w:rsidR="00FA7C11" w:rsidRDefault="00D84965">
            <w:pPr>
              <w:pStyle w:val="P68B1DB1-Normal66"/>
              <w:spacing w:after="200" w:line="276" w:lineRule="auto"/>
              <w:jc w:val="center"/>
              <w:rPr>
                <w:noProof/>
              </w:rPr>
            </w:pPr>
            <w:r>
              <w:rPr>
                <w:noProof/>
              </w:rPr>
              <w:t>44</w:t>
            </w:r>
          </w:p>
        </w:tc>
        <w:tc>
          <w:tcPr>
            <w:tcW w:w="1077" w:type="dxa"/>
            <w:tcBorders>
              <w:top w:val="single" w:sz="4" w:space="0" w:color="auto"/>
              <w:left w:val="nil"/>
              <w:bottom w:val="single" w:sz="4" w:space="0" w:color="auto"/>
              <w:right w:val="single" w:sz="4" w:space="0" w:color="auto"/>
            </w:tcBorders>
            <w:shd w:val="clear" w:color="auto" w:fill="C6EFCE"/>
            <w:noWrap/>
          </w:tcPr>
          <w:p w14:paraId="00074F2C" w14:textId="77777777" w:rsidR="00FA7C11" w:rsidRDefault="00D84965">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3374EBE1" w14:textId="77777777" w:rsidR="00FA7C11" w:rsidRDefault="00D84965">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2789E69D" w14:textId="553FFB27" w:rsidR="00FA7C11" w:rsidRDefault="00D84965">
            <w:pPr>
              <w:pStyle w:val="P68B1DB1-Normal66"/>
              <w:spacing w:after="200" w:line="276" w:lineRule="auto"/>
              <w:rPr>
                <w:noProof/>
              </w:rPr>
            </w:pPr>
            <w:r>
              <w:rPr>
                <w:noProof/>
              </w:rPr>
              <w:t>Rețeaua de înaltă tensiune (220/110 kV) modernizată și cablurile submarine pentru rețeaua de distribuție stabilite</w:t>
            </w:r>
          </w:p>
        </w:tc>
        <w:tc>
          <w:tcPr>
            <w:tcW w:w="2017" w:type="dxa"/>
            <w:tcBorders>
              <w:top w:val="single" w:sz="4" w:space="0" w:color="auto"/>
              <w:left w:val="nil"/>
              <w:bottom w:val="single" w:sz="4" w:space="0" w:color="auto"/>
              <w:right w:val="single" w:sz="4" w:space="0" w:color="auto"/>
            </w:tcBorders>
            <w:shd w:val="clear" w:color="auto" w:fill="C6EFCE"/>
            <w:noWrap/>
          </w:tcPr>
          <w:p w14:paraId="7060EE46" w14:textId="1292F5FD" w:rsidR="00FA7C11" w:rsidRDefault="00D84965">
            <w:pPr>
              <w:pStyle w:val="P68B1DB1-Normal66"/>
              <w:spacing w:after="200" w:line="276" w:lineRule="auto"/>
              <w:rPr>
                <w:noProof/>
              </w:rPr>
            </w:pPr>
            <w:r>
              <w:rPr>
                <w:noProof/>
              </w:rPr>
              <w:t>Instalarea de cabluri modernizate și submarine pentru rețeaua de distribuție de înaltă tensiune (220/110 kV)</w:t>
            </w:r>
          </w:p>
        </w:tc>
        <w:tc>
          <w:tcPr>
            <w:tcW w:w="725" w:type="dxa"/>
            <w:tcBorders>
              <w:top w:val="single" w:sz="4" w:space="0" w:color="auto"/>
              <w:left w:val="nil"/>
              <w:bottom w:val="single" w:sz="4" w:space="0" w:color="auto"/>
              <w:right w:val="single" w:sz="4" w:space="0" w:color="auto"/>
            </w:tcBorders>
            <w:shd w:val="clear" w:color="auto" w:fill="C6EFCE"/>
            <w:noWrap/>
          </w:tcPr>
          <w:p w14:paraId="51A1DA15" w14:textId="77777777" w:rsidR="00FA7C11" w:rsidRDefault="00FA7C11">
            <w:pPr>
              <w:spacing w:after="200" w:line="276" w:lineRule="auto"/>
              <w:jc w:val="center"/>
              <w:rPr>
                <w:rFonts w:ascii="Times New Roman" w:eastAsia="Calibri" w:hAnsi="Times New Roman" w:cs="Times New Roman"/>
                <w:noProof/>
                <w:sz w:val="20"/>
                <w:szCs w:val="20"/>
              </w:rPr>
            </w:pPr>
          </w:p>
        </w:tc>
        <w:tc>
          <w:tcPr>
            <w:tcW w:w="775" w:type="dxa"/>
            <w:tcBorders>
              <w:top w:val="single" w:sz="4" w:space="0" w:color="auto"/>
              <w:left w:val="nil"/>
              <w:bottom w:val="single" w:sz="4" w:space="0" w:color="auto"/>
              <w:right w:val="single" w:sz="4" w:space="0" w:color="auto"/>
            </w:tcBorders>
            <w:shd w:val="clear" w:color="auto" w:fill="C6EFCE"/>
            <w:noWrap/>
          </w:tcPr>
          <w:p w14:paraId="49382BC6" w14:textId="77777777" w:rsidR="00FA7C11" w:rsidRDefault="00FA7C11">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0AF42419" w14:textId="77777777" w:rsidR="00FA7C11" w:rsidRDefault="00FA7C11">
            <w:pPr>
              <w:tabs>
                <w:tab w:val="left" w:pos="234"/>
              </w:tabs>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53198C67" w14:textId="77777777" w:rsidR="00FA7C11" w:rsidRDefault="00D84965">
            <w:pPr>
              <w:pStyle w:val="P68B1DB1-Normal66"/>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162C2389" w14:textId="77777777" w:rsidR="00FA7C11" w:rsidRDefault="00D84965">
            <w:pPr>
              <w:pStyle w:val="P68B1DB1-Normal66"/>
              <w:spacing w:after="200" w:line="276" w:lineRule="auto"/>
              <w:jc w:val="center"/>
              <w:rPr>
                <w:noProof/>
              </w:rPr>
            </w:pPr>
            <w:r>
              <w:rPr>
                <w:noProof/>
              </w:rPr>
              <w:t>2026</w:t>
            </w:r>
          </w:p>
        </w:tc>
        <w:tc>
          <w:tcPr>
            <w:tcW w:w="5577" w:type="dxa"/>
            <w:tcBorders>
              <w:top w:val="single" w:sz="4" w:space="0" w:color="auto"/>
              <w:left w:val="nil"/>
              <w:bottom w:val="single" w:sz="4" w:space="0" w:color="auto"/>
              <w:right w:val="single" w:sz="4" w:space="0" w:color="auto"/>
            </w:tcBorders>
            <w:shd w:val="clear" w:color="auto" w:fill="C6EFCE"/>
            <w:noWrap/>
          </w:tcPr>
          <w:p w14:paraId="365C09A0" w14:textId="77777777" w:rsidR="00FA7C11" w:rsidRDefault="00D84965">
            <w:pPr>
              <w:pStyle w:val="P68B1DB1-Normal66"/>
              <w:spacing w:after="200" w:line="276" w:lineRule="auto"/>
              <w:rPr>
                <w:noProof/>
              </w:rPr>
            </w:pPr>
            <w:r>
              <w:rPr>
                <w:noProof/>
              </w:rPr>
              <w:t>Trebuie furnizată dovada modernizării a cel puțin 250 km de linie electrică de înaltă tensiune și a cel puțin 96 km de cabluri submarine prevăzute pentru rețeaua de distribuție.</w:t>
            </w:r>
            <w:r>
              <w:rPr>
                <w:noProof/>
              </w:rPr>
              <w:br/>
            </w:r>
          </w:p>
        </w:tc>
      </w:tr>
      <w:tr w:rsidR="00FA7C11" w14:paraId="10D4989A"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3B0513A" w14:textId="77777777" w:rsidR="00FA7C11" w:rsidRDefault="00D84965">
            <w:pPr>
              <w:pStyle w:val="P68B1DB1-Normal66"/>
              <w:spacing w:after="200" w:line="276" w:lineRule="auto"/>
              <w:jc w:val="center"/>
              <w:rPr>
                <w:noProof/>
              </w:rPr>
            </w:pPr>
            <w:r>
              <w:rPr>
                <w:noProof/>
              </w:rPr>
              <w:t>377</w:t>
            </w:r>
          </w:p>
        </w:tc>
        <w:tc>
          <w:tcPr>
            <w:tcW w:w="1077" w:type="dxa"/>
            <w:tcBorders>
              <w:top w:val="single" w:sz="4" w:space="0" w:color="auto"/>
              <w:left w:val="nil"/>
              <w:bottom w:val="single" w:sz="4" w:space="0" w:color="auto"/>
              <w:right w:val="single" w:sz="4" w:space="0" w:color="auto"/>
            </w:tcBorders>
            <w:shd w:val="clear" w:color="auto" w:fill="C6EFCE"/>
            <w:noWrap/>
          </w:tcPr>
          <w:p w14:paraId="5E28EE18" w14:textId="77777777" w:rsidR="00FA7C11" w:rsidRDefault="00D84965">
            <w:pPr>
              <w:pStyle w:val="P68B1DB1-Normal66"/>
              <w:spacing w:after="200" w:line="276" w:lineRule="auto"/>
              <w:jc w:val="center"/>
              <w:rPr>
                <w:noProof/>
              </w:rPr>
            </w:pPr>
            <w:r>
              <w:rPr>
                <w:noProof/>
              </w:rPr>
              <w:t>C1.2. R1-I1</w:t>
            </w:r>
          </w:p>
        </w:tc>
        <w:tc>
          <w:tcPr>
            <w:tcW w:w="1030" w:type="dxa"/>
            <w:tcBorders>
              <w:top w:val="single" w:sz="4" w:space="0" w:color="auto"/>
              <w:left w:val="nil"/>
              <w:bottom w:val="single" w:sz="4" w:space="0" w:color="auto"/>
              <w:right w:val="single" w:sz="4" w:space="0" w:color="auto"/>
            </w:tcBorders>
            <w:shd w:val="clear" w:color="auto" w:fill="C6EFCE"/>
            <w:noWrap/>
          </w:tcPr>
          <w:p w14:paraId="6342E842" w14:textId="77777777" w:rsidR="00FA7C11" w:rsidRDefault="00D84965">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18D50824" w14:textId="77777777" w:rsidR="00FA7C11" w:rsidRDefault="00D84965">
            <w:pPr>
              <w:pStyle w:val="P68B1DB1-Normal66"/>
              <w:spacing w:after="200" w:line="276" w:lineRule="auto"/>
              <w:rPr>
                <w:noProof/>
              </w:rPr>
            </w:pPr>
            <w:r>
              <w:rPr>
                <w:noProof/>
              </w:rPr>
              <w:t>Noua capacitate de stocare a bateriilor energetice</w:t>
            </w:r>
          </w:p>
        </w:tc>
        <w:tc>
          <w:tcPr>
            <w:tcW w:w="2017" w:type="dxa"/>
            <w:tcBorders>
              <w:top w:val="single" w:sz="4" w:space="0" w:color="auto"/>
              <w:left w:val="nil"/>
              <w:bottom w:val="single" w:sz="4" w:space="0" w:color="auto"/>
              <w:right w:val="single" w:sz="4" w:space="0" w:color="auto"/>
            </w:tcBorders>
            <w:shd w:val="clear" w:color="auto" w:fill="C6EFCE"/>
            <w:noWrap/>
          </w:tcPr>
          <w:p w14:paraId="3FA61097" w14:textId="77777777" w:rsidR="00FA7C11" w:rsidRDefault="00D84965">
            <w:pPr>
              <w:pStyle w:val="P68B1DB1-Normal66"/>
              <w:spacing w:after="200" w:line="276" w:lineRule="auto"/>
              <w:rPr>
                <w:noProof/>
              </w:rPr>
            </w:pPr>
            <w:r>
              <w:rPr>
                <w:noProof/>
              </w:rPr>
              <w:t xml:space="preserve">Noua capacitate instalată de stocare a bateriilor energetice </w:t>
            </w:r>
          </w:p>
        </w:tc>
        <w:tc>
          <w:tcPr>
            <w:tcW w:w="725" w:type="dxa"/>
            <w:tcBorders>
              <w:top w:val="single" w:sz="4" w:space="0" w:color="auto"/>
              <w:left w:val="nil"/>
              <w:bottom w:val="single" w:sz="4" w:space="0" w:color="auto"/>
              <w:right w:val="single" w:sz="4" w:space="0" w:color="auto"/>
            </w:tcBorders>
            <w:shd w:val="clear" w:color="auto" w:fill="C6EFCE"/>
            <w:noWrap/>
          </w:tcPr>
          <w:p w14:paraId="60D73D95"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775" w:type="dxa"/>
            <w:tcBorders>
              <w:top w:val="single" w:sz="4" w:space="0" w:color="auto"/>
              <w:left w:val="nil"/>
              <w:bottom w:val="single" w:sz="4" w:space="0" w:color="auto"/>
              <w:right w:val="single" w:sz="4" w:space="0" w:color="auto"/>
            </w:tcBorders>
            <w:shd w:val="clear" w:color="auto" w:fill="C6EFCE"/>
            <w:noWrap/>
          </w:tcPr>
          <w:p w14:paraId="3C6256F8"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23AF39C5"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1447ED98" w14:textId="77777777" w:rsidR="00FA7C11" w:rsidRDefault="00D84965">
            <w:pPr>
              <w:pStyle w:val="P68B1DB1-Normal66"/>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2672AE72" w14:textId="77777777" w:rsidR="00FA7C11" w:rsidRDefault="00D84965">
            <w:pPr>
              <w:pStyle w:val="P68B1DB1-Normal66"/>
              <w:spacing w:after="200" w:line="276" w:lineRule="auto"/>
              <w:jc w:val="center"/>
              <w:rPr>
                <w:noProof/>
              </w:rPr>
            </w:pPr>
            <w:r>
              <w:rPr>
                <w:noProof/>
              </w:rPr>
              <w:t>2026</w:t>
            </w:r>
          </w:p>
        </w:tc>
        <w:tc>
          <w:tcPr>
            <w:tcW w:w="5577" w:type="dxa"/>
            <w:tcBorders>
              <w:top w:val="single" w:sz="4" w:space="0" w:color="auto"/>
              <w:left w:val="nil"/>
              <w:bottom w:val="single" w:sz="4" w:space="0" w:color="auto"/>
              <w:right w:val="single" w:sz="4" w:space="0" w:color="auto"/>
            </w:tcBorders>
            <w:shd w:val="clear" w:color="auto" w:fill="C6EFCE"/>
            <w:noWrap/>
          </w:tcPr>
          <w:p w14:paraId="189B172B" w14:textId="77777777" w:rsidR="00FA7C11" w:rsidRDefault="00D84965">
            <w:pPr>
              <w:pStyle w:val="P68B1DB1-Normal70"/>
              <w:spacing w:after="200" w:line="276" w:lineRule="auto"/>
              <w:rPr>
                <w:noProof/>
                <w:color w:val="000000"/>
              </w:rPr>
            </w:pPr>
            <w:r>
              <w:rPr>
                <w:noProof/>
              </w:rPr>
              <w:t xml:space="preserve">Se furnizează </w:t>
            </w:r>
            <w:r>
              <w:rPr>
                <w:noProof/>
                <w:color w:val="000000"/>
              </w:rPr>
              <w:t>dovada instalării de noi instalații de stocare a bateriilor de energie cu o capacitate de 100 MhW</w:t>
            </w:r>
            <w:r>
              <w:rPr>
                <w:noProof/>
              </w:rPr>
              <w:t>.</w:t>
            </w:r>
          </w:p>
        </w:tc>
      </w:tr>
      <w:tr w:rsidR="00FA7C11" w14:paraId="35BDC7AD"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6EF0677" w14:textId="77777777" w:rsidR="00FA7C11" w:rsidRDefault="00D84965">
            <w:pPr>
              <w:pStyle w:val="P68B1DB1-Normal66"/>
              <w:spacing w:after="200" w:line="276" w:lineRule="auto"/>
              <w:jc w:val="center"/>
              <w:rPr>
                <w:noProof/>
              </w:rPr>
            </w:pPr>
            <w:r>
              <w:rPr>
                <w:noProof/>
              </w:rPr>
              <w:t>45</w:t>
            </w:r>
          </w:p>
        </w:tc>
        <w:tc>
          <w:tcPr>
            <w:tcW w:w="1077" w:type="dxa"/>
            <w:tcBorders>
              <w:top w:val="single" w:sz="4" w:space="0" w:color="auto"/>
              <w:left w:val="nil"/>
              <w:bottom w:val="single" w:sz="4" w:space="0" w:color="auto"/>
              <w:right w:val="single" w:sz="4" w:space="0" w:color="auto"/>
            </w:tcBorders>
            <w:shd w:val="clear" w:color="auto" w:fill="C6EFCE"/>
            <w:noWrap/>
          </w:tcPr>
          <w:p w14:paraId="5AD7D7C0" w14:textId="77777777" w:rsidR="00FA7C11" w:rsidRDefault="00D84965">
            <w:pPr>
              <w:pStyle w:val="P68B1DB1-Normal66"/>
              <w:spacing w:after="200" w:line="276" w:lineRule="auto"/>
              <w:jc w:val="center"/>
              <w:rPr>
                <w:noProof/>
              </w:rPr>
            </w:pPr>
            <w:r>
              <w:rPr>
                <w:noProof/>
              </w:rPr>
              <w:t>C1.2. R1-I2</w:t>
            </w:r>
          </w:p>
        </w:tc>
        <w:tc>
          <w:tcPr>
            <w:tcW w:w="1030" w:type="dxa"/>
            <w:tcBorders>
              <w:top w:val="single" w:sz="4" w:space="0" w:color="auto"/>
              <w:left w:val="nil"/>
              <w:bottom w:val="single" w:sz="4" w:space="0" w:color="auto"/>
              <w:right w:val="single" w:sz="4" w:space="0" w:color="auto"/>
            </w:tcBorders>
            <w:shd w:val="clear" w:color="auto" w:fill="C6EFCE"/>
            <w:noWrap/>
          </w:tcPr>
          <w:p w14:paraId="257CB665" w14:textId="77777777" w:rsidR="00FA7C11" w:rsidRDefault="00D84965">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3C6E0BC5" w14:textId="77777777" w:rsidR="00FA7C11" w:rsidRDefault="00D84965">
            <w:pPr>
              <w:pStyle w:val="P68B1DB1-Normal66"/>
              <w:spacing w:after="200" w:line="276" w:lineRule="auto"/>
              <w:rPr>
                <w:noProof/>
              </w:rPr>
            </w:pPr>
            <w:r>
              <w:rPr>
                <w:noProof/>
              </w:rPr>
              <w:t>Adoptarea de către guvern a unui program privind eficiența energetică pentru decarbonizarea sectorului energetic</w:t>
            </w:r>
          </w:p>
        </w:tc>
        <w:tc>
          <w:tcPr>
            <w:tcW w:w="2017" w:type="dxa"/>
            <w:tcBorders>
              <w:top w:val="single" w:sz="4" w:space="0" w:color="auto"/>
              <w:left w:val="nil"/>
              <w:bottom w:val="single" w:sz="4" w:space="0" w:color="auto"/>
              <w:right w:val="single" w:sz="4" w:space="0" w:color="auto"/>
            </w:tcBorders>
            <w:shd w:val="clear" w:color="auto" w:fill="C6EFCE"/>
            <w:noWrap/>
          </w:tcPr>
          <w:p w14:paraId="64C65E8E" w14:textId="77777777" w:rsidR="00FA7C11" w:rsidRDefault="00D84965">
            <w:pPr>
              <w:pStyle w:val="P68B1DB1-Normal66"/>
              <w:spacing w:after="200" w:line="276" w:lineRule="auto"/>
              <w:rPr>
                <w:noProof/>
              </w:rPr>
            </w:pPr>
            <w:r>
              <w:rPr>
                <w:noProof/>
              </w:rPr>
              <w:t>Intrarea în vigoare a Programului privind eficiența energetică pentru decarbonizarea sectorului energetic, elaborat de Ministerul Economiei și Dezvoltării Durabile</w:t>
            </w:r>
          </w:p>
        </w:tc>
        <w:tc>
          <w:tcPr>
            <w:tcW w:w="725" w:type="dxa"/>
            <w:tcBorders>
              <w:top w:val="single" w:sz="4" w:space="0" w:color="auto"/>
              <w:left w:val="nil"/>
              <w:bottom w:val="single" w:sz="4" w:space="0" w:color="auto"/>
              <w:right w:val="single" w:sz="4" w:space="0" w:color="auto"/>
            </w:tcBorders>
            <w:shd w:val="clear" w:color="auto" w:fill="C6EFCE"/>
            <w:noWrap/>
          </w:tcPr>
          <w:p w14:paraId="29264D32" w14:textId="77777777" w:rsidR="00FA7C11" w:rsidRDefault="00D84965">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3D6C4850"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7E1EF409"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0484E859" w14:textId="77777777" w:rsidR="00FA7C11" w:rsidRDefault="00D84965">
            <w:pPr>
              <w:pStyle w:val="P68B1DB1-Normal66"/>
              <w:spacing w:after="200" w:line="276" w:lineRule="auto"/>
              <w:jc w:val="center"/>
              <w:rPr>
                <w:noProof/>
              </w:rPr>
            </w:pPr>
            <w:r>
              <w:rPr>
                <w:noProof/>
              </w:rPr>
              <w:t>Î3</w:t>
            </w:r>
          </w:p>
        </w:tc>
        <w:tc>
          <w:tcPr>
            <w:tcW w:w="567" w:type="dxa"/>
            <w:tcBorders>
              <w:top w:val="single" w:sz="4" w:space="0" w:color="auto"/>
              <w:left w:val="nil"/>
              <w:bottom w:val="single" w:sz="4" w:space="0" w:color="auto"/>
              <w:right w:val="single" w:sz="4" w:space="0" w:color="auto"/>
            </w:tcBorders>
            <w:shd w:val="clear" w:color="auto" w:fill="C6EFCE"/>
            <w:noWrap/>
          </w:tcPr>
          <w:p w14:paraId="79D2412C" w14:textId="77777777" w:rsidR="00FA7C11" w:rsidRDefault="00D84965">
            <w:pPr>
              <w:pStyle w:val="P68B1DB1-Normal66"/>
              <w:spacing w:after="200" w:line="276" w:lineRule="auto"/>
              <w:jc w:val="center"/>
              <w:rPr>
                <w:noProof/>
              </w:rPr>
            </w:pPr>
            <w:r>
              <w:rPr>
                <w:noProof/>
              </w:rPr>
              <w:t>2021</w:t>
            </w:r>
          </w:p>
        </w:tc>
        <w:tc>
          <w:tcPr>
            <w:tcW w:w="5577" w:type="dxa"/>
            <w:tcBorders>
              <w:top w:val="single" w:sz="4" w:space="0" w:color="auto"/>
              <w:left w:val="nil"/>
              <w:bottom w:val="single" w:sz="4" w:space="0" w:color="auto"/>
              <w:right w:val="single" w:sz="4" w:space="0" w:color="auto"/>
            </w:tcBorders>
            <w:shd w:val="clear" w:color="auto" w:fill="C6EFCE"/>
            <w:noWrap/>
          </w:tcPr>
          <w:p w14:paraId="121B2096" w14:textId="77777777" w:rsidR="00FA7C11" w:rsidRDefault="00D84965">
            <w:pPr>
              <w:pStyle w:val="P68B1DB1-Normal66"/>
              <w:spacing w:after="200" w:line="276" w:lineRule="auto"/>
              <w:rPr>
                <w:noProof/>
              </w:rPr>
            </w:pPr>
            <w:r>
              <w:rPr>
                <w:noProof/>
              </w:rPr>
              <w:t xml:space="preserve">Programul de eficiență energetică definește domeniile de investiții în eficiența energetică și în sistemele centralizate de termoficare, inclusiv prioritățile de investiții până în 2030. Planificarea investițiilor include modernizarea sistemelor de încălzire centralizată și a industriilor mari consumatoare de energie, punând accentul pe eficiența energetică și pe potențialul de energie din surse regenerabile. </w:t>
            </w:r>
            <w:r>
              <w:rPr>
                <w:noProof/>
              </w:rPr>
              <w:br/>
              <w:t>Programul va fi aliniat la actualizarea planificată a planului național privind energia și clima, care va specifica un obiectiv mai ambițios privind ponderea energiei din surse regenerabile în sectorul încălzirii și răcirii, inclusiv măsuri specifice.</w:t>
            </w:r>
          </w:p>
        </w:tc>
      </w:tr>
      <w:tr w:rsidR="00FA7C11" w14:paraId="43FC10FE"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CA1FFA1" w14:textId="77777777" w:rsidR="00FA7C11" w:rsidRDefault="00D84965">
            <w:pPr>
              <w:pStyle w:val="P68B1DB1-Normal66"/>
              <w:spacing w:after="200" w:line="276" w:lineRule="auto"/>
              <w:jc w:val="center"/>
              <w:rPr>
                <w:noProof/>
              </w:rPr>
            </w:pPr>
            <w:r>
              <w:rPr>
                <w:noProof/>
              </w:rPr>
              <w:t>46</w:t>
            </w:r>
          </w:p>
        </w:tc>
        <w:tc>
          <w:tcPr>
            <w:tcW w:w="1077" w:type="dxa"/>
            <w:tcBorders>
              <w:top w:val="single" w:sz="4" w:space="0" w:color="auto"/>
              <w:left w:val="nil"/>
              <w:bottom w:val="single" w:sz="4" w:space="0" w:color="auto"/>
              <w:right w:val="single" w:sz="4" w:space="0" w:color="auto"/>
            </w:tcBorders>
            <w:shd w:val="clear" w:color="auto" w:fill="C6EFCE"/>
            <w:noWrap/>
          </w:tcPr>
          <w:p w14:paraId="7DD89DC6" w14:textId="77777777" w:rsidR="00FA7C11" w:rsidRDefault="00D84965">
            <w:pPr>
              <w:pStyle w:val="P68B1DB1-Normal66"/>
              <w:spacing w:after="200" w:line="276" w:lineRule="auto"/>
              <w:jc w:val="center"/>
              <w:rPr>
                <w:noProof/>
              </w:rPr>
            </w:pPr>
            <w:r>
              <w:rPr>
                <w:noProof/>
              </w:rPr>
              <w:t>C1.2. R1-I2</w:t>
            </w:r>
          </w:p>
        </w:tc>
        <w:tc>
          <w:tcPr>
            <w:tcW w:w="1030" w:type="dxa"/>
            <w:tcBorders>
              <w:top w:val="single" w:sz="4" w:space="0" w:color="auto"/>
              <w:left w:val="nil"/>
              <w:bottom w:val="single" w:sz="4" w:space="0" w:color="auto"/>
              <w:right w:val="single" w:sz="4" w:space="0" w:color="auto"/>
            </w:tcBorders>
            <w:shd w:val="clear" w:color="auto" w:fill="C6EFCE"/>
            <w:noWrap/>
          </w:tcPr>
          <w:p w14:paraId="7A29B069" w14:textId="77777777" w:rsidR="00FA7C11" w:rsidRDefault="00D84965">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2C61932C" w14:textId="77777777" w:rsidR="00FA7C11" w:rsidRDefault="00D84965">
            <w:pPr>
              <w:pStyle w:val="P68B1DB1-Normal66"/>
              <w:spacing w:after="200" w:line="276" w:lineRule="auto"/>
              <w:rPr>
                <w:noProof/>
              </w:rPr>
            </w:pPr>
            <w:r>
              <w:rPr>
                <w:noProof/>
              </w:rPr>
              <w:t>Numărul de întreprinderi care beneficiază de sprijin pentru eficiența energetică și utilizarea de energie din surse regenerabile în industrie</w:t>
            </w:r>
          </w:p>
        </w:tc>
        <w:tc>
          <w:tcPr>
            <w:tcW w:w="2017" w:type="dxa"/>
            <w:tcBorders>
              <w:top w:val="single" w:sz="4" w:space="0" w:color="auto"/>
              <w:left w:val="nil"/>
              <w:bottom w:val="single" w:sz="4" w:space="0" w:color="auto"/>
              <w:right w:val="single" w:sz="4" w:space="0" w:color="auto"/>
            </w:tcBorders>
            <w:shd w:val="clear" w:color="auto" w:fill="C6EFCE"/>
            <w:noWrap/>
          </w:tcPr>
          <w:p w14:paraId="3657CF89" w14:textId="77777777" w:rsidR="00FA7C11" w:rsidRDefault="00D84965">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61C1785C" w14:textId="77777777" w:rsidR="00FA7C11" w:rsidRDefault="00D84965">
            <w:pPr>
              <w:pStyle w:val="P68B1DB1-Normal66"/>
              <w:spacing w:after="200" w:line="276" w:lineRule="auto"/>
              <w:jc w:val="center"/>
              <w:rPr>
                <w:noProof/>
              </w:rPr>
            </w:pPr>
            <w:r>
              <w:rPr>
                <w:noProof/>
              </w:rPr>
              <w:t>Număr</w:t>
            </w:r>
          </w:p>
        </w:tc>
        <w:tc>
          <w:tcPr>
            <w:tcW w:w="775" w:type="dxa"/>
            <w:tcBorders>
              <w:top w:val="single" w:sz="4" w:space="0" w:color="auto"/>
              <w:left w:val="nil"/>
              <w:bottom w:val="single" w:sz="4" w:space="0" w:color="auto"/>
              <w:right w:val="single" w:sz="4" w:space="0" w:color="auto"/>
            </w:tcBorders>
            <w:shd w:val="clear" w:color="auto" w:fill="C6EFCE"/>
            <w:noWrap/>
          </w:tcPr>
          <w:p w14:paraId="56334719"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83B7695" w14:textId="77777777" w:rsidR="00FA7C11" w:rsidRDefault="00D84965">
            <w:pPr>
              <w:pStyle w:val="P68B1DB1-Normal66"/>
              <w:spacing w:after="200" w:line="276" w:lineRule="auto"/>
              <w:jc w:val="center"/>
              <w:rPr>
                <w:noProof/>
              </w:rPr>
            </w:pPr>
            <w:r>
              <w:rPr>
                <w:noProof/>
              </w:rPr>
              <w:t>50</w:t>
            </w:r>
          </w:p>
        </w:tc>
        <w:tc>
          <w:tcPr>
            <w:tcW w:w="756" w:type="dxa"/>
            <w:tcBorders>
              <w:top w:val="single" w:sz="4" w:space="0" w:color="auto"/>
              <w:left w:val="nil"/>
              <w:bottom w:val="single" w:sz="4" w:space="0" w:color="auto"/>
              <w:right w:val="single" w:sz="4" w:space="0" w:color="auto"/>
            </w:tcBorders>
            <w:shd w:val="clear" w:color="auto" w:fill="C6EFCE"/>
            <w:noWrap/>
          </w:tcPr>
          <w:p w14:paraId="6C40E634" w14:textId="77777777" w:rsidR="00FA7C11" w:rsidRDefault="00D84965">
            <w:pPr>
              <w:pStyle w:val="P68B1DB1-Normal66"/>
              <w:spacing w:after="200" w:line="276" w:lineRule="auto"/>
              <w:jc w:val="center"/>
              <w:rPr>
                <w:noProof/>
              </w:rPr>
            </w:pPr>
            <w:r>
              <w:rPr>
                <w:noProof/>
              </w:rPr>
              <w:t>Î4</w:t>
            </w:r>
          </w:p>
        </w:tc>
        <w:tc>
          <w:tcPr>
            <w:tcW w:w="567" w:type="dxa"/>
            <w:tcBorders>
              <w:top w:val="single" w:sz="4" w:space="0" w:color="auto"/>
              <w:left w:val="nil"/>
              <w:bottom w:val="single" w:sz="4" w:space="0" w:color="auto"/>
              <w:right w:val="single" w:sz="4" w:space="0" w:color="auto"/>
            </w:tcBorders>
            <w:shd w:val="clear" w:color="auto" w:fill="C6EFCE"/>
            <w:noWrap/>
          </w:tcPr>
          <w:p w14:paraId="10CC3BF3" w14:textId="77777777" w:rsidR="00FA7C11" w:rsidRDefault="00D84965">
            <w:pPr>
              <w:pStyle w:val="P68B1DB1-Normal66"/>
              <w:spacing w:after="200" w:line="276" w:lineRule="auto"/>
              <w:jc w:val="center"/>
              <w:rPr>
                <w:noProof/>
              </w:rPr>
            </w:pPr>
            <w:r>
              <w:rPr>
                <w:noProof/>
              </w:rPr>
              <w:t>2021</w:t>
            </w:r>
          </w:p>
        </w:tc>
        <w:tc>
          <w:tcPr>
            <w:tcW w:w="5577" w:type="dxa"/>
            <w:tcBorders>
              <w:top w:val="single" w:sz="4" w:space="0" w:color="auto"/>
              <w:left w:val="nil"/>
              <w:bottom w:val="single" w:sz="4" w:space="0" w:color="auto"/>
              <w:right w:val="single" w:sz="4" w:space="0" w:color="auto"/>
            </w:tcBorders>
            <w:shd w:val="clear" w:color="auto" w:fill="C6EFCE"/>
            <w:noWrap/>
          </w:tcPr>
          <w:p w14:paraId="062491DA" w14:textId="77777777" w:rsidR="00FA7C11" w:rsidRDefault="00D84965">
            <w:pPr>
              <w:pStyle w:val="P68B1DB1-Normal66"/>
              <w:spacing w:after="200" w:line="276" w:lineRule="auto"/>
              <w:rPr>
                <w:noProof/>
              </w:rPr>
            </w:pPr>
            <w:r>
              <w:rPr>
                <w:noProof/>
              </w:rPr>
              <w:t>50 contracte atribuite întreprinderilor beneficiare, în urma unei licitații publice pentru sprijinirea surselor regenerabile de energie și a măsurilor de eficiență energetică în întreprinderile mici, mijlocii și mari.</w:t>
            </w:r>
            <w:r>
              <w:rPr>
                <w:noProof/>
              </w:rPr>
              <w:br/>
              <w:t xml:space="preserve">Contractele includ măsuri de îmbunătățire a proceselor de producție în industriile prelucrătoare și corespund domeniilor de intervenție pentru urmărirea schimbărilor climatice [024 – Eficiență energetică și proiecte demonstrative în IMM-uri și măsuri de sprijin și 024a – Eficiență energetică și proiecte demonstrative în întreprinderile mari și măsuri de sprijin] din anexa VI/VII] și respectă Orientările tehnice DNSH (2021/C58/01). </w:t>
            </w:r>
            <w:r>
              <w:rPr>
                <w:noProof/>
              </w:rPr>
              <w:br/>
              <w:t>În special, punerea în aplicare a măsurilor privind eficiența energetică și/sau energia din surse regenerabile conduce la o reducere minimă de 20 % a consumului de energie în instalațiile de producție. Pentru renovarea energetică a clădirilor care însoțesc instalația de producție, care sunt legate exclusiv de procesele industriale sau de producție, punerea în aplicare a măsurilor conduce la o reducere minimă de 40 % a consumului de energie.</w:t>
            </w:r>
            <w:r>
              <w:rPr>
                <w:noProof/>
              </w:rPr>
              <w:br/>
              <w:t>Pentru a se asigura că măsura respectă Orientările tehnice de „a nu prejudicia în mod semnificativ” (2021/C58/01), lista activităților este exclusă de la măsurile prevăzute în contractele: (I) activități legate de combustibilii fosili, inclusiv utilizarea în aval [1]; (II) activitățile din cadrul schemei UE de comercializare a certificatelor de emisii (ETS) care realizează emisii preconizate de gaze cu efect de seră care nu sunt mai mici decât valorile de referință relevante [2]; (III) activități legate de depozitele de deșeuri, incineratoare [3] și stații de tratare mecano-biologică [4]; și (iv) activități în care eliminarea pe termen lung a deșeurilor poate dăuna mediului. În plus, termenii de referință impun ca numai activitățile care respectă legislația UE și națională relevantă în materie de mediu să poată fi stipulate în contracte.</w:t>
            </w:r>
          </w:p>
        </w:tc>
      </w:tr>
      <w:tr w:rsidR="00FA7C11" w14:paraId="5895512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824ADFA" w14:textId="77777777" w:rsidR="00FA7C11" w:rsidRDefault="00D84965">
            <w:pPr>
              <w:pStyle w:val="P68B1DB1-Normal66"/>
              <w:spacing w:after="200" w:line="276" w:lineRule="auto"/>
              <w:jc w:val="center"/>
              <w:rPr>
                <w:noProof/>
              </w:rPr>
            </w:pPr>
            <w:r>
              <w:rPr>
                <w:noProof/>
              </w:rPr>
              <w:t>47</w:t>
            </w:r>
          </w:p>
        </w:tc>
        <w:tc>
          <w:tcPr>
            <w:tcW w:w="1077" w:type="dxa"/>
            <w:tcBorders>
              <w:top w:val="single" w:sz="4" w:space="0" w:color="auto"/>
              <w:left w:val="nil"/>
              <w:bottom w:val="single" w:sz="4" w:space="0" w:color="auto"/>
              <w:right w:val="single" w:sz="4" w:space="0" w:color="auto"/>
            </w:tcBorders>
            <w:shd w:val="clear" w:color="auto" w:fill="C6EFCE"/>
            <w:noWrap/>
          </w:tcPr>
          <w:p w14:paraId="72331128" w14:textId="77777777" w:rsidR="00FA7C11" w:rsidRDefault="00D84965">
            <w:pPr>
              <w:pStyle w:val="P68B1DB1-Normal66"/>
              <w:spacing w:after="200" w:line="276" w:lineRule="auto"/>
              <w:jc w:val="center"/>
              <w:rPr>
                <w:noProof/>
              </w:rPr>
            </w:pPr>
            <w:r>
              <w:rPr>
                <w:noProof/>
              </w:rPr>
              <w:t>C1.2. R1-I2</w:t>
            </w:r>
          </w:p>
        </w:tc>
        <w:tc>
          <w:tcPr>
            <w:tcW w:w="1030" w:type="dxa"/>
            <w:tcBorders>
              <w:top w:val="single" w:sz="4" w:space="0" w:color="auto"/>
              <w:left w:val="nil"/>
              <w:bottom w:val="single" w:sz="4" w:space="0" w:color="auto"/>
              <w:right w:val="single" w:sz="4" w:space="0" w:color="auto"/>
            </w:tcBorders>
            <w:shd w:val="clear" w:color="auto" w:fill="C6EFCE"/>
            <w:noWrap/>
          </w:tcPr>
          <w:p w14:paraId="2C26145C" w14:textId="77777777" w:rsidR="00FA7C11" w:rsidRDefault="00D84965">
            <w:pPr>
              <w:pStyle w:val="P68B1DB1-Normal66"/>
              <w:spacing w:after="200" w:line="276" w:lineRule="auto"/>
              <w:jc w:val="center"/>
              <w:rPr>
                <w:noProof/>
              </w:rPr>
            </w:pPr>
            <w:r>
              <w:rPr>
                <w:noProof/>
              </w:rPr>
              <w:t>T</w:t>
            </w:r>
          </w:p>
        </w:tc>
        <w:tc>
          <w:tcPr>
            <w:tcW w:w="1825" w:type="dxa"/>
            <w:tcBorders>
              <w:top w:val="single" w:sz="4" w:space="0" w:color="auto"/>
              <w:left w:val="nil"/>
              <w:bottom w:val="single" w:sz="4" w:space="0" w:color="auto"/>
              <w:right w:val="single" w:sz="4" w:space="0" w:color="auto"/>
            </w:tcBorders>
            <w:shd w:val="clear" w:color="auto" w:fill="C6EFCE"/>
            <w:noWrap/>
          </w:tcPr>
          <w:p w14:paraId="4BE7C565" w14:textId="77777777" w:rsidR="00FA7C11" w:rsidRDefault="00D84965">
            <w:pPr>
              <w:pStyle w:val="P68B1DB1-Normal66"/>
              <w:spacing w:after="200" w:line="276" w:lineRule="auto"/>
              <w:rPr>
                <w:noProof/>
              </w:rPr>
            </w:pPr>
            <w:r>
              <w:rPr>
                <w:noProof/>
              </w:rPr>
              <w:t>Contracte semnate pentru explorarea potențialului geotermal</w:t>
            </w:r>
          </w:p>
        </w:tc>
        <w:tc>
          <w:tcPr>
            <w:tcW w:w="2017" w:type="dxa"/>
            <w:tcBorders>
              <w:top w:val="single" w:sz="4" w:space="0" w:color="auto"/>
              <w:left w:val="nil"/>
              <w:bottom w:val="single" w:sz="4" w:space="0" w:color="auto"/>
              <w:right w:val="single" w:sz="4" w:space="0" w:color="auto"/>
            </w:tcBorders>
            <w:shd w:val="clear" w:color="auto" w:fill="C6EFCE"/>
            <w:noWrap/>
          </w:tcPr>
          <w:p w14:paraId="158C8178" w14:textId="77777777" w:rsidR="00FA7C11" w:rsidRDefault="00D84965">
            <w:pPr>
              <w:pStyle w:val="P68B1DB1-Normal66"/>
              <w:spacing w:after="200" w:line="276" w:lineRule="auto"/>
              <w:rPr>
                <w:noProof/>
              </w:rPr>
            </w:pPr>
            <w:r>
              <w:rPr>
                <w:noProof/>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4A4FA0E6" w14:textId="77777777" w:rsidR="00FA7C11" w:rsidRDefault="00D84965">
            <w:pPr>
              <w:pStyle w:val="P68B1DB1-Normal66"/>
              <w:spacing w:after="200" w:line="276" w:lineRule="auto"/>
              <w:jc w:val="center"/>
              <w:rPr>
                <w:noProof/>
              </w:rPr>
            </w:pPr>
            <w:r>
              <w:rPr>
                <w:noProof/>
              </w:rPr>
              <w:t>Număr</w:t>
            </w:r>
          </w:p>
        </w:tc>
        <w:tc>
          <w:tcPr>
            <w:tcW w:w="775" w:type="dxa"/>
            <w:tcBorders>
              <w:top w:val="single" w:sz="4" w:space="0" w:color="auto"/>
              <w:left w:val="nil"/>
              <w:bottom w:val="single" w:sz="4" w:space="0" w:color="auto"/>
              <w:right w:val="single" w:sz="4" w:space="0" w:color="auto"/>
            </w:tcBorders>
            <w:shd w:val="clear" w:color="auto" w:fill="C6EFCE"/>
            <w:noWrap/>
          </w:tcPr>
          <w:p w14:paraId="6BDC7C42"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497CE9D" w14:textId="77777777" w:rsidR="00FA7C11" w:rsidRDefault="00D84965">
            <w:pPr>
              <w:pStyle w:val="P68B1DB1-Normal66"/>
              <w:spacing w:after="200" w:line="276" w:lineRule="auto"/>
              <w:jc w:val="center"/>
              <w:rPr>
                <w:noProof/>
              </w:rPr>
            </w:pPr>
            <w:r>
              <w:rPr>
                <w:noProof/>
              </w:rPr>
              <w:t>6</w:t>
            </w:r>
          </w:p>
        </w:tc>
        <w:tc>
          <w:tcPr>
            <w:tcW w:w="756" w:type="dxa"/>
            <w:tcBorders>
              <w:top w:val="single" w:sz="4" w:space="0" w:color="auto"/>
              <w:left w:val="nil"/>
              <w:bottom w:val="single" w:sz="4" w:space="0" w:color="auto"/>
              <w:right w:val="single" w:sz="4" w:space="0" w:color="auto"/>
            </w:tcBorders>
            <w:shd w:val="clear" w:color="auto" w:fill="C6EFCE"/>
            <w:noWrap/>
          </w:tcPr>
          <w:p w14:paraId="4EDE2065" w14:textId="77777777" w:rsidR="00FA7C11" w:rsidRDefault="00D84965">
            <w:pPr>
              <w:pStyle w:val="P68B1DB1-Normal66"/>
              <w:spacing w:after="200" w:line="276" w:lineRule="auto"/>
              <w:jc w:val="center"/>
              <w:rPr>
                <w:noProof/>
              </w:rPr>
            </w:pPr>
            <w:r>
              <w:rPr>
                <w:noProof/>
              </w:rPr>
              <w:t>Î4</w:t>
            </w:r>
          </w:p>
        </w:tc>
        <w:tc>
          <w:tcPr>
            <w:tcW w:w="567" w:type="dxa"/>
            <w:tcBorders>
              <w:top w:val="single" w:sz="4" w:space="0" w:color="auto"/>
              <w:left w:val="nil"/>
              <w:bottom w:val="single" w:sz="4" w:space="0" w:color="auto"/>
              <w:right w:val="single" w:sz="4" w:space="0" w:color="auto"/>
            </w:tcBorders>
            <w:shd w:val="clear" w:color="auto" w:fill="C6EFCE"/>
            <w:noWrap/>
          </w:tcPr>
          <w:p w14:paraId="3A8DA7D8" w14:textId="77777777" w:rsidR="00FA7C11" w:rsidRDefault="00D84965">
            <w:pPr>
              <w:pStyle w:val="P68B1DB1-Normal66"/>
              <w:spacing w:after="200" w:line="276" w:lineRule="auto"/>
              <w:jc w:val="center"/>
              <w:rPr>
                <w:noProof/>
              </w:rPr>
            </w:pPr>
            <w:r>
              <w:rPr>
                <w:noProof/>
              </w:rPr>
              <w:t>2024</w:t>
            </w:r>
          </w:p>
        </w:tc>
        <w:tc>
          <w:tcPr>
            <w:tcW w:w="5577" w:type="dxa"/>
            <w:tcBorders>
              <w:top w:val="single" w:sz="4" w:space="0" w:color="auto"/>
              <w:left w:val="nil"/>
              <w:bottom w:val="single" w:sz="4" w:space="0" w:color="auto"/>
              <w:right w:val="single" w:sz="4" w:space="0" w:color="auto"/>
            </w:tcBorders>
            <w:shd w:val="clear" w:color="auto" w:fill="C6EFCE"/>
            <w:noWrap/>
          </w:tcPr>
          <w:p w14:paraId="676CEB8C" w14:textId="77777777" w:rsidR="00FA7C11" w:rsidRDefault="00D84965">
            <w:pPr>
              <w:pStyle w:val="P68B1DB1-Normal66"/>
              <w:spacing w:after="200" w:line="276" w:lineRule="auto"/>
              <w:rPr>
                <w:noProof/>
              </w:rPr>
            </w:pPr>
            <w:r>
              <w:rPr>
                <w:noProof/>
              </w:rPr>
              <w:t xml:space="preserve">Se semnează șase contracte pentru explorarea potențialului geotermal. Vor fi semnate două contracte suplimentare pentru forarea puțurilor geotermale de explorare. </w:t>
            </w:r>
            <w:r>
              <w:rPr>
                <w:noProof/>
              </w:rPr>
              <w:br/>
            </w:r>
            <w:r>
              <w:rPr>
                <w:strike/>
                <w:noProof/>
              </w:rPr>
              <w:br/>
            </w:r>
            <w:r>
              <w:rPr>
                <w:noProof/>
              </w:rPr>
              <w:t xml:space="preserve">Proiectul nu va include explorarea sau extracția de petrol sau gaze. Nu trebuie să existe echipamente achiziționate sau utilizate în astfel de scopuri. </w:t>
            </w:r>
            <w:r>
              <w:rPr>
                <w:noProof/>
              </w:rPr>
              <w:br/>
              <w:t xml:space="preserve">Se asigură că nu există emisii de metan. De asemenea, se asigură faptul că forajul geotermal nu va avea niciun impact dăunător asupra deficitului de apă și a calității apei. </w:t>
            </w:r>
            <w:r>
              <w:rPr>
                <w:noProof/>
              </w:rPr>
              <w:br/>
              <w:t>Această măsură nu prevede sprijin pentru sistemele de încălzire centralizată care utilizează surse de energie fosile și nici investiții în instalații care intră în domeniul de aplicare al schemei UE de comercializare a certificatelor de emisii (ETS).</w:t>
            </w:r>
          </w:p>
        </w:tc>
      </w:tr>
      <w:tr w:rsidR="00FA7C11" w14:paraId="50083D0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356D8DF" w14:textId="77777777" w:rsidR="00FA7C11" w:rsidRDefault="00D84965">
            <w:pPr>
              <w:pStyle w:val="P68B1DB1-Normal66"/>
              <w:spacing w:after="200" w:line="276" w:lineRule="auto"/>
              <w:jc w:val="center"/>
              <w:rPr>
                <w:noProof/>
              </w:rPr>
            </w:pPr>
            <w:r>
              <w:rPr>
                <w:noProof/>
              </w:rPr>
              <w:t>48</w:t>
            </w:r>
          </w:p>
        </w:tc>
        <w:tc>
          <w:tcPr>
            <w:tcW w:w="1077" w:type="dxa"/>
            <w:tcBorders>
              <w:top w:val="single" w:sz="4" w:space="0" w:color="auto"/>
              <w:left w:val="nil"/>
              <w:bottom w:val="single" w:sz="4" w:space="0" w:color="auto"/>
              <w:right w:val="single" w:sz="4" w:space="0" w:color="auto"/>
            </w:tcBorders>
            <w:shd w:val="clear" w:color="auto" w:fill="C6EFCE"/>
            <w:noWrap/>
          </w:tcPr>
          <w:p w14:paraId="65CADA72" w14:textId="77777777" w:rsidR="00FA7C11" w:rsidRDefault="00D84965">
            <w:pPr>
              <w:pStyle w:val="P68B1DB1-Normal66"/>
              <w:spacing w:after="200" w:line="276" w:lineRule="auto"/>
              <w:jc w:val="center"/>
              <w:rPr>
                <w:noProof/>
              </w:rPr>
            </w:pPr>
            <w:r>
              <w:rPr>
                <w:noProof/>
              </w:rPr>
              <w:t>C1.2. R1-I2</w:t>
            </w:r>
          </w:p>
        </w:tc>
        <w:tc>
          <w:tcPr>
            <w:tcW w:w="1030" w:type="dxa"/>
            <w:tcBorders>
              <w:top w:val="single" w:sz="4" w:space="0" w:color="auto"/>
              <w:left w:val="nil"/>
              <w:bottom w:val="single" w:sz="4" w:space="0" w:color="auto"/>
              <w:right w:val="single" w:sz="4" w:space="0" w:color="auto"/>
            </w:tcBorders>
            <w:shd w:val="clear" w:color="auto" w:fill="C6EFCE"/>
            <w:noWrap/>
          </w:tcPr>
          <w:p w14:paraId="322B35EF" w14:textId="77777777" w:rsidR="00FA7C11" w:rsidRDefault="00D84965">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3EC0E897" w14:textId="77777777" w:rsidR="00FA7C11" w:rsidRDefault="00D84965">
            <w:pPr>
              <w:pStyle w:val="P68B1DB1-Normal66"/>
              <w:spacing w:after="200" w:line="276" w:lineRule="auto"/>
              <w:rPr>
                <w:noProof/>
              </w:rPr>
            </w:pPr>
            <w:r>
              <w:rPr>
                <w:noProof/>
              </w:rPr>
              <w:t xml:space="preserve">Rezultatele potențialului geotermal pentru încălzirea centralizată puse la dispoziția publicului </w:t>
            </w:r>
          </w:p>
        </w:tc>
        <w:tc>
          <w:tcPr>
            <w:tcW w:w="2017" w:type="dxa"/>
            <w:tcBorders>
              <w:top w:val="single" w:sz="4" w:space="0" w:color="auto"/>
              <w:left w:val="nil"/>
              <w:bottom w:val="single" w:sz="4" w:space="0" w:color="auto"/>
              <w:right w:val="single" w:sz="4" w:space="0" w:color="auto"/>
            </w:tcBorders>
            <w:shd w:val="clear" w:color="auto" w:fill="C6EFCE"/>
            <w:noWrap/>
          </w:tcPr>
          <w:p w14:paraId="09A7CFBC" w14:textId="77777777" w:rsidR="00FA7C11" w:rsidRDefault="00D84965">
            <w:pPr>
              <w:pStyle w:val="P68B1DB1-Normal66"/>
              <w:spacing w:after="200" w:line="276" w:lineRule="auto"/>
              <w:rPr>
                <w:noProof/>
              </w:rPr>
            </w:pPr>
            <w:r>
              <w:rPr>
                <w:noProof/>
              </w:rPr>
              <w:t>Rezultatele sunt publicate pe site-ul Agenției croate pentru hidrocarburi</w:t>
            </w:r>
          </w:p>
        </w:tc>
        <w:tc>
          <w:tcPr>
            <w:tcW w:w="725" w:type="dxa"/>
            <w:tcBorders>
              <w:top w:val="single" w:sz="4" w:space="0" w:color="auto"/>
              <w:left w:val="nil"/>
              <w:bottom w:val="single" w:sz="4" w:space="0" w:color="auto"/>
              <w:right w:val="single" w:sz="4" w:space="0" w:color="auto"/>
            </w:tcBorders>
            <w:shd w:val="clear" w:color="auto" w:fill="C6EFCE"/>
            <w:noWrap/>
          </w:tcPr>
          <w:p w14:paraId="05D921D6" w14:textId="77777777" w:rsidR="00FA7C11" w:rsidRDefault="00D84965">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75F3CD9B"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25239C5C"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6232425F" w14:textId="77777777" w:rsidR="00FA7C11" w:rsidRDefault="00D84965">
            <w:pPr>
              <w:pStyle w:val="P68B1DB1-Normal66"/>
              <w:spacing w:after="200" w:line="276" w:lineRule="auto"/>
              <w:jc w:val="center"/>
              <w:rPr>
                <w:noProof/>
              </w:rPr>
            </w:pPr>
            <w:r>
              <w:rPr>
                <w:noProof/>
              </w:rPr>
              <w:t>Î4</w:t>
            </w:r>
          </w:p>
        </w:tc>
        <w:tc>
          <w:tcPr>
            <w:tcW w:w="567" w:type="dxa"/>
            <w:tcBorders>
              <w:top w:val="single" w:sz="4" w:space="0" w:color="auto"/>
              <w:left w:val="nil"/>
              <w:bottom w:val="single" w:sz="4" w:space="0" w:color="auto"/>
              <w:right w:val="single" w:sz="4" w:space="0" w:color="auto"/>
            </w:tcBorders>
            <w:shd w:val="clear" w:color="auto" w:fill="C6EFCE"/>
            <w:noWrap/>
          </w:tcPr>
          <w:p w14:paraId="3D292542" w14:textId="77777777" w:rsidR="00FA7C11" w:rsidRDefault="00D84965">
            <w:pPr>
              <w:pStyle w:val="P68B1DB1-Normal66"/>
              <w:spacing w:after="200" w:line="276" w:lineRule="auto"/>
              <w:jc w:val="center"/>
              <w:rPr>
                <w:noProof/>
              </w:rPr>
            </w:pPr>
            <w:r>
              <w:rPr>
                <w:noProof/>
              </w:rPr>
              <w:t>2025</w:t>
            </w:r>
          </w:p>
        </w:tc>
        <w:tc>
          <w:tcPr>
            <w:tcW w:w="5577" w:type="dxa"/>
            <w:tcBorders>
              <w:top w:val="single" w:sz="4" w:space="0" w:color="auto"/>
              <w:left w:val="nil"/>
              <w:bottom w:val="single" w:sz="4" w:space="0" w:color="auto"/>
              <w:right w:val="single" w:sz="4" w:space="0" w:color="auto"/>
            </w:tcBorders>
            <w:shd w:val="clear" w:color="auto" w:fill="C6EFCE"/>
            <w:noWrap/>
          </w:tcPr>
          <w:p w14:paraId="6E871A48" w14:textId="77777777" w:rsidR="00FA7C11" w:rsidRDefault="00D84965">
            <w:pPr>
              <w:pStyle w:val="P68B1DB1-Normal66"/>
              <w:spacing w:after="200" w:line="276" w:lineRule="auto"/>
              <w:rPr>
                <w:noProof/>
              </w:rPr>
            </w:pPr>
            <w:r>
              <w:rPr>
                <w:noProof/>
              </w:rPr>
              <w:t xml:space="preserve">Rezultatele activităților de explorare sunt puse la dispoziția publicului și sunt publicate pe site-ul Agenției pentru hidrocarburi. </w:t>
            </w:r>
          </w:p>
        </w:tc>
      </w:tr>
      <w:tr w:rsidR="00FA7C11" w14:paraId="39F8B66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71A45ED" w14:textId="77777777" w:rsidR="00FA7C11" w:rsidRDefault="00D84965">
            <w:pPr>
              <w:pStyle w:val="P68B1DB1-Normal66"/>
              <w:spacing w:after="200" w:line="276" w:lineRule="auto"/>
              <w:jc w:val="center"/>
              <w:rPr>
                <w:noProof/>
              </w:rPr>
            </w:pPr>
            <w:r>
              <w:rPr>
                <w:noProof/>
              </w:rPr>
              <w:t>49</w:t>
            </w:r>
          </w:p>
        </w:tc>
        <w:tc>
          <w:tcPr>
            <w:tcW w:w="1077" w:type="dxa"/>
            <w:tcBorders>
              <w:top w:val="single" w:sz="4" w:space="0" w:color="auto"/>
              <w:left w:val="nil"/>
              <w:bottom w:val="single" w:sz="4" w:space="0" w:color="auto"/>
              <w:right w:val="single" w:sz="4" w:space="0" w:color="auto"/>
            </w:tcBorders>
            <w:shd w:val="clear" w:color="auto" w:fill="C6EFCE"/>
            <w:noWrap/>
          </w:tcPr>
          <w:p w14:paraId="75F9961F" w14:textId="77777777" w:rsidR="00FA7C11" w:rsidRDefault="00D84965">
            <w:pPr>
              <w:pStyle w:val="P68B1DB1-Normal66"/>
              <w:spacing w:after="200" w:line="276" w:lineRule="auto"/>
              <w:jc w:val="center"/>
              <w:rPr>
                <w:noProof/>
              </w:rPr>
            </w:pPr>
            <w:r>
              <w:rPr>
                <w:noProof/>
              </w:rPr>
              <w:t>C1.2. R1-I3</w:t>
            </w:r>
          </w:p>
        </w:tc>
        <w:tc>
          <w:tcPr>
            <w:tcW w:w="1030" w:type="dxa"/>
            <w:tcBorders>
              <w:top w:val="single" w:sz="4" w:space="0" w:color="auto"/>
              <w:left w:val="nil"/>
              <w:bottom w:val="single" w:sz="4" w:space="0" w:color="auto"/>
              <w:right w:val="single" w:sz="4" w:space="0" w:color="auto"/>
            </w:tcBorders>
            <w:shd w:val="clear" w:color="auto" w:fill="C6EFCE"/>
            <w:noWrap/>
          </w:tcPr>
          <w:p w14:paraId="03011B3A" w14:textId="77777777" w:rsidR="00FA7C11" w:rsidRDefault="00D84965">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5C7E2C34" w14:textId="77777777" w:rsidR="00FA7C11" w:rsidRDefault="00D84965">
            <w:pPr>
              <w:pStyle w:val="P68B1DB1-Normal66"/>
              <w:spacing w:after="200" w:line="276" w:lineRule="auto"/>
              <w:rPr>
                <w:noProof/>
              </w:rPr>
            </w:pPr>
            <w:r>
              <w:rPr>
                <w:noProof/>
              </w:rPr>
              <w:t>Intrarea în vigoare a Legii privind combustibilii alternativi pentru transport</w:t>
            </w:r>
          </w:p>
        </w:tc>
        <w:tc>
          <w:tcPr>
            <w:tcW w:w="2017" w:type="dxa"/>
            <w:tcBorders>
              <w:top w:val="single" w:sz="4" w:space="0" w:color="auto"/>
              <w:left w:val="nil"/>
              <w:bottom w:val="single" w:sz="4" w:space="0" w:color="auto"/>
              <w:right w:val="single" w:sz="4" w:space="0" w:color="auto"/>
            </w:tcBorders>
            <w:shd w:val="clear" w:color="auto" w:fill="C6EFCE"/>
            <w:noWrap/>
          </w:tcPr>
          <w:p w14:paraId="6F72A034" w14:textId="77777777" w:rsidR="00FA7C11" w:rsidRDefault="00D84965">
            <w:pPr>
              <w:pStyle w:val="P68B1DB1-Normal66"/>
              <w:spacing w:after="200" w:line="276" w:lineRule="auto"/>
              <w:rPr>
                <w:noProof/>
              </w:rPr>
            </w:pPr>
            <w:r>
              <w:rPr>
                <w:noProof/>
              </w:rPr>
              <w:t xml:space="preserve">Intrarea în vigoare a Legii privind combustibilii alternativi pentru transport </w:t>
            </w:r>
          </w:p>
        </w:tc>
        <w:tc>
          <w:tcPr>
            <w:tcW w:w="725" w:type="dxa"/>
            <w:tcBorders>
              <w:top w:val="single" w:sz="4" w:space="0" w:color="auto"/>
              <w:left w:val="nil"/>
              <w:bottom w:val="single" w:sz="4" w:space="0" w:color="auto"/>
              <w:right w:val="single" w:sz="4" w:space="0" w:color="auto"/>
            </w:tcBorders>
            <w:shd w:val="clear" w:color="auto" w:fill="C6EFCE"/>
            <w:noWrap/>
          </w:tcPr>
          <w:p w14:paraId="1B78EF84" w14:textId="77777777" w:rsidR="00FA7C11" w:rsidRDefault="00D84965">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098961EA"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767E0201"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B1FE2D0" w14:textId="77777777" w:rsidR="00FA7C11" w:rsidRDefault="00D84965">
            <w:pPr>
              <w:pStyle w:val="P68B1DB1-Normal66"/>
              <w:spacing w:after="200" w:line="276" w:lineRule="auto"/>
              <w:jc w:val="center"/>
              <w:rPr>
                <w:noProof/>
              </w:rPr>
            </w:pPr>
            <w:r>
              <w:rPr>
                <w:noProof/>
              </w:rPr>
              <w:t>Î3</w:t>
            </w:r>
          </w:p>
        </w:tc>
        <w:tc>
          <w:tcPr>
            <w:tcW w:w="567" w:type="dxa"/>
            <w:tcBorders>
              <w:top w:val="single" w:sz="4" w:space="0" w:color="auto"/>
              <w:left w:val="nil"/>
              <w:bottom w:val="single" w:sz="4" w:space="0" w:color="auto"/>
              <w:right w:val="single" w:sz="4" w:space="0" w:color="auto"/>
            </w:tcBorders>
            <w:shd w:val="clear" w:color="auto" w:fill="C6EFCE"/>
            <w:noWrap/>
          </w:tcPr>
          <w:p w14:paraId="714D288A" w14:textId="77777777" w:rsidR="00FA7C11" w:rsidRDefault="00D84965">
            <w:pPr>
              <w:pStyle w:val="P68B1DB1-Normal66"/>
              <w:spacing w:after="200" w:line="276" w:lineRule="auto"/>
              <w:jc w:val="center"/>
              <w:rPr>
                <w:noProof/>
              </w:rPr>
            </w:pPr>
            <w:r>
              <w:rPr>
                <w:noProof/>
              </w:rPr>
              <w:t>2021</w:t>
            </w:r>
          </w:p>
        </w:tc>
        <w:tc>
          <w:tcPr>
            <w:tcW w:w="5577" w:type="dxa"/>
            <w:tcBorders>
              <w:top w:val="single" w:sz="4" w:space="0" w:color="auto"/>
              <w:left w:val="nil"/>
              <w:bottom w:val="single" w:sz="4" w:space="0" w:color="auto"/>
              <w:right w:val="single" w:sz="4" w:space="0" w:color="auto"/>
            </w:tcBorders>
            <w:shd w:val="clear" w:color="auto" w:fill="C6EFCE"/>
            <w:noWrap/>
          </w:tcPr>
          <w:p w14:paraId="38193450" w14:textId="77777777" w:rsidR="00FA7C11" w:rsidRDefault="00D84965">
            <w:pPr>
              <w:pStyle w:val="P68B1DB1-Normal66"/>
              <w:spacing w:after="200" w:line="276" w:lineRule="auto"/>
              <w:rPr>
                <w:noProof/>
              </w:rPr>
            </w:pPr>
            <w:r>
              <w:rPr>
                <w:noProof/>
              </w:rPr>
              <w:t>Până în 3Q/2021, a intrat în vigoare Legea privind combustibilii alternativi pentru transport, în conformitate cu acquis-ul UE. Actul promovează producția și utilizarea biocombustibililor avansați/hidrogenului în transporturi.</w:t>
            </w:r>
          </w:p>
        </w:tc>
      </w:tr>
      <w:tr w:rsidR="00FA7C11" w14:paraId="253F2D6E"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57A895A" w14:textId="77777777" w:rsidR="00FA7C11" w:rsidRDefault="00D84965">
            <w:pPr>
              <w:pStyle w:val="P68B1DB1-Normal66"/>
              <w:spacing w:after="200" w:line="276" w:lineRule="auto"/>
              <w:jc w:val="center"/>
              <w:rPr>
                <w:noProof/>
              </w:rPr>
            </w:pPr>
            <w:r>
              <w:rPr>
                <w:noProof/>
              </w:rPr>
              <w:t>50</w:t>
            </w:r>
          </w:p>
        </w:tc>
        <w:tc>
          <w:tcPr>
            <w:tcW w:w="1077" w:type="dxa"/>
            <w:tcBorders>
              <w:top w:val="single" w:sz="4" w:space="0" w:color="auto"/>
              <w:left w:val="nil"/>
              <w:bottom w:val="single" w:sz="4" w:space="0" w:color="auto"/>
              <w:right w:val="single" w:sz="4" w:space="0" w:color="auto"/>
            </w:tcBorders>
            <w:shd w:val="clear" w:color="auto" w:fill="C6EFCE"/>
            <w:noWrap/>
          </w:tcPr>
          <w:p w14:paraId="18F405CF" w14:textId="77777777" w:rsidR="00FA7C11" w:rsidRDefault="00D84965">
            <w:pPr>
              <w:pStyle w:val="P68B1DB1-Normal66"/>
              <w:spacing w:after="200" w:line="276" w:lineRule="auto"/>
              <w:jc w:val="center"/>
              <w:rPr>
                <w:noProof/>
              </w:rPr>
            </w:pPr>
            <w:r>
              <w:rPr>
                <w:noProof/>
              </w:rPr>
              <w:t>C1.2. R1-I3</w:t>
            </w:r>
          </w:p>
        </w:tc>
        <w:tc>
          <w:tcPr>
            <w:tcW w:w="1030" w:type="dxa"/>
            <w:tcBorders>
              <w:top w:val="single" w:sz="4" w:space="0" w:color="auto"/>
              <w:left w:val="nil"/>
              <w:bottom w:val="single" w:sz="4" w:space="0" w:color="auto"/>
              <w:right w:val="single" w:sz="4" w:space="0" w:color="auto"/>
            </w:tcBorders>
            <w:shd w:val="clear" w:color="auto" w:fill="C6EFCE"/>
            <w:noWrap/>
          </w:tcPr>
          <w:p w14:paraId="648F8DF2" w14:textId="77777777" w:rsidR="00FA7C11" w:rsidRDefault="00D84965">
            <w:pPr>
              <w:pStyle w:val="P68B1DB1-Normal66"/>
              <w:spacing w:after="200" w:line="276" w:lineRule="auto"/>
              <w:jc w:val="center"/>
              <w:rPr>
                <w:noProof/>
              </w:rPr>
            </w:pPr>
            <w:r>
              <w:rPr>
                <w:noProof/>
              </w:rPr>
              <w:t>M</w:t>
            </w:r>
          </w:p>
        </w:tc>
        <w:tc>
          <w:tcPr>
            <w:tcW w:w="1825" w:type="dxa"/>
            <w:tcBorders>
              <w:top w:val="single" w:sz="4" w:space="0" w:color="auto"/>
              <w:left w:val="nil"/>
              <w:bottom w:val="single" w:sz="4" w:space="0" w:color="auto"/>
              <w:right w:val="single" w:sz="4" w:space="0" w:color="auto"/>
            </w:tcBorders>
            <w:shd w:val="clear" w:color="auto" w:fill="C6EFCE"/>
            <w:noWrap/>
          </w:tcPr>
          <w:p w14:paraId="72455C25" w14:textId="77777777" w:rsidR="00FA7C11" w:rsidRDefault="00D84965">
            <w:pPr>
              <w:pStyle w:val="P68B1DB1-Normal66"/>
              <w:spacing w:after="200" w:line="276" w:lineRule="auto"/>
              <w:rPr>
                <w:noProof/>
              </w:rPr>
            </w:pPr>
            <w:r>
              <w:rPr>
                <w:noProof/>
              </w:rPr>
              <w:t>Adoptarea strategiei de dezvoltare a hidrogenului</w:t>
            </w:r>
          </w:p>
        </w:tc>
        <w:tc>
          <w:tcPr>
            <w:tcW w:w="2017" w:type="dxa"/>
            <w:tcBorders>
              <w:top w:val="single" w:sz="4" w:space="0" w:color="auto"/>
              <w:left w:val="nil"/>
              <w:bottom w:val="single" w:sz="4" w:space="0" w:color="auto"/>
              <w:right w:val="single" w:sz="4" w:space="0" w:color="auto"/>
            </w:tcBorders>
            <w:shd w:val="clear" w:color="auto" w:fill="C6EFCE"/>
            <w:noWrap/>
          </w:tcPr>
          <w:p w14:paraId="69ECF279" w14:textId="77777777" w:rsidR="00FA7C11" w:rsidRDefault="00D84965">
            <w:pPr>
              <w:pStyle w:val="P68B1DB1-Normal66"/>
              <w:spacing w:after="200" w:line="276" w:lineRule="auto"/>
              <w:rPr>
                <w:noProof/>
              </w:rPr>
            </w:pPr>
            <w:r>
              <w:rPr>
                <w:noProof/>
              </w:rPr>
              <w:t xml:space="preserve">Intrarea în vigoare a Strategiei privind hidrogenul pentru Croația </w:t>
            </w:r>
          </w:p>
        </w:tc>
        <w:tc>
          <w:tcPr>
            <w:tcW w:w="725" w:type="dxa"/>
            <w:tcBorders>
              <w:top w:val="single" w:sz="4" w:space="0" w:color="auto"/>
              <w:left w:val="nil"/>
              <w:bottom w:val="single" w:sz="4" w:space="0" w:color="auto"/>
              <w:right w:val="single" w:sz="4" w:space="0" w:color="auto"/>
            </w:tcBorders>
            <w:shd w:val="clear" w:color="auto" w:fill="C6EFCE"/>
            <w:noWrap/>
          </w:tcPr>
          <w:p w14:paraId="421EEFB0" w14:textId="77777777" w:rsidR="00FA7C11" w:rsidRDefault="00D84965">
            <w:pPr>
              <w:pStyle w:val="P68B1DB1-Normal66"/>
              <w:spacing w:after="200" w:line="276" w:lineRule="auto"/>
              <w:jc w:val="center"/>
              <w:rPr>
                <w:noProof/>
              </w:rPr>
            </w:pPr>
            <w:r>
              <w:rPr>
                <w:noProof/>
              </w:rPr>
              <w:t> </w:t>
            </w:r>
          </w:p>
        </w:tc>
        <w:tc>
          <w:tcPr>
            <w:tcW w:w="775" w:type="dxa"/>
            <w:tcBorders>
              <w:top w:val="single" w:sz="4" w:space="0" w:color="auto"/>
              <w:left w:val="nil"/>
              <w:bottom w:val="single" w:sz="4" w:space="0" w:color="auto"/>
              <w:right w:val="single" w:sz="4" w:space="0" w:color="auto"/>
            </w:tcBorders>
            <w:shd w:val="clear" w:color="auto" w:fill="C6EFCE"/>
            <w:noWrap/>
          </w:tcPr>
          <w:p w14:paraId="37DE03B6"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5B412F9D"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6ECC7359" w14:textId="77777777" w:rsidR="00FA7C11" w:rsidRDefault="00D84965">
            <w:pPr>
              <w:pStyle w:val="P68B1DB1-Normal66"/>
              <w:spacing w:after="200" w:line="276" w:lineRule="auto"/>
              <w:jc w:val="center"/>
              <w:rPr>
                <w:noProof/>
              </w:rPr>
            </w:pPr>
            <w:r>
              <w:rPr>
                <w:noProof/>
              </w:rPr>
              <w:t>Î1</w:t>
            </w:r>
          </w:p>
        </w:tc>
        <w:tc>
          <w:tcPr>
            <w:tcW w:w="567" w:type="dxa"/>
            <w:tcBorders>
              <w:top w:val="single" w:sz="4" w:space="0" w:color="auto"/>
              <w:left w:val="nil"/>
              <w:bottom w:val="single" w:sz="4" w:space="0" w:color="auto"/>
              <w:right w:val="single" w:sz="4" w:space="0" w:color="auto"/>
            </w:tcBorders>
            <w:shd w:val="clear" w:color="auto" w:fill="C6EFCE"/>
            <w:noWrap/>
          </w:tcPr>
          <w:p w14:paraId="34720AF4" w14:textId="77777777" w:rsidR="00FA7C11" w:rsidRDefault="00D84965">
            <w:pPr>
              <w:pStyle w:val="P68B1DB1-Normal66"/>
              <w:spacing w:after="200" w:line="276" w:lineRule="auto"/>
              <w:jc w:val="center"/>
              <w:rPr>
                <w:noProof/>
              </w:rPr>
            </w:pPr>
            <w:r>
              <w:rPr>
                <w:noProof/>
              </w:rPr>
              <w:t>2022</w:t>
            </w:r>
          </w:p>
        </w:tc>
        <w:tc>
          <w:tcPr>
            <w:tcW w:w="5577" w:type="dxa"/>
            <w:tcBorders>
              <w:top w:val="single" w:sz="4" w:space="0" w:color="auto"/>
              <w:left w:val="nil"/>
              <w:bottom w:val="single" w:sz="4" w:space="0" w:color="auto"/>
              <w:right w:val="single" w:sz="4" w:space="0" w:color="auto"/>
            </w:tcBorders>
            <w:shd w:val="clear" w:color="auto" w:fill="C6EFCE"/>
            <w:noWrap/>
          </w:tcPr>
          <w:p w14:paraId="161B0298" w14:textId="77777777" w:rsidR="00FA7C11" w:rsidRDefault="00D84965">
            <w:pPr>
              <w:pStyle w:val="P68B1DB1-Normal66"/>
              <w:spacing w:after="200" w:line="276" w:lineRule="auto"/>
              <w:rPr>
                <w:noProof/>
              </w:rPr>
            </w:pPr>
            <w:r>
              <w:rPr>
                <w:noProof/>
              </w:rPr>
              <w:t>Strategia de dezvoltare a hidrogenului include obiective cuantificate privind potențialul de producție al hidrogenului verde până în 2030, pe baza electrolizei. Strategia detaliază în special rolul potențial al hidrogenului verde în decarbonizarea sectorului transporturilor.</w:t>
            </w:r>
          </w:p>
        </w:tc>
      </w:tr>
    </w:tbl>
    <w:p w14:paraId="03BE8EE2" w14:textId="77777777" w:rsidR="00FA7C11" w:rsidRDefault="00FA7C11">
      <w:pPr>
        <w:rPr>
          <w:noProof/>
        </w:rPr>
        <w:sectPr w:rsidR="00FA7C11" w:rsidSect="00FA29B2">
          <w:headerReference w:type="even" r:id="rId44"/>
          <w:headerReference w:type="default" r:id="rId45"/>
          <w:footerReference w:type="even" r:id="rId46"/>
          <w:footerReference w:type="default" r:id="rId47"/>
          <w:headerReference w:type="first" r:id="rId48"/>
          <w:footerReference w:type="first" r:id="rId49"/>
          <w:pgSz w:w="16839" w:h="11907" w:orient="landscape"/>
          <w:pgMar w:top="1134" w:right="1134" w:bottom="1134" w:left="1134" w:header="567" w:footer="567" w:gutter="0"/>
          <w:cols w:space="708"/>
          <w:docGrid w:linePitch="360"/>
        </w:sectPr>
      </w:pPr>
    </w:p>
    <w:p w14:paraId="407C373D" w14:textId="77777777" w:rsidR="00FA7C11" w:rsidRDefault="00D84965">
      <w:pPr>
        <w:pStyle w:val="P68B1DB1-Normal32"/>
        <w:keepNext/>
        <w:tabs>
          <w:tab w:val="left" w:pos="850"/>
        </w:tabs>
        <w:spacing w:before="360" w:line="240" w:lineRule="auto"/>
        <w:ind w:left="850" w:hanging="850"/>
        <w:jc w:val="both"/>
        <w:outlineLvl w:val="0"/>
        <w:rPr>
          <w:bCs/>
          <w:noProof/>
        </w:rPr>
      </w:pPr>
      <w:r>
        <w:rPr>
          <w:noProof/>
        </w:rPr>
        <w:t>C. COMPONENTA 1.3: ÎMBUNĂTĂȚIREA GESTIONĂRII APEI ȘI A DEȘEURILOR</w:t>
      </w:r>
    </w:p>
    <w:p w14:paraId="785FEF68" w14:textId="77777777" w:rsidR="00FA7C11" w:rsidRDefault="00D84965">
      <w:pPr>
        <w:pStyle w:val="P68B1DB1-Normal33"/>
        <w:spacing w:line="240" w:lineRule="auto"/>
        <w:jc w:val="both"/>
        <w:rPr>
          <w:noProof/>
        </w:rPr>
      </w:pPr>
      <w:r>
        <w:rPr>
          <w:noProof/>
        </w:rPr>
        <w:t xml:space="preserve">Scopul acestei componente a planului croat de redresare și reziliență este de a contribui la conservarea mediului, la conservarea biodiversității și la adaptarea la schimbările climatice, creând astfel condiții pentru consolidarea rezilienței ecologice, sociale și economice. </w:t>
      </w:r>
    </w:p>
    <w:p w14:paraId="1370573B" w14:textId="77777777" w:rsidR="00FA7C11" w:rsidRDefault="00D84965">
      <w:pPr>
        <w:pStyle w:val="P68B1DB1-Normal33"/>
        <w:spacing w:line="240" w:lineRule="auto"/>
        <w:jc w:val="both"/>
        <w:rPr>
          <w:noProof/>
        </w:rPr>
      </w:pPr>
      <w:r>
        <w:rPr>
          <w:noProof/>
        </w:rPr>
        <w:t>Investițiile planificate în cadrul componentei 1.3 vizează reducerea deficitului de investiții în sectoarele de gestionare a apei și a deșeurilor, estimat la aproape 7 % din PIB-ul Croației din 2019. Investițiile sunt sprijinite prin reforme menite să consolideze sectorul apei și să îmbunătățească gestionarea apei în Croația. În plus, se adoptă noi acte legislative privind deșeurile și noi planuri de gestionare a deșeurilor pentru a promova economia circulară, în conformitate cu noul plan de acțiune al UE privind economia circulară.</w:t>
      </w:r>
    </w:p>
    <w:p w14:paraId="57CF1C05" w14:textId="77777777" w:rsidR="00FA7C11" w:rsidRDefault="00D84965">
      <w:pPr>
        <w:pStyle w:val="P68B1DB1-Normal33"/>
        <w:spacing w:line="240" w:lineRule="auto"/>
        <w:jc w:val="both"/>
        <w:rPr>
          <w:noProof/>
        </w:rPr>
      </w:pPr>
      <w:r>
        <w:rPr>
          <w:noProof/>
        </w:rPr>
        <w:t xml:space="preserve">Aceste investiții și reforme contribuie la punerea în aplicare a recomandărilor specifice fiecărei țări adresate Croației în 2019 și 2020, la necesitatea de a „concentra politica în materie de investiții asupra [...] infrastructurii de mediu, ținând seama de disparitățile regionale” (recomandările specifice fiecărei țări 3 și 2019) și de a „concentra investițiile asupra tranziției verzi [...], în special asupra infrastructurii de mediu” (recomandările specifice fiecărei țări 3 și 2020). </w:t>
      </w:r>
    </w:p>
    <w:p w14:paraId="3F72BE63" w14:textId="77777777" w:rsidR="00FA7C11" w:rsidRDefault="00D84965">
      <w:pPr>
        <w:pStyle w:val="P68B1DB1-Normal57"/>
        <w:keepNext/>
        <w:spacing w:after="200" w:line="276" w:lineRule="auto"/>
        <w:ind w:left="851" w:right="-24"/>
        <w:jc w:val="both"/>
        <w:outlineLvl w:val="1"/>
        <w:rPr>
          <w:rFonts w:eastAsia="Calibri"/>
          <w:noProof/>
        </w:rPr>
      </w:pPr>
      <w:r>
        <w:rPr>
          <w:noProof/>
        </w:rPr>
        <w:t xml:space="preserve">C.1. </w:t>
      </w:r>
      <w:r>
        <w:rPr>
          <w:noProof/>
        </w:rPr>
        <w:tab/>
        <w:t>Descrierea reformelor și a investițiilor pentru sprijinul financiar nerambursabil</w:t>
      </w:r>
    </w:p>
    <w:p w14:paraId="2FFEBC40" w14:textId="77777777" w:rsidR="00FA7C11" w:rsidRDefault="00D84965">
      <w:pPr>
        <w:pStyle w:val="P68B1DB1-Normal96"/>
        <w:keepNext/>
        <w:tabs>
          <w:tab w:val="num" w:pos="850"/>
        </w:tabs>
        <w:spacing w:after="200" w:line="276" w:lineRule="auto"/>
        <w:ind w:left="851"/>
        <w:jc w:val="both"/>
        <w:outlineLvl w:val="2"/>
        <w:rPr>
          <w:rFonts w:eastAsia="Calibri"/>
          <w:noProof/>
        </w:rPr>
      </w:pPr>
      <w:r>
        <w:rPr>
          <w:noProof/>
        </w:rPr>
        <w:t>Reforma C1.3 R1 – Punerea în aplicare a programului de gestionare a apei</w:t>
      </w:r>
    </w:p>
    <w:p w14:paraId="5A88A662" w14:textId="77777777" w:rsidR="00FA7C11" w:rsidRDefault="00D84965">
      <w:pPr>
        <w:pStyle w:val="P68B1DB1-Normal33"/>
        <w:spacing w:line="240" w:lineRule="auto"/>
        <w:jc w:val="both"/>
        <w:rPr>
          <w:noProof/>
        </w:rPr>
      </w:pPr>
      <w:r>
        <w:rPr>
          <w:noProof/>
        </w:rPr>
        <w:t xml:space="preserve">Obiectivul acestei reforme este de a aborda fragmentarea furnizorilor publici de apă din Croația. Scopul său este de a consolida și de a reduce numărul furnizorilor de apă, pentru a îmbunătăți eficiența și guvernanța acestora. Această reformă introduce un sistem de evaluare comparativă pentru monitorizarea și raportarea performanței operaționale și financiare a furnizorilor de servicii de alimentare cu apă și contribuie la îmbunătățirea sustenabilității pe termen lung a investițiilor în infrastructură. </w:t>
      </w:r>
    </w:p>
    <w:p w14:paraId="4763F437" w14:textId="77777777" w:rsidR="00FA7C11" w:rsidRDefault="00D84965">
      <w:pPr>
        <w:pStyle w:val="P68B1DB1-Normal33"/>
        <w:spacing w:line="240" w:lineRule="auto"/>
        <w:jc w:val="both"/>
        <w:rPr>
          <w:noProof/>
        </w:rPr>
      </w:pPr>
      <w:r>
        <w:rPr>
          <w:noProof/>
        </w:rPr>
        <w:t xml:space="preserve">Această reformă este pusă în aplicare prin intrarea în vigoare a modificărilor a patru regulamente: </w:t>
      </w:r>
    </w:p>
    <w:p w14:paraId="609CAA0F" w14:textId="77777777" w:rsidR="00FA7C11" w:rsidRDefault="00D84965">
      <w:pPr>
        <w:pStyle w:val="P68B1DB1-Normal83"/>
        <w:keepNext/>
        <w:numPr>
          <w:ilvl w:val="0"/>
          <w:numId w:val="49"/>
        </w:numPr>
        <w:tabs>
          <w:tab w:val="left" w:pos="426"/>
        </w:tabs>
        <w:spacing w:after="200" w:line="276" w:lineRule="auto"/>
        <w:jc w:val="both"/>
        <w:rPr>
          <w:noProof/>
        </w:rPr>
      </w:pPr>
      <w:r>
        <w:rPr>
          <w:noProof/>
        </w:rPr>
        <w:t xml:space="preserve">Regulamentul privind zonele de servicii; </w:t>
      </w:r>
    </w:p>
    <w:p w14:paraId="7534F79C" w14:textId="77777777" w:rsidR="00FA7C11" w:rsidRDefault="00D84965">
      <w:pPr>
        <w:pStyle w:val="P68B1DB1-Normal83"/>
        <w:keepNext/>
        <w:numPr>
          <w:ilvl w:val="0"/>
          <w:numId w:val="49"/>
        </w:numPr>
        <w:tabs>
          <w:tab w:val="left" w:pos="426"/>
        </w:tabs>
        <w:spacing w:after="200" w:line="276" w:lineRule="auto"/>
        <w:jc w:val="both"/>
        <w:rPr>
          <w:noProof/>
        </w:rPr>
      </w:pPr>
      <w:r>
        <w:rPr>
          <w:noProof/>
        </w:rPr>
        <w:t>Regulamentul privind evaluarea performanței operatorilor din domeniul apei, inclusiv instituirea sistemului de evaluare comparativă</w:t>
      </w:r>
    </w:p>
    <w:p w14:paraId="0C0C06AC" w14:textId="77777777" w:rsidR="00FA7C11" w:rsidRDefault="00D84965">
      <w:pPr>
        <w:pStyle w:val="P68B1DB1-Normal83"/>
        <w:keepNext/>
        <w:numPr>
          <w:ilvl w:val="0"/>
          <w:numId w:val="49"/>
        </w:numPr>
        <w:tabs>
          <w:tab w:val="left" w:pos="426"/>
        </w:tabs>
        <w:spacing w:after="200" w:line="276" w:lineRule="auto"/>
        <w:jc w:val="both"/>
        <w:rPr>
          <w:noProof/>
        </w:rPr>
      </w:pPr>
      <w:r>
        <w:rPr>
          <w:noProof/>
        </w:rPr>
        <w:t xml:space="preserve">Regulamentul privind metodologia de stabilire a prețurilor serviciilor legate de utilizarea apei și </w:t>
      </w:r>
    </w:p>
    <w:p w14:paraId="4468B6A5" w14:textId="77777777" w:rsidR="00FA7C11" w:rsidRDefault="00D84965">
      <w:pPr>
        <w:pStyle w:val="P68B1DB1-Normal83"/>
        <w:keepNext/>
        <w:numPr>
          <w:ilvl w:val="0"/>
          <w:numId w:val="49"/>
        </w:numPr>
        <w:tabs>
          <w:tab w:val="left" w:pos="426"/>
        </w:tabs>
        <w:spacing w:after="200" w:line="276" w:lineRule="auto"/>
        <w:jc w:val="both"/>
        <w:rPr>
          <w:noProof/>
        </w:rPr>
      </w:pPr>
      <w:r>
        <w:rPr>
          <w:noProof/>
        </w:rPr>
        <w:t>Regulamentul privind condițiile specifice pentru furnizarea serviciilor legate de utilizarea apei.</w:t>
      </w:r>
    </w:p>
    <w:p w14:paraId="0033C0B2" w14:textId="77777777" w:rsidR="00FA7C11" w:rsidRDefault="00D84965">
      <w:pPr>
        <w:pStyle w:val="P68B1DB1-Normal33"/>
        <w:spacing w:line="240" w:lineRule="auto"/>
        <w:jc w:val="both"/>
        <w:rPr>
          <w:noProof/>
        </w:rPr>
      </w:pPr>
      <w:r>
        <w:rPr>
          <w:noProof/>
        </w:rPr>
        <w:t>Reforma include dezvoltarea unui program multianual de investiții pentru infrastructura de apă și de ape uzate pentru a asigura punerea în aplicare coerentă a investițiilor C1.3 R1-I1 și C1.3 R1-I2, precum și complementarități cu alte fonduri ale UE.</w:t>
      </w:r>
    </w:p>
    <w:p w14:paraId="5C741D97" w14:textId="77777777" w:rsidR="00FA7C11" w:rsidRDefault="00D84965">
      <w:pPr>
        <w:pStyle w:val="P68B1DB1-Normal33"/>
        <w:spacing w:line="240" w:lineRule="auto"/>
        <w:jc w:val="both"/>
        <w:rPr>
          <w:noProof/>
        </w:rPr>
      </w:pPr>
      <w:r>
        <w:rPr>
          <w:noProof/>
        </w:rPr>
        <w:t>Reforma se finalizează până la 31 decembrie 2024.</w:t>
      </w:r>
    </w:p>
    <w:p w14:paraId="6DA01B25" w14:textId="77777777" w:rsidR="00FA7C11" w:rsidRDefault="00D84965">
      <w:pPr>
        <w:pStyle w:val="P68B1DB1-Normal81"/>
        <w:keepNext/>
        <w:tabs>
          <w:tab w:val="num" w:pos="850"/>
        </w:tabs>
        <w:spacing w:after="200" w:line="276" w:lineRule="auto"/>
        <w:ind w:left="851"/>
        <w:jc w:val="both"/>
        <w:outlineLvl w:val="2"/>
        <w:rPr>
          <w:rFonts w:eastAsia="Calibri"/>
          <w:noProof/>
        </w:rPr>
      </w:pPr>
      <w:r>
        <w:rPr>
          <w:noProof/>
        </w:rPr>
        <w:t>Investiția C1.3 R1-I1 – Programul public de dezvoltare a sistemelor de canalizare</w:t>
      </w:r>
    </w:p>
    <w:p w14:paraId="2AA82E6D" w14:textId="77777777" w:rsidR="00FA7C11" w:rsidRDefault="00D84965">
      <w:pPr>
        <w:pStyle w:val="P68B1DB1-Normal33"/>
        <w:spacing w:line="240" w:lineRule="auto"/>
        <w:jc w:val="both"/>
        <w:rPr>
          <w:noProof/>
          <w:u w:val="single"/>
        </w:rPr>
      </w:pPr>
      <w:r>
        <w:rPr>
          <w:noProof/>
        </w:rPr>
        <w:t xml:space="preserve">Obiectivul acestei investiții este de a îmbunătăți colectarea și epurarea apelor uzate în Croația. </w:t>
      </w:r>
    </w:p>
    <w:p w14:paraId="1D3F3CA8" w14:textId="06667F14" w:rsidR="00FA7C11" w:rsidRDefault="00D84965">
      <w:pPr>
        <w:pStyle w:val="P68B1DB1-Normal33"/>
        <w:spacing w:line="240" w:lineRule="auto"/>
        <w:jc w:val="both"/>
        <w:rPr>
          <w:noProof/>
          <w:u w:val="single"/>
        </w:rPr>
      </w:pPr>
      <w:r>
        <w:rPr>
          <w:noProof/>
        </w:rPr>
        <w:t xml:space="preserve">Această măsură constă în construirea și reconstrucția rețelelor publice de canalizare, precum și în construirea de stații de epurare a apelor uzate. </w:t>
      </w:r>
    </w:p>
    <w:p w14:paraId="1E06B86C" w14:textId="77777777" w:rsidR="00FA7C11" w:rsidRDefault="00D84965">
      <w:pPr>
        <w:pStyle w:val="P68B1DB1-Normal96"/>
        <w:keepNext/>
        <w:spacing w:line="240" w:lineRule="auto"/>
        <w:ind w:left="851"/>
        <w:jc w:val="both"/>
        <w:outlineLvl w:val="2"/>
        <w:rPr>
          <w:i/>
          <w:iCs/>
          <w:noProof/>
        </w:rPr>
      </w:pPr>
      <w:r>
        <w:rPr>
          <w:noProof/>
        </w:rPr>
        <w:t>Investiția C1.3 R1-I2 – Programul public de dezvoltare a alimentării cu apă</w:t>
      </w:r>
    </w:p>
    <w:p w14:paraId="02DDD457" w14:textId="77777777" w:rsidR="00FA7C11" w:rsidRDefault="00D84965">
      <w:pPr>
        <w:pStyle w:val="P68B1DB1-Normal33"/>
        <w:spacing w:line="240" w:lineRule="auto"/>
        <w:jc w:val="both"/>
        <w:rPr>
          <w:noProof/>
        </w:rPr>
      </w:pPr>
      <w:r>
        <w:rPr>
          <w:noProof/>
        </w:rPr>
        <w:t xml:space="preserve">Obiectivul acestei investiții este de a îmbunătăți infrastructura de alimentare cu apă. </w:t>
      </w:r>
    </w:p>
    <w:p w14:paraId="1327BD90" w14:textId="77777777" w:rsidR="00FA7C11" w:rsidRDefault="00D84965">
      <w:pPr>
        <w:pStyle w:val="P68B1DB1-Normal33"/>
        <w:spacing w:line="240" w:lineRule="auto"/>
        <w:jc w:val="both"/>
        <w:rPr>
          <w:noProof/>
        </w:rPr>
      </w:pPr>
      <w:r>
        <w:rPr>
          <w:noProof/>
        </w:rPr>
        <w:t xml:space="preserve">Această măsură constă în construirea și reconstrucția conductelor de alimentare cu apă și achiziționarea de dispozitive de contorizare. </w:t>
      </w:r>
    </w:p>
    <w:p w14:paraId="769FFA61" w14:textId="77777777" w:rsidR="00FA7C11" w:rsidRDefault="00D84965">
      <w:pPr>
        <w:pStyle w:val="P68B1DB1-Normal96"/>
        <w:keepNext/>
        <w:spacing w:line="240" w:lineRule="auto"/>
        <w:ind w:left="851"/>
        <w:jc w:val="both"/>
        <w:outlineLvl w:val="2"/>
        <w:rPr>
          <w:i/>
          <w:iCs/>
          <w:noProof/>
        </w:rPr>
      </w:pPr>
      <w:r>
        <w:rPr>
          <w:noProof/>
        </w:rPr>
        <w:t>Investiția C1.3 R1-I3 – Programul de reducere a riscurilor de dezastre</w:t>
      </w:r>
    </w:p>
    <w:p w14:paraId="72554D80" w14:textId="77777777" w:rsidR="00FA7C11" w:rsidRDefault="00D84965">
      <w:pPr>
        <w:pStyle w:val="P68B1DB1-Normal33"/>
        <w:spacing w:line="240" w:lineRule="auto"/>
        <w:jc w:val="both"/>
        <w:rPr>
          <w:noProof/>
          <w:u w:val="single"/>
        </w:rPr>
      </w:pPr>
      <w:r>
        <w:rPr>
          <w:noProof/>
        </w:rPr>
        <w:t>Obiectivul acestei investiții este de a îmbunătăți protecția împotriva inundațiilor și biodiversitatea.</w:t>
      </w:r>
    </w:p>
    <w:p w14:paraId="4D8B27DA" w14:textId="77777777" w:rsidR="00FA7C11" w:rsidRDefault="00D84965">
      <w:pPr>
        <w:pStyle w:val="P68B1DB1-Normal33"/>
        <w:spacing w:line="240" w:lineRule="auto"/>
        <w:jc w:val="both"/>
        <w:rPr>
          <w:noProof/>
        </w:rPr>
      </w:pPr>
      <w:r>
        <w:rPr>
          <w:noProof/>
        </w:rPr>
        <w:t>Această măsură constă în construirea de diguri de protecție împotriva inundațiilor și în revitalizarea sistemelor de apă dulce.</w:t>
      </w:r>
    </w:p>
    <w:p w14:paraId="6E84B5E0" w14:textId="77777777" w:rsidR="00FA7C11" w:rsidRDefault="00D84965">
      <w:pPr>
        <w:pStyle w:val="P68B1DB1-Normal96"/>
        <w:keepNext/>
        <w:numPr>
          <w:ilvl w:val="2"/>
          <w:numId w:val="0"/>
        </w:numPr>
        <w:spacing w:line="240" w:lineRule="auto"/>
        <w:ind w:left="851"/>
        <w:jc w:val="both"/>
        <w:outlineLvl w:val="2"/>
        <w:rPr>
          <w:bCs/>
          <w:i/>
          <w:noProof/>
        </w:rPr>
      </w:pPr>
      <w:r>
        <w:rPr>
          <w:noProof/>
        </w:rPr>
        <w:t xml:space="preserve">Reforma C1.3 R2 – Punerea în aplicare a gestionării durabile a deșeurilor </w:t>
      </w:r>
    </w:p>
    <w:p w14:paraId="744250DA" w14:textId="77777777" w:rsidR="00FA7C11" w:rsidRDefault="00D84965">
      <w:pPr>
        <w:pStyle w:val="P68B1DB1-Normal33"/>
        <w:spacing w:line="240" w:lineRule="auto"/>
        <w:jc w:val="both"/>
        <w:rPr>
          <w:noProof/>
        </w:rPr>
      </w:pPr>
      <w:r>
        <w:rPr>
          <w:noProof/>
        </w:rPr>
        <w:t xml:space="preserve">Obiectivul acestei reforme este de a crea un nou cadru juridic pentru a facilita prevenirea generării de deșeuri, reutilizarea și reciclarea acestora, cu scopul de a accelera tranziția către economia circulară. </w:t>
      </w:r>
    </w:p>
    <w:p w14:paraId="2F24AC6A" w14:textId="77777777" w:rsidR="00FA7C11" w:rsidRDefault="00D84965">
      <w:pPr>
        <w:pStyle w:val="P68B1DB1-Normal33"/>
        <w:keepNext/>
        <w:numPr>
          <w:ilvl w:val="2"/>
          <w:numId w:val="0"/>
        </w:numPr>
        <w:spacing w:line="240" w:lineRule="auto"/>
        <w:jc w:val="both"/>
        <w:outlineLvl w:val="2"/>
        <w:rPr>
          <w:noProof/>
        </w:rPr>
      </w:pPr>
      <w:r>
        <w:rPr>
          <w:noProof/>
        </w:rPr>
        <w:t xml:space="preserve">Această măsură constă în intrarea în vigoare a legislației și în adoptarea planurilor de gestionare a deșeurilor. </w:t>
      </w:r>
    </w:p>
    <w:p w14:paraId="2CF723AB" w14:textId="77777777" w:rsidR="00FA7C11" w:rsidRDefault="00D84965">
      <w:pPr>
        <w:pStyle w:val="P68B1DB1-Normal96"/>
        <w:keepNext/>
        <w:numPr>
          <w:ilvl w:val="2"/>
          <w:numId w:val="0"/>
        </w:numPr>
        <w:spacing w:line="240" w:lineRule="auto"/>
        <w:ind w:left="851"/>
        <w:jc w:val="both"/>
        <w:outlineLvl w:val="2"/>
        <w:rPr>
          <w:bCs/>
          <w:i/>
          <w:noProof/>
        </w:rPr>
      </w:pPr>
      <w:r>
        <w:rPr>
          <w:noProof/>
        </w:rPr>
        <w:t>Investiția C1.3. R2-I1 – Programul de reducere a eliminării deșeurilor</w:t>
      </w:r>
    </w:p>
    <w:p w14:paraId="202023B3" w14:textId="77777777" w:rsidR="00FA7C11" w:rsidRDefault="00D84965">
      <w:pPr>
        <w:pStyle w:val="P68B1DB1-Normal33"/>
        <w:spacing w:line="240" w:lineRule="auto"/>
        <w:jc w:val="both"/>
        <w:rPr>
          <w:noProof/>
        </w:rPr>
      </w:pPr>
      <w:r>
        <w:rPr>
          <w:noProof/>
        </w:rPr>
        <w:t>Obiectivul acestei investiții este de a furniza infrastructura necesară pentru a reduce depozitarea deșeurilor și a promova reciclarea.</w:t>
      </w:r>
    </w:p>
    <w:p w14:paraId="0C0655EF" w14:textId="77777777" w:rsidR="00FA7C11" w:rsidRDefault="00D84965">
      <w:pPr>
        <w:pStyle w:val="P68B1DB1-Normal33"/>
        <w:spacing w:line="240" w:lineRule="auto"/>
        <w:jc w:val="both"/>
        <w:rPr>
          <w:noProof/>
        </w:rPr>
      </w:pPr>
      <w:r>
        <w:rPr>
          <w:noProof/>
        </w:rPr>
        <w:t>Această măsură constă în construirea infrastructurii relevante.</w:t>
      </w:r>
    </w:p>
    <w:p w14:paraId="6A1B655F" w14:textId="77777777" w:rsidR="00FA7C11" w:rsidRDefault="00D84965">
      <w:pPr>
        <w:pStyle w:val="P68B1DB1-Normal96"/>
        <w:keepNext/>
        <w:spacing w:line="240" w:lineRule="auto"/>
        <w:ind w:left="851"/>
        <w:jc w:val="both"/>
        <w:outlineLvl w:val="2"/>
        <w:rPr>
          <w:i/>
          <w:iCs/>
          <w:noProof/>
        </w:rPr>
      </w:pPr>
      <w:r>
        <w:rPr>
          <w:noProof/>
        </w:rPr>
        <w:t>Investiția</w:t>
      </w:r>
      <w:r>
        <w:rPr>
          <w:i/>
          <w:noProof/>
        </w:rPr>
        <w:t xml:space="preserve"> </w:t>
      </w:r>
      <w:r>
        <w:rPr>
          <w:noProof/>
        </w:rPr>
        <w:t>C.1.3 R2-I2</w:t>
      </w:r>
      <w:r>
        <w:rPr>
          <w:i/>
          <w:noProof/>
        </w:rPr>
        <w:t xml:space="preserve"> – Program </w:t>
      </w:r>
      <w:r>
        <w:rPr>
          <w:noProof/>
        </w:rPr>
        <w:t>de reabilitare a depozitelor de deșeuri închise și a siturilor contaminate cu deșeuri periculoase</w:t>
      </w:r>
    </w:p>
    <w:p w14:paraId="380CEC84" w14:textId="77777777" w:rsidR="00FA7C11" w:rsidRDefault="00D84965">
      <w:pPr>
        <w:pStyle w:val="P68B1DB1-Normal33"/>
        <w:spacing w:line="240" w:lineRule="auto"/>
        <w:jc w:val="both"/>
        <w:rPr>
          <w:noProof/>
        </w:rPr>
      </w:pPr>
      <w:r>
        <w:rPr>
          <w:noProof/>
        </w:rPr>
        <w:t>Obiectivul acestei investiții este reabilitarea a zece depozite de deșeuri închise.</w:t>
      </w:r>
    </w:p>
    <w:p w14:paraId="62DA5938" w14:textId="77777777" w:rsidR="00FA7C11" w:rsidRDefault="00D84965">
      <w:pPr>
        <w:pStyle w:val="P68B1DB1-Normal33"/>
        <w:spacing w:line="240" w:lineRule="auto"/>
        <w:jc w:val="both"/>
        <w:rPr>
          <w:noProof/>
        </w:rPr>
      </w:pPr>
      <w:r>
        <w:rPr>
          <w:noProof/>
        </w:rPr>
        <w:t xml:space="preserve">Această măsură constă în reabilitarea a cel puțin zece depozite de deșeuri închise și/sau situri contaminate cu deșeuri periculoase. </w:t>
      </w:r>
    </w:p>
    <w:p w14:paraId="6D9DAE4E" w14:textId="77777777" w:rsidR="00FA7C11" w:rsidRDefault="00FA7C11">
      <w:pPr>
        <w:rPr>
          <w:noProof/>
        </w:rPr>
        <w:sectPr w:rsidR="00FA7C11" w:rsidSect="00FA29B2">
          <w:headerReference w:type="even" r:id="rId50"/>
          <w:headerReference w:type="default" r:id="rId51"/>
          <w:footerReference w:type="even" r:id="rId52"/>
          <w:footerReference w:type="default" r:id="rId53"/>
          <w:headerReference w:type="first" r:id="rId54"/>
          <w:footerReference w:type="first" r:id="rId55"/>
          <w:pgSz w:w="11906" w:h="16838"/>
          <w:pgMar w:top="1134" w:right="1134" w:bottom="1134" w:left="1134" w:header="567" w:footer="567" w:gutter="0"/>
          <w:cols w:space="708"/>
          <w:docGrid w:linePitch="360"/>
        </w:sectPr>
      </w:pPr>
    </w:p>
    <w:p w14:paraId="5534D4EE" w14:textId="77777777" w:rsidR="00FA7C11" w:rsidRDefault="00D84965">
      <w:pPr>
        <w:pStyle w:val="P68B1DB1-Normal97"/>
        <w:keepNext/>
        <w:tabs>
          <w:tab w:val="num" w:pos="850"/>
        </w:tabs>
        <w:spacing w:after="200" w:line="276" w:lineRule="auto"/>
        <w:ind w:left="851"/>
        <w:jc w:val="both"/>
        <w:outlineLvl w:val="1"/>
        <w:rPr>
          <w:rFonts w:ascii="Times New Roman" w:eastAsia="Calibri" w:hAnsi="Times New Roman" w:cs="Times New Roman"/>
          <w:noProof/>
          <w:szCs w:val="24"/>
        </w:rPr>
      </w:pPr>
      <w:r>
        <w:rPr>
          <w:rFonts w:ascii="Times New Roman" w:eastAsia="SimSun" w:hAnsi="Times New Roman" w:cs="Times New Roman"/>
          <w:b/>
          <w:noProof/>
          <w:szCs w:val="28"/>
          <w:u w:val="single"/>
        </w:rPr>
        <w:t xml:space="preserve">C.2. </w:t>
      </w:r>
      <w:r>
        <w:rPr>
          <w:rFonts w:ascii="Times New Roman" w:eastAsia="SimSun" w:hAnsi="Times New Roman" w:cs="Times New Roman"/>
          <w:b/>
          <w:noProof/>
          <w:szCs w:val="28"/>
          <w:u w:val="single"/>
        </w:rPr>
        <w:tab/>
        <w:t>Jaloane, ținte, indicatori și calendarul de monitorizare și implementare aplicabile sprijinului financiar nerambursabil</w:t>
      </w:r>
      <w:r>
        <w:rPr>
          <w:rFonts w:ascii="Times New Roman" w:eastAsia="Calibri" w:hAnsi="Times New Roman" w:cs="Times New Roman"/>
          <w:noProof/>
          <w:szCs w:val="24"/>
        </w:rPr>
        <w:tab/>
      </w:r>
    </w:p>
    <w:tbl>
      <w:tblPr>
        <w:tblW w:w="15730" w:type="dxa"/>
        <w:jc w:val="center"/>
        <w:tblLayout w:type="fixed"/>
        <w:tblCellMar>
          <w:top w:w="28" w:type="dxa"/>
          <w:left w:w="28" w:type="dxa"/>
          <w:bottom w:w="28" w:type="dxa"/>
          <w:right w:w="28" w:type="dxa"/>
        </w:tblCellMar>
        <w:tblLook w:val="04A0" w:firstRow="1" w:lastRow="0" w:firstColumn="1" w:lastColumn="0" w:noHBand="0" w:noVBand="1"/>
      </w:tblPr>
      <w:tblGrid>
        <w:gridCol w:w="835"/>
        <w:gridCol w:w="1080"/>
        <w:gridCol w:w="1080"/>
        <w:gridCol w:w="1920"/>
        <w:gridCol w:w="1884"/>
        <w:gridCol w:w="1134"/>
        <w:gridCol w:w="851"/>
        <w:gridCol w:w="567"/>
        <w:gridCol w:w="844"/>
        <w:gridCol w:w="600"/>
        <w:gridCol w:w="4935"/>
      </w:tblGrid>
      <w:tr w:rsidR="00FA7C11" w14:paraId="507E2256" w14:textId="77777777">
        <w:trPr>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D98C32" w14:textId="77777777" w:rsidR="00FA7C11" w:rsidRDefault="00D84965">
            <w:pPr>
              <w:pStyle w:val="P68B1DB1-Normal58"/>
              <w:spacing w:after="0" w:line="276" w:lineRule="auto"/>
              <w:jc w:val="center"/>
              <w:rPr>
                <w:noProof/>
              </w:rPr>
            </w:pPr>
            <w:r>
              <w:rPr>
                <w:noProof/>
              </w:rPr>
              <w:t>Număr</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E43CEB" w14:textId="77777777" w:rsidR="00FA7C11" w:rsidRDefault="00D84965">
            <w:pPr>
              <w:pStyle w:val="P68B1DB1-Normal58"/>
              <w:spacing w:after="0" w:line="276" w:lineRule="auto"/>
              <w:jc w:val="center"/>
              <w:rPr>
                <w:noProof/>
              </w:rPr>
            </w:pPr>
            <w:r>
              <w:rPr>
                <w:noProof/>
              </w:rPr>
              <w:t>Măsură</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01ECA5" w14:textId="77777777" w:rsidR="00FA7C11" w:rsidRDefault="00D84965">
            <w:pPr>
              <w:pStyle w:val="P68B1DB1-Normal58"/>
              <w:spacing w:after="0" w:line="276" w:lineRule="auto"/>
              <w:jc w:val="center"/>
              <w:rPr>
                <w:noProof/>
              </w:rPr>
            </w:pPr>
            <w:r>
              <w:rPr>
                <w:noProof/>
              </w:rPr>
              <w:t>Etapă/Obiectiv</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E057A5" w14:textId="77777777" w:rsidR="00FA7C11" w:rsidRDefault="00D84965">
            <w:pPr>
              <w:pStyle w:val="P68B1DB1-Normal58"/>
              <w:spacing w:after="0" w:line="276" w:lineRule="auto"/>
              <w:jc w:val="center"/>
              <w:rPr>
                <w:noProof/>
              </w:rPr>
            </w:pPr>
            <w:r>
              <w:rPr>
                <w:noProof/>
              </w:rPr>
              <w:t>Nume</w:t>
            </w:r>
          </w:p>
        </w:tc>
        <w:tc>
          <w:tcPr>
            <w:tcW w:w="18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8F4FBF" w14:textId="77777777" w:rsidR="00FA7C11" w:rsidRDefault="00D84965">
            <w:pPr>
              <w:pStyle w:val="P68B1DB1-Normal59"/>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hideMark/>
          </w:tcPr>
          <w:p w14:paraId="3AF3476D" w14:textId="77777777" w:rsidR="00FA7C11" w:rsidRDefault="00D84965">
            <w:pPr>
              <w:pStyle w:val="P68B1DB1-Normal59"/>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444" w:type="dxa"/>
            <w:gridSpan w:val="2"/>
            <w:tcBorders>
              <w:top w:val="single" w:sz="4" w:space="0" w:color="auto"/>
              <w:left w:val="nil"/>
              <w:bottom w:val="single" w:sz="4" w:space="0" w:color="auto"/>
              <w:right w:val="single" w:sz="4" w:space="0" w:color="auto"/>
            </w:tcBorders>
            <w:shd w:val="clear" w:color="auto" w:fill="BDD7EE"/>
            <w:hideMark/>
          </w:tcPr>
          <w:p w14:paraId="2207EFCD" w14:textId="77777777" w:rsidR="00FA7C11" w:rsidRDefault="00D84965">
            <w:pPr>
              <w:pStyle w:val="P68B1DB1-Normal58"/>
              <w:spacing w:after="0" w:line="276" w:lineRule="auto"/>
              <w:jc w:val="center"/>
              <w:rPr>
                <w:noProof/>
              </w:rPr>
            </w:pPr>
            <w:r>
              <w:rPr>
                <w:noProof/>
              </w:rPr>
              <w:t>Timp</w:t>
            </w:r>
          </w:p>
        </w:tc>
        <w:tc>
          <w:tcPr>
            <w:tcW w:w="49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873EBA" w14:textId="77777777" w:rsidR="00FA7C11" w:rsidRDefault="00D84965">
            <w:pPr>
              <w:pStyle w:val="P68B1DB1-Normal58"/>
              <w:spacing w:after="0" w:line="276" w:lineRule="auto"/>
              <w:jc w:val="center"/>
              <w:rPr>
                <w:noProof/>
              </w:rPr>
            </w:pPr>
            <w:r>
              <w:rPr>
                <w:noProof/>
              </w:rPr>
              <w:t>Descrierea fiecărui jalon și a fiecărei ținte</w:t>
            </w:r>
          </w:p>
        </w:tc>
      </w:tr>
      <w:tr w:rsidR="00FA7C11" w14:paraId="18D2A9D6" w14:textId="77777777">
        <w:trPr>
          <w:tblHeader/>
          <w:jc w:val="center"/>
        </w:trPr>
        <w:tc>
          <w:tcPr>
            <w:tcW w:w="835" w:type="dxa"/>
            <w:vMerge/>
            <w:tcBorders>
              <w:top w:val="single" w:sz="4" w:space="0" w:color="auto"/>
              <w:left w:val="single" w:sz="4" w:space="0" w:color="auto"/>
              <w:bottom w:val="single" w:sz="4" w:space="0" w:color="auto"/>
              <w:right w:val="single" w:sz="4" w:space="0" w:color="auto"/>
            </w:tcBorders>
            <w:hideMark/>
          </w:tcPr>
          <w:p w14:paraId="11F822FF" w14:textId="77777777" w:rsidR="00FA7C11" w:rsidRDefault="00FA7C11">
            <w:pPr>
              <w:spacing w:after="0" w:line="276" w:lineRule="auto"/>
              <w:rPr>
                <w:rFonts w:ascii="Times New Roman" w:eastAsia="Times New Roman" w:hAnsi="Times New Roman" w:cs="Times New Roman"/>
                <w:b/>
                <w:noProof/>
                <w:sz w:val="20"/>
                <w:szCs w:val="20"/>
              </w:rPr>
            </w:pPr>
          </w:p>
        </w:tc>
        <w:tc>
          <w:tcPr>
            <w:tcW w:w="1080" w:type="dxa"/>
            <w:vMerge/>
            <w:tcBorders>
              <w:top w:val="single" w:sz="4" w:space="0" w:color="auto"/>
              <w:left w:val="single" w:sz="4" w:space="0" w:color="auto"/>
              <w:bottom w:val="single" w:sz="4" w:space="0" w:color="auto"/>
              <w:right w:val="single" w:sz="4" w:space="0" w:color="auto"/>
            </w:tcBorders>
            <w:hideMark/>
          </w:tcPr>
          <w:p w14:paraId="77635DBC"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80" w:type="dxa"/>
            <w:vMerge/>
            <w:tcBorders>
              <w:top w:val="single" w:sz="4" w:space="0" w:color="auto"/>
              <w:left w:val="single" w:sz="4" w:space="0" w:color="auto"/>
              <w:bottom w:val="single" w:sz="4" w:space="0" w:color="auto"/>
              <w:right w:val="single" w:sz="4" w:space="0" w:color="auto"/>
            </w:tcBorders>
            <w:hideMark/>
          </w:tcPr>
          <w:p w14:paraId="3A0FF1FA"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920" w:type="dxa"/>
            <w:vMerge/>
            <w:tcBorders>
              <w:top w:val="single" w:sz="4" w:space="0" w:color="auto"/>
              <w:left w:val="single" w:sz="4" w:space="0" w:color="auto"/>
              <w:bottom w:val="single" w:sz="4" w:space="0" w:color="auto"/>
              <w:right w:val="single" w:sz="4" w:space="0" w:color="auto"/>
            </w:tcBorders>
            <w:hideMark/>
          </w:tcPr>
          <w:p w14:paraId="10C2E741" w14:textId="77777777" w:rsidR="00FA7C11" w:rsidRDefault="00FA7C11">
            <w:pPr>
              <w:spacing w:after="0" w:line="276" w:lineRule="auto"/>
              <w:rPr>
                <w:rFonts w:ascii="Times New Roman" w:eastAsia="Times New Roman" w:hAnsi="Times New Roman" w:cs="Times New Roman"/>
                <w:b/>
                <w:noProof/>
                <w:sz w:val="20"/>
                <w:szCs w:val="20"/>
              </w:rPr>
            </w:pPr>
          </w:p>
        </w:tc>
        <w:tc>
          <w:tcPr>
            <w:tcW w:w="1884" w:type="dxa"/>
            <w:vMerge/>
            <w:tcBorders>
              <w:top w:val="single" w:sz="4" w:space="0" w:color="auto"/>
              <w:left w:val="single" w:sz="4" w:space="0" w:color="auto"/>
              <w:bottom w:val="single" w:sz="4" w:space="0" w:color="auto"/>
              <w:right w:val="single" w:sz="4" w:space="0" w:color="auto"/>
            </w:tcBorders>
            <w:hideMark/>
          </w:tcPr>
          <w:p w14:paraId="202E5D84" w14:textId="77777777" w:rsidR="00FA7C11" w:rsidRDefault="00FA7C11">
            <w:pPr>
              <w:spacing w:after="0" w:line="276" w:lineRule="auto"/>
              <w:rPr>
                <w:rFonts w:ascii="Times New Roman" w:eastAsia="Times New Roman" w:hAnsi="Times New Roman" w:cs="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hideMark/>
          </w:tcPr>
          <w:p w14:paraId="2DC64D92" w14:textId="77777777" w:rsidR="00FA7C11" w:rsidRDefault="00D84965">
            <w:pPr>
              <w:pStyle w:val="P68B1DB1-Normal58"/>
              <w:spacing w:after="0" w:line="276" w:lineRule="auto"/>
              <w:jc w:val="center"/>
              <w:rPr>
                <w:noProof/>
              </w:rPr>
            </w:pPr>
            <w:r>
              <w:rPr>
                <w:noProof/>
              </w:rPr>
              <w:t>Unitate</w:t>
            </w:r>
          </w:p>
        </w:tc>
        <w:tc>
          <w:tcPr>
            <w:tcW w:w="851" w:type="dxa"/>
            <w:tcBorders>
              <w:top w:val="single" w:sz="4" w:space="0" w:color="auto"/>
              <w:left w:val="single" w:sz="4" w:space="0" w:color="auto"/>
              <w:bottom w:val="single" w:sz="4" w:space="0" w:color="auto"/>
              <w:right w:val="single" w:sz="4" w:space="0" w:color="auto"/>
            </w:tcBorders>
            <w:shd w:val="clear" w:color="auto" w:fill="BDD7EE"/>
            <w:hideMark/>
          </w:tcPr>
          <w:p w14:paraId="2B9AB1DB" w14:textId="77777777" w:rsidR="00FA7C11" w:rsidRDefault="00D84965">
            <w:pPr>
              <w:pStyle w:val="P68B1DB1-Normal58"/>
              <w:spacing w:after="0" w:line="276" w:lineRule="auto"/>
              <w:jc w:val="center"/>
              <w:rPr>
                <w:noProof/>
              </w:rPr>
            </w:pPr>
            <w:r>
              <w:rPr>
                <w:noProof/>
              </w:rPr>
              <w:t>Situația de referință</w:t>
            </w:r>
          </w:p>
        </w:tc>
        <w:tc>
          <w:tcPr>
            <w:tcW w:w="567" w:type="dxa"/>
            <w:tcBorders>
              <w:top w:val="single" w:sz="4" w:space="0" w:color="auto"/>
              <w:left w:val="single" w:sz="4" w:space="0" w:color="auto"/>
              <w:bottom w:val="single" w:sz="4" w:space="0" w:color="auto"/>
              <w:right w:val="single" w:sz="4" w:space="0" w:color="auto"/>
            </w:tcBorders>
            <w:shd w:val="clear" w:color="auto" w:fill="BDD7EE"/>
            <w:hideMark/>
          </w:tcPr>
          <w:p w14:paraId="68A5F3E6" w14:textId="77777777" w:rsidR="00FA7C11" w:rsidRDefault="00D84965">
            <w:pPr>
              <w:pStyle w:val="P68B1DB1-Normal58"/>
              <w:spacing w:after="0" w:line="276" w:lineRule="auto"/>
              <w:jc w:val="center"/>
              <w:rPr>
                <w:noProof/>
              </w:rPr>
            </w:pPr>
            <w:r>
              <w:rPr>
                <w:noProof/>
              </w:rPr>
              <w:t>Obiectiv</w:t>
            </w:r>
          </w:p>
        </w:tc>
        <w:tc>
          <w:tcPr>
            <w:tcW w:w="844" w:type="dxa"/>
            <w:tcBorders>
              <w:top w:val="single" w:sz="4" w:space="0" w:color="auto"/>
              <w:left w:val="single" w:sz="4" w:space="0" w:color="auto"/>
              <w:bottom w:val="single" w:sz="4" w:space="0" w:color="auto"/>
              <w:right w:val="single" w:sz="4" w:space="0" w:color="auto"/>
            </w:tcBorders>
            <w:shd w:val="clear" w:color="auto" w:fill="BDD7EE"/>
            <w:hideMark/>
          </w:tcPr>
          <w:p w14:paraId="418ABA7C" w14:textId="77777777" w:rsidR="00FA7C11" w:rsidRDefault="00D84965">
            <w:pPr>
              <w:pStyle w:val="P68B1DB1-Normal58"/>
              <w:spacing w:after="0" w:line="276" w:lineRule="auto"/>
              <w:jc w:val="center"/>
              <w:rPr>
                <w:noProof/>
              </w:rPr>
            </w:pPr>
            <w:r>
              <w:rPr>
                <w:noProof/>
              </w:rPr>
              <w:t>Trimestru</w:t>
            </w:r>
          </w:p>
        </w:tc>
        <w:tc>
          <w:tcPr>
            <w:tcW w:w="600" w:type="dxa"/>
            <w:tcBorders>
              <w:top w:val="single" w:sz="4" w:space="0" w:color="auto"/>
              <w:left w:val="single" w:sz="4" w:space="0" w:color="auto"/>
              <w:bottom w:val="single" w:sz="4" w:space="0" w:color="auto"/>
              <w:right w:val="single" w:sz="4" w:space="0" w:color="auto"/>
            </w:tcBorders>
            <w:shd w:val="clear" w:color="auto" w:fill="BDD7EE"/>
            <w:hideMark/>
          </w:tcPr>
          <w:p w14:paraId="02211186" w14:textId="77777777" w:rsidR="00FA7C11" w:rsidRDefault="00D84965">
            <w:pPr>
              <w:pStyle w:val="P68B1DB1-Normal58"/>
              <w:spacing w:after="0" w:line="276" w:lineRule="auto"/>
              <w:jc w:val="center"/>
              <w:rPr>
                <w:noProof/>
              </w:rPr>
            </w:pPr>
            <w:r>
              <w:rPr>
                <w:noProof/>
              </w:rPr>
              <w:t>Anul</w:t>
            </w:r>
          </w:p>
        </w:tc>
        <w:tc>
          <w:tcPr>
            <w:tcW w:w="4935" w:type="dxa"/>
            <w:vMerge/>
            <w:tcBorders>
              <w:top w:val="single" w:sz="4" w:space="0" w:color="auto"/>
              <w:bottom w:val="single" w:sz="4" w:space="0" w:color="auto"/>
              <w:right w:val="single" w:sz="4" w:space="0" w:color="auto"/>
            </w:tcBorders>
            <w:hideMark/>
          </w:tcPr>
          <w:p w14:paraId="49A9F96D"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701EBA6A"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4CA3C0D" w14:textId="77777777" w:rsidR="00FA7C11" w:rsidRDefault="00D84965">
            <w:pPr>
              <w:pStyle w:val="P68B1DB1-Normal66"/>
              <w:spacing w:after="0" w:line="276" w:lineRule="auto"/>
              <w:jc w:val="center"/>
              <w:rPr>
                <w:noProof/>
              </w:rPr>
            </w:pPr>
            <w:r>
              <w:rPr>
                <w:noProof/>
              </w:rPr>
              <w:t>59</w:t>
            </w:r>
          </w:p>
        </w:tc>
        <w:tc>
          <w:tcPr>
            <w:tcW w:w="1080" w:type="dxa"/>
            <w:tcBorders>
              <w:top w:val="single" w:sz="4" w:space="0" w:color="auto"/>
              <w:left w:val="nil"/>
              <w:bottom w:val="single" w:sz="4" w:space="0" w:color="auto"/>
              <w:right w:val="single" w:sz="4" w:space="0" w:color="auto"/>
            </w:tcBorders>
            <w:shd w:val="clear" w:color="auto" w:fill="C6EFCE"/>
            <w:noWrap/>
          </w:tcPr>
          <w:p w14:paraId="3D6E993D" w14:textId="77777777" w:rsidR="00FA7C11" w:rsidRDefault="00D84965">
            <w:pPr>
              <w:pStyle w:val="P68B1DB1-Normal66"/>
              <w:spacing w:after="200" w:line="276" w:lineRule="auto"/>
              <w:jc w:val="center"/>
              <w:rPr>
                <w:noProof/>
              </w:rPr>
            </w:pPr>
            <w:r>
              <w:rPr>
                <w:noProof/>
              </w:rPr>
              <w:t>C1.3. R1</w:t>
            </w:r>
          </w:p>
        </w:tc>
        <w:tc>
          <w:tcPr>
            <w:tcW w:w="1080" w:type="dxa"/>
            <w:tcBorders>
              <w:top w:val="single" w:sz="4" w:space="0" w:color="auto"/>
              <w:left w:val="nil"/>
              <w:bottom w:val="single" w:sz="4" w:space="0" w:color="auto"/>
              <w:right w:val="single" w:sz="4" w:space="0" w:color="auto"/>
            </w:tcBorders>
            <w:shd w:val="clear" w:color="auto" w:fill="C6EFCE"/>
            <w:noWrap/>
          </w:tcPr>
          <w:p w14:paraId="56F97CD2" w14:textId="77777777" w:rsidR="00FA7C11" w:rsidRDefault="00D84965">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3C365EF4" w14:textId="77777777" w:rsidR="00FA7C11" w:rsidRDefault="00D84965">
            <w:pPr>
              <w:pStyle w:val="P68B1DB1-Normal66"/>
              <w:spacing w:after="200" w:line="276" w:lineRule="auto"/>
              <w:rPr>
                <w:noProof/>
              </w:rPr>
            </w:pPr>
            <w:r>
              <w:rPr>
                <w:noProof/>
              </w:rPr>
              <w:t>Adoptarea programului multianual de construcție pentru tratarea apei și a apelor urbane reziduale</w:t>
            </w:r>
          </w:p>
        </w:tc>
        <w:tc>
          <w:tcPr>
            <w:tcW w:w="1884" w:type="dxa"/>
            <w:tcBorders>
              <w:top w:val="single" w:sz="4" w:space="0" w:color="auto"/>
              <w:left w:val="nil"/>
              <w:bottom w:val="single" w:sz="4" w:space="0" w:color="auto"/>
              <w:right w:val="single" w:sz="4" w:space="0" w:color="auto"/>
            </w:tcBorders>
            <w:shd w:val="clear" w:color="auto" w:fill="C6EFCE"/>
            <w:noWrap/>
          </w:tcPr>
          <w:p w14:paraId="0CE5883E" w14:textId="77777777" w:rsidR="00FA7C11" w:rsidRDefault="00D84965">
            <w:pPr>
              <w:pStyle w:val="P68B1DB1-Normal66"/>
              <w:spacing w:after="200" w:line="276" w:lineRule="auto"/>
              <w:rPr>
                <w:noProof/>
              </w:rPr>
            </w:pPr>
            <w:r>
              <w:rPr>
                <w:noProof/>
              </w:rPr>
              <w:t xml:space="preserve">Publicarea programului multianual de construcție în domeniul apei și al apelor uzate </w:t>
            </w:r>
          </w:p>
        </w:tc>
        <w:tc>
          <w:tcPr>
            <w:tcW w:w="1134" w:type="dxa"/>
            <w:tcBorders>
              <w:top w:val="single" w:sz="4" w:space="0" w:color="auto"/>
              <w:left w:val="nil"/>
              <w:bottom w:val="single" w:sz="4" w:space="0" w:color="auto"/>
              <w:right w:val="single" w:sz="4" w:space="0" w:color="auto"/>
            </w:tcBorders>
            <w:shd w:val="clear" w:color="auto" w:fill="C6EFCE"/>
            <w:noWrap/>
          </w:tcPr>
          <w:p w14:paraId="5CA85E94" w14:textId="77777777" w:rsidR="00FA7C11" w:rsidRDefault="00D84965">
            <w:pPr>
              <w:pStyle w:val="P68B1DB1-Normal66"/>
              <w:spacing w:after="200" w:line="276" w:lineRule="auto"/>
              <w:jc w:val="center"/>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42414C7A"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5E1FAFB2" w14:textId="77777777" w:rsidR="00FA7C11" w:rsidRDefault="00D84965">
            <w:pPr>
              <w:pStyle w:val="P68B1DB1-Normal66"/>
              <w:spacing w:after="200" w:line="276" w:lineRule="auto"/>
              <w:jc w:val="center"/>
              <w:rPr>
                <w:noProof/>
              </w:rPr>
            </w:pPr>
            <w:r>
              <w:rPr>
                <w:noProof/>
              </w:rPr>
              <w:t> </w:t>
            </w:r>
          </w:p>
        </w:tc>
        <w:tc>
          <w:tcPr>
            <w:tcW w:w="844" w:type="dxa"/>
            <w:tcBorders>
              <w:top w:val="single" w:sz="4" w:space="0" w:color="auto"/>
              <w:left w:val="nil"/>
              <w:bottom w:val="single" w:sz="4" w:space="0" w:color="auto"/>
              <w:right w:val="single" w:sz="4" w:space="0" w:color="auto"/>
            </w:tcBorders>
            <w:shd w:val="clear" w:color="auto" w:fill="C6EFCE"/>
            <w:noWrap/>
          </w:tcPr>
          <w:p w14:paraId="00A43588"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36A64B2B" w14:textId="77777777" w:rsidR="00FA7C11" w:rsidRDefault="00D84965">
            <w:pPr>
              <w:pStyle w:val="P68B1DB1-Normal66"/>
              <w:spacing w:after="200" w:line="276" w:lineRule="auto"/>
              <w:jc w:val="center"/>
              <w:rPr>
                <w:noProof/>
              </w:rPr>
            </w:pPr>
            <w:r>
              <w:rPr>
                <w:noProof/>
              </w:rPr>
              <w:t>2021</w:t>
            </w:r>
          </w:p>
        </w:tc>
        <w:tc>
          <w:tcPr>
            <w:tcW w:w="4935" w:type="dxa"/>
            <w:tcBorders>
              <w:top w:val="single" w:sz="4" w:space="0" w:color="auto"/>
              <w:left w:val="nil"/>
              <w:bottom w:val="single" w:sz="4" w:space="0" w:color="auto"/>
              <w:right w:val="single" w:sz="4" w:space="0" w:color="auto"/>
            </w:tcBorders>
            <w:shd w:val="clear" w:color="auto" w:fill="C6EFCE"/>
            <w:noWrap/>
          </w:tcPr>
          <w:p w14:paraId="249E8345" w14:textId="77777777" w:rsidR="00FA7C11" w:rsidRDefault="00D84965">
            <w:pPr>
              <w:pStyle w:val="P68B1DB1-Normal66"/>
              <w:spacing w:after="200" w:line="276" w:lineRule="auto"/>
              <w:rPr>
                <w:noProof/>
              </w:rPr>
            </w:pPr>
            <w:r>
              <w:rPr>
                <w:noProof/>
              </w:rPr>
              <w:t>Guvernul Republicii Croația adoptă programul multianual de construcție pentru apă și ape uzate, care acoperă investițiile necesare, inclusiv stabilirea priorităților, pentru a respecta cerințele Directivei privind tratarea apelor urbane reziduale. Planul include, de asemenea, o evaluare a riscurilor și măsuri de atenuare.</w:t>
            </w:r>
          </w:p>
        </w:tc>
      </w:tr>
      <w:tr w:rsidR="00FA7C11" w14:paraId="698083C8" w14:textId="77777777">
        <w:trPr>
          <w:jc w:val="center"/>
        </w:trPr>
        <w:tc>
          <w:tcPr>
            <w:tcW w:w="835" w:type="dxa"/>
            <w:tcBorders>
              <w:top w:val="nil"/>
              <w:left w:val="single" w:sz="4" w:space="0" w:color="auto"/>
              <w:bottom w:val="single" w:sz="4" w:space="0" w:color="auto"/>
              <w:right w:val="single" w:sz="4" w:space="0" w:color="auto"/>
            </w:tcBorders>
            <w:shd w:val="clear" w:color="auto" w:fill="C6EFCE"/>
            <w:noWrap/>
          </w:tcPr>
          <w:p w14:paraId="65E2783B" w14:textId="77777777" w:rsidR="00FA7C11" w:rsidRDefault="00D84965">
            <w:pPr>
              <w:pStyle w:val="P68B1DB1-Normal66"/>
              <w:spacing w:after="200" w:line="276" w:lineRule="auto"/>
              <w:jc w:val="center"/>
              <w:rPr>
                <w:noProof/>
              </w:rPr>
            </w:pPr>
            <w:r>
              <w:rPr>
                <w:noProof/>
              </w:rPr>
              <w:t>60</w:t>
            </w:r>
          </w:p>
        </w:tc>
        <w:tc>
          <w:tcPr>
            <w:tcW w:w="1080" w:type="dxa"/>
            <w:tcBorders>
              <w:top w:val="nil"/>
              <w:left w:val="nil"/>
              <w:bottom w:val="single" w:sz="4" w:space="0" w:color="auto"/>
              <w:right w:val="single" w:sz="4" w:space="0" w:color="auto"/>
            </w:tcBorders>
            <w:shd w:val="clear" w:color="auto" w:fill="C6EFCE"/>
            <w:noWrap/>
          </w:tcPr>
          <w:p w14:paraId="3C2B55DC" w14:textId="77777777" w:rsidR="00FA7C11" w:rsidRDefault="00D84965">
            <w:pPr>
              <w:pStyle w:val="P68B1DB1-Normal66"/>
              <w:spacing w:after="200" w:line="276" w:lineRule="auto"/>
              <w:jc w:val="center"/>
              <w:rPr>
                <w:noProof/>
              </w:rPr>
            </w:pPr>
            <w:r>
              <w:rPr>
                <w:noProof/>
              </w:rPr>
              <w:t>C1.3. R1</w:t>
            </w:r>
          </w:p>
        </w:tc>
        <w:tc>
          <w:tcPr>
            <w:tcW w:w="1080" w:type="dxa"/>
            <w:tcBorders>
              <w:top w:val="nil"/>
              <w:left w:val="nil"/>
              <w:bottom w:val="single" w:sz="4" w:space="0" w:color="auto"/>
              <w:right w:val="single" w:sz="4" w:space="0" w:color="auto"/>
            </w:tcBorders>
            <w:shd w:val="clear" w:color="auto" w:fill="C6EFCE"/>
            <w:noWrap/>
          </w:tcPr>
          <w:p w14:paraId="6589BE5F" w14:textId="77777777" w:rsidR="00FA7C11" w:rsidRDefault="00D84965">
            <w:pPr>
              <w:pStyle w:val="P68B1DB1-Normal66"/>
              <w:spacing w:after="200" w:line="276" w:lineRule="auto"/>
              <w:jc w:val="center"/>
              <w:rPr>
                <w:noProof/>
              </w:rPr>
            </w:pPr>
            <w:r>
              <w:rPr>
                <w:noProof/>
              </w:rPr>
              <w:t>M</w:t>
            </w:r>
          </w:p>
        </w:tc>
        <w:tc>
          <w:tcPr>
            <w:tcW w:w="1920" w:type="dxa"/>
            <w:tcBorders>
              <w:top w:val="nil"/>
              <w:left w:val="nil"/>
              <w:bottom w:val="single" w:sz="4" w:space="0" w:color="auto"/>
              <w:right w:val="single" w:sz="4" w:space="0" w:color="auto"/>
            </w:tcBorders>
            <w:shd w:val="clear" w:color="auto" w:fill="C6EFCE"/>
            <w:noWrap/>
          </w:tcPr>
          <w:p w14:paraId="70594077" w14:textId="77777777" w:rsidR="00FA7C11" w:rsidRDefault="00D84965">
            <w:pPr>
              <w:pStyle w:val="P68B1DB1-Normal66"/>
              <w:spacing w:after="200" w:line="276" w:lineRule="auto"/>
              <w:rPr>
                <w:noProof/>
              </w:rPr>
            </w:pPr>
            <w:r>
              <w:rPr>
                <w:noProof/>
              </w:rPr>
              <w:t xml:space="preserve">Modificări ale cadrului juridic în sectorul apei </w:t>
            </w:r>
          </w:p>
        </w:tc>
        <w:tc>
          <w:tcPr>
            <w:tcW w:w="1884" w:type="dxa"/>
            <w:tcBorders>
              <w:top w:val="nil"/>
              <w:left w:val="nil"/>
              <w:bottom w:val="single" w:sz="4" w:space="0" w:color="auto"/>
              <w:right w:val="single" w:sz="4" w:space="0" w:color="auto"/>
            </w:tcBorders>
            <w:shd w:val="clear" w:color="auto" w:fill="C6EFCE"/>
            <w:noWrap/>
          </w:tcPr>
          <w:p w14:paraId="2B0AFC09" w14:textId="77777777" w:rsidR="00FA7C11" w:rsidRDefault="00D84965">
            <w:pPr>
              <w:pStyle w:val="P68B1DB1-Normal66"/>
              <w:spacing w:after="200" w:line="276" w:lineRule="auto"/>
              <w:rPr>
                <w:noProof/>
              </w:rPr>
            </w:pPr>
            <w:r>
              <w:rPr>
                <w:noProof/>
              </w:rPr>
              <w:t xml:space="preserve">Intrarea în vigoare a patru modificări legislative privind: I) Regulamentul privind zonele de servicii; </w:t>
            </w:r>
            <w:r>
              <w:rPr>
                <w:noProof/>
              </w:rPr>
              <w:br/>
              <w:t xml:space="preserve">II) Regulamentul privind evaluarea performanței operatorilor din domeniul apei; III) Regulamentul privind </w:t>
            </w:r>
            <w:r>
              <w:rPr>
                <w:noProof/>
              </w:rPr>
              <w:br/>
              <w:t xml:space="preserve">metodologia de stabilire a prețurilor serviciilor legate de utilizarea apei; IV) Regulamentul privind condițiile specifice de furnizare a serviciilor de alimentare cu apă, care va reforma operatorii publici din domeniul alimentării cu apă; </w:t>
            </w:r>
          </w:p>
        </w:tc>
        <w:tc>
          <w:tcPr>
            <w:tcW w:w="1134" w:type="dxa"/>
            <w:tcBorders>
              <w:top w:val="nil"/>
              <w:left w:val="nil"/>
              <w:bottom w:val="single" w:sz="4" w:space="0" w:color="auto"/>
              <w:right w:val="single" w:sz="4" w:space="0" w:color="auto"/>
            </w:tcBorders>
            <w:shd w:val="clear" w:color="auto" w:fill="C6EFCE"/>
            <w:noWrap/>
          </w:tcPr>
          <w:p w14:paraId="5F73A0D6" w14:textId="77777777" w:rsidR="00FA7C11" w:rsidRDefault="00D84965">
            <w:pPr>
              <w:pStyle w:val="P68B1DB1-Normal66"/>
              <w:spacing w:after="200" w:line="276" w:lineRule="auto"/>
              <w:jc w:val="center"/>
              <w:rPr>
                <w:noProof/>
              </w:rPr>
            </w:pPr>
            <w:r>
              <w:rPr>
                <w:noProof/>
              </w:rPr>
              <w:t> </w:t>
            </w:r>
          </w:p>
        </w:tc>
        <w:tc>
          <w:tcPr>
            <w:tcW w:w="851" w:type="dxa"/>
            <w:tcBorders>
              <w:top w:val="nil"/>
              <w:left w:val="nil"/>
              <w:bottom w:val="single" w:sz="4" w:space="0" w:color="auto"/>
              <w:right w:val="single" w:sz="4" w:space="0" w:color="auto"/>
            </w:tcBorders>
            <w:shd w:val="clear" w:color="auto" w:fill="C6EFCE"/>
            <w:noWrap/>
          </w:tcPr>
          <w:p w14:paraId="71EE1B17" w14:textId="77777777" w:rsidR="00FA7C11" w:rsidRDefault="00D84965">
            <w:pPr>
              <w:pStyle w:val="P68B1DB1-Normal66"/>
              <w:spacing w:after="200" w:line="276" w:lineRule="auto"/>
              <w:jc w:val="center"/>
              <w:rPr>
                <w:noProof/>
              </w:rPr>
            </w:pPr>
            <w:r>
              <w:rPr>
                <w:noProof/>
              </w:rPr>
              <w:t> </w:t>
            </w:r>
          </w:p>
        </w:tc>
        <w:tc>
          <w:tcPr>
            <w:tcW w:w="567" w:type="dxa"/>
            <w:tcBorders>
              <w:top w:val="nil"/>
              <w:left w:val="nil"/>
              <w:bottom w:val="single" w:sz="4" w:space="0" w:color="auto"/>
              <w:right w:val="single" w:sz="4" w:space="0" w:color="auto"/>
            </w:tcBorders>
            <w:shd w:val="clear" w:color="auto" w:fill="C6EFCE"/>
            <w:noWrap/>
          </w:tcPr>
          <w:p w14:paraId="56922A07" w14:textId="77777777" w:rsidR="00FA7C11" w:rsidRDefault="00D84965">
            <w:pPr>
              <w:pStyle w:val="P68B1DB1-Normal66"/>
              <w:spacing w:after="200" w:line="276" w:lineRule="auto"/>
              <w:jc w:val="center"/>
              <w:rPr>
                <w:noProof/>
              </w:rPr>
            </w:pPr>
            <w:r>
              <w:rPr>
                <w:noProof/>
              </w:rPr>
              <w:t> </w:t>
            </w:r>
          </w:p>
        </w:tc>
        <w:tc>
          <w:tcPr>
            <w:tcW w:w="844" w:type="dxa"/>
            <w:tcBorders>
              <w:top w:val="nil"/>
              <w:left w:val="nil"/>
              <w:bottom w:val="single" w:sz="4" w:space="0" w:color="auto"/>
              <w:right w:val="single" w:sz="4" w:space="0" w:color="auto"/>
            </w:tcBorders>
            <w:shd w:val="clear" w:color="auto" w:fill="C6EFCE"/>
            <w:noWrap/>
          </w:tcPr>
          <w:p w14:paraId="4063454E" w14:textId="77777777" w:rsidR="00FA7C11" w:rsidRDefault="00D84965">
            <w:pPr>
              <w:pStyle w:val="P68B1DB1-Normal66"/>
              <w:spacing w:after="200" w:line="276" w:lineRule="auto"/>
              <w:jc w:val="center"/>
              <w:rPr>
                <w:noProof/>
              </w:rPr>
            </w:pPr>
            <w:r>
              <w:rPr>
                <w:noProof/>
              </w:rPr>
              <w:t>Î4</w:t>
            </w:r>
          </w:p>
        </w:tc>
        <w:tc>
          <w:tcPr>
            <w:tcW w:w="600" w:type="dxa"/>
            <w:tcBorders>
              <w:top w:val="nil"/>
              <w:left w:val="nil"/>
              <w:bottom w:val="single" w:sz="4" w:space="0" w:color="auto"/>
              <w:right w:val="single" w:sz="4" w:space="0" w:color="auto"/>
            </w:tcBorders>
            <w:shd w:val="clear" w:color="auto" w:fill="C6EFCE"/>
            <w:noWrap/>
          </w:tcPr>
          <w:p w14:paraId="3B66975B" w14:textId="77777777" w:rsidR="00FA7C11" w:rsidRDefault="00D84965">
            <w:pPr>
              <w:pStyle w:val="P68B1DB1-Normal66"/>
              <w:spacing w:after="200" w:line="276" w:lineRule="auto"/>
              <w:jc w:val="center"/>
              <w:rPr>
                <w:noProof/>
              </w:rPr>
            </w:pPr>
            <w:r>
              <w:rPr>
                <w:noProof/>
              </w:rPr>
              <w:t>2022</w:t>
            </w:r>
          </w:p>
        </w:tc>
        <w:tc>
          <w:tcPr>
            <w:tcW w:w="4935" w:type="dxa"/>
            <w:tcBorders>
              <w:top w:val="nil"/>
              <w:left w:val="nil"/>
              <w:bottom w:val="single" w:sz="4" w:space="0" w:color="auto"/>
              <w:right w:val="single" w:sz="4" w:space="0" w:color="auto"/>
            </w:tcBorders>
            <w:shd w:val="clear" w:color="auto" w:fill="C6EFCE"/>
            <w:noWrap/>
          </w:tcPr>
          <w:p w14:paraId="69C9459D" w14:textId="77777777" w:rsidR="00FA7C11" w:rsidRDefault="00D84965">
            <w:pPr>
              <w:pStyle w:val="P68B1DB1-Normal66"/>
              <w:spacing w:after="200" w:line="276" w:lineRule="auto"/>
              <w:rPr>
                <w:noProof/>
              </w:rPr>
            </w:pPr>
            <w:r>
              <w:rPr>
                <w:noProof/>
              </w:rPr>
              <w:t xml:space="preserve">Regulamentul privind zonele de servicii, Regulamentul privind evaluarea performanței operatorilor din domeniul apei, Regulamentul privind metodologia de stabilire a prețurilor serviciilor de alimentare cu apă și Regulamentul privind condițiile specifice de furnizare a serviciilor de alimentare cu apă vor fi modificate pentru a crea condiția prealabilă legală pentru consolidarea operatorilor din domeniul apei. </w:t>
            </w:r>
            <w:r>
              <w:rPr>
                <w:noProof/>
              </w:rPr>
              <w:br/>
              <w:t xml:space="preserve">Regulamentul privind evaluarea performanței operatorilor din domeniul apei include, de asemenea, temeiul juridic pentru crearea unui sistem obligatoriu de evaluare comparativă a societăților de utilități publice, pus la dispoziția publicului, precum și pentru asigurarea faptului că cel puțin rezumatele rapoartelor anuale auditate ale societăților de utilități publice sunt puse la dispoziția publicului. </w:t>
            </w:r>
          </w:p>
        </w:tc>
      </w:tr>
      <w:tr w:rsidR="00FA7C11" w14:paraId="690C5A47" w14:textId="77777777">
        <w:trPr>
          <w:jc w:val="center"/>
        </w:trPr>
        <w:tc>
          <w:tcPr>
            <w:tcW w:w="835" w:type="dxa"/>
            <w:tcBorders>
              <w:top w:val="nil"/>
              <w:left w:val="single" w:sz="4" w:space="0" w:color="auto"/>
              <w:bottom w:val="single" w:sz="4" w:space="0" w:color="auto"/>
              <w:right w:val="single" w:sz="4" w:space="0" w:color="auto"/>
            </w:tcBorders>
            <w:shd w:val="clear" w:color="auto" w:fill="C6EFCE"/>
            <w:noWrap/>
          </w:tcPr>
          <w:p w14:paraId="024C7124" w14:textId="77777777" w:rsidR="00FA7C11" w:rsidRDefault="00D84965">
            <w:pPr>
              <w:pStyle w:val="P68B1DB1-Normal66"/>
              <w:spacing w:after="200" w:line="276" w:lineRule="auto"/>
              <w:jc w:val="center"/>
              <w:rPr>
                <w:noProof/>
              </w:rPr>
            </w:pPr>
            <w:r>
              <w:rPr>
                <w:noProof/>
              </w:rPr>
              <w:t>61</w:t>
            </w:r>
          </w:p>
        </w:tc>
        <w:tc>
          <w:tcPr>
            <w:tcW w:w="1080" w:type="dxa"/>
            <w:tcBorders>
              <w:top w:val="nil"/>
              <w:left w:val="nil"/>
              <w:bottom w:val="single" w:sz="4" w:space="0" w:color="auto"/>
              <w:right w:val="single" w:sz="4" w:space="0" w:color="auto"/>
            </w:tcBorders>
            <w:shd w:val="clear" w:color="auto" w:fill="C6EFCE"/>
            <w:noWrap/>
          </w:tcPr>
          <w:p w14:paraId="499D319E" w14:textId="77777777" w:rsidR="00FA7C11" w:rsidRDefault="00D84965">
            <w:pPr>
              <w:pStyle w:val="P68B1DB1-Normal66"/>
              <w:spacing w:after="200" w:line="276" w:lineRule="auto"/>
              <w:jc w:val="center"/>
              <w:rPr>
                <w:noProof/>
              </w:rPr>
            </w:pPr>
            <w:r>
              <w:rPr>
                <w:noProof/>
              </w:rPr>
              <w:t>C1.3. R1</w:t>
            </w:r>
          </w:p>
        </w:tc>
        <w:tc>
          <w:tcPr>
            <w:tcW w:w="1080" w:type="dxa"/>
            <w:tcBorders>
              <w:top w:val="nil"/>
              <w:left w:val="nil"/>
              <w:bottom w:val="single" w:sz="4" w:space="0" w:color="auto"/>
              <w:right w:val="single" w:sz="4" w:space="0" w:color="auto"/>
            </w:tcBorders>
            <w:shd w:val="clear" w:color="auto" w:fill="C6EFCE"/>
            <w:noWrap/>
          </w:tcPr>
          <w:p w14:paraId="2E855571" w14:textId="77777777" w:rsidR="00FA7C11" w:rsidRDefault="00D84965">
            <w:pPr>
              <w:pStyle w:val="P68B1DB1-Normal66"/>
              <w:spacing w:after="200" w:line="276" w:lineRule="auto"/>
              <w:jc w:val="center"/>
              <w:rPr>
                <w:noProof/>
              </w:rPr>
            </w:pPr>
            <w:r>
              <w:rPr>
                <w:noProof/>
              </w:rPr>
              <w:t>T</w:t>
            </w:r>
          </w:p>
        </w:tc>
        <w:tc>
          <w:tcPr>
            <w:tcW w:w="1920" w:type="dxa"/>
            <w:tcBorders>
              <w:top w:val="nil"/>
              <w:left w:val="nil"/>
              <w:bottom w:val="single" w:sz="4" w:space="0" w:color="auto"/>
              <w:right w:val="single" w:sz="4" w:space="0" w:color="auto"/>
            </w:tcBorders>
            <w:shd w:val="clear" w:color="auto" w:fill="C6EFCE"/>
            <w:noWrap/>
          </w:tcPr>
          <w:p w14:paraId="4C2B8EC4" w14:textId="35C53FDF" w:rsidR="00FA7C11" w:rsidRDefault="00D84965">
            <w:pPr>
              <w:pStyle w:val="P68B1DB1-Normal66"/>
              <w:spacing w:after="200" w:line="276" w:lineRule="auto"/>
              <w:rPr>
                <w:noProof/>
              </w:rPr>
            </w:pPr>
            <w:r>
              <w:rPr>
                <w:noProof/>
              </w:rPr>
              <w:t xml:space="preserve">Integrarea furnizorilor de servicii de alimentare cu apă </w:t>
            </w:r>
          </w:p>
        </w:tc>
        <w:tc>
          <w:tcPr>
            <w:tcW w:w="1884" w:type="dxa"/>
            <w:tcBorders>
              <w:top w:val="nil"/>
              <w:left w:val="nil"/>
              <w:bottom w:val="single" w:sz="4" w:space="0" w:color="auto"/>
              <w:right w:val="single" w:sz="4" w:space="0" w:color="auto"/>
            </w:tcBorders>
            <w:shd w:val="clear" w:color="auto" w:fill="C6EFCE"/>
            <w:noWrap/>
          </w:tcPr>
          <w:p w14:paraId="3E10D051" w14:textId="77777777" w:rsidR="00FA7C11" w:rsidRDefault="00D84965">
            <w:pPr>
              <w:pStyle w:val="P68B1DB1-Normal66"/>
              <w:spacing w:after="200" w:line="276" w:lineRule="auto"/>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26148879" w14:textId="77777777" w:rsidR="00FA7C11" w:rsidRDefault="00D84965">
            <w:pPr>
              <w:pStyle w:val="P68B1DB1-Normal66"/>
              <w:spacing w:after="200" w:line="276" w:lineRule="auto"/>
              <w:jc w:val="center"/>
              <w:rPr>
                <w:noProof/>
              </w:rPr>
            </w:pPr>
            <w:r>
              <w:rPr>
                <w:noProof/>
              </w:rPr>
              <w:t>Număr</w:t>
            </w:r>
          </w:p>
        </w:tc>
        <w:tc>
          <w:tcPr>
            <w:tcW w:w="851" w:type="dxa"/>
            <w:tcBorders>
              <w:top w:val="nil"/>
              <w:left w:val="nil"/>
              <w:bottom w:val="single" w:sz="4" w:space="0" w:color="auto"/>
              <w:right w:val="single" w:sz="4" w:space="0" w:color="auto"/>
            </w:tcBorders>
            <w:shd w:val="clear" w:color="auto" w:fill="C6EFCE"/>
            <w:noWrap/>
          </w:tcPr>
          <w:p w14:paraId="7CC443A6" w14:textId="77777777" w:rsidR="00FA7C11" w:rsidRDefault="00D84965">
            <w:pPr>
              <w:pStyle w:val="P68B1DB1-Normal66"/>
              <w:spacing w:after="200" w:line="276" w:lineRule="auto"/>
              <w:jc w:val="center"/>
              <w:rPr>
                <w:noProof/>
              </w:rPr>
            </w:pPr>
            <w:r>
              <w:rPr>
                <w:noProof/>
              </w:rPr>
              <w:t>200</w:t>
            </w:r>
          </w:p>
        </w:tc>
        <w:tc>
          <w:tcPr>
            <w:tcW w:w="567" w:type="dxa"/>
            <w:tcBorders>
              <w:top w:val="nil"/>
              <w:left w:val="nil"/>
              <w:bottom w:val="single" w:sz="4" w:space="0" w:color="auto"/>
              <w:right w:val="single" w:sz="4" w:space="0" w:color="auto"/>
            </w:tcBorders>
            <w:shd w:val="clear" w:color="auto" w:fill="C6EFCE"/>
            <w:noWrap/>
          </w:tcPr>
          <w:p w14:paraId="10643244" w14:textId="77777777" w:rsidR="00FA7C11" w:rsidRDefault="00D84965">
            <w:pPr>
              <w:pStyle w:val="P68B1DB1-Normal66"/>
              <w:spacing w:after="200" w:line="276" w:lineRule="auto"/>
              <w:jc w:val="center"/>
              <w:rPr>
                <w:noProof/>
              </w:rPr>
            </w:pPr>
            <w:r>
              <w:rPr>
                <w:noProof/>
              </w:rPr>
              <w:t>40</w:t>
            </w:r>
          </w:p>
        </w:tc>
        <w:tc>
          <w:tcPr>
            <w:tcW w:w="844" w:type="dxa"/>
            <w:tcBorders>
              <w:top w:val="nil"/>
              <w:left w:val="nil"/>
              <w:bottom w:val="single" w:sz="4" w:space="0" w:color="auto"/>
              <w:right w:val="single" w:sz="4" w:space="0" w:color="auto"/>
            </w:tcBorders>
            <w:shd w:val="clear" w:color="auto" w:fill="C6EFCE"/>
            <w:noWrap/>
          </w:tcPr>
          <w:p w14:paraId="6EE91106" w14:textId="77777777" w:rsidR="00FA7C11" w:rsidRDefault="00D84965">
            <w:pPr>
              <w:pStyle w:val="P68B1DB1-Normal66"/>
              <w:spacing w:after="200" w:line="276" w:lineRule="auto"/>
              <w:jc w:val="center"/>
              <w:rPr>
                <w:noProof/>
              </w:rPr>
            </w:pPr>
            <w:r>
              <w:rPr>
                <w:noProof/>
              </w:rPr>
              <w:t>Î4</w:t>
            </w:r>
          </w:p>
        </w:tc>
        <w:tc>
          <w:tcPr>
            <w:tcW w:w="600" w:type="dxa"/>
            <w:tcBorders>
              <w:top w:val="nil"/>
              <w:left w:val="nil"/>
              <w:bottom w:val="single" w:sz="4" w:space="0" w:color="auto"/>
              <w:right w:val="single" w:sz="4" w:space="0" w:color="auto"/>
            </w:tcBorders>
            <w:shd w:val="clear" w:color="auto" w:fill="C6EFCE"/>
            <w:noWrap/>
          </w:tcPr>
          <w:p w14:paraId="7E3F0777" w14:textId="77777777" w:rsidR="00FA7C11" w:rsidRDefault="00D84965">
            <w:pPr>
              <w:pStyle w:val="P68B1DB1-Normal66"/>
              <w:spacing w:after="200" w:line="276" w:lineRule="auto"/>
              <w:jc w:val="center"/>
              <w:rPr>
                <w:noProof/>
              </w:rPr>
            </w:pPr>
            <w:r>
              <w:rPr>
                <w:noProof/>
              </w:rPr>
              <w:t>2024</w:t>
            </w:r>
          </w:p>
        </w:tc>
        <w:tc>
          <w:tcPr>
            <w:tcW w:w="4935" w:type="dxa"/>
            <w:tcBorders>
              <w:top w:val="nil"/>
              <w:left w:val="nil"/>
              <w:bottom w:val="single" w:sz="4" w:space="0" w:color="auto"/>
              <w:right w:val="single" w:sz="4" w:space="0" w:color="auto"/>
            </w:tcBorders>
            <w:shd w:val="clear" w:color="auto" w:fill="C6EFCE"/>
            <w:noWrap/>
          </w:tcPr>
          <w:p w14:paraId="530E5CD6" w14:textId="77777777" w:rsidR="00FA7C11" w:rsidRDefault="00D84965">
            <w:pPr>
              <w:pStyle w:val="P68B1DB1-Normal66"/>
              <w:spacing w:after="200" w:line="276" w:lineRule="auto"/>
              <w:rPr>
                <w:noProof/>
              </w:rPr>
            </w:pPr>
            <w:r>
              <w:rPr>
                <w:noProof/>
              </w:rPr>
              <w:t>Integrarea celor 200 furnizori publici existenți în 40, în conformitate cu principiul unui furnizor de apă pentru fiecare zonă de servicii.</w:t>
            </w:r>
          </w:p>
        </w:tc>
      </w:tr>
      <w:tr w:rsidR="00FA7C11" w14:paraId="4452373A"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9F03C26" w14:textId="77777777" w:rsidR="00FA7C11" w:rsidRDefault="00D84965">
            <w:pPr>
              <w:pStyle w:val="P68B1DB1-Normal66"/>
              <w:spacing w:after="200" w:line="276" w:lineRule="auto"/>
              <w:jc w:val="center"/>
              <w:rPr>
                <w:noProof/>
              </w:rPr>
            </w:pPr>
            <w:r>
              <w:rPr>
                <w:noProof/>
              </w:rPr>
              <w:t>63</w:t>
            </w:r>
          </w:p>
        </w:tc>
        <w:tc>
          <w:tcPr>
            <w:tcW w:w="1080" w:type="dxa"/>
            <w:tcBorders>
              <w:top w:val="single" w:sz="4" w:space="0" w:color="auto"/>
              <w:left w:val="nil"/>
              <w:bottom w:val="single" w:sz="4" w:space="0" w:color="auto"/>
              <w:right w:val="single" w:sz="4" w:space="0" w:color="auto"/>
            </w:tcBorders>
            <w:shd w:val="clear" w:color="auto" w:fill="C6EFCE"/>
            <w:noWrap/>
          </w:tcPr>
          <w:p w14:paraId="304035ED" w14:textId="77777777" w:rsidR="00FA7C11" w:rsidRDefault="00D84965">
            <w:pPr>
              <w:pStyle w:val="P68B1DB1-Normal66"/>
              <w:spacing w:after="200" w:line="276" w:lineRule="auto"/>
              <w:jc w:val="center"/>
              <w:rPr>
                <w:noProof/>
              </w:rPr>
            </w:pPr>
            <w:r>
              <w:rPr>
                <w:noProof/>
              </w:rPr>
              <w:t>C1.3. R1-I1</w:t>
            </w:r>
          </w:p>
        </w:tc>
        <w:tc>
          <w:tcPr>
            <w:tcW w:w="1080" w:type="dxa"/>
            <w:tcBorders>
              <w:top w:val="single" w:sz="4" w:space="0" w:color="auto"/>
              <w:left w:val="nil"/>
              <w:bottom w:val="single" w:sz="4" w:space="0" w:color="auto"/>
              <w:right w:val="single" w:sz="4" w:space="0" w:color="auto"/>
            </w:tcBorders>
            <w:shd w:val="clear" w:color="auto" w:fill="C6EFCE"/>
            <w:noWrap/>
          </w:tcPr>
          <w:p w14:paraId="2A61A0D0"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7E630B9F" w14:textId="77777777" w:rsidR="00FA7C11" w:rsidRDefault="00D84965">
            <w:pPr>
              <w:pStyle w:val="P68B1DB1-Normal66"/>
              <w:spacing w:after="200" w:line="276" w:lineRule="auto"/>
              <w:rPr>
                <w:noProof/>
              </w:rPr>
            </w:pPr>
            <w:r>
              <w:rPr>
                <w:noProof/>
              </w:rPr>
              <w:t xml:space="preserve">Rețea publică de canalizare construită sau reconstruită </w:t>
            </w:r>
          </w:p>
        </w:tc>
        <w:tc>
          <w:tcPr>
            <w:tcW w:w="1884" w:type="dxa"/>
            <w:tcBorders>
              <w:top w:val="single" w:sz="4" w:space="0" w:color="auto"/>
              <w:left w:val="nil"/>
              <w:bottom w:val="single" w:sz="4" w:space="0" w:color="auto"/>
              <w:right w:val="single" w:sz="4" w:space="0" w:color="auto"/>
            </w:tcBorders>
            <w:shd w:val="clear" w:color="auto" w:fill="C6EFCE"/>
            <w:noWrap/>
          </w:tcPr>
          <w:p w14:paraId="38C1DE94"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0084AB83"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7CB46899"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301DB5A3" w14:textId="77777777" w:rsidR="00FA7C11" w:rsidRDefault="00D84965">
            <w:pPr>
              <w:pStyle w:val="P68B1DB1-Normal66"/>
              <w:spacing w:after="200" w:line="276" w:lineRule="auto"/>
              <w:jc w:val="center"/>
              <w:rPr>
                <w:noProof/>
              </w:rPr>
            </w:pPr>
            <w:r>
              <w:rPr>
                <w:noProof/>
              </w:rPr>
              <w:t>115</w:t>
            </w:r>
          </w:p>
        </w:tc>
        <w:tc>
          <w:tcPr>
            <w:tcW w:w="844" w:type="dxa"/>
            <w:tcBorders>
              <w:top w:val="single" w:sz="4" w:space="0" w:color="auto"/>
              <w:left w:val="nil"/>
              <w:bottom w:val="single" w:sz="4" w:space="0" w:color="auto"/>
              <w:right w:val="single" w:sz="4" w:space="0" w:color="auto"/>
            </w:tcBorders>
            <w:shd w:val="clear" w:color="auto" w:fill="C6EFCE"/>
            <w:noWrap/>
          </w:tcPr>
          <w:p w14:paraId="7ECDFD8F" w14:textId="77777777" w:rsidR="00FA7C11" w:rsidRDefault="00D84965">
            <w:pPr>
              <w:pStyle w:val="P68B1DB1-Normal66"/>
              <w:spacing w:after="200" w:line="276" w:lineRule="auto"/>
              <w:jc w:val="center"/>
              <w:rPr>
                <w:noProof/>
              </w:rPr>
            </w:pPr>
            <w:r>
              <w:rPr>
                <w:noProof/>
              </w:rPr>
              <w:t>Î2</w:t>
            </w:r>
          </w:p>
        </w:tc>
        <w:tc>
          <w:tcPr>
            <w:tcW w:w="600" w:type="dxa"/>
            <w:tcBorders>
              <w:top w:val="single" w:sz="4" w:space="0" w:color="auto"/>
              <w:left w:val="nil"/>
              <w:bottom w:val="single" w:sz="4" w:space="0" w:color="auto"/>
              <w:right w:val="single" w:sz="4" w:space="0" w:color="auto"/>
            </w:tcBorders>
            <w:shd w:val="clear" w:color="auto" w:fill="C6EFCE"/>
            <w:noWrap/>
          </w:tcPr>
          <w:p w14:paraId="3F8564DD" w14:textId="77777777" w:rsidR="00FA7C11" w:rsidRDefault="00D84965">
            <w:pPr>
              <w:pStyle w:val="P68B1DB1-Normal66"/>
              <w:spacing w:after="200" w:line="276" w:lineRule="auto"/>
              <w:jc w:val="center"/>
              <w:rPr>
                <w:noProof/>
              </w:rPr>
            </w:pPr>
            <w:r>
              <w:rPr>
                <w:noProof/>
              </w:rPr>
              <w:t>2022</w:t>
            </w:r>
          </w:p>
        </w:tc>
        <w:tc>
          <w:tcPr>
            <w:tcW w:w="4935" w:type="dxa"/>
            <w:tcBorders>
              <w:top w:val="single" w:sz="4" w:space="0" w:color="auto"/>
              <w:left w:val="nil"/>
              <w:bottom w:val="single" w:sz="4" w:space="0" w:color="auto"/>
              <w:right w:val="single" w:sz="4" w:space="0" w:color="auto"/>
            </w:tcBorders>
            <w:shd w:val="clear" w:color="auto" w:fill="C6EFCE"/>
            <w:noWrap/>
          </w:tcPr>
          <w:p w14:paraId="7B7B4D52" w14:textId="77777777" w:rsidR="00FA7C11" w:rsidRDefault="00D84965">
            <w:pPr>
              <w:pStyle w:val="P68B1DB1-Normal66"/>
              <w:spacing w:after="200" w:line="276" w:lineRule="auto"/>
              <w:rPr>
                <w:noProof/>
              </w:rPr>
            </w:pPr>
            <w:r>
              <w:rPr>
                <w:noProof/>
              </w:rPr>
              <w:t xml:space="preserve">Cel puțin 115 km de rețea publică de canalizare (drenaj) construită sau reconstruită </w:t>
            </w:r>
            <w:r>
              <w:rPr>
                <w:noProof/>
              </w:rPr>
              <w:br/>
              <w:t>Investiția asigură respectarea Directivei privind epurarea apelor uzate urbane în zonele vizate, în conformitate cu Programul multianual pentru construcții în domeniul apei și al apelor uzate.</w:t>
            </w:r>
          </w:p>
        </w:tc>
      </w:tr>
      <w:tr w:rsidR="00FA7C11" w14:paraId="54B1F2E8"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11D9067" w14:textId="77777777" w:rsidR="00FA7C11" w:rsidRDefault="00D84965">
            <w:pPr>
              <w:pStyle w:val="P68B1DB1-Normal66"/>
              <w:spacing w:after="200" w:line="276" w:lineRule="auto"/>
              <w:jc w:val="center"/>
              <w:rPr>
                <w:noProof/>
              </w:rPr>
            </w:pPr>
            <w:r>
              <w:rPr>
                <w:noProof/>
              </w:rPr>
              <w:t>64</w:t>
            </w:r>
          </w:p>
        </w:tc>
        <w:tc>
          <w:tcPr>
            <w:tcW w:w="1080" w:type="dxa"/>
            <w:tcBorders>
              <w:top w:val="single" w:sz="4" w:space="0" w:color="auto"/>
              <w:left w:val="nil"/>
              <w:bottom w:val="single" w:sz="4" w:space="0" w:color="auto"/>
              <w:right w:val="single" w:sz="4" w:space="0" w:color="auto"/>
            </w:tcBorders>
            <w:shd w:val="clear" w:color="auto" w:fill="C6EFCE"/>
            <w:noWrap/>
          </w:tcPr>
          <w:p w14:paraId="06397B37" w14:textId="77777777" w:rsidR="00FA7C11" w:rsidRDefault="00D84965">
            <w:pPr>
              <w:pStyle w:val="P68B1DB1-Normal66"/>
              <w:spacing w:after="200" w:line="276" w:lineRule="auto"/>
              <w:jc w:val="center"/>
              <w:rPr>
                <w:noProof/>
              </w:rPr>
            </w:pPr>
            <w:r>
              <w:rPr>
                <w:noProof/>
              </w:rPr>
              <w:t>C1.3. R1-I1</w:t>
            </w:r>
          </w:p>
        </w:tc>
        <w:tc>
          <w:tcPr>
            <w:tcW w:w="1080" w:type="dxa"/>
            <w:tcBorders>
              <w:top w:val="single" w:sz="4" w:space="0" w:color="auto"/>
              <w:left w:val="nil"/>
              <w:bottom w:val="single" w:sz="4" w:space="0" w:color="auto"/>
              <w:right w:val="single" w:sz="4" w:space="0" w:color="auto"/>
            </w:tcBorders>
            <w:shd w:val="clear" w:color="auto" w:fill="C6EFCE"/>
            <w:noWrap/>
          </w:tcPr>
          <w:p w14:paraId="66389E82"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2525BD8A" w14:textId="77777777" w:rsidR="00FA7C11" w:rsidRDefault="00D84965">
            <w:pPr>
              <w:pStyle w:val="P68B1DB1-Normal66"/>
              <w:spacing w:after="200" w:line="276" w:lineRule="auto"/>
              <w:rPr>
                <w:noProof/>
              </w:rPr>
            </w:pPr>
            <w:r>
              <w:rPr>
                <w:noProof/>
              </w:rPr>
              <w:t xml:space="preserve">Contracte de lucrări încheiate pentru proiecte de infrastructură pentru apele uzate </w:t>
            </w:r>
          </w:p>
        </w:tc>
        <w:tc>
          <w:tcPr>
            <w:tcW w:w="1884" w:type="dxa"/>
            <w:tcBorders>
              <w:top w:val="single" w:sz="4" w:space="0" w:color="auto"/>
              <w:left w:val="nil"/>
              <w:bottom w:val="single" w:sz="4" w:space="0" w:color="auto"/>
              <w:right w:val="single" w:sz="4" w:space="0" w:color="auto"/>
            </w:tcBorders>
            <w:shd w:val="clear" w:color="auto" w:fill="C6EFCE"/>
            <w:noWrap/>
          </w:tcPr>
          <w:p w14:paraId="33E52895"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952A09C"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71E8819F"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7FC1A1D3" w14:textId="77777777" w:rsidR="00FA7C11" w:rsidRDefault="00D84965">
            <w:pPr>
              <w:pStyle w:val="P68B1DB1-Normal66"/>
              <w:spacing w:after="200" w:line="276" w:lineRule="auto"/>
              <w:jc w:val="center"/>
              <w:rPr>
                <w:noProof/>
              </w:rPr>
            </w:pPr>
            <w:r>
              <w:rPr>
                <w:noProof/>
              </w:rPr>
              <w:t>60</w:t>
            </w:r>
          </w:p>
        </w:tc>
        <w:tc>
          <w:tcPr>
            <w:tcW w:w="844" w:type="dxa"/>
            <w:tcBorders>
              <w:top w:val="single" w:sz="4" w:space="0" w:color="auto"/>
              <w:left w:val="nil"/>
              <w:bottom w:val="single" w:sz="4" w:space="0" w:color="auto"/>
              <w:right w:val="single" w:sz="4" w:space="0" w:color="auto"/>
            </w:tcBorders>
            <w:shd w:val="clear" w:color="auto" w:fill="C6EFCE"/>
            <w:noWrap/>
          </w:tcPr>
          <w:p w14:paraId="426A1F9A"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7C4B2BD6" w14:textId="77777777" w:rsidR="00FA7C11" w:rsidRDefault="00D84965">
            <w:pPr>
              <w:pStyle w:val="P68B1DB1-Normal66"/>
              <w:spacing w:after="200" w:line="276" w:lineRule="auto"/>
              <w:jc w:val="center"/>
              <w:rPr>
                <w:noProof/>
              </w:rPr>
            </w:pPr>
            <w:r>
              <w:rPr>
                <w:noProof/>
              </w:rPr>
              <w:t>2023</w:t>
            </w:r>
          </w:p>
        </w:tc>
        <w:tc>
          <w:tcPr>
            <w:tcW w:w="4935" w:type="dxa"/>
            <w:tcBorders>
              <w:top w:val="single" w:sz="4" w:space="0" w:color="auto"/>
              <w:left w:val="nil"/>
              <w:bottom w:val="single" w:sz="4" w:space="0" w:color="auto"/>
              <w:right w:val="single" w:sz="4" w:space="0" w:color="auto"/>
            </w:tcBorders>
            <w:shd w:val="clear" w:color="auto" w:fill="C6EFCE"/>
            <w:noWrap/>
          </w:tcPr>
          <w:p w14:paraId="6ADDA939" w14:textId="77777777" w:rsidR="00FA7C11" w:rsidRDefault="00D84965">
            <w:pPr>
              <w:pStyle w:val="P68B1DB1-Normal66"/>
              <w:spacing w:after="200" w:line="276" w:lineRule="auto"/>
              <w:rPr>
                <w:noProof/>
              </w:rPr>
            </w:pPr>
            <w:r>
              <w:rPr>
                <w:noProof/>
              </w:rPr>
              <w:t>Se semnează cel puțin 60 contracte de lucrări pentru proiecte de infrastructură pentru apele uzate legate de contracte care urmează să fie atribuite până la sfârșitul anului 2023.</w:t>
            </w:r>
            <w:r>
              <w:rPr>
                <w:noProof/>
              </w:rPr>
              <w:br/>
              <w:t>Evaluarea impactului asupra mediului se efectuează în conformitate cu procedurile de autorizare în temeiul EIM în conformitate cu Directiva 2011/92/UE și cu procedura de încadrare și/sau evaluarea corespunzătoare în temeiul articolului 6 alineatul (3) din Directiva privind habitatele. Se furnizează dovezi că proiectul nu are un efect semnificativ asupra integrității siturilor Natura 2000 în cauză.</w:t>
            </w:r>
          </w:p>
        </w:tc>
      </w:tr>
      <w:tr w:rsidR="00FA7C11" w14:paraId="1CEFEDDF"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9C08A38" w14:textId="77777777" w:rsidR="00FA7C11" w:rsidRDefault="00D84965">
            <w:pPr>
              <w:pStyle w:val="P68B1DB1-Normal66"/>
              <w:spacing w:after="200" w:line="276" w:lineRule="auto"/>
              <w:jc w:val="center"/>
              <w:rPr>
                <w:noProof/>
              </w:rPr>
            </w:pPr>
            <w:r>
              <w:rPr>
                <w:noProof/>
              </w:rPr>
              <w:t>65</w:t>
            </w:r>
          </w:p>
        </w:tc>
        <w:tc>
          <w:tcPr>
            <w:tcW w:w="1080" w:type="dxa"/>
            <w:tcBorders>
              <w:top w:val="single" w:sz="4" w:space="0" w:color="auto"/>
              <w:left w:val="nil"/>
              <w:bottom w:val="single" w:sz="4" w:space="0" w:color="auto"/>
              <w:right w:val="single" w:sz="4" w:space="0" w:color="auto"/>
            </w:tcBorders>
            <w:shd w:val="clear" w:color="auto" w:fill="C6EFCE"/>
            <w:noWrap/>
          </w:tcPr>
          <w:p w14:paraId="7A835B4F" w14:textId="77777777" w:rsidR="00FA7C11" w:rsidRDefault="00D84965">
            <w:pPr>
              <w:pStyle w:val="P68B1DB1-Normal66"/>
              <w:spacing w:after="200" w:line="276" w:lineRule="auto"/>
              <w:jc w:val="center"/>
              <w:rPr>
                <w:noProof/>
              </w:rPr>
            </w:pPr>
            <w:r>
              <w:rPr>
                <w:noProof/>
              </w:rPr>
              <w:t>C1.3. R1-I1</w:t>
            </w:r>
          </w:p>
        </w:tc>
        <w:tc>
          <w:tcPr>
            <w:tcW w:w="1080" w:type="dxa"/>
            <w:tcBorders>
              <w:top w:val="single" w:sz="4" w:space="0" w:color="auto"/>
              <w:left w:val="nil"/>
              <w:bottom w:val="single" w:sz="4" w:space="0" w:color="auto"/>
              <w:right w:val="single" w:sz="4" w:space="0" w:color="auto"/>
            </w:tcBorders>
            <w:shd w:val="clear" w:color="auto" w:fill="C6EFCE"/>
            <w:noWrap/>
          </w:tcPr>
          <w:p w14:paraId="1C52E528"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332DE1F6" w14:textId="77777777" w:rsidR="00FA7C11" w:rsidRDefault="00D84965">
            <w:pPr>
              <w:pStyle w:val="P68B1DB1-Normal66"/>
              <w:spacing w:after="200" w:line="276" w:lineRule="auto"/>
              <w:rPr>
                <w:noProof/>
              </w:rPr>
            </w:pPr>
            <w:r>
              <w:rPr>
                <w:noProof/>
              </w:rPr>
              <w:t>Stații de epurare a apelor uzate construite sau modernizate</w:t>
            </w:r>
          </w:p>
        </w:tc>
        <w:tc>
          <w:tcPr>
            <w:tcW w:w="1884" w:type="dxa"/>
            <w:tcBorders>
              <w:top w:val="single" w:sz="4" w:space="0" w:color="auto"/>
              <w:left w:val="nil"/>
              <w:bottom w:val="single" w:sz="4" w:space="0" w:color="auto"/>
              <w:right w:val="single" w:sz="4" w:space="0" w:color="auto"/>
            </w:tcBorders>
            <w:shd w:val="clear" w:color="auto" w:fill="C6EFCE"/>
            <w:noWrap/>
          </w:tcPr>
          <w:p w14:paraId="02425737"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461878FA"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33E5D7CE"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1394C12C" w14:textId="77777777" w:rsidR="00FA7C11" w:rsidRDefault="00D84965">
            <w:pPr>
              <w:pStyle w:val="P68B1DB1-Normal66"/>
              <w:spacing w:after="200" w:line="276" w:lineRule="auto"/>
              <w:jc w:val="center"/>
              <w:rPr>
                <w:noProof/>
              </w:rPr>
            </w:pPr>
            <w:r>
              <w:rPr>
                <w:noProof/>
              </w:rPr>
              <w:t>12</w:t>
            </w:r>
          </w:p>
        </w:tc>
        <w:tc>
          <w:tcPr>
            <w:tcW w:w="844" w:type="dxa"/>
            <w:tcBorders>
              <w:top w:val="single" w:sz="4" w:space="0" w:color="auto"/>
              <w:left w:val="nil"/>
              <w:bottom w:val="single" w:sz="4" w:space="0" w:color="auto"/>
              <w:right w:val="single" w:sz="4" w:space="0" w:color="auto"/>
            </w:tcBorders>
            <w:shd w:val="clear" w:color="auto" w:fill="C6EFCE"/>
            <w:noWrap/>
          </w:tcPr>
          <w:p w14:paraId="4CC36576"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7F184DB5" w14:textId="77777777" w:rsidR="00FA7C11" w:rsidRDefault="00D84965">
            <w:pPr>
              <w:pStyle w:val="P68B1DB1-Normal66"/>
              <w:spacing w:after="200" w:line="276" w:lineRule="auto"/>
              <w:jc w:val="center"/>
              <w:rPr>
                <w:noProof/>
              </w:rPr>
            </w:pPr>
            <w:r>
              <w:rPr>
                <w:noProof/>
              </w:rPr>
              <w:t>2025</w:t>
            </w:r>
          </w:p>
        </w:tc>
        <w:tc>
          <w:tcPr>
            <w:tcW w:w="4935" w:type="dxa"/>
            <w:tcBorders>
              <w:top w:val="single" w:sz="4" w:space="0" w:color="auto"/>
              <w:left w:val="nil"/>
              <w:bottom w:val="single" w:sz="4" w:space="0" w:color="auto"/>
              <w:right w:val="single" w:sz="4" w:space="0" w:color="auto"/>
            </w:tcBorders>
            <w:shd w:val="clear" w:color="auto" w:fill="C6EFCE"/>
            <w:noWrap/>
          </w:tcPr>
          <w:p w14:paraId="626A23E5" w14:textId="77777777" w:rsidR="00FA7C11" w:rsidRDefault="00D84965">
            <w:pPr>
              <w:pStyle w:val="P68B1DB1-Normal66"/>
              <w:spacing w:after="200" w:line="276" w:lineRule="auto"/>
              <w:rPr>
                <w:noProof/>
              </w:rPr>
            </w:pPr>
            <w:r>
              <w:rPr>
                <w:noProof/>
              </w:rPr>
              <w:t xml:space="preserve">Se modernizează sau se construiesc cel puțin 12 de stații de epurare a apelor uzate. </w:t>
            </w:r>
          </w:p>
        </w:tc>
      </w:tr>
      <w:tr w:rsidR="00FA7C11" w14:paraId="5FCEA76A"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B854A25" w14:textId="77777777" w:rsidR="00FA7C11" w:rsidRDefault="00D84965">
            <w:pPr>
              <w:pStyle w:val="P68B1DB1-Normal66"/>
              <w:spacing w:after="200" w:line="276" w:lineRule="auto"/>
              <w:jc w:val="center"/>
              <w:rPr>
                <w:noProof/>
              </w:rPr>
            </w:pPr>
            <w:r>
              <w:rPr>
                <w:noProof/>
              </w:rPr>
              <w:t>66</w:t>
            </w:r>
          </w:p>
        </w:tc>
        <w:tc>
          <w:tcPr>
            <w:tcW w:w="1080" w:type="dxa"/>
            <w:tcBorders>
              <w:top w:val="single" w:sz="4" w:space="0" w:color="auto"/>
              <w:left w:val="nil"/>
              <w:bottom w:val="single" w:sz="4" w:space="0" w:color="auto"/>
              <w:right w:val="single" w:sz="4" w:space="0" w:color="auto"/>
            </w:tcBorders>
            <w:shd w:val="clear" w:color="auto" w:fill="C6EFCE"/>
            <w:noWrap/>
          </w:tcPr>
          <w:p w14:paraId="037A47E2" w14:textId="77777777" w:rsidR="00FA7C11" w:rsidRDefault="00D84965">
            <w:pPr>
              <w:pStyle w:val="P68B1DB1-Normal66"/>
              <w:spacing w:after="200" w:line="276" w:lineRule="auto"/>
              <w:jc w:val="center"/>
              <w:rPr>
                <w:noProof/>
              </w:rPr>
            </w:pPr>
            <w:r>
              <w:rPr>
                <w:noProof/>
              </w:rPr>
              <w:t>C1.3. R1-I1</w:t>
            </w:r>
          </w:p>
        </w:tc>
        <w:tc>
          <w:tcPr>
            <w:tcW w:w="1080" w:type="dxa"/>
            <w:tcBorders>
              <w:top w:val="single" w:sz="4" w:space="0" w:color="auto"/>
              <w:left w:val="nil"/>
              <w:bottom w:val="single" w:sz="4" w:space="0" w:color="auto"/>
              <w:right w:val="single" w:sz="4" w:space="0" w:color="auto"/>
            </w:tcBorders>
            <w:shd w:val="clear" w:color="auto" w:fill="C6EFCE"/>
            <w:noWrap/>
          </w:tcPr>
          <w:p w14:paraId="052465CC"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6061FB87" w14:textId="77777777" w:rsidR="00FA7C11" w:rsidRDefault="00D84965">
            <w:pPr>
              <w:pStyle w:val="P68B1DB1-Normal66"/>
              <w:spacing w:after="200" w:line="276" w:lineRule="auto"/>
              <w:rPr>
                <w:noProof/>
              </w:rPr>
            </w:pPr>
            <w:r>
              <w:rPr>
                <w:noProof/>
              </w:rPr>
              <w:t xml:space="preserve">Rețea publică de canalizare construită sau reconstruită </w:t>
            </w:r>
          </w:p>
        </w:tc>
        <w:tc>
          <w:tcPr>
            <w:tcW w:w="1884" w:type="dxa"/>
            <w:tcBorders>
              <w:top w:val="single" w:sz="4" w:space="0" w:color="auto"/>
              <w:left w:val="nil"/>
              <w:bottom w:val="single" w:sz="4" w:space="0" w:color="auto"/>
              <w:right w:val="single" w:sz="4" w:space="0" w:color="auto"/>
            </w:tcBorders>
            <w:shd w:val="clear" w:color="auto" w:fill="C6EFCE"/>
            <w:noWrap/>
          </w:tcPr>
          <w:p w14:paraId="29FB61A1"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2BDD336F"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600AE9E9" w14:textId="2AF3B730" w:rsidR="00FA7C11" w:rsidRDefault="00D84965">
            <w:pPr>
              <w:pStyle w:val="P68B1DB1-Normal66"/>
              <w:spacing w:after="200" w:line="276" w:lineRule="auto"/>
              <w:jc w:val="center"/>
              <w:rPr>
                <w:noProof/>
              </w:rPr>
            </w:pPr>
            <w:r>
              <w:rPr>
                <w:noProof/>
              </w:rPr>
              <w:t>115</w:t>
            </w:r>
          </w:p>
        </w:tc>
        <w:tc>
          <w:tcPr>
            <w:tcW w:w="567" w:type="dxa"/>
            <w:tcBorders>
              <w:top w:val="single" w:sz="4" w:space="0" w:color="auto"/>
              <w:left w:val="nil"/>
              <w:bottom w:val="single" w:sz="4" w:space="0" w:color="auto"/>
              <w:right w:val="single" w:sz="4" w:space="0" w:color="auto"/>
            </w:tcBorders>
            <w:shd w:val="clear" w:color="auto" w:fill="C6EFCE"/>
            <w:noWrap/>
          </w:tcPr>
          <w:p w14:paraId="1DBC7F84" w14:textId="77777777" w:rsidR="00FA7C11" w:rsidRDefault="00D84965">
            <w:pPr>
              <w:pStyle w:val="P68B1DB1-Normal66"/>
              <w:spacing w:after="200" w:line="276" w:lineRule="auto"/>
              <w:jc w:val="center"/>
              <w:rPr>
                <w:noProof/>
              </w:rPr>
            </w:pPr>
            <w:r>
              <w:rPr>
                <w:noProof/>
              </w:rPr>
              <w:t>807</w:t>
            </w:r>
          </w:p>
        </w:tc>
        <w:tc>
          <w:tcPr>
            <w:tcW w:w="844" w:type="dxa"/>
            <w:tcBorders>
              <w:top w:val="single" w:sz="4" w:space="0" w:color="auto"/>
              <w:left w:val="nil"/>
              <w:bottom w:val="single" w:sz="4" w:space="0" w:color="auto"/>
              <w:right w:val="single" w:sz="4" w:space="0" w:color="auto"/>
            </w:tcBorders>
            <w:shd w:val="clear" w:color="auto" w:fill="C6EFCE"/>
            <w:noWrap/>
          </w:tcPr>
          <w:p w14:paraId="6374A5B2"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0D058717" w14:textId="77777777" w:rsidR="00FA7C11" w:rsidRDefault="00D84965">
            <w:pPr>
              <w:pStyle w:val="P68B1DB1-Normal66"/>
              <w:spacing w:after="200" w:line="276" w:lineRule="auto"/>
              <w:jc w:val="center"/>
              <w:rPr>
                <w:noProof/>
              </w:rPr>
            </w:pPr>
            <w:r>
              <w:rPr>
                <w:noProof/>
              </w:rPr>
              <w:t>2025</w:t>
            </w:r>
          </w:p>
        </w:tc>
        <w:tc>
          <w:tcPr>
            <w:tcW w:w="4935" w:type="dxa"/>
            <w:tcBorders>
              <w:top w:val="single" w:sz="4" w:space="0" w:color="auto"/>
              <w:left w:val="nil"/>
              <w:bottom w:val="single" w:sz="4" w:space="0" w:color="auto"/>
              <w:right w:val="single" w:sz="4" w:space="0" w:color="auto"/>
            </w:tcBorders>
            <w:shd w:val="clear" w:color="auto" w:fill="C6EFCE"/>
            <w:noWrap/>
          </w:tcPr>
          <w:p w14:paraId="281C46A3" w14:textId="62C782D4"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Construirea sau reconstruirea a cel puțin 692 km de rețea publică de canalizare (drenaj)</w:t>
            </w:r>
            <w:r>
              <w:rPr>
                <w:rFonts w:ascii="Times New Roman" w:hAnsi="Times New Roman" w:cs="Times New Roman"/>
                <w:noProof/>
              </w:rPr>
              <w:br/>
            </w:r>
          </w:p>
        </w:tc>
      </w:tr>
      <w:tr w:rsidR="00FA7C11" w14:paraId="748AD4CB"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5F9834C" w14:textId="77777777" w:rsidR="00FA7C11" w:rsidRDefault="00D84965">
            <w:pPr>
              <w:pStyle w:val="P68B1DB1-Normal66"/>
              <w:spacing w:after="200" w:line="276" w:lineRule="auto"/>
              <w:jc w:val="center"/>
              <w:rPr>
                <w:noProof/>
              </w:rPr>
            </w:pPr>
            <w:r>
              <w:rPr>
                <w:noProof/>
              </w:rPr>
              <w:t>68</w:t>
            </w:r>
          </w:p>
        </w:tc>
        <w:tc>
          <w:tcPr>
            <w:tcW w:w="1080" w:type="dxa"/>
            <w:tcBorders>
              <w:top w:val="single" w:sz="4" w:space="0" w:color="auto"/>
              <w:left w:val="nil"/>
              <w:bottom w:val="single" w:sz="4" w:space="0" w:color="auto"/>
              <w:right w:val="single" w:sz="4" w:space="0" w:color="auto"/>
            </w:tcBorders>
            <w:shd w:val="clear" w:color="auto" w:fill="C6EFCE"/>
            <w:noWrap/>
          </w:tcPr>
          <w:p w14:paraId="202EC2C5" w14:textId="77777777" w:rsidR="00FA7C11" w:rsidRDefault="00D84965">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3CF2AFF8"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4555A3F8" w14:textId="77777777" w:rsidR="00FA7C11" w:rsidRDefault="00D84965">
            <w:pPr>
              <w:pStyle w:val="P68B1DB1-Normal66"/>
              <w:spacing w:after="200" w:line="276" w:lineRule="auto"/>
              <w:rPr>
                <w:noProof/>
              </w:rPr>
            </w:pPr>
            <w:r>
              <w:rPr>
                <w:noProof/>
              </w:rPr>
              <w:t xml:space="preserve">Rețea publică de alimentare cu apă construită sau reconstruită </w:t>
            </w:r>
          </w:p>
        </w:tc>
        <w:tc>
          <w:tcPr>
            <w:tcW w:w="1884" w:type="dxa"/>
            <w:tcBorders>
              <w:top w:val="single" w:sz="4" w:space="0" w:color="auto"/>
              <w:left w:val="nil"/>
              <w:bottom w:val="single" w:sz="4" w:space="0" w:color="auto"/>
              <w:right w:val="single" w:sz="4" w:space="0" w:color="auto"/>
            </w:tcBorders>
            <w:shd w:val="clear" w:color="auto" w:fill="C6EFCE"/>
            <w:noWrap/>
          </w:tcPr>
          <w:p w14:paraId="018049FF"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31A37A81"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679F698C"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69A11E86" w14:textId="77777777" w:rsidR="00FA7C11" w:rsidRDefault="00D84965">
            <w:pPr>
              <w:pStyle w:val="P68B1DB1-Normal66"/>
              <w:spacing w:after="200" w:line="276" w:lineRule="auto"/>
              <w:jc w:val="center"/>
              <w:rPr>
                <w:noProof/>
              </w:rPr>
            </w:pPr>
            <w:r>
              <w:rPr>
                <w:noProof/>
              </w:rPr>
              <w:t>226</w:t>
            </w:r>
          </w:p>
        </w:tc>
        <w:tc>
          <w:tcPr>
            <w:tcW w:w="844" w:type="dxa"/>
            <w:tcBorders>
              <w:top w:val="single" w:sz="4" w:space="0" w:color="auto"/>
              <w:left w:val="nil"/>
              <w:bottom w:val="single" w:sz="4" w:space="0" w:color="auto"/>
              <w:right w:val="single" w:sz="4" w:space="0" w:color="auto"/>
            </w:tcBorders>
            <w:shd w:val="clear" w:color="auto" w:fill="C6EFCE"/>
            <w:noWrap/>
          </w:tcPr>
          <w:p w14:paraId="651CEA2C" w14:textId="77777777" w:rsidR="00FA7C11" w:rsidRDefault="00D84965">
            <w:pPr>
              <w:pStyle w:val="P68B1DB1-Normal66"/>
              <w:spacing w:after="200" w:line="276" w:lineRule="auto"/>
              <w:jc w:val="center"/>
              <w:rPr>
                <w:noProof/>
              </w:rPr>
            </w:pPr>
            <w:r>
              <w:rPr>
                <w:noProof/>
              </w:rPr>
              <w:t>Î2</w:t>
            </w:r>
          </w:p>
        </w:tc>
        <w:tc>
          <w:tcPr>
            <w:tcW w:w="600" w:type="dxa"/>
            <w:tcBorders>
              <w:top w:val="single" w:sz="4" w:space="0" w:color="auto"/>
              <w:left w:val="nil"/>
              <w:bottom w:val="single" w:sz="4" w:space="0" w:color="auto"/>
              <w:right w:val="single" w:sz="4" w:space="0" w:color="auto"/>
            </w:tcBorders>
            <w:shd w:val="clear" w:color="auto" w:fill="C6EFCE"/>
            <w:noWrap/>
          </w:tcPr>
          <w:p w14:paraId="21507E9E" w14:textId="77777777" w:rsidR="00FA7C11" w:rsidRDefault="00D84965">
            <w:pPr>
              <w:pStyle w:val="P68B1DB1-Normal66"/>
              <w:spacing w:after="200" w:line="276" w:lineRule="auto"/>
              <w:jc w:val="center"/>
              <w:rPr>
                <w:noProof/>
              </w:rPr>
            </w:pPr>
            <w:r>
              <w:rPr>
                <w:noProof/>
              </w:rPr>
              <w:t>2022</w:t>
            </w:r>
          </w:p>
        </w:tc>
        <w:tc>
          <w:tcPr>
            <w:tcW w:w="4935" w:type="dxa"/>
            <w:tcBorders>
              <w:top w:val="single" w:sz="4" w:space="0" w:color="auto"/>
              <w:left w:val="nil"/>
              <w:bottom w:val="single" w:sz="4" w:space="0" w:color="auto"/>
              <w:right w:val="single" w:sz="4" w:space="0" w:color="auto"/>
            </w:tcBorders>
            <w:shd w:val="clear" w:color="auto" w:fill="C6EFCE"/>
            <w:noWrap/>
          </w:tcPr>
          <w:p w14:paraId="281624B4" w14:textId="2FFFF8AE" w:rsidR="00FA7C11" w:rsidRDefault="00D84965">
            <w:pPr>
              <w:pStyle w:val="P68B1DB1-Normal66"/>
              <w:spacing w:after="200" w:line="276" w:lineRule="auto"/>
              <w:rPr>
                <w:noProof/>
              </w:rPr>
            </w:pPr>
            <w:r>
              <w:rPr>
                <w:noProof/>
              </w:rPr>
              <w:t>Construirea sau reconstruirea a cel puțin 226 km de rețea publică de alimentare cu apă.</w:t>
            </w:r>
            <w:r>
              <w:rPr>
                <w:noProof/>
              </w:rPr>
              <w:br/>
              <w:t xml:space="preserve">Investiția constă în construirea de sisteme de alimentare cu apă potabilă cu un consum mediu de energie ≤ 0,5 kWh sau cu un indice de pierderi în infrastructură (ILI) ≤ 1,5 și în renovarea sistemelor existente de alimentare cu apă potabilă pentru a reduce consumul mediu de energie cu peste 20 % sau pentru a reduce pierderile cu peste 20 %. </w:t>
            </w:r>
          </w:p>
        </w:tc>
      </w:tr>
      <w:tr w:rsidR="00FA7C11" w14:paraId="7D49F049"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D1273EC" w14:textId="77777777" w:rsidR="00FA7C11" w:rsidRDefault="00D84965">
            <w:pPr>
              <w:pStyle w:val="P68B1DB1-Normal66"/>
              <w:spacing w:after="200" w:line="276" w:lineRule="auto"/>
              <w:jc w:val="center"/>
              <w:rPr>
                <w:noProof/>
              </w:rPr>
            </w:pPr>
            <w:r>
              <w:rPr>
                <w:noProof/>
              </w:rPr>
              <w:t>69</w:t>
            </w:r>
          </w:p>
        </w:tc>
        <w:tc>
          <w:tcPr>
            <w:tcW w:w="1080" w:type="dxa"/>
            <w:tcBorders>
              <w:top w:val="single" w:sz="4" w:space="0" w:color="auto"/>
              <w:left w:val="nil"/>
              <w:bottom w:val="single" w:sz="4" w:space="0" w:color="auto"/>
              <w:right w:val="single" w:sz="4" w:space="0" w:color="auto"/>
            </w:tcBorders>
            <w:shd w:val="clear" w:color="auto" w:fill="C6EFCE"/>
            <w:noWrap/>
          </w:tcPr>
          <w:p w14:paraId="17F5E819" w14:textId="77777777" w:rsidR="00FA7C11" w:rsidRDefault="00D84965">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4FD5C5DF"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5714DE17" w14:textId="77777777" w:rsidR="00FA7C11" w:rsidRDefault="00D84965">
            <w:pPr>
              <w:pStyle w:val="P68B1DB1-Normal66"/>
              <w:spacing w:after="200" w:line="276" w:lineRule="auto"/>
              <w:rPr>
                <w:noProof/>
              </w:rPr>
            </w:pPr>
            <w:r>
              <w:rPr>
                <w:noProof/>
              </w:rPr>
              <w:t xml:space="preserve">Dispozitive de contorizare a apei instalate în locurile de captare a apei </w:t>
            </w:r>
          </w:p>
        </w:tc>
        <w:tc>
          <w:tcPr>
            <w:tcW w:w="1884" w:type="dxa"/>
            <w:tcBorders>
              <w:top w:val="single" w:sz="4" w:space="0" w:color="auto"/>
              <w:left w:val="nil"/>
              <w:bottom w:val="single" w:sz="4" w:space="0" w:color="auto"/>
              <w:right w:val="single" w:sz="4" w:space="0" w:color="auto"/>
            </w:tcBorders>
            <w:shd w:val="clear" w:color="auto" w:fill="C6EFCE"/>
            <w:noWrap/>
          </w:tcPr>
          <w:p w14:paraId="56990FA4"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48F9E703"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36202F2A"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0BBE2644" w14:textId="77777777" w:rsidR="00FA7C11" w:rsidRDefault="00D84965">
            <w:pPr>
              <w:pStyle w:val="P68B1DB1-Normal66"/>
              <w:spacing w:after="200" w:line="276" w:lineRule="auto"/>
              <w:jc w:val="center"/>
              <w:rPr>
                <w:noProof/>
              </w:rPr>
            </w:pPr>
            <w:r>
              <w:rPr>
                <w:noProof/>
              </w:rPr>
              <w:t>526</w:t>
            </w:r>
          </w:p>
        </w:tc>
        <w:tc>
          <w:tcPr>
            <w:tcW w:w="844" w:type="dxa"/>
            <w:tcBorders>
              <w:top w:val="single" w:sz="4" w:space="0" w:color="auto"/>
              <w:left w:val="nil"/>
              <w:bottom w:val="single" w:sz="4" w:space="0" w:color="auto"/>
              <w:right w:val="single" w:sz="4" w:space="0" w:color="auto"/>
            </w:tcBorders>
            <w:shd w:val="clear" w:color="auto" w:fill="C6EFCE"/>
            <w:noWrap/>
          </w:tcPr>
          <w:p w14:paraId="18CEC789"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4FC99B86" w14:textId="77777777" w:rsidR="00FA7C11" w:rsidRDefault="00D84965">
            <w:pPr>
              <w:pStyle w:val="P68B1DB1-Normal66"/>
              <w:spacing w:after="200" w:line="276" w:lineRule="auto"/>
              <w:jc w:val="center"/>
              <w:rPr>
                <w:noProof/>
              </w:rPr>
            </w:pPr>
            <w:r>
              <w:rPr>
                <w:noProof/>
              </w:rPr>
              <w:t>2022</w:t>
            </w:r>
          </w:p>
        </w:tc>
        <w:tc>
          <w:tcPr>
            <w:tcW w:w="4935" w:type="dxa"/>
            <w:tcBorders>
              <w:top w:val="single" w:sz="4" w:space="0" w:color="auto"/>
              <w:left w:val="nil"/>
              <w:bottom w:val="single" w:sz="4" w:space="0" w:color="auto"/>
              <w:right w:val="single" w:sz="4" w:space="0" w:color="auto"/>
            </w:tcBorders>
            <w:shd w:val="clear" w:color="auto" w:fill="C6EFCE"/>
            <w:noWrap/>
          </w:tcPr>
          <w:p w14:paraId="04604BD5" w14:textId="77777777" w:rsidR="00FA7C11" w:rsidRDefault="00D84965">
            <w:pPr>
              <w:pStyle w:val="P68B1DB1-Normal66"/>
              <w:spacing w:after="200" w:line="276" w:lineRule="auto"/>
              <w:rPr>
                <w:noProof/>
              </w:rPr>
            </w:pPr>
            <w:r>
              <w:rPr>
                <w:noProof/>
              </w:rPr>
              <w:t xml:space="preserve">Cel puțin 526 de dispozitive de contorizare instalate în locurile de captare a apei, pentru măsurarea cantităților de apă. </w:t>
            </w:r>
          </w:p>
        </w:tc>
      </w:tr>
      <w:tr w:rsidR="00FA7C11" w14:paraId="7BC81ADE"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8940C6B" w14:textId="77777777" w:rsidR="00FA7C11" w:rsidRDefault="00D84965">
            <w:pPr>
              <w:pStyle w:val="P68B1DB1-Normal66"/>
              <w:spacing w:after="200" w:line="276" w:lineRule="auto"/>
              <w:jc w:val="center"/>
              <w:rPr>
                <w:noProof/>
              </w:rPr>
            </w:pPr>
            <w:r>
              <w:rPr>
                <w:noProof/>
              </w:rPr>
              <w:t>70</w:t>
            </w:r>
          </w:p>
        </w:tc>
        <w:tc>
          <w:tcPr>
            <w:tcW w:w="1080" w:type="dxa"/>
            <w:tcBorders>
              <w:top w:val="single" w:sz="4" w:space="0" w:color="auto"/>
              <w:left w:val="nil"/>
              <w:bottom w:val="single" w:sz="4" w:space="0" w:color="auto"/>
              <w:right w:val="single" w:sz="4" w:space="0" w:color="auto"/>
            </w:tcBorders>
            <w:shd w:val="clear" w:color="auto" w:fill="C6EFCE"/>
            <w:noWrap/>
          </w:tcPr>
          <w:p w14:paraId="02AD2DEE" w14:textId="77777777" w:rsidR="00FA7C11" w:rsidRDefault="00D84965">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48C7BAC2"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31548044" w14:textId="77777777" w:rsidR="00FA7C11" w:rsidRDefault="00D84965">
            <w:pPr>
              <w:pStyle w:val="P68B1DB1-Normal66"/>
              <w:spacing w:after="200" w:line="276" w:lineRule="auto"/>
              <w:rPr>
                <w:noProof/>
              </w:rPr>
            </w:pPr>
            <w:r>
              <w:rPr>
                <w:noProof/>
              </w:rPr>
              <w:t xml:space="preserve">Contracte de lucrări încheiate pentru proiecte de alimentare cu apă </w:t>
            </w:r>
          </w:p>
        </w:tc>
        <w:tc>
          <w:tcPr>
            <w:tcW w:w="1884" w:type="dxa"/>
            <w:tcBorders>
              <w:top w:val="single" w:sz="4" w:space="0" w:color="auto"/>
              <w:left w:val="nil"/>
              <w:bottom w:val="single" w:sz="4" w:space="0" w:color="auto"/>
              <w:right w:val="single" w:sz="4" w:space="0" w:color="auto"/>
            </w:tcBorders>
            <w:shd w:val="clear" w:color="auto" w:fill="C6EFCE"/>
            <w:noWrap/>
          </w:tcPr>
          <w:p w14:paraId="11C98EBE"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C75C0EC"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4C771CE3"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109C13C0" w14:textId="77777777" w:rsidR="00FA7C11" w:rsidRDefault="00D84965">
            <w:pPr>
              <w:pStyle w:val="P68B1DB1-Normal66"/>
              <w:spacing w:after="200" w:line="276" w:lineRule="auto"/>
              <w:jc w:val="center"/>
              <w:rPr>
                <w:noProof/>
              </w:rPr>
            </w:pPr>
            <w:r>
              <w:rPr>
                <w:noProof/>
              </w:rPr>
              <w:t>100</w:t>
            </w:r>
          </w:p>
        </w:tc>
        <w:tc>
          <w:tcPr>
            <w:tcW w:w="844" w:type="dxa"/>
            <w:tcBorders>
              <w:top w:val="single" w:sz="4" w:space="0" w:color="auto"/>
              <w:left w:val="nil"/>
              <w:bottom w:val="single" w:sz="4" w:space="0" w:color="auto"/>
              <w:right w:val="single" w:sz="4" w:space="0" w:color="auto"/>
            </w:tcBorders>
            <w:shd w:val="clear" w:color="auto" w:fill="C6EFCE"/>
            <w:noWrap/>
          </w:tcPr>
          <w:p w14:paraId="4EAE53B6"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10CE5858" w14:textId="77777777" w:rsidR="00FA7C11" w:rsidRDefault="00D84965">
            <w:pPr>
              <w:pStyle w:val="P68B1DB1-Normal66"/>
              <w:spacing w:after="200" w:line="276" w:lineRule="auto"/>
              <w:jc w:val="center"/>
              <w:rPr>
                <w:noProof/>
              </w:rPr>
            </w:pPr>
            <w:r>
              <w:rPr>
                <w:noProof/>
              </w:rPr>
              <w:t>2023</w:t>
            </w:r>
          </w:p>
        </w:tc>
        <w:tc>
          <w:tcPr>
            <w:tcW w:w="4935" w:type="dxa"/>
            <w:tcBorders>
              <w:top w:val="single" w:sz="4" w:space="0" w:color="auto"/>
              <w:left w:val="nil"/>
              <w:bottom w:val="single" w:sz="4" w:space="0" w:color="auto"/>
              <w:right w:val="single" w:sz="4" w:space="0" w:color="auto"/>
            </w:tcBorders>
            <w:shd w:val="clear" w:color="auto" w:fill="C6EFCE"/>
            <w:noWrap/>
          </w:tcPr>
          <w:p w14:paraId="571FD8AC" w14:textId="77777777" w:rsidR="00FA7C11" w:rsidRDefault="00D84965">
            <w:pPr>
              <w:pStyle w:val="P68B1DB1-Normal66"/>
              <w:spacing w:after="200" w:line="276" w:lineRule="auto"/>
              <w:rPr>
                <w:noProof/>
              </w:rPr>
            </w:pPr>
            <w:r>
              <w:rPr>
                <w:noProof/>
              </w:rPr>
              <w:t>Numărul de contracte de lucrări semnate pentru proiecte bazate pe apă se referă la contracte care urmează să fie atribuite până la sfârșitul anului 2023.</w:t>
            </w:r>
            <w:r>
              <w:rPr>
                <w:noProof/>
              </w:rPr>
              <w:br/>
              <w:t>Evaluarea impactului asupra mediului se efectuează în conformitate cu procedurile de autorizare în temeiul EIM în conformitate cu Directiva 2011/92/UE și cu procedura de încadrare și/sau evaluarea corespunzătoare în temeiul articolului 6 alineatul (3) din Directiva privind habitatele. Se furnizează dovezi că proiectul nu are un efect semnificativ asupra integrității siturilor Natura 2 000 în cauză.</w:t>
            </w:r>
          </w:p>
        </w:tc>
      </w:tr>
      <w:tr w:rsidR="00FA7C11" w14:paraId="589669FE"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6BBB56D" w14:textId="77777777" w:rsidR="00FA7C11" w:rsidRDefault="00D84965">
            <w:pPr>
              <w:pStyle w:val="P68B1DB1-Normal66"/>
              <w:spacing w:after="200" w:line="276" w:lineRule="auto"/>
              <w:jc w:val="center"/>
              <w:rPr>
                <w:noProof/>
              </w:rPr>
            </w:pPr>
            <w:r>
              <w:rPr>
                <w:noProof/>
              </w:rPr>
              <w:t>71</w:t>
            </w:r>
          </w:p>
        </w:tc>
        <w:tc>
          <w:tcPr>
            <w:tcW w:w="1080" w:type="dxa"/>
            <w:tcBorders>
              <w:top w:val="single" w:sz="4" w:space="0" w:color="auto"/>
              <w:left w:val="nil"/>
              <w:bottom w:val="single" w:sz="4" w:space="0" w:color="auto"/>
              <w:right w:val="single" w:sz="4" w:space="0" w:color="auto"/>
            </w:tcBorders>
            <w:shd w:val="clear" w:color="auto" w:fill="C6EFCE"/>
            <w:noWrap/>
          </w:tcPr>
          <w:p w14:paraId="2A2BFD53" w14:textId="77777777" w:rsidR="00FA7C11" w:rsidRDefault="00D84965">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74A2341D"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0DB62A02" w14:textId="77777777" w:rsidR="00FA7C11" w:rsidRDefault="00D84965">
            <w:pPr>
              <w:pStyle w:val="P68B1DB1-Normal66"/>
              <w:spacing w:after="200" w:line="276" w:lineRule="auto"/>
              <w:rPr>
                <w:noProof/>
              </w:rPr>
            </w:pPr>
            <w:r>
              <w:rPr>
                <w:noProof/>
              </w:rPr>
              <w:t xml:space="preserve">Rețea publică de alimentare cu apă construită sau reconstruită </w:t>
            </w:r>
          </w:p>
        </w:tc>
        <w:tc>
          <w:tcPr>
            <w:tcW w:w="1884" w:type="dxa"/>
            <w:tcBorders>
              <w:top w:val="single" w:sz="4" w:space="0" w:color="auto"/>
              <w:left w:val="nil"/>
              <w:bottom w:val="single" w:sz="4" w:space="0" w:color="auto"/>
              <w:right w:val="single" w:sz="4" w:space="0" w:color="auto"/>
            </w:tcBorders>
            <w:shd w:val="clear" w:color="auto" w:fill="C6EFCE"/>
            <w:noWrap/>
          </w:tcPr>
          <w:p w14:paraId="207650BE"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6043D78"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1BB72A7E"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5CE5EE07" w14:textId="77777777" w:rsidR="00FA7C11" w:rsidRDefault="00D84965">
            <w:pPr>
              <w:pStyle w:val="P68B1DB1-Normal66"/>
              <w:spacing w:after="200" w:line="276" w:lineRule="auto"/>
              <w:jc w:val="center"/>
              <w:rPr>
                <w:noProof/>
              </w:rPr>
            </w:pPr>
            <w:r>
              <w:rPr>
                <w:noProof/>
              </w:rPr>
              <w:t>517</w:t>
            </w:r>
          </w:p>
        </w:tc>
        <w:tc>
          <w:tcPr>
            <w:tcW w:w="844" w:type="dxa"/>
            <w:tcBorders>
              <w:top w:val="single" w:sz="4" w:space="0" w:color="auto"/>
              <w:left w:val="nil"/>
              <w:bottom w:val="single" w:sz="4" w:space="0" w:color="auto"/>
              <w:right w:val="single" w:sz="4" w:space="0" w:color="auto"/>
            </w:tcBorders>
            <w:shd w:val="clear" w:color="auto" w:fill="C6EFCE"/>
            <w:noWrap/>
          </w:tcPr>
          <w:p w14:paraId="7BE95C9A"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42928CE3" w14:textId="77777777" w:rsidR="00FA7C11" w:rsidRDefault="00D84965">
            <w:pPr>
              <w:pStyle w:val="P68B1DB1-Normal66"/>
              <w:spacing w:after="200" w:line="276" w:lineRule="auto"/>
              <w:jc w:val="center"/>
              <w:rPr>
                <w:noProof/>
              </w:rPr>
            </w:pPr>
            <w:r>
              <w:rPr>
                <w:noProof/>
              </w:rPr>
              <w:t>2023</w:t>
            </w:r>
          </w:p>
        </w:tc>
        <w:tc>
          <w:tcPr>
            <w:tcW w:w="4935" w:type="dxa"/>
            <w:tcBorders>
              <w:top w:val="single" w:sz="4" w:space="0" w:color="auto"/>
              <w:left w:val="nil"/>
              <w:bottom w:val="single" w:sz="4" w:space="0" w:color="auto"/>
              <w:right w:val="single" w:sz="4" w:space="0" w:color="auto"/>
            </w:tcBorders>
            <w:shd w:val="clear" w:color="auto" w:fill="C6EFCE"/>
            <w:noWrap/>
          </w:tcPr>
          <w:p w14:paraId="0B33AD92" w14:textId="712D987F" w:rsidR="00FA7C11" w:rsidRDefault="00D84965">
            <w:pPr>
              <w:pStyle w:val="P68B1DB1-Normal66"/>
              <w:spacing w:after="200" w:line="276" w:lineRule="auto"/>
              <w:rPr>
                <w:noProof/>
              </w:rPr>
            </w:pPr>
            <w:r>
              <w:rPr>
                <w:noProof/>
              </w:rPr>
              <w:t>Construirea sau reconstruirea a cel puțin 517 km de rețea publică de alimentare cu apă.</w:t>
            </w:r>
            <w:r>
              <w:rPr>
                <w:noProof/>
              </w:rPr>
              <w:br/>
              <w:t xml:space="preserve">Investiția constă în construirea de sisteme de alimentare cu apă potabilă cu un consum mediu de energie ≤ 0,5 kWh sau cu un indice de pierderi în infrastructură (ILI) ≤ 1,5 și în renovarea sistemelor existente de alimentare cu apă potabilă pentru a reduce consumul mediu de energie cu peste 20 % sau pentru a reduce pierderile cu peste 20 %. </w:t>
            </w:r>
          </w:p>
        </w:tc>
      </w:tr>
      <w:tr w:rsidR="00FA7C11" w14:paraId="5CACDB27"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D6D18B5" w14:textId="77777777" w:rsidR="00FA7C11" w:rsidRDefault="00D84965">
            <w:pPr>
              <w:pStyle w:val="P68B1DB1-Normal66"/>
              <w:spacing w:after="200" w:line="276" w:lineRule="auto"/>
              <w:jc w:val="center"/>
              <w:rPr>
                <w:noProof/>
              </w:rPr>
            </w:pPr>
            <w:r>
              <w:rPr>
                <w:noProof/>
              </w:rPr>
              <w:t>72</w:t>
            </w:r>
          </w:p>
        </w:tc>
        <w:tc>
          <w:tcPr>
            <w:tcW w:w="1080" w:type="dxa"/>
            <w:tcBorders>
              <w:top w:val="single" w:sz="4" w:space="0" w:color="auto"/>
              <w:left w:val="nil"/>
              <w:bottom w:val="single" w:sz="4" w:space="0" w:color="auto"/>
              <w:right w:val="single" w:sz="4" w:space="0" w:color="auto"/>
            </w:tcBorders>
            <w:shd w:val="clear" w:color="auto" w:fill="C6EFCE"/>
            <w:noWrap/>
          </w:tcPr>
          <w:p w14:paraId="7D598CA6" w14:textId="77777777" w:rsidR="00FA7C11" w:rsidRDefault="00D84965">
            <w:pPr>
              <w:pStyle w:val="P68B1DB1-Normal66"/>
              <w:spacing w:after="200" w:line="276" w:lineRule="auto"/>
              <w:jc w:val="center"/>
              <w:rPr>
                <w:noProof/>
              </w:rPr>
            </w:pPr>
            <w:r>
              <w:rPr>
                <w:noProof/>
              </w:rPr>
              <w:t>C1.3. R1-I2</w:t>
            </w:r>
          </w:p>
        </w:tc>
        <w:tc>
          <w:tcPr>
            <w:tcW w:w="1080" w:type="dxa"/>
            <w:tcBorders>
              <w:top w:val="single" w:sz="4" w:space="0" w:color="auto"/>
              <w:left w:val="nil"/>
              <w:bottom w:val="single" w:sz="4" w:space="0" w:color="auto"/>
              <w:right w:val="single" w:sz="4" w:space="0" w:color="auto"/>
            </w:tcBorders>
            <w:shd w:val="clear" w:color="auto" w:fill="C6EFCE"/>
            <w:noWrap/>
          </w:tcPr>
          <w:p w14:paraId="6F75C5A5"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142C4933" w14:textId="77777777" w:rsidR="00FA7C11" w:rsidRDefault="00D84965">
            <w:pPr>
              <w:pStyle w:val="P68B1DB1-Normal66"/>
              <w:spacing w:after="200" w:line="276" w:lineRule="auto"/>
              <w:rPr>
                <w:noProof/>
              </w:rPr>
            </w:pPr>
            <w:r>
              <w:rPr>
                <w:noProof/>
              </w:rPr>
              <w:t xml:space="preserve">Rețea publică de alimentare cu apă construită sau reconstruită </w:t>
            </w:r>
          </w:p>
        </w:tc>
        <w:tc>
          <w:tcPr>
            <w:tcW w:w="1884" w:type="dxa"/>
            <w:tcBorders>
              <w:top w:val="single" w:sz="4" w:space="0" w:color="auto"/>
              <w:left w:val="nil"/>
              <w:bottom w:val="single" w:sz="4" w:space="0" w:color="auto"/>
              <w:right w:val="single" w:sz="4" w:space="0" w:color="auto"/>
            </w:tcBorders>
            <w:shd w:val="clear" w:color="auto" w:fill="C6EFCE"/>
            <w:noWrap/>
          </w:tcPr>
          <w:p w14:paraId="0200DF8E"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68CFCA3"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19C4DFF2" w14:textId="1AF2E96B" w:rsidR="00FA7C11" w:rsidRDefault="00D84965">
            <w:pPr>
              <w:pStyle w:val="P68B1DB1-Normal66"/>
              <w:spacing w:after="200" w:line="276" w:lineRule="auto"/>
              <w:jc w:val="center"/>
              <w:rPr>
                <w:noProof/>
              </w:rPr>
            </w:pPr>
            <w:r>
              <w:rPr>
                <w:noProof/>
              </w:rPr>
              <w:t>517</w:t>
            </w:r>
          </w:p>
        </w:tc>
        <w:tc>
          <w:tcPr>
            <w:tcW w:w="567" w:type="dxa"/>
            <w:tcBorders>
              <w:top w:val="single" w:sz="4" w:space="0" w:color="auto"/>
              <w:left w:val="nil"/>
              <w:bottom w:val="single" w:sz="4" w:space="0" w:color="auto"/>
              <w:right w:val="single" w:sz="4" w:space="0" w:color="auto"/>
            </w:tcBorders>
            <w:shd w:val="clear" w:color="auto" w:fill="C6EFCE"/>
            <w:noWrap/>
          </w:tcPr>
          <w:p w14:paraId="30D01285" w14:textId="77777777" w:rsidR="00FA7C11" w:rsidRDefault="00D84965">
            <w:pPr>
              <w:pStyle w:val="P68B1DB1-Normal66"/>
              <w:spacing w:after="200" w:line="276" w:lineRule="auto"/>
              <w:jc w:val="center"/>
              <w:rPr>
                <w:noProof/>
              </w:rPr>
            </w:pPr>
            <w:r>
              <w:rPr>
                <w:noProof/>
              </w:rPr>
              <w:t>1023</w:t>
            </w:r>
          </w:p>
        </w:tc>
        <w:tc>
          <w:tcPr>
            <w:tcW w:w="844" w:type="dxa"/>
            <w:tcBorders>
              <w:top w:val="single" w:sz="4" w:space="0" w:color="auto"/>
              <w:left w:val="nil"/>
              <w:bottom w:val="single" w:sz="4" w:space="0" w:color="auto"/>
              <w:right w:val="single" w:sz="4" w:space="0" w:color="auto"/>
            </w:tcBorders>
            <w:shd w:val="clear" w:color="auto" w:fill="C6EFCE"/>
            <w:noWrap/>
          </w:tcPr>
          <w:p w14:paraId="3963365C"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2E292A2F" w14:textId="77777777" w:rsidR="00FA7C11" w:rsidRDefault="00D84965">
            <w:pPr>
              <w:pStyle w:val="P68B1DB1-Normal66"/>
              <w:spacing w:after="200" w:line="276" w:lineRule="auto"/>
              <w:jc w:val="center"/>
              <w:rPr>
                <w:noProof/>
              </w:rPr>
            </w:pPr>
            <w:r>
              <w:rPr>
                <w:noProof/>
              </w:rPr>
              <w:t>2025</w:t>
            </w:r>
          </w:p>
        </w:tc>
        <w:tc>
          <w:tcPr>
            <w:tcW w:w="4935" w:type="dxa"/>
            <w:tcBorders>
              <w:top w:val="single" w:sz="4" w:space="0" w:color="auto"/>
              <w:left w:val="nil"/>
              <w:bottom w:val="single" w:sz="4" w:space="0" w:color="auto"/>
              <w:right w:val="single" w:sz="4" w:space="0" w:color="auto"/>
            </w:tcBorders>
            <w:shd w:val="clear" w:color="auto" w:fill="C6EFCE"/>
            <w:noWrap/>
          </w:tcPr>
          <w:p w14:paraId="7C4420D7" w14:textId="2272F811"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Construirea sau reconstruirea a cel puțin 506 km de rețea publică de alimentare cu apă. </w:t>
            </w:r>
            <w:r>
              <w:rPr>
                <w:rFonts w:ascii="Times New Roman" w:hAnsi="Times New Roman" w:cs="Times New Roman"/>
                <w:noProof/>
              </w:rPr>
              <w:br/>
            </w:r>
            <w:r>
              <w:rPr>
                <w:rFonts w:ascii="Times New Roman" w:eastAsia="Calibri" w:hAnsi="Times New Roman" w:cs="Times New Roman"/>
                <w:noProof/>
                <w:color w:val="000000" w:themeColor="text1"/>
              </w:rPr>
              <w:t xml:space="preserve">Investiția constă în construirea de sisteme de alimentare cu apă potabilă cu un consum mediu de energie ≤ 0,5 kWh sau cu un indice de pierderi în infrastructură (ILI) ≤ 1,5 și în renovarea sistemelor existente de alimentare cu apă potabilă pentru a reduce consumul mediu de energie cu peste 20 % sau pentru a reduce pierderile cu peste 20 %. </w:t>
            </w:r>
          </w:p>
        </w:tc>
      </w:tr>
      <w:tr w:rsidR="00FA7C11" w14:paraId="40D9C3CA"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E605B87" w14:textId="77777777" w:rsidR="00FA7C11" w:rsidRDefault="00D84965">
            <w:pPr>
              <w:pStyle w:val="P68B1DB1-Normal66"/>
              <w:spacing w:after="200" w:line="276" w:lineRule="auto"/>
              <w:jc w:val="center"/>
              <w:rPr>
                <w:noProof/>
              </w:rPr>
            </w:pPr>
            <w:r>
              <w:rPr>
                <w:noProof/>
              </w:rPr>
              <w:t>74</w:t>
            </w:r>
          </w:p>
        </w:tc>
        <w:tc>
          <w:tcPr>
            <w:tcW w:w="1080" w:type="dxa"/>
            <w:tcBorders>
              <w:top w:val="single" w:sz="4" w:space="0" w:color="auto"/>
              <w:left w:val="nil"/>
              <w:bottom w:val="single" w:sz="4" w:space="0" w:color="auto"/>
              <w:right w:val="single" w:sz="4" w:space="0" w:color="auto"/>
            </w:tcBorders>
            <w:shd w:val="clear" w:color="auto" w:fill="C6EFCE"/>
            <w:noWrap/>
          </w:tcPr>
          <w:p w14:paraId="01A44D9F" w14:textId="77777777" w:rsidR="00FA7C11" w:rsidRDefault="00D84965">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17427EBE"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6D04F86B" w14:textId="77777777" w:rsidR="00FA7C11" w:rsidRDefault="00D84965">
            <w:pPr>
              <w:pStyle w:val="P68B1DB1-Normal66"/>
              <w:spacing w:after="200" w:line="276" w:lineRule="auto"/>
              <w:rPr>
                <w:noProof/>
              </w:rPr>
            </w:pPr>
            <w:r>
              <w:rPr>
                <w:noProof/>
              </w:rPr>
              <w:t xml:space="preserve">Contracte de lucrări încheiate pentru proiecte de protecție împotriva inundațiilor </w:t>
            </w:r>
          </w:p>
        </w:tc>
        <w:tc>
          <w:tcPr>
            <w:tcW w:w="1884" w:type="dxa"/>
            <w:tcBorders>
              <w:top w:val="single" w:sz="4" w:space="0" w:color="auto"/>
              <w:left w:val="nil"/>
              <w:bottom w:val="single" w:sz="4" w:space="0" w:color="auto"/>
              <w:right w:val="single" w:sz="4" w:space="0" w:color="auto"/>
            </w:tcBorders>
            <w:shd w:val="clear" w:color="auto" w:fill="C6EFCE"/>
            <w:noWrap/>
          </w:tcPr>
          <w:p w14:paraId="72BB0B74"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0CB35D00"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58038637"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1A40D52F" w14:textId="77777777" w:rsidR="00FA7C11" w:rsidRDefault="00D84965">
            <w:pPr>
              <w:pStyle w:val="P68B1DB1-Normal66"/>
              <w:spacing w:after="200" w:line="276" w:lineRule="auto"/>
              <w:jc w:val="center"/>
              <w:rPr>
                <w:noProof/>
              </w:rPr>
            </w:pPr>
            <w:r>
              <w:rPr>
                <w:noProof/>
              </w:rPr>
              <w:t>20</w:t>
            </w:r>
          </w:p>
        </w:tc>
        <w:tc>
          <w:tcPr>
            <w:tcW w:w="844" w:type="dxa"/>
            <w:tcBorders>
              <w:top w:val="single" w:sz="4" w:space="0" w:color="auto"/>
              <w:left w:val="nil"/>
              <w:bottom w:val="single" w:sz="4" w:space="0" w:color="auto"/>
              <w:right w:val="single" w:sz="4" w:space="0" w:color="auto"/>
            </w:tcBorders>
            <w:shd w:val="clear" w:color="auto" w:fill="C6EFCE"/>
            <w:noWrap/>
          </w:tcPr>
          <w:p w14:paraId="443F2073"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44CCB458" w14:textId="77777777" w:rsidR="00FA7C11" w:rsidRDefault="00D84965">
            <w:pPr>
              <w:pStyle w:val="P68B1DB1-Normal66"/>
              <w:spacing w:after="200" w:line="276" w:lineRule="auto"/>
              <w:jc w:val="center"/>
              <w:rPr>
                <w:noProof/>
              </w:rPr>
            </w:pPr>
            <w:r>
              <w:rPr>
                <w:noProof/>
              </w:rPr>
              <w:t>2022</w:t>
            </w:r>
          </w:p>
        </w:tc>
        <w:tc>
          <w:tcPr>
            <w:tcW w:w="4935" w:type="dxa"/>
            <w:tcBorders>
              <w:top w:val="single" w:sz="4" w:space="0" w:color="auto"/>
              <w:left w:val="nil"/>
              <w:bottom w:val="single" w:sz="4" w:space="0" w:color="auto"/>
              <w:right w:val="single" w:sz="4" w:space="0" w:color="auto"/>
            </w:tcBorders>
            <w:shd w:val="clear" w:color="auto" w:fill="C6EFCE"/>
            <w:noWrap/>
          </w:tcPr>
          <w:p w14:paraId="7C2F6244" w14:textId="77777777" w:rsidR="00FA7C11" w:rsidRDefault="00D84965">
            <w:pPr>
              <w:pStyle w:val="P68B1DB1-Normal66"/>
              <w:spacing w:after="200" w:line="276" w:lineRule="auto"/>
              <w:rPr>
                <w:noProof/>
              </w:rPr>
            </w:pPr>
            <w:r>
              <w:rPr>
                <w:noProof/>
              </w:rPr>
              <w:t xml:space="preserve">Cel puțin 20 contracte de lucrări încheiate pentru proiecte în sectorul protecției împotriva inundațiilor, legate de contracte care urmau să fie atribuite până la sfârșitul anului 2022. </w:t>
            </w:r>
            <w:r>
              <w:rPr>
                <w:noProof/>
              </w:rPr>
              <w:br/>
              <w:t>Criteriile de licitație se axează pe măsuri de soluții bazate pe natură și pe infrastructura verde. Contractele garantează că proiectele vor fi puse în aplicare în conformitate cu acquis-ul UE și cu reglementările de mediu și cu anexele la Regulamentul delegat al Comisiei [C (2021) 2800 final] de completare a Regulamentului (UE) 2020/852.</w:t>
            </w:r>
            <w:r>
              <w:rPr>
                <w:noProof/>
              </w:rPr>
              <w:br/>
              <w:t>Se preconizează că această măsură nu aduce prejudicii semnificative obiectivelor de mediu în sensul articolului 17 din Regulamentul (UE) 2020/852, ținând seama de descrierea măsurilor și a etapelor de atenuare prevăzute în planul de redresare și reziliență în conformitate cu Orientările tehnice DNSH (2021/C58/01). Toate activitățile trebuie să respecte cerințele legislației UE privind apa, astfel cum sunt încorporate în legislația croată. Evaluarea impactului asupra mediului se efectuează în conformitate cu procedurile de autorizare în temeiul EIM în conformitate cu Directiva 2011/92/UE și cu procedura de încadrare și/sau evaluarea corespunzătoare în temeiul articolului 6 alineatul (3) din Directiva privind habitatele. Se furnizează dovezi că proiectul nu are un efect semnificativ asupra integrității siturilor Natura 2 000 în cauză.</w:t>
            </w:r>
          </w:p>
        </w:tc>
      </w:tr>
      <w:tr w:rsidR="00FA7C11" w14:paraId="653A7165"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D38E43C" w14:textId="77777777" w:rsidR="00FA7C11" w:rsidRDefault="00D84965">
            <w:pPr>
              <w:pStyle w:val="P68B1DB1-Normal66"/>
              <w:spacing w:after="200" w:line="276" w:lineRule="auto"/>
              <w:jc w:val="center"/>
              <w:rPr>
                <w:noProof/>
              </w:rPr>
            </w:pPr>
            <w:r>
              <w:rPr>
                <w:noProof/>
              </w:rPr>
              <w:t>75</w:t>
            </w:r>
          </w:p>
        </w:tc>
        <w:tc>
          <w:tcPr>
            <w:tcW w:w="1080" w:type="dxa"/>
            <w:tcBorders>
              <w:top w:val="single" w:sz="4" w:space="0" w:color="auto"/>
              <w:left w:val="nil"/>
              <w:bottom w:val="single" w:sz="4" w:space="0" w:color="auto"/>
              <w:right w:val="single" w:sz="4" w:space="0" w:color="auto"/>
            </w:tcBorders>
            <w:shd w:val="clear" w:color="auto" w:fill="C6EFCE"/>
            <w:noWrap/>
          </w:tcPr>
          <w:p w14:paraId="0A98D96C" w14:textId="77777777" w:rsidR="00FA7C11" w:rsidRDefault="00D84965">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24D9AF05"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4E1C21CA" w14:textId="77777777" w:rsidR="00FA7C11" w:rsidRDefault="00D84965">
            <w:pPr>
              <w:pStyle w:val="P68B1DB1-Normal66"/>
              <w:spacing w:after="200" w:line="276" w:lineRule="auto"/>
              <w:rPr>
                <w:noProof/>
              </w:rPr>
            </w:pPr>
            <w:r>
              <w:rPr>
                <w:noProof/>
              </w:rPr>
              <w:t xml:space="preserve">Structuri de protecție împotriva inundațiilor construite </w:t>
            </w:r>
          </w:p>
        </w:tc>
        <w:tc>
          <w:tcPr>
            <w:tcW w:w="1884" w:type="dxa"/>
            <w:tcBorders>
              <w:top w:val="single" w:sz="4" w:space="0" w:color="auto"/>
              <w:left w:val="nil"/>
              <w:bottom w:val="single" w:sz="4" w:space="0" w:color="auto"/>
              <w:right w:val="single" w:sz="4" w:space="0" w:color="auto"/>
            </w:tcBorders>
            <w:shd w:val="clear" w:color="auto" w:fill="C6EFCE"/>
            <w:noWrap/>
          </w:tcPr>
          <w:p w14:paraId="28492D75"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1A61AAA3"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2FDBED7B"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23325F5A" w14:textId="77777777" w:rsidR="00FA7C11" w:rsidRDefault="00D84965">
            <w:pPr>
              <w:pStyle w:val="P68B1DB1-Normal66"/>
              <w:spacing w:after="200" w:line="276" w:lineRule="auto"/>
              <w:jc w:val="center"/>
              <w:rPr>
                <w:noProof/>
              </w:rPr>
            </w:pPr>
            <w:r>
              <w:rPr>
                <w:noProof/>
              </w:rPr>
              <w:t>13</w:t>
            </w:r>
          </w:p>
        </w:tc>
        <w:tc>
          <w:tcPr>
            <w:tcW w:w="844" w:type="dxa"/>
            <w:tcBorders>
              <w:top w:val="single" w:sz="4" w:space="0" w:color="auto"/>
              <w:left w:val="nil"/>
              <w:bottom w:val="single" w:sz="4" w:space="0" w:color="auto"/>
              <w:right w:val="single" w:sz="4" w:space="0" w:color="auto"/>
            </w:tcBorders>
            <w:shd w:val="clear" w:color="auto" w:fill="C6EFCE"/>
            <w:noWrap/>
          </w:tcPr>
          <w:p w14:paraId="5E80C71A"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0D630E42" w14:textId="77777777" w:rsidR="00FA7C11" w:rsidRDefault="00D84965">
            <w:pPr>
              <w:pStyle w:val="P68B1DB1-Normal66"/>
              <w:spacing w:after="200" w:line="276" w:lineRule="auto"/>
              <w:jc w:val="center"/>
              <w:rPr>
                <w:noProof/>
              </w:rPr>
            </w:pPr>
            <w:r>
              <w:rPr>
                <w:noProof/>
              </w:rPr>
              <w:t>2022</w:t>
            </w:r>
          </w:p>
        </w:tc>
        <w:tc>
          <w:tcPr>
            <w:tcW w:w="4935" w:type="dxa"/>
            <w:tcBorders>
              <w:top w:val="single" w:sz="4" w:space="0" w:color="auto"/>
              <w:left w:val="nil"/>
              <w:bottom w:val="single" w:sz="4" w:space="0" w:color="auto"/>
              <w:right w:val="single" w:sz="4" w:space="0" w:color="auto"/>
            </w:tcBorders>
            <w:shd w:val="clear" w:color="auto" w:fill="C6EFCE"/>
            <w:noWrap/>
          </w:tcPr>
          <w:p w14:paraId="2C26BD57" w14:textId="77777777" w:rsidR="00FA7C11" w:rsidRDefault="00D84965">
            <w:pPr>
              <w:pStyle w:val="P68B1DB1-Normal66"/>
              <w:spacing w:after="200" w:line="276" w:lineRule="auto"/>
              <w:rPr>
                <w:noProof/>
              </w:rPr>
            </w:pPr>
            <w:r>
              <w:rPr>
                <w:noProof/>
              </w:rPr>
              <w:t>Cel puțin 13 km de structuri de protecție împotriva inundațiilor construite pentru a proteja împotriva efectelor nocive ale apei;</w:t>
            </w:r>
          </w:p>
        </w:tc>
      </w:tr>
      <w:tr w:rsidR="00FA7C11" w14:paraId="1E1E94DA"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E1D11C7" w14:textId="77777777" w:rsidR="00FA7C11" w:rsidRDefault="00D84965">
            <w:pPr>
              <w:pStyle w:val="P68B1DB1-Normal66"/>
              <w:spacing w:after="200" w:line="276" w:lineRule="auto"/>
              <w:jc w:val="center"/>
              <w:rPr>
                <w:noProof/>
              </w:rPr>
            </w:pPr>
            <w:r>
              <w:rPr>
                <w:noProof/>
              </w:rPr>
              <w:t>76</w:t>
            </w:r>
          </w:p>
        </w:tc>
        <w:tc>
          <w:tcPr>
            <w:tcW w:w="1080" w:type="dxa"/>
            <w:tcBorders>
              <w:top w:val="single" w:sz="4" w:space="0" w:color="auto"/>
              <w:left w:val="nil"/>
              <w:bottom w:val="single" w:sz="4" w:space="0" w:color="auto"/>
              <w:right w:val="single" w:sz="4" w:space="0" w:color="auto"/>
            </w:tcBorders>
            <w:shd w:val="clear" w:color="auto" w:fill="C6EFCE"/>
            <w:noWrap/>
          </w:tcPr>
          <w:p w14:paraId="0C3FA9DB" w14:textId="77777777" w:rsidR="00FA7C11" w:rsidRDefault="00D84965">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0163F0A2"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7213218F" w14:textId="77777777" w:rsidR="00FA7C11" w:rsidRDefault="00D84965">
            <w:pPr>
              <w:pStyle w:val="P68B1DB1-Normal66"/>
              <w:spacing w:after="200" w:line="276" w:lineRule="auto"/>
              <w:rPr>
                <w:noProof/>
              </w:rPr>
            </w:pPr>
            <w:r>
              <w:rPr>
                <w:noProof/>
              </w:rPr>
              <w:t xml:space="preserve">Cursuri de apă revitalizate </w:t>
            </w:r>
          </w:p>
        </w:tc>
        <w:tc>
          <w:tcPr>
            <w:tcW w:w="1884" w:type="dxa"/>
            <w:tcBorders>
              <w:top w:val="single" w:sz="4" w:space="0" w:color="auto"/>
              <w:left w:val="nil"/>
              <w:bottom w:val="single" w:sz="4" w:space="0" w:color="auto"/>
              <w:right w:val="single" w:sz="4" w:space="0" w:color="auto"/>
            </w:tcBorders>
            <w:shd w:val="clear" w:color="auto" w:fill="C6EFCE"/>
            <w:noWrap/>
          </w:tcPr>
          <w:p w14:paraId="62FB5951"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5F9E733B"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5CB79378"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09A15829" w14:textId="77777777" w:rsidR="00FA7C11" w:rsidRDefault="00D84965">
            <w:pPr>
              <w:pStyle w:val="P68B1DB1-Normal66"/>
              <w:spacing w:after="200" w:line="276" w:lineRule="auto"/>
              <w:jc w:val="center"/>
              <w:rPr>
                <w:noProof/>
              </w:rPr>
            </w:pPr>
            <w:r>
              <w:rPr>
                <w:noProof/>
              </w:rPr>
              <w:t>2</w:t>
            </w:r>
          </w:p>
        </w:tc>
        <w:tc>
          <w:tcPr>
            <w:tcW w:w="844" w:type="dxa"/>
            <w:tcBorders>
              <w:top w:val="single" w:sz="4" w:space="0" w:color="auto"/>
              <w:left w:val="nil"/>
              <w:bottom w:val="single" w:sz="4" w:space="0" w:color="auto"/>
              <w:right w:val="single" w:sz="4" w:space="0" w:color="auto"/>
            </w:tcBorders>
            <w:shd w:val="clear" w:color="auto" w:fill="C6EFCE"/>
            <w:noWrap/>
          </w:tcPr>
          <w:p w14:paraId="0DBFD026"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12A0FE93" w14:textId="77777777" w:rsidR="00FA7C11" w:rsidRDefault="00D84965">
            <w:pPr>
              <w:pStyle w:val="P68B1DB1-Normal66"/>
              <w:spacing w:after="200" w:line="276" w:lineRule="auto"/>
              <w:jc w:val="center"/>
              <w:rPr>
                <w:noProof/>
              </w:rPr>
            </w:pPr>
            <w:r>
              <w:rPr>
                <w:noProof/>
              </w:rPr>
              <w:t>2022</w:t>
            </w:r>
          </w:p>
        </w:tc>
        <w:tc>
          <w:tcPr>
            <w:tcW w:w="4935" w:type="dxa"/>
            <w:tcBorders>
              <w:top w:val="single" w:sz="4" w:space="0" w:color="auto"/>
              <w:left w:val="nil"/>
              <w:bottom w:val="single" w:sz="4" w:space="0" w:color="auto"/>
              <w:right w:val="single" w:sz="4" w:space="0" w:color="auto"/>
            </w:tcBorders>
            <w:shd w:val="clear" w:color="auto" w:fill="C6EFCE"/>
            <w:noWrap/>
          </w:tcPr>
          <w:p w14:paraId="45530CCB" w14:textId="77777777" w:rsidR="00FA7C11" w:rsidRDefault="00D84965">
            <w:pPr>
              <w:pStyle w:val="P68B1DB1-Normal66"/>
              <w:spacing w:after="200" w:line="276" w:lineRule="auto"/>
              <w:rPr>
                <w:noProof/>
              </w:rPr>
            </w:pPr>
            <w:r>
              <w:rPr>
                <w:noProof/>
              </w:rPr>
              <w:t>Cel puțin 2 km de cursuri de apă refăcute, inclusiv revitalizarea manșoanelor abandonate, contactul permanent cu râurile și manșoanele și investiții în infrastructura aferentă.</w:t>
            </w:r>
          </w:p>
        </w:tc>
      </w:tr>
      <w:tr w:rsidR="00FA7C11" w14:paraId="11372C74"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6411F27" w14:textId="77777777" w:rsidR="00FA7C11" w:rsidRDefault="00D84965">
            <w:pPr>
              <w:pStyle w:val="P68B1DB1-Normal66"/>
              <w:spacing w:after="200" w:line="276" w:lineRule="auto"/>
              <w:jc w:val="center"/>
              <w:rPr>
                <w:noProof/>
              </w:rPr>
            </w:pPr>
            <w:r>
              <w:rPr>
                <w:noProof/>
              </w:rPr>
              <w:t>77</w:t>
            </w:r>
          </w:p>
        </w:tc>
        <w:tc>
          <w:tcPr>
            <w:tcW w:w="1080" w:type="dxa"/>
            <w:tcBorders>
              <w:top w:val="single" w:sz="4" w:space="0" w:color="auto"/>
              <w:left w:val="nil"/>
              <w:bottom w:val="single" w:sz="4" w:space="0" w:color="auto"/>
              <w:right w:val="single" w:sz="4" w:space="0" w:color="auto"/>
            </w:tcBorders>
            <w:shd w:val="clear" w:color="auto" w:fill="C6EFCE"/>
            <w:noWrap/>
          </w:tcPr>
          <w:p w14:paraId="5B54D83C" w14:textId="77777777" w:rsidR="00FA7C11" w:rsidRDefault="00D84965">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60F8510F"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314A8F6E" w14:textId="77777777" w:rsidR="00FA7C11" w:rsidRDefault="00D84965">
            <w:pPr>
              <w:pStyle w:val="P68B1DB1-Normal66"/>
              <w:spacing w:after="200" w:line="276" w:lineRule="auto"/>
              <w:rPr>
                <w:noProof/>
              </w:rPr>
            </w:pPr>
            <w:r>
              <w:rPr>
                <w:noProof/>
              </w:rPr>
              <w:t xml:space="preserve">Structuri de protecție împotriva inundațiilor construite </w:t>
            </w:r>
          </w:p>
        </w:tc>
        <w:tc>
          <w:tcPr>
            <w:tcW w:w="1884" w:type="dxa"/>
            <w:tcBorders>
              <w:top w:val="single" w:sz="4" w:space="0" w:color="auto"/>
              <w:left w:val="nil"/>
              <w:bottom w:val="single" w:sz="4" w:space="0" w:color="auto"/>
              <w:right w:val="single" w:sz="4" w:space="0" w:color="auto"/>
            </w:tcBorders>
            <w:shd w:val="clear" w:color="auto" w:fill="C6EFCE"/>
            <w:noWrap/>
          </w:tcPr>
          <w:p w14:paraId="146D46C8"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3F4115A3"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3EE7E3C9"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611A5A21" w14:textId="77777777" w:rsidR="00FA7C11" w:rsidRDefault="00D84965">
            <w:pPr>
              <w:pStyle w:val="P68B1DB1-Normal66"/>
              <w:spacing w:after="200" w:line="276" w:lineRule="auto"/>
              <w:jc w:val="center"/>
              <w:rPr>
                <w:noProof/>
              </w:rPr>
            </w:pPr>
            <w:r>
              <w:rPr>
                <w:noProof/>
              </w:rPr>
              <w:t>65</w:t>
            </w:r>
          </w:p>
        </w:tc>
        <w:tc>
          <w:tcPr>
            <w:tcW w:w="844" w:type="dxa"/>
            <w:tcBorders>
              <w:top w:val="single" w:sz="4" w:space="0" w:color="auto"/>
              <w:left w:val="nil"/>
              <w:bottom w:val="single" w:sz="4" w:space="0" w:color="auto"/>
              <w:right w:val="single" w:sz="4" w:space="0" w:color="auto"/>
            </w:tcBorders>
            <w:shd w:val="clear" w:color="auto" w:fill="C6EFCE"/>
            <w:noWrap/>
          </w:tcPr>
          <w:p w14:paraId="4B008219" w14:textId="77777777" w:rsidR="00FA7C11" w:rsidRDefault="00D84965">
            <w:pPr>
              <w:pStyle w:val="P68B1DB1-Normal66"/>
              <w:spacing w:after="200" w:line="276" w:lineRule="auto"/>
              <w:jc w:val="center"/>
              <w:rPr>
                <w:noProof/>
              </w:rPr>
            </w:pPr>
            <w:r>
              <w:rPr>
                <w:noProof/>
              </w:rPr>
              <w:t>Î2</w:t>
            </w:r>
          </w:p>
        </w:tc>
        <w:tc>
          <w:tcPr>
            <w:tcW w:w="600" w:type="dxa"/>
            <w:tcBorders>
              <w:top w:val="single" w:sz="4" w:space="0" w:color="auto"/>
              <w:left w:val="nil"/>
              <w:bottom w:val="single" w:sz="4" w:space="0" w:color="auto"/>
              <w:right w:val="single" w:sz="4" w:space="0" w:color="auto"/>
            </w:tcBorders>
            <w:shd w:val="clear" w:color="auto" w:fill="C6EFCE"/>
            <w:noWrap/>
          </w:tcPr>
          <w:p w14:paraId="6D8BD850" w14:textId="77777777" w:rsidR="00FA7C11" w:rsidRDefault="00D84965">
            <w:pPr>
              <w:pStyle w:val="P68B1DB1-Normal66"/>
              <w:spacing w:after="200" w:line="276" w:lineRule="auto"/>
              <w:jc w:val="center"/>
              <w:rPr>
                <w:noProof/>
              </w:rPr>
            </w:pPr>
            <w:r>
              <w:rPr>
                <w:noProof/>
              </w:rPr>
              <w:t>2024</w:t>
            </w:r>
          </w:p>
        </w:tc>
        <w:tc>
          <w:tcPr>
            <w:tcW w:w="4935" w:type="dxa"/>
            <w:tcBorders>
              <w:top w:val="single" w:sz="4" w:space="0" w:color="auto"/>
              <w:left w:val="nil"/>
              <w:bottom w:val="single" w:sz="4" w:space="0" w:color="auto"/>
              <w:right w:val="single" w:sz="4" w:space="0" w:color="auto"/>
            </w:tcBorders>
            <w:shd w:val="clear" w:color="auto" w:fill="C6EFCE"/>
            <w:noWrap/>
          </w:tcPr>
          <w:p w14:paraId="28F67019" w14:textId="77777777" w:rsidR="00FA7C11" w:rsidRDefault="00D84965">
            <w:pPr>
              <w:pStyle w:val="P68B1DB1-Normal66"/>
              <w:spacing w:after="200" w:line="276" w:lineRule="auto"/>
              <w:rPr>
                <w:noProof/>
                <w:color w:val="000000" w:themeColor="text1"/>
              </w:rPr>
            </w:pPr>
            <w:r>
              <w:rPr>
                <w:noProof/>
              </w:rPr>
              <w:t>Cel puțin 65 km de structuri de protecție împotriva inundațiilor construite pentru a proteja împotriva efectelor nocive ale apei.</w:t>
            </w:r>
          </w:p>
        </w:tc>
      </w:tr>
      <w:tr w:rsidR="00FA7C11" w14:paraId="7FD58C71"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0CB1088E" w14:textId="77777777" w:rsidR="00FA7C11" w:rsidRDefault="00D84965">
            <w:pPr>
              <w:pStyle w:val="P68B1DB1-Normal66"/>
              <w:spacing w:after="200" w:line="276" w:lineRule="auto"/>
              <w:jc w:val="center"/>
              <w:rPr>
                <w:noProof/>
              </w:rPr>
            </w:pPr>
            <w:r>
              <w:rPr>
                <w:noProof/>
              </w:rPr>
              <w:t>78</w:t>
            </w:r>
          </w:p>
        </w:tc>
        <w:tc>
          <w:tcPr>
            <w:tcW w:w="1080" w:type="dxa"/>
            <w:tcBorders>
              <w:top w:val="single" w:sz="4" w:space="0" w:color="auto"/>
              <w:left w:val="nil"/>
              <w:bottom w:val="single" w:sz="4" w:space="0" w:color="auto"/>
              <w:right w:val="single" w:sz="4" w:space="0" w:color="auto"/>
            </w:tcBorders>
            <w:shd w:val="clear" w:color="auto" w:fill="C6EFCE"/>
            <w:noWrap/>
          </w:tcPr>
          <w:p w14:paraId="7EA1DBB7" w14:textId="77777777" w:rsidR="00FA7C11" w:rsidRDefault="00D84965">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2276FB29"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498E1B27" w14:textId="77777777" w:rsidR="00FA7C11" w:rsidRDefault="00D84965">
            <w:pPr>
              <w:pStyle w:val="P68B1DB1-Normal66"/>
              <w:spacing w:after="200" w:line="276" w:lineRule="auto"/>
              <w:rPr>
                <w:noProof/>
              </w:rPr>
            </w:pPr>
            <w:r>
              <w:rPr>
                <w:noProof/>
              </w:rPr>
              <w:t xml:space="preserve">Cursuri de apă revitalizate </w:t>
            </w:r>
          </w:p>
        </w:tc>
        <w:tc>
          <w:tcPr>
            <w:tcW w:w="1884" w:type="dxa"/>
            <w:tcBorders>
              <w:top w:val="single" w:sz="4" w:space="0" w:color="auto"/>
              <w:left w:val="nil"/>
              <w:bottom w:val="single" w:sz="4" w:space="0" w:color="auto"/>
              <w:right w:val="single" w:sz="4" w:space="0" w:color="auto"/>
            </w:tcBorders>
            <w:shd w:val="clear" w:color="auto" w:fill="C6EFCE"/>
            <w:noWrap/>
          </w:tcPr>
          <w:p w14:paraId="6BB4770A"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0547AC9A"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29B54E10"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2B80858B" w14:textId="77777777" w:rsidR="00FA7C11" w:rsidRDefault="00D84965">
            <w:pPr>
              <w:pStyle w:val="P68B1DB1-Normal66"/>
              <w:spacing w:after="200" w:line="276" w:lineRule="auto"/>
              <w:jc w:val="center"/>
              <w:rPr>
                <w:noProof/>
              </w:rPr>
            </w:pPr>
            <w:r>
              <w:rPr>
                <w:noProof/>
              </w:rPr>
              <w:t>16</w:t>
            </w:r>
          </w:p>
        </w:tc>
        <w:tc>
          <w:tcPr>
            <w:tcW w:w="844" w:type="dxa"/>
            <w:tcBorders>
              <w:top w:val="single" w:sz="4" w:space="0" w:color="auto"/>
              <w:left w:val="nil"/>
              <w:bottom w:val="single" w:sz="4" w:space="0" w:color="auto"/>
              <w:right w:val="single" w:sz="4" w:space="0" w:color="auto"/>
            </w:tcBorders>
            <w:shd w:val="clear" w:color="auto" w:fill="C6EFCE"/>
            <w:noWrap/>
          </w:tcPr>
          <w:p w14:paraId="7C8FF524" w14:textId="77777777" w:rsidR="00FA7C11" w:rsidRDefault="00D84965">
            <w:pPr>
              <w:pStyle w:val="P68B1DB1-Normal66"/>
              <w:spacing w:after="200" w:line="276" w:lineRule="auto"/>
              <w:jc w:val="center"/>
              <w:rPr>
                <w:noProof/>
              </w:rPr>
            </w:pPr>
            <w:r>
              <w:rPr>
                <w:noProof/>
              </w:rPr>
              <w:t>Î2</w:t>
            </w:r>
          </w:p>
        </w:tc>
        <w:tc>
          <w:tcPr>
            <w:tcW w:w="600" w:type="dxa"/>
            <w:tcBorders>
              <w:top w:val="single" w:sz="4" w:space="0" w:color="auto"/>
              <w:left w:val="nil"/>
              <w:bottom w:val="single" w:sz="4" w:space="0" w:color="auto"/>
              <w:right w:val="single" w:sz="4" w:space="0" w:color="auto"/>
            </w:tcBorders>
            <w:shd w:val="clear" w:color="auto" w:fill="C6EFCE"/>
            <w:noWrap/>
          </w:tcPr>
          <w:p w14:paraId="39BC6981" w14:textId="77777777" w:rsidR="00FA7C11" w:rsidRDefault="00D84965">
            <w:pPr>
              <w:pStyle w:val="P68B1DB1-Normal66"/>
              <w:spacing w:after="200" w:line="276" w:lineRule="auto"/>
              <w:jc w:val="center"/>
              <w:rPr>
                <w:noProof/>
              </w:rPr>
            </w:pPr>
            <w:r>
              <w:rPr>
                <w:noProof/>
              </w:rPr>
              <w:t>2025</w:t>
            </w:r>
          </w:p>
        </w:tc>
        <w:tc>
          <w:tcPr>
            <w:tcW w:w="4935" w:type="dxa"/>
            <w:tcBorders>
              <w:top w:val="single" w:sz="4" w:space="0" w:color="auto"/>
              <w:left w:val="nil"/>
              <w:bottom w:val="single" w:sz="4" w:space="0" w:color="auto"/>
              <w:right w:val="single" w:sz="4" w:space="0" w:color="auto"/>
            </w:tcBorders>
            <w:shd w:val="clear" w:color="auto" w:fill="C6EFCE"/>
            <w:noWrap/>
          </w:tcPr>
          <w:p w14:paraId="0C28446C" w14:textId="77777777" w:rsidR="00FA7C11" w:rsidRDefault="00D84965">
            <w:pPr>
              <w:pStyle w:val="P68B1DB1-Normal66"/>
              <w:spacing w:after="200" w:line="276" w:lineRule="auto"/>
              <w:rPr>
                <w:noProof/>
                <w:u w:val="single"/>
              </w:rPr>
            </w:pPr>
            <w:r>
              <w:rPr>
                <w:noProof/>
              </w:rPr>
              <w:t>Cel puțin 16 km de cursuri de apă refăcute, inclusiv revitalizarea manșoanelor abandonate, contactul permanent cu râurile și manșoanele și investiții în infrastructura aferentă.</w:t>
            </w:r>
          </w:p>
        </w:tc>
      </w:tr>
      <w:tr w:rsidR="00FA7C11" w14:paraId="68457A8E"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E79C782" w14:textId="77777777" w:rsidR="00FA7C11" w:rsidRDefault="00D84965">
            <w:pPr>
              <w:pStyle w:val="P68B1DB1-Normal66"/>
              <w:spacing w:after="200" w:line="276" w:lineRule="auto"/>
              <w:jc w:val="center"/>
              <w:rPr>
                <w:noProof/>
              </w:rPr>
            </w:pPr>
            <w:r>
              <w:rPr>
                <w:noProof/>
              </w:rPr>
              <w:t>79</w:t>
            </w:r>
          </w:p>
        </w:tc>
        <w:tc>
          <w:tcPr>
            <w:tcW w:w="1080" w:type="dxa"/>
            <w:tcBorders>
              <w:top w:val="single" w:sz="4" w:space="0" w:color="auto"/>
              <w:left w:val="nil"/>
              <w:bottom w:val="single" w:sz="4" w:space="0" w:color="auto"/>
              <w:right w:val="single" w:sz="4" w:space="0" w:color="auto"/>
            </w:tcBorders>
            <w:shd w:val="clear" w:color="auto" w:fill="C6EFCE"/>
            <w:noWrap/>
          </w:tcPr>
          <w:p w14:paraId="60E794D3" w14:textId="77777777" w:rsidR="00FA7C11" w:rsidRDefault="00D84965">
            <w:pPr>
              <w:pStyle w:val="P68B1DB1-Normal66"/>
              <w:spacing w:after="200" w:line="276" w:lineRule="auto"/>
              <w:jc w:val="center"/>
              <w:rPr>
                <w:noProof/>
              </w:rPr>
            </w:pPr>
            <w:r>
              <w:rPr>
                <w:noProof/>
              </w:rPr>
              <w:t>C1.3. R1-I3</w:t>
            </w:r>
          </w:p>
        </w:tc>
        <w:tc>
          <w:tcPr>
            <w:tcW w:w="1080" w:type="dxa"/>
            <w:tcBorders>
              <w:top w:val="single" w:sz="4" w:space="0" w:color="auto"/>
              <w:left w:val="nil"/>
              <w:bottom w:val="single" w:sz="4" w:space="0" w:color="auto"/>
              <w:right w:val="single" w:sz="4" w:space="0" w:color="auto"/>
            </w:tcBorders>
            <w:shd w:val="clear" w:color="auto" w:fill="C6EFCE"/>
            <w:noWrap/>
          </w:tcPr>
          <w:p w14:paraId="2F45513F"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114ABBA0" w14:textId="77777777" w:rsidR="00FA7C11" w:rsidRDefault="00D84965">
            <w:pPr>
              <w:pStyle w:val="P68B1DB1-Normal66"/>
              <w:spacing w:after="200" w:line="276" w:lineRule="auto"/>
              <w:rPr>
                <w:noProof/>
              </w:rPr>
            </w:pPr>
            <w:r>
              <w:rPr>
                <w:noProof/>
              </w:rPr>
              <w:t xml:space="preserve">Structuri de protecție împotriva inundațiilor construite </w:t>
            </w:r>
          </w:p>
        </w:tc>
        <w:tc>
          <w:tcPr>
            <w:tcW w:w="1884" w:type="dxa"/>
            <w:tcBorders>
              <w:top w:val="single" w:sz="4" w:space="0" w:color="auto"/>
              <w:left w:val="nil"/>
              <w:bottom w:val="single" w:sz="4" w:space="0" w:color="auto"/>
              <w:right w:val="single" w:sz="4" w:space="0" w:color="auto"/>
            </w:tcBorders>
            <w:shd w:val="clear" w:color="auto" w:fill="C6EFCE"/>
            <w:noWrap/>
          </w:tcPr>
          <w:p w14:paraId="7B0CA584"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2F36A23B"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5DFA6CDA" w14:textId="6FB8CCD6" w:rsidR="00FA7C11" w:rsidRDefault="00D84965">
            <w:pPr>
              <w:pStyle w:val="P68B1DB1-Normal66"/>
              <w:spacing w:after="200" w:line="276" w:lineRule="auto"/>
              <w:jc w:val="center"/>
              <w:rPr>
                <w:noProof/>
              </w:rPr>
            </w:pPr>
            <w:r>
              <w:rPr>
                <w:noProof/>
              </w:rPr>
              <w:t>65</w:t>
            </w:r>
          </w:p>
        </w:tc>
        <w:tc>
          <w:tcPr>
            <w:tcW w:w="567" w:type="dxa"/>
            <w:tcBorders>
              <w:top w:val="single" w:sz="4" w:space="0" w:color="auto"/>
              <w:left w:val="nil"/>
              <w:bottom w:val="single" w:sz="4" w:space="0" w:color="auto"/>
              <w:right w:val="single" w:sz="4" w:space="0" w:color="auto"/>
            </w:tcBorders>
            <w:shd w:val="clear" w:color="auto" w:fill="C6EFCE"/>
            <w:noWrap/>
          </w:tcPr>
          <w:p w14:paraId="6B2EC29B" w14:textId="77777777" w:rsidR="00FA7C11" w:rsidRDefault="00D84965">
            <w:pPr>
              <w:pStyle w:val="P68B1DB1-Normal66"/>
              <w:spacing w:after="200" w:line="276" w:lineRule="auto"/>
              <w:jc w:val="center"/>
              <w:rPr>
                <w:noProof/>
              </w:rPr>
            </w:pPr>
            <w:r>
              <w:rPr>
                <w:noProof/>
              </w:rPr>
              <w:t>77</w:t>
            </w:r>
          </w:p>
        </w:tc>
        <w:tc>
          <w:tcPr>
            <w:tcW w:w="844" w:type="dxa"/>
            <w:tcBorders>
              <w:top w:val="single" w:sz="4" w:space="0" w:color="auto"/>
              <w:left w:val="nil"/>
              <w:bottom w:val="single" w:sz="4" w:space="0" w:color="auto"/>
              <w:right w:val="single" w:sz="4" w:space="0" w:color="auto"/>
            </w:tcBorders>
            <w:shd w:val="clear" w:color="auto" w:fill="C6EFCE"/>
            <w:noWrap/>
          </w:tcPr>
          <w:p w14:paraId="7BECA539"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408B71B8" w14:textId="77777777" w:rsidR="00FA7C11" w:rsidRDefault="00D84965">
            <w:pPr>
              <w:pStyle w:val="P68B1DB1-Normal66"/>
              <w:spacing w:after="200" w:line="276" w:lineRule="auto"/>
              <w:jc w:val="center"/>
              <w:rPr>
                <w:noProof/>
              </w:rPr>
            </w:pPr>
            <w:r>
              <w:rPr>
                <w:noProof/>
              </w:rPr>
              <w:t>2025</w:t>
            </w:r>
          </w:p>
        </w:tc>
        <w:tc>
          <w:tcPr>
            <w:tcW w:w="4935" w:type="dxa"/>
            <w:tcBorders>
              <w:top w:val="single" w:sz="4" w:space="0" w:color="auto"/>
              <w:left w:val="nil"/>
              <w:bottom w:val="single" w:sz="4" w:space="0" w:color="auto"/>
              <w:right w:val="single" w:sz="4" w:space="0" w:color="auto"/>
            </w:tcBorders>
            <w:shd w:val="clear" w:color="auto" w:fill="C6EFCE"/>
            <w:noWrap/>
          </w:tcPr>
          <w:p w14:paraId="40967CFB" w14:textId="1F9722C8" w:rsidR="00FA7C11" w:rsidRDefault="00D84965">
            <w:pPr>
              <w:pStyle w:val="P68B1DB1-Normal66"/>
              <w:spacing w:after="200" w:line="276" w:lineRule="auto"/>
              <w:rPr>
                <w:noProof/>
                <w:color w:val="000000" w:themeColor="text1"/>
              </w:rPr>
            </w:pPr>
            <w:r>
              <w:rPr>
                <w:noProof/>
              </w:rPr>
              <w:t>Cel puțin 12 km de structuri de protecție împotriva inundațiilor construite pentru a proteja împotriva efectelor nocive ale apei.</w:t>
            </w:r>
          </w:p>
        </w:tc>
      </w:tr>
      <w:tr w:rsidR="00FA7C11" w14:paraId="6190338A"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C7B7D77" w14:textId="77777777" w:rsidR="00FA7C11" w:rsidRDefault="00D84965">
            <w:pPr>
              <w:pStyle w:val="P68B1DB1-Normal66"/>
              <w:spacing w:after="200" w:line="276" w:lineRule="auto"/>
              <w:jc w:val="center"/>
              <w:rPr>
                <w:noProof/>
              </w:rPr>
            </w:pPr>
            <w:r>
              <w:rPr>
                <w:noProof/>
              </w:rPr>
              <w:t>81</w:t>
            </w:r>
          </w:p>
        </w:tc>
        <w:tc>
          <w:tcPr>
            <w:tcW w:w="1080" w:type="dxa"/>
            <w:tcBorders>
              <w:top w:val="single" w:sz="4" w:space="0" w:color="auto"/>
              <w:left w:val="nil"/>
              <w:bottom w:val="single" w:sz="4" w:space="0" w:color="auto"/>
              <w:right w:val="single" w:sz="4" w:space="0" w:color="auto"/>
            </w:tcBorders>
            <w:shd w:val="clear" w:color="auto" w:fill="C6EFCE"/>
            <w:noWrap/>
          </w:tcPr>
          <w:p w14:paraId="38891CF1" w14:textId="77777777" w:rsidR="00FA7C11" w:rsidRDefault="00D84965">
            <w:pPr>
              <w:pStyle w:val="P68B1DB1-Normal66"/>
              <w:spacing w:after="200" w:line="276" w:lineRule="auto"/>
              <w:jc w:val="center"/>
              <w:rPr>
                <w:noProof/>
              </w:rPr>
            </w:pPr>
            <w:r>
              <w:rPr>
                <w:noProof/>
              </w:rPr>
              <w:t>C1.3. R2</w:t>
            </w:r>
          </w:p>
        </w:tc>
        <w:tc>
          <w:tcPr>
            <w:tcW w:w="1080" w:type="dxa"/>
            <w:tcBorders>
              <w:top w:val="single" w:sz="4" w:space="0" w:color="auto"/>
              <w:left w:val="nil"/>
              <w:bottom w:val="single" w:sz="4" w:space="0" w:color="auto"/>
              <w:right w:val="single" w:sz="4" w:space="0" w:color="auto"/>
            </w:tcBorders>
            <w:shd w:val="clear" w:color="auto" w:fill="C6EFCE"/>
            <w:noWrap/>
          </w:tcPr>
          <w:p w14:paraId="7F2813CD" w14:textId="77777777" w:rsidR="00FA7C11" w:rsidRDefault="00D84965">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3F8C9FE6" w14:textId="77777777" w:rsidR="00FA7C11" w:rsidRDefault="00D84965">
            <w:pPr>
              <w:pStyle w:val="P68B1DB1-Normal66"/>
              <w:spacing w:after="200" w:line="276" w:lineRule="auto"/>
              <w:rPr>
                <w:noProof/>
              </w:rPr>
            </w:pPr>
            <w:r>
              <w:rPr>
                <w:noProof/>
              </w:rPr>
              <w:t xml:space="preserve">Adoptarea Legii privind gestionarea deșeurilor </w:t>
            </w:r>
          </w:p>
        </w:tc>
        <w:tc>
          <w:tcPr>
            <w:tcW w:w="1884" w:type="dxa"/>
            <w:tcBorders>
              <w:top w:val="single" w:sz="4" w:space="0" w:color="auto"/>
              <w:left w:val="nil"/>
              <w:bottom w:val="single" w:sz="4" w:space="0" w:color="auto"/>
              <w:right w:val="single" w:sz="4" w:space="0" w:color="auto"/>
            </w:tcBorders>
            <w:shd w:val="clear" w:color="auto" w:fill="C6EFCE"/>
            <w:noWrap/>
          </w:tcPr>
          <w:p w14:paraId="10DF2149" w14:textId="77777777" w:rsidR="00FA7C11" w:rsidRDefault="00D84965">
            <w:pPr>
              <w:pStyle w:val="P68B1DB1-Normal66"/>
              <w:spacing w:after="200" w:line="276" w:lineRule="auto"/>
              <w:rPr>
                <w:noProof/>
              </w:rPr>
            </w:pPr>
            <w:r>
              <w:rPr>
                <w:noProof/>
              </w:rPr>
              <w:t xml:space="preserve">Intrarea în vigoare a Legii privind gestionarea deșeurilor </w:t>
            </w:r>
          </w:p>
        </w:tc>
        <w:tc>
          <w:tcPr>
            <w:tcW w:w="1134" w:type="dxa"/>
            <w:tcBorders>
              <w:top w:val="single" w:sz="4" w:space="0" w:color="auto"/>
              <w:left w:val="nil"/>
              <w:bottom w:val="single" w:sz="4" w:space="0" w:color="auto"/>
              <w:right w:val="single" w:sz="4" w:space="0" w:color="auto"/>
            </w:tcBorders>
            <w:shd w:val="clear" w:color="auto" w:fill="C6EFCE"/>
            <w:noWrap/>
          </w:tcPr>
          <w:p w14:paraId="5B0CA21E" w14:textId="77777777" w:rsidR="00FA7C11" w:rsidRDefault="00D84965">
            <w:pPr>
              <w:pStyle w:val="P68B1DB1-Normal66"/>
              <w:spacing w:after="200" w:line="276" w:lineRule="auto"/>
              <w:jc w:val="center"/>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0EB4465F"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34FC6C73" w14:textId="77777777" w:rsidR="00FA7C11" w:rsidRDefault="00D84965">
            <w:pPr>
              <w:pStyle w:val="P68B1DB1-Normal66"/>
              <w:spacing w:after="200" w:line="276" w:lineRule="auto"/>
              <w:jc w:val="center"/>
              <w:rPr>
                <w:noProof/>
              </w:rPr>
            </w:pPr>
            <w:r>
              <w:rPr>
                <w:noProof/>
              </w:rPr>
              <w:t> </w:t>
            </w:r>
          </w:p>
        </w:tc>
        <w:tc>
          <w:tcPr>
            <w:tcW w:w="844" w:type="dxa"/>
            <w:tcBorders>
              <w:top w:val="single" w:sz="4" w:space="0" w:color="auto"/>
              <w:left w:val="nil"/>
              <w:bottom w:val="single" w:sz="4" w:space="0" w:color="auto"/>
              <w:right w:val="single" w:sz="4" w:space="0" w:color="auto"/>
            </w:tcBorders>
            <w:shd w:val="clear" w:color="auto" w:fill="C6EFCE"/>
            <w:noWrap/>
          </w:tcPr>
          <w:p w14:paraId="52D94B9F" w14:textId="77777777" w:rsidR="00FA7C11" w:rsidRDefault="00D84965">
            <w:pPr>
              <w:pStyle w:val="P68B1DB1-Normal66"/>
              <w:spacing w:after="200" w:line="276" w:lineRule="auto"/>
              <w:jc w:val="center"/>
              <w:rPr>
                <w:noProof/>
              </w:rPr>
            </w:pPr>
            <w:r>
              <w:rPr>
                <w:noProof/>
              </w:rPr>
              <w:t>Î3</w:t>
            </w:r>
          </w:p>
        </w:tc>
        <w:tc>
          <w:tcPr>
            <w:tcW w:w="600" w:type="dxa"/>
            <w:tcBorders>
              <w:top w:val="single" w:sz="4" w:space="0" w:color="auto"/>
              <w:left w:val="nil"/>
              <w:bottom w:val="single" w:sz="4" w:space="0" w:color="auto"/>
              <w:right w:val="single" w:sz="4" w:space="0" w:color="auto"/>
            </w:tcBorders>
            <w:shd w:val="clear" w:color="auto" w:fill="C6EFCE"/>
            <w:noWrap/>
          </w:tcPr>
          <w:p w14:paraId="7536F66A" w14:textId="77777777" w:rsidR="00FA7C11" w:rsidRDefault="00D84965">
            <w:pPr>
              <w:pStyle w:val="P68B1DB1-Normal66"/>
              <w:spacing w:after="200" w:line="276" w:lineRule="auto"/>
              <w:jc w:val="center"/>
              <w:rPr>
                <w:noProof/>
              </w:rPr>
            </w:pPr>
            <w:r>
              <w:rPr>
                <w:noProof/>
              </w:rPr>
              <w:t>2021</w:t>
            </w:r>
          </w:p>
        </w:tc>
        <w:tc>
          <w:tcPr>
            <w:tcW w:w="4935" w:type="dxa"/>
            <w:tcBorders>
              <w:top w:val="single" w:sz="4" w:space="0" w:color="auto"/>
              <w:left w:val="nil"/>
              <w:bottom w:val="single" w:sz="4" w:space="0" w:color="auto"/>
              <w:right w:val="single" w:sz="4" w:space="0" w:color="auto"/>
            </w:tcBorders>
            <w:shd w:val="clear" w:color="auto" w:fill="C6EFCE"/>
            <w:noWrap/>
          </w:tcPr>
          <w:p w14:paraId="589830AD" w14:textId="77777777" w:rsidR="00FA7C11" w:rsidRDefault="00D84965">
            <w:pPr>
              <w:pStyle w:val="P68B1DB1-Normal66"/>
              <w:spacing w:after="200" w:line="276" w:lineRule="auto"/>
              <w:rPr>
                <w:noProof/>
              </w:rPr>
            </w:pPr>
            <w:r>
              <w:rPr>
                <w:noProof/>
              </w:rPr>
              <w:t>Noua lege privind gestionarea deșeurilor reglementează prevenirea generării de deșeuri, pregătirea pentru reutilizare și reciclarea în conformitate cu conceptul de economie circulară și cu Pactul verde european. Actul va include măsuri specifice de sprijinire a economiei circulare, și anume elaborarea unei foi de parcurs privind economia circulară, a unor scheme de răspundere extinsă a producătorilor și a unor scheme de plată în funcție de cantitatea de deșeuri produsă. Legea va aborda toate recomandările Comisiei din Raportul de alertă timpurie pentru Croația din 2018.</w:t>
            </w:r>
          </w:p>
        </w:tc>
      </w:tr>
      <w:tr w:rsidR="00FA7C11" w14:paraId="241166F9"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416150A" w14:textId="77777777" w:rsidR="00FA7C11" w:rsidRDefault="00D84965">
            <w:pPr>
              <w:pStyle w:val="P68B1DB1-Normal66"/>
              <w:spacing w:after="200" w:line="276" w:lineRule="auto"/>
              <w:jc w:val="center"/>
              <w:rPr>
                <w:noProof/>
              </w:rPr>
            </w:pPr>
            <w:r>
              <w:rPr>
                <w:noProof/>
              </w:rPr>
              <w:t>82</w:t>
            </w:r>
          </w:p>
        </w:tc>
        <w:tc>
          <w:tcPr>
            <w:tcW w:w="1080" w:type="dxa"/>
            <w:tcBorders>
              <w:top w:val="single" w:sz="4" w:space="0" w:color="auto"/>
              <w:left w:val="nil"/>
              <w:bottom w:val="single" w:sz="4" w:space="0" w:color="auto"/>
              <w:right w:val="single" w:sz="4" w:space="0" w:color="auto"/>
            </w:tcBorders>
            <w:shd w:val="clear" w:color="auto" w:fill="C6EFCE"/>
            <w:noWrap/>
          </w:tcPr>
          <w:p w14:paraId="0E320DA8" w14:textId="77777777" w:rsidR="00FA7C11" w:rsidRDefault="00D84965">
            <w:pPr>
              <w:pStyle w:val="P68B1DB1-Normal66"/>
              <w:spacing w:after="200" w:line="276" w:lineRule="auto"/>
              <w:jc w:val="center"/>
              <w:rPr>
                <w:noProof/>
              </w:rPr>
            </w:pPr>
            <w:r>
              <w:rPr>
                <w:noProof/>
              </w:rPr>
              <w:t>C1.3. R2</w:t>
            </w:r>
          </w:p>
        </w:tc>
        <w:tc>
          <w:tcPr>
            <w:tcW w:w="1080" w:type="dxa"/>
            <w:tcBorders>
              <w:top w:val="single" w:sz="4" w:space="0" w:color="auto"/>
              <w:left w:val="nil"/>
              <w:bottom w:val="single" w:sz="4" w:space="0" w:color="auto"/>
              <w:right w:val="single" w:sz="4" w:space="0" w:color="auto"/>
            </w:tcBorders>
            <w:shd w:val="clear" w:color="auto" w:fill="C6EFCE"/>
            <w:noWrap/>
          </w:tcPr>
          <w:p w14:paraId="3142A499" w14:textId="77777777" w:rsidR="00FA7C11" w:rsidRDefault="00D84965">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64B14EC2" w14:textId="77777777" w:rsidR="00FA7C11" w:rsidRDefault="00D84965">
            <w:pPr>
              <w:pStyle w:val="P68B1DB1-Normal66"/>
              <w:spacing w:after="200" w:line="276" w:lineRule="auto"/>
              <w:rPr>
                <w:noProof/>
              </w:rPr>
            </w:pPr>
            <w:r>
              <w:rPr>
                <w:noProof/>
              </w:rPr>
              <w:t>Revizuirea Planului de gestionare a deșeurilor al Republicii Croația pentru perioada 2017-2022</w:t>
            </w:r>
          </w:p>
        </w:tc>
        <w:tc>
          <w:tcPr>
            <w:tcW w:w="1884" w:type="dxa"/>
            <w:tcBorders>
              <w:top w:val="single" w:sz="4" w:space="0" w:color="auto"/>
              <w:left w:val="nil"/>
              <w:bottom w:val="single" w:sz="4" w:space="0" w:color="auto"/>
              <w:right w:val="single" w:sz="4" w:space="0" w:color="auto"/>
            </w:tcBorders>
            <w:shd w:val="clear" w:color="auto" w:fill="C6EFCE"/>
            <w:noWrap/>
          </w:tcPr>
          <w:p w14:paraId="012745C4" w14:textId="2883320C" w:rsidR="00FA7C11" w:rsidRDefault="00D84965">
            <w:pPr>
              <w:pStyle w:val="P68B1DB1-Normal66"/>
              <w:spacing w:after="200" w:line="276" w:lineRule="auto"/>
              <w:rPr>
                <w:noProof/>
              </w:rPr>
            </w:pPr>
            <w:r>
              <w:rPr>
                <w:noProof/>
              </w:rPr>
              <w:t>Publicarea în Monitorul Oficial al Republicii Croația a modificărilor aduse Planului de gestionare a deșeurilor al Republicii Croația pentru perioada 2017-2022</w:t>
            </w:r>
          </w:p>
        </w:tc>
        <w:tc>
          <w:tcPr>
            <w:tcW w:w="1134" w:type="dxa"/>
            <w:tcBorders>
              <w:top w:val="single" w:sz="4" w:space="0" w:color="auto"/>
              <w:left w:val="nil"/>
              <w:bottom w:val="single" w:sz="4" w:space="0" w:color="auto"/>
              <w:right w:val="single" w:sz="4" w:space="0" w:color="auto"/>
            </w:tcBorders>
            <w:shd w:val="clear" w:color="auto" w:fill="C6EFCE"/>
            <w:noWrap/>
          </w:tcPr>
          <w:p w14:paraId="5AAC2926" w14:textId="77777777" w:rsidR="00FA7C11" w:rsidRDefault="00D84965">
            <w:pPr>
              <w:pStyle w:val="P68B1DB1-Normal66"/>
              <w:spacing w:after="200" w:line="276" w:lineRule="auto"/>
              <w:jc w:val="center"/>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19B37272"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143A43FA" w14:textId="77777777" w:rsidR="00FA7C11" w:rsidRDefault="00D84965">
            <w:pPr>
              <w:pStyle w:val="P68B1DB1-Normal66"/>
              <w:spacing w:after="200" w:line="276" w:lineRule="auto"/>
              <w:jc w:val="center"/>
              <w:rPr>
                <w:noProof/>
              </w:rPr>
            </w:pPr>
            <w:r>
              <w:rPr>
                <w:noProof/>
              </w:rPr>
              <w:t> </w:t>
            </w:r>
          </w:p>
        </w:tc>
        <w:tc>
          <w:tcPr>
            <w:tcW w:w="844" w:type="dxa"/>
            <w:tcBorders>
              <w:top w:val="single" w:sz="4" w:space="0" w:color="auto"/>
              <w:left w:val="nil"/>
              <w:bottom w:val="single" w:sz="4" w:space="0" w:color="auto"/>
              <w:right w:val="single" w:sz="4" w:space="0" w:color="auto"/>
            </w:tcBorders>
            <w:shd w:val="clear" w:color="auto" w:fill="C6EFCE"/>
            <w:noWrap/>
          </w:tcPr>
          <w:p w14:paraId="1A4E8904"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51EB24F6" w14:textId="77777777" w:rsidR="00FA7C11" w:rsidRDefault="00D84965">
            <w:pPr>
              <w:pStyle w:val="P68B1DB1-Normal66"/>
              <w:spacing w:after="200" w:line="276" w:lineRule="auto"/>
              <w:jc w:val="center"/>
              <w:rPr>
                <w:noProof/>
              </w:rPr>
            </w:pPr>
            <w:r>
              <w:rPr>
                <w:noProof/>
              </w:rPr>
              <w:t>2021</w:t>
            </w:r>
          </w:p>
        </w:tc>
        <w:tc>
          <w:tcPr>
            <w:tcW w:w="4935" w:type="dxa"/>
            <w:tcBorders>
              <w:top w:val="single" w:sz="4" w:space="0" w:color="auto"/>
              <w:left w:val="nil"/>
              <w:bottom w:val="single" w:sz="4" w:space="0" w:color="auto"/>
              <w:right w:val="single" w:sz="4" w:space="0" w:color="auto"/>
            </w:tcBorders>
            <w:shd w:val="clear" w:color="auto" w:fill="C6EFCE"/>
            <w:noWrap/>
          </w:tcPr>
          <w:p w14:paraId="44F5C849" w14:textId="77777777" w:rsidR="00FA7C11" w:rsidRDefault="00D84965">
            <w:pPr>
              <w:pStyle w:val="P68B1DB1-Normal66"/>
              <w:spacing w:after="200" w:line="276" w:lineRule="auto"/>
              <w:rPr>
                <w:noProof/>
              </w:rPr>
            </w:pPr>
            <w:r>
              <w:rPr>
                <w:noProof/>
              </w:rPr>
              <w:t>Adoptarea și publicarea Planului croat revizuit de gestionare a deșeurilor pentru perioada 2017-2022, în conformitate cu noul Plan de acțiune privind economia circulară, în urma consultărilor publice. Planul revizuit specifică un obiectiv de 50 % pentru reciclarea, sortarea, reutilizarea și repararea deșeurilor până în 2022, precum și un obiectiv separat pentru colectarea și reciclarea deșeurilor biologice. Acesta include, de asemenea, măsuri specifice de încurajare a ambiției unităților locale și regionale, cum ar fi acțiuni de comunicare pentru a asigura colectarea separată eficace la sursă sau aspecte digitale. Planul include o evaluare a situației actuale, sisteme de colectare existente și o evaluare a deficitului de investiții pentru închiderea depozitelor de deșeuri. Aceasta furnizează o listă de priorități pentru investițiile planificate în deșeuri, capacitatea viitoarelor instalații de tratare a deșeurilor, precum și informații cu privire la modul în care vor fi stabilite viitoarele amplasamente ale amplasamentelor. Planul ia în considerare, de asemenea, sprijinul pentru consolidarea capacităților în vederea punerii în aplicare a proiectelor de infrastructură.</w:t>
            </w:r>
          </w:p>
        </w:tc>
      </w:tr>
      <w:tr w:rsidR="00FA7C11" w14:paraId="76EBDFC3"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AA818C0" w14:textId="77777777" w:rsidR="00FA7C11" w:rsidRDefault="00D84965">
            <w:pPr>
              <w:pStyle w:val="P68B1DB1-Normal66"/>
              <w:spacing w:after="200" w:line="276" w:lineRule="auto"/>
              <w:jc w:val="center"/>
              <w:rPr>
                <w:noProof/>
              </w:rPr>
            </w:pPr>
            <w:r>
              <w:rPr>
                <w:noProof/>
              </w:rPr>
              <w:t>83</w:t>
            </w:r>
          </w:p>
        </w:tc>
        <w:tc>
          <w:tcPr>
            <w:tcW w:w="1080" w:type="dxa"/>
            <w:tcBorders>
              <w:top w:val="single" w:sz="4" w:space="0" w:color="auto"/>
              <w:left w:val="nil"/>
              <w:bottom w:val="single" w:sz="4" w:space="0" w:color="auto"/>
              <w:right w:val="single" w:sz="4" w:space="0" w:color="auto"/>
            </w:tcBorders>
            <w:shd w:val="clear" w:color="auto" w:fill="C6EFCE"/>
            <w:noWrap/>
          </w:tcPr>
          <w:p w14:paraId="2DCA63BB" w14:textId="77777777" w:rsidR="00FA7C11" w:rsidRDefault="00D84965">
            <w:pPr>
              <w:pStyle w:val="P68B1DB1-Normal66"/>
              <w:spacing w:after="200" w:line="276" w:lineRule="auto"/>
              <w:jc w:val="center"/>
              <w:rPr>
                <w:noProof/>
              </w:rPr>
            </w:pPr>
            <w:r>
              <w:rPr>
                <w:noProof/>
              </w:rPr>
              <w:t>C1.3. R2</w:t>
            </w:r>
          </w:p>
        </w:tc>
        <w:tc>
          <w:tcPr>
            <w:tcW w:w="1080" w:type="dxa"/>
            <w:tcBorders>
              <w:top w:val="single" w:sz="4" w:space="0" w:color="auto"/>
              <w:left w:val="nil"/>
              <w:bottom w:val="single" w:sz="4" w:space="0" w:color="auto"/>
              <w:right w:val="single" w:sz="4" w:space="0" w:color="auto"/>
            </w:tcBorders>
            <w:shd w:val="clear" w:color="auto" w:fill="C6EFCE"/>
            <w:noWrap/>
          </w:tcPr>
          <w:p w14:paraId="4860B894" w14:textId="77777777" w:rsidR="00FA7C11" w:rsidRDefault="00D84965">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4195CFB8" w14:textId="77777777" w:rsidR="00FA7C11" w:rsidRDefault="00D84965">
            <w:pPr>
              <w:pStyle w:val="P68B1DB1-Normal66"/>
              <w:spacing w:after="200" w:line="276" w:lineRule="auto"/>
              <w:rPr>
                <w:noProof/>
              </w:rPr>
            </w:pPr>
            <w:r>
              <w:rPr>
                <w:noProof/>
              </w:rPr>
              <w:t>Adoptarea Planului de gestionare a deșeurilor al Republicii Croația pentru perioada 2023-2029</w:t>
            </w:r>
          </w:p>
        </w:tc>
        <w:tc>
          <w:tcPr>
            <w:tcW w:w="1884" w:type="dxa"/>
            <w:tcBorders>
              <w:top w:val="single" w:sz="4" w:space="0" w:color="auto"/>
              <w:left w:val="nil"/>
              <w:bottom w:val="single" w:sz="4" w:space="0" w:color="auto"/>
              <w:right w:val="single" w:sz="4" w:space="0" w:color="auto"/>
            </w:tcBorders>
            <w:shd w:val="clear" w:color="auto" w:fill="C6EFCE"/>
            <w:noWrap/>
          </w:tcPr>
          <w:p w14:paraId="2B4EAA66" w14:textId="77777777" w:rsidR="00FA7C11" w:rsidRDefault="00D84965">
            <w:pPr>
              <w:pStyle w:val="P68B1DB1-Normal66"/>
              <w:spacing w:after="200" w:line="276" w:lineRule="auto"/>
              <w:rPr>
                <w:noProof/>
              </w:rPr>
            </w:pPr>
            <w:r>
              <w:rPr>
                <w:noProof/>
              </w:rPr>
              <w:t>Publicarea Planului croat de gestionare a deșeurilor pentru perioada 2023-2029 în Monitorul Oficial al Republicii Croația</w:t>
            </w:r>
          </w:p>
        </w:tc>
        <w:tc>
          <w:tcPr>
            <w:tcW w:w="1134" w:type="dxa"/>
            <w:tcBorders>
              <w:top w:val="single" w:sz="4" w:space="0" w:color="auto"/>
              <w:left w:val="nil"/>
              <w:bottom w:val="single" w:sz="4" w:space="0" w:color="auto"/>
              <w:right w:val="single" w:sz="4" w:space="0" w:color="auto"/>
            </w:tcBorders>
            <w:shd w:val="clear" w:color="auto" w:fill="C6EFCE"/>
            <w:noWrap/>
          </w:tcPr>
          <w:p w14:paraId="03EBDBC2" w14:textId="77777777" w:rsidR="00FA7C11" w:rsidRDefault="00D84965">
            <w:pPr>
              <w:pStyle w:val="P68B1DB1-Normal66"/>
              <w:spacing w:after="200" w:line="276" w:lineRule="auto"/>
              <w:jc w:val="center"/>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0A5A46A5"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4454DF04" w14:textId="77777777" w:rsidR="00FA7C11" w:rsidRDefault="00D84965">
            <w:pPr>
              <w:pStyle w:val="P68B1DB1-Normal66"/>
              <w:spacing w:after="200" w:line="276" w:lineRule="auto"/>
              <w:jc w:val="center"/>
              <w:rPr>
                <w:noProof/>
              </w:rPr>
            </w:pPr>
            <w:r>
              <w:rPr>
                <w:noProof/>
              </w:rPr>
              <w:t> </w:t>
            </w:r>
          </w:p>
        </w:tc>
        <w:tc>
          <w:tcPr>
            <w:tcW w:w="844" w:type="dxa"/>
            <w:tcBorders>
              <w:top w:val="single" w:sz="4" w:space="0" w:color="auto"/>
              <w:left w:val="nil"/>
              <w:bottom w:val="single" w:sz="4" w:space="0" w:color="auto"/>
              <w:right w:val="single" w:sz="4" w:space="0" w:color="auto"/>
            </w:tcBorders>
            <w:shd w:val="clear" w:color="auto" w:fill="C6EFCE"/>
            <w:noWrap/>
          </w:tcPr>
          <w:p w14:paraId="06FC6357"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1B7BADA4" w14:textId="77777777" w:rsidR="00FA7C11" w:rsidRDefault="00D84965">
            <w:pPr>
              <w:pStyle w:val="P68B1DB1-Normal66"/>
              <w:spacing w:after="200" w:line="276" w:lineRule="auto"/>
              <w:jc w:val="center"/>
              <w:rPr>
                <w:noProof/>
              </w:rPr>
            </w:pPr>
            <w:r>
              <w:rPr>
                <w:noProof/>
              </w:rPr>
              <w:t>2022</w:t>
            </w:r>
          </w:p>
        </w:tc>
        <w:tc>
          <w:tcPr>
            <w:tcW w:w="4935" w:type="dxa"/>
            <w:tcBorders>
              <w:top w:val="single" w:sz="4" w:space="0" w:color="auto"/>
              <w:left w:val="nil"/>
              <w:bottom w:val="single" w:sz="4" w:space="0" w:color="auto"/>
              <w:right w:val="single" w:sz="4" w:space="0" w:color="auto"/>
            </w:tcBorders>
            <w:shd w:val="clear" w:color="auto" w:fill="C6EFCE"/>
            <w:noWrap/>
          </w:tcPr>
          <w:p w14:paraId="72C1266C" w14:textId="77777777" w:rsidR="00FA7C11" w:rsidRDefault="00D84965">
            <w:pPr>
              <w:pStyle w:val="P68B1DB1-Normal66"/>
              <w:spacing w:after="200" w:line="276" w:lineRule="auto"/>
              <w:rPr>
                <w:noProof/>
              </w:rPr>
            </w:pPr>
            <w:r>
              <w:rPr>
                <w:noProof/>
              </w:rPr>
              <w:t>Adoptarea și publicarea planului Croației de gestionare a deșeurilor pentru perioada 2023-2029, în coroborare cu noile obiective prevăzute în Legea privind gestionarea deșeurilor și în Planul de acțiune privind economia circulară, în urma consultărilor publice. Planul specifică un obiectiv de cel puțin 55 % pentru reciclarea, sortarea, reutilizarea și repararea deșeurilor până în 2025, precum și un obiectiv pentru colectarea și reciclarea deșeurilor biologice.</w:t>
            </w:r>
          </w:p>
        </w:tc>
      </w:tr>
      <w:tr w:rsidR="00FA7C11" w14:paraId="1CF60F50"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1F436A6" w14:textId="77777777" w:rsidR="00FA7C11" w:rsidRDefault="00D84965">
            <w:pPr>
              <w:pStyle w:val="P68B1DB1-Normal66"/>
              <w:spacing w:after="200" w:line="276" w:lineRule="auto"/>
              <w:jc w:val="center"/>
              <w:rPr>
                <w:noProof/>
              </w:rPr>
            </w:pPr>
            <w:r>
              <w:rPr>
                <w:noProof/>
              </w:rPr>
              <w:t>84</w:t>
            </w:r>
          </w:p>
        </w:tc>
        <w:tc>
          <w:tcPr>
            <w:tcW w:w="1080" w:type="dxa"/>
            <w:tcBorders>
              <w:top w:val="single" w:sz="4" w:space="0" w:color="auto"/>
              <w:left w:val="nil"/>
              <w:bottom w:val="single" w:sz="4" w:space="0" w:color="auto"/>
              <w:right w:val="single" w:sz="4" w:space="0" w:color="auto"/>
            </w:tcBorders>
            <w:shd w:val="clear" w:color="auto" w:fill="C6EFCE"/>
            <w:noWrap/>
          </w:tcPr>
          <w:p w14:paraId="20E14D0E" w14:textId="77777777" w:rsidR="00FA7C11" w:rsidRDefault="00D84965">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7E55E840"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40BBDB1B" w14:textId="77777777" w:rsidR="00FA7C11" w:rsidRDefault="00D84965">
            <w:pPr>
              <w:pStyle w:val="P68B1DB1-Normal66"/>
              <w:spacing w:after="200" w:line="276" w:lineRule="auto"/>
              <w:rPr>
                <w:noProof/>
              </w:rPr>
            </w:pPr>
            <w:r>
              <w:rPr>
                <w:noProof/>
              </w:rPr>
              <w:t>Reducerea ponderii deșeurilor municipale trimise spre eliminare (49 %)</w:t>
            </w:r>
          </w:p>
        </w:tc>
        <w:tc>
          <w:tcPr>
            <w:tcW w:w="1884" w:type="dxa"/>
            <w:tcBorders>
              <w:top w:val="single" w:sz="4" w:space="0" w:color="auto"/>
              <w:left w:val="nil"/>
              <w:bottom w:val="single" w:sz="4" w:space="0" w:color="auto"/>
              <w:right w:val="single" w:sz="4" w:space="0" w:color="auto"/>
            </w:tcBorders>
            <w:shd w:val="clear" w:color="auto" w:fill="C6EFCE"/>
            <w:noWrap/>
          </w:tcPr>
          <w:p w14:paraId="01D17E64"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5CEA852A" w14:textId="77777777" w:rsidR="00FA7C11" w:rsidRDefault="00D84965">
            <w:pPr>
              <w:pStyle w:val="P68B1DB1-Normal66"/>
              <w:spacing w:after="200" w:line="276" w:lineRule="auto"/>
              <w:jc w:val="center"/>
              <w:rPr>
                <w:noProof/>
              </w:rPr>
            </w:pPr>
            <w:r>
              <w:rPr>
                <w:noProof/>
              </w:rPr>
              <w:t>% (procent)</w:t>
            </w:r>
          </w:p>
        </w:tc>
        <w:tc>
          <w:tcPr>
            <w:tcW w:w="851" w:type="dxa"/>
            <w:tcBorders>
              <w:top w:val="single" w:sz="4" w:space="0" w:color="auto"/>
              <w:left w:val="nil"/>
              <w:bottom w:val="single" w:sz="4" w:space="0" w:color="auto"/>
              <w:right w:val="single" w:sz="4" w:space="0" w:color="auto"/>
            </w:tcBorders>
            <w:shd w:val="clear" w:color="auto" w:fill="C6EFCE"/>
            <w:noWrap/>
          </w:tcPr>
          <w:p w14:paraId="2C037700" w14:textId="77777777" w:rsidR="00FA7C11" w:rsidRDefault="00D84965">
            <w:pPr>
              <w:pStyle w:val="P68B1DB1-Normal66"/>
              <w:spacing w:after="200" w:line="276" w:lineRule="auto"/>
              <w:jc w:val="center"/>
              <w:rPr>
                <w:noProof/>
              </w:rPr>
            </w:pPr>
            <w:r>
              <w:rPr>
                <w:noProof/>
              </w:rPr>
              <w:t>66</w:t>
            </w:r>
          </w:p>
        </w:tc>
        <w:tc>
          <w:tcPr>
            <w:tcW w:w="567" w:type="dxa"/>
            <w:tcBorders>
              <w:top w:val="single" w:sz="4" w:space="0" w:color="auto"/>
              <w:left w:val="nil"/>
              <w:bottom w:val="single" w:sz="4" w:space="0" w:color="auto"/>
              <w:right w:val="single" w:sz="4" w:space="0" w:color="auto"/>
            </w:tcBorders>
            <w:shd w:val="clear" w:color="auto" w:fill="C6EFCE"/>
            <w:noWrap/>
          </w:tcPr>
          <w:p w14:paraId="1BF90435" w14:textId="77777777" w:rsidR="00FA7C11" w:rsidRDefault="00D84965">
            <w:pPr>
              <w:pStyle w:val="P68B1DB1-Normal66"/>
              <w:spacing w:after="200" w:line="276" w:lineRule="auto"/>
              <w:jc w:val="center"/>
              <w:rPr>
                <w:noProof/>
              </w:rPr>
            </w:pPr>
            <w:r>
              <w:rPr>
                <w:noProof/>
              </w:rPr>
              <w:t>49</w:t>
            </w:r>
          </w:p>
        </w:tc>
        <w:tc>
          <w:tcPr>
            <w:tcW w:w="844" w:type="dxa"/>
            <w:tcBorders>
              <w:top w:val="single" w:sz="4" w:space="0" w:color="auto"/>
              <w:left w:val="nil"/>
              <w:bottom w:val="single" w:sz="4" w:space="0" w:color="auto"/>
              <w:right w:val="single" w:sz="4" w:space="0" w:color="auto"/>
            </w:tcBorders>
            <w:shd w:val="clear" w:color="auto" w:fill="C6EFCE"/>
            <w:noWrap/>
          </w:tcPr>
          <w:p w14:paraId="3B232A7D"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4F21D0F4" w14:textId="77777777" w:rsidR="00FA7C11" w:rsidRDefault="00D84965">
            <w:pPr>
              <w:pStyle w:val="P68B1DB1-Normal66"/>
              <w:spacing w:after="200" w:line="276" w:lineRule="auto"/>
              <w:jc w:val="center"/>
              <w:rPr>
                <w:noProof/>
              </w:rPr>
            </w:pPr>
            <w:r>
              <w:rPr>
                <w:noProof/>
              </w:rPr>
              <w:t>2022</w:t>
            </w:r>
          </w:p>
        </w:tc>
        <w:tc>
          <w:tcPr>
            <w:tcW w:w="4935" w:type="dxa"/>
            <w:tcBorders>
              <w:top w:val="single" w:sz="4" w:space="0" w:color="auto"/>
              <w:left w:val="nil"/>
              <w:bottom w:val="single" w:sz="4" w:space="0" w:color="auto"/>
              <w:right w:val="single" w:sz="4" w:space="0" w:color="auto"/>
            </w:tcBorders>
            <w:shd w:val="clear" w:color="auto" w:fill="C6EFCE"/>
            <w:noWrap/>
          </w:tcPr>
          <w:p w14:paraId="5F5A0EC9" w14:textId="14788BE4" w:rsidR="00FA7C11" w:rsidRDefault="00D84965">
            <w:pPr>
              <w:pStyle w:val="P68B1DB1-Normal66"/>
              <w:spacing w:after="200" w:line="276" w:lineRule="auto"/>
              <w:rPr>
                <w:noProof/>
              </w:rPr>
            </w:pPr>
            <w:r>
              <w:rPr>
                <w:noProof/>
              </w:rPr>
              <w:t>Ponderea deșeurilor municipale trimise spre eliminare se reduce la 49 % ca urmare a investițiilor în infrastructură pentru a reduce depozitarea deșeurilor, inclusiv înființarea de centre de reutilizare, construirea de instalații de sortare pentru deșeurile municipale colectate separat, construirea de instalații de biotratare pentru biodeșeurile colectate separat, construirea și echiparea centrelor de colectare a deșeurilor și a șantierelor de reciclare a deșeurilor din construcții, achiziționarea de echipamente pentru colectarea separată a fracțiunilor utile de deșeuri municipale.</w:t>
            </w:r>
          </w:p>
        </w:tc>
      </w:tr>
      <w:tr w:rsidR="00FA7C11" w14:paraId="11A5D150"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6B61ED2" w14:textId="77777777" w:rsidR="00FA7C11" w:rsidRDefault="00D84965">
            <w:pPr>
              <w:pStyle w:val="P68B1DB1-Normal66"/>
              <w:spacing w:after="200" w:line="276" w:lineRule="auto"/>
              <w:jc w:val="center"/>
              <w:rPr>
                <w:noProof/>
              </w:rPr>
            </w:pPr>
            <w:r>
              <w:rPr>
                <w:noProof/>
              </w:rPr>
              <w:t>85</w:t>
            </w:r>
          </w:p>
        </w:tc>
        <w:tc>
          <w:tcPr>
            <w:tcW w:w="1080" w:type="dxa"/>
            <w:tcBorders>
              <w:top w:val="single" w:sz="4" w:space="0" w:color="auto"/>
              <w:left w:val="nil"/>
              <w:bottom w:val="single" w:sz="4" w:space="0" w:color="auto"/>
              <w:right w:val="single" w:sz="4" w:space="0" w:color="auto"/>
            </w:tcBorders>
            <w:shd w:val="clear" w:color="auto" w:fill="C6EFCE"/>
            <w:noWrap/>
          </w:tcPr>
          <w:p w14:paraId="33C91EF4" w14:textId="77777777" w:rsidR="00FA7C11" w:rsidRDefault="00D84965">
            <w:pPr>
              <w:pStyle w:val="P68B1DB1-Normal66"/>
              <w:spacing w:after="200" w:line="276" w:lineRule="auto"/>
              <w:jc w:val="center"/>
              <w:rPr>
                <w:noProof/>
              </w:rPr>
            </w:pPr>
            <w:r>
              <w:rPr>
                <w:noProof/>
              </w:rPr>
              <w:t>C1.3. R2</w:t>
            </w:r>
          </w:p>
        </w:tc>
        <w:tc>
          <w:tcPr>
            <w:tcW w:w="1080" w:type="dxa"/>
            <w:tcBorders>
              <w:top w:val="single" w:sz="4" w:space="0" w:color="auto"/>
              <w:left w:val="nil"/>
              <w:bottom w:val="single" w:sz="4" w:space="0" w:color="auto"/>
              <w:right w:val="single" w:sz="4" w:space="0" w:color="auto"/>
            </w:tcBorders>
            <w:shd w:val="clear" w:color="auto" w:fill="C6EFCE"/>
            <w:noWrap/>
          </w:tcPr>
          <w:p w14:paraId="45B5471D"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56760085" w14:textId="77777777" w:rsidR="00FA7C11" w:rsidRDefault="00D84965">
            <w:pPr>
              <w:pStyle w:val="P68B1DB1-Normal66"/>
              <w:spacing w:after="200" w:line="276" w:lineRule="auto"/>
              <w:rPr>
                <w:noProof/>
              </w:rPr>
            </w:pPr>
            <w:r>
              <w:rPr>
                <w:noProof/>
              </w:rPr>
              <w:t>Reducerea ponderii deșeurilor municipale trimise spre eliminare (51 %)</w:t>
            </w:r>
          </w:p>
        </w:tc>
        <w:tc>
          <w:tcPr>
            <w:tcW w:w="1884" w:type="dxa"/>
            <w:tcBorders>
              <w:top w:val="single" w:sz="4" w:space="0" w:color="auto"/>
              <w:left w:val="nil"/>
              <w:bottom w:val="single" w:sz="4" w:space="0" w:color="auto"/>
              <w:right w:val="single" w:sz="4" w:space="0" w:color="auto"/>
            </w:tcBorders>
            <w:shd w:val="clear" w:color="auto" w:fill="C6EFCE"/>
            <w:noWrap/>
          </w:tcPr>
          <w:p w14:paraId="07FED81E"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56B5BCA8" w14:textId="77777777" w:rsidR="00FA7C11" w:rsidRDefault="00D84965">
            <w:pPr>
              <w:pStyle w:val="P68B1DB1-Normal66"/>
              <w:spacing w:after="200" w:line="276" w:lineRule="auto"/>
              <w:jc w:val="center"/>
              <w:rPr>
                <w:noProof/>
              </w:rPr>
            </w:pPr>
            <w:r>
              <w:rPr>
                <w:noProof/>
              </w:rPr>
              <w:t>% (procent)</w:t>
            </w:r>
          </w:p>
        </w:tc>
        <w:tc>
          <w:tcPr>
            <w:tcW w:w="851" w:type="dxa"/>
            <w:tcBorders>
              <w:top w:val="single" w:sz="4" w:space="0" w:color="auto"/>
              <w:left w:val="nil"/>
              <w:bottom w:val="single" w:sz="4" w:space="0" w:color="auto"/>
              <w:right w:val="single" w:sz="4" w:space="0" w:color="auto"/>
            </w:tcBorders>
            <w:shd w:val="clear" w:color="auto" w:fill="C6EFCE"/>
            <w:noWrap/>
          </w:tcPr>
          <w:p w14:paraId="151356FF" w14:textId="77777777" w:rsidR="00FA7C11" w:rsidRDefault="00D84965">
            <w:pPr>
              <w:pStyle w:val="P68B1DB1-Normal66"/>
              <w:spacing w:after="200" w:line="276" w:lineRule="auto"/>
              <w:jc w:val="center"/>
              <w:rPr>
                <w:noProof/>
              </w:rPr>
            </w:pPr>
            <w:r>
              <w:rPr>
                <w:noProof/>
              </w:rPr>
              <w:t>56</w:t>
            </w:r>
          </w:p>
        </w:tc>
        <w:tc>
          <w:tcPr>
            <w:tcW w:w="567" w:type="dxa"/>
            <w:tcBorders>
              <w:top w:val="single" w:sz="4" w:space="0" w:color="auto"/>
              <w:left w:val="nil"/>
              <w:bottom w:val="single" w:sz="4" w:space="0" w:color="auto"/>
              <w:right w:val="single" w:sz="4" w:space="0" w:color="auto"/>
            </w:tcBorders>
            <w:shd w:val="clear" w:color="auto" w:fill="C6EFCE"/>
            <w:noWrap/>
          </w:tcPr>
          <w:p w14:paraId="21FD1F93" w14:textId="77777777" w:rsidR="00FA7C11" w:rsidRDefault="00D84965">
            <w:pPr>
              <w:pStyle w:val="P68B1DB1-Normal66"/>
              <w:spacing w:after="200" w:line="276" w:lineRule="auto"/>
              <w:jc w:val="center"/>
              <w:rPr>
                <w:noProof/>
                <w:color w:val="000000" w:themeColor="text1"/>
              </w:rPr>
            </w:pPr>
            <w:r>
              <w:rPr>
                <w:noProof/>
              </w:rPr>
              <w:t>51</w:t>
            </w:r>
          </w:p>
        </w:tc>
        <w:tc>
          <w:tcPr>
            <w:tcW w:w="844" w:type="dxa"/>
            <w:tcBorders>
              <w:top w:val="single" w:sz="4" w:space="0" w:color="auto"/>
              <w:left w:val="nil"/>
              <w:bottom w:val="single" w:sz="4" w:space="0" w:color="auto"/>
              <w:right w:val="single" w:sz="4" w:space="0" w:color="auto"/>
            </w:tcBorders>
            <w:shd w:val="clear" w:color="auto" w:fill="C6EFCE"/>
            <w:noWrap/>
          </w:tcPr>
          <w:p w14:paraId="06B100F4"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4F7E4D1B" w14:textId="77777777" w:rsidR="00FA7C11" w:rsidRDefault="00D84965">
            <w:pPr>
              <w:pStyle w:val="P68B1DB1-Normal66"/>
              <w:spacing w:after="200" w:line="276" w:lineRule="auto"/>
              <w:jc w:val="center"/>
              <w:rPr>
                <w:noProof/>
              </w:rPr>
            </w:pPr>
            <w:r>
              <w:rPr>
                <w:noProof/>
              </w:rPr>
              <w:t>2024</w:t>
            </w:r>
          </w:p>
        </w:tc>
        <w:tc>
          <w:tcPr>
            <w:tcW w:w="4935" w:type="dxa"/>
            <w:tcBorders>
              <w:top w:val="single" w:sz="4" w:space="0" w:color="auto"/>
              <w:left w:val="nil"/>
              <w:bottom w:val="single" w:sz="4" w:space="0" w:color="auto"/>
              <w:right w:val="single" w:sz="4" w:space="0" w:color="auto"/>
            </w:tcBorders>
            <w:shd w:val="clear" w:color="auto" w:fill="C6EFCE"/>
            <w:noWrap/>
          </w:tcPr>
          <w:p w14:paraId="3B60F50D" w14:textId="77777777" w:rsidR="00FA7C11" w:rsidRDefault="00D84965">
            <w:pPr>
              <w:pStyle w:val="P68B1DB1-Normal66"/>
              <w:spacing w:after="200" w:line="276" w:lineRule="auto"/>
              <w:rPr>
                <w:noProof/>
                <w:color w:val="000000" w:themeColor="text1"/>
              </w:rPr>
            </w:pPr>
            <w:r>
              <w:rPr>
                <w:noProof/>
              </w:rPr>
              <w:t>Ponderea deșeurilor municipale trimise spre eliminare se reduce la 51 % față de nivelul de referință de 56 % raportat în 2022. Ponderea deșeurilor municipale trimise spre eliminare se calculează în conformitate cu metodologia de calcul prevăzută în decizia de punere în aplicare (UE) 2019/1004</w:t>
            </w:r>
            <w:r>
              <w:rPr>
                <w:noProof/>
                <w:u w:val="single"/>
              </w:rPr>
              <w:t xml:space="preserve"> (</w:t>
            </w:r>
            <w:r>
              <w:rPr>
                <w:noProof/>
              </w:rPr>
              <w:t>normele pentru calcularea, verificarea și raportarea datelor privind deșeurile în conformitate cu Directiva 2008/98/CE).</w:t>
            </w:r>
          </w:p>
        </w:tc>
      </w:tr>
      <w:tr w:rsidR="00FA7C11" w14:paraId="1FD47E3E"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15B9885" w14:textId="77777777" w:rsidR="00FA7C11" w:rsidRDefault="00D84965">
            <w:pPr>
              <w:pStyle w:val="P68B1DB1-Normal66"/>
              <w:spacing w:after="200" w:line="276" w:lineRule="auto"/>
              <w:jc w:val="center"/>
              <w:rPr>
                <w:noProof/>
              </w:rPr>
            </w:pPr>
            <w:r>
              <w:rPr>
                <w:noProof/>
              </w:rPr>
              <w:t>86</w:t>
            </w:r>
          </w:p>
        </w:tc>
        <w:tc>
          <w:tcPr>
            <w:tcW w:w="1080" w:type="dxa"/>
            <w:tcBorders>
              <w:top w:val="single" w:sz="4" w:space="0" w:color="auto"/>
              <w:left w:val="nil"/>
              <w:bottom w:val="single" w:sz="4" w:space="0" w:color="auto"/>
              <w:right w:val="single" w:sz="4" w:space="0" w:color="auto"/>
            </w:tcBorders>
            <w:shd w:val="clear" w:color="auto" w:fill="C6EFCE"/>
            <w:noWrap/>
          </w:tcPr>
          <w:p w14:paraId="51F6F178" w14:textId="77777777" w:rsidR="00FA7C11" w:rsidRDefault="00D84965">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099A698E" w14:textId="77777777" w:rsidR="00FA7C11" w:rsidRDefault="00D84965">
            <w:pPr>
              <w:pStyle w:val="P68B1DB1-Normal66"/>
              <w:spacing w:after="200" w:line="276" w:lineRule="auto"/>
              <w:jc w:val="center"/>
              <w:rPr>
                <w:noProof/>
                <w:color w:val="000000" w:themeColor="text1"/>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03D021B7" w14:textId="77777777" w:rsidR="00FA7C11" w:rsidRDefault="00D84965">
            <w:pPr>
              <w:pStyle w:val="P68B1DB1-Normal66"/>
              <w:spacing w:after="200" w:line="276" w:lineRule="auto"/>
              <w:rPr>
                <w:noProof/>
              </w:rPr>
            </w:pPr>
            <w:r>
              <w:rPr>
                <w:noProof/>
              </w:rPr>
              <w:t>Instalații de sortare construite</w:t>
            </w:r>
          </w:p>
        </w:tc>
        <w:tc>
          <w:tcPr>
            <w:tcW w:w="1884" w:type="dxa"/>
            <w:tcBorders>
              <w:top w:val="single" w:sz="4" w:space="0" w:color="auto"/>
              <w:left w:val="nil"/>
              <w:bottom w:val="single" w:sz="4" w:space="0" w:color="auto"/>
              <w:right w:val="single" w:sz="4" w:space="0" w:color="auto"/>
            </w:tcBorders>
            <w:shd w:val="clear" w:color="auto" w:fill="C6EFCE"/>
            <w:noWrap/>
          </w:tcPr>
          <w:p w14:paraId="62AA14A3"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31E6A308"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7809405F"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15F76DE2" w14:textId="77777777" w:rsidR="00FA7C11" w:rsidRDefault="00D84965">
            <w:pPr>
              <w:pStyle w:val="P68B1DB1-Normal66"/>
              <w:spacing w:after="200" w:line="276" w:lineRule="auto"/>
              <w:jc w:val="center"/>
              <w:rPr>
                <w:noProof/>
              </w:rPr>
            </w:pPr>
            <w:r>
              <w:rPr>
                <w:noProof/>
              </w:rPr>
              <w:t>6</w:t>
            </w:r>
          </w:p>
        </w:tc>
        <w:tc>
          <w:tcPr>
            <w:tcW w:w="844" w:type="dxa"/>
            <w:tcBorders>
              <w:top w:val="single" w:sz="4" w:space="0" w:color="auto"/>
              <w:left w:val="nil"/>
              <w:bottom w:val="single" w:sz="4" w:space="0" w:color="auto"/>
              <w:right w:val="single" w:sz="4" w:space="0" w:color="auto"/>
            </w:tcBorders>
            <w:shd w:val="clear" w:color="auto" w:fill="C6EFCE"/>
            <w:noWrap/>
          </w:tcPr>
          <w:p w14:paraId="503F23D5"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214E8D14" w14:textId="77777777" w:rsidR="00FA7C11" w:rsidRDefault="00D84965">
            <w:pPr>
              <w:pStyle w:val="P68B1DB1-Normal66"/>
              <w:spacing w:after="200" w:line="276" w:lineRule="auto"/>
              <w:jc w:val="center"/>
              <w:rPr>
                <w:noProof/>
              </w:rPr>
            </w:pPr>
            <w:r>
              <w:rPr>
                <w:noProof/>
              </w:rPr>
              <w:t>2025</w:t>
            </w:r>
          </w:p>
        </w:tc>
        <w:tc>
          <w:tcPr>
            <w:tcW w:w="4935" w:type="dxa"/>
            <w:tcBorders>
              <w:top w:val="single" w:sz="4" w:space="0" w:color="auto"/>
              <w:left w:val="nil"/>
              <w:bottom w:val="single" w:sz="4" w:space="0" w:color="auto"/>
              <w:right w:val="single" w:sz="4" w:space="0" w:color="auto"/>
            </w:tcBorders>
            <w:shd w:val="clear" w:color="auto" w:fill="C6EFCE"/>
            <w:noWrap/>
          </w:tcPr>
          <w:p w14:paraId="5D8704EA" w14:textId="77777777"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Construirea a cel puțin 6 de instalații de sortare. </w:t>
            </w:r>
            <w:r>
              <w:rPr>
                <w:rFonts w:ascii="Times New Roman" w:hAnsi="Times New Roman" w:cs="Times New Roman"/>
                <w:noProof/>
              </w:rPr>
              <w:br/>
            </w:r>
          </w:p>
        </w:tc>
      </w:tr>
      <w:tr w:rsidR="00FA7C11" w14:paraId="3330FA08"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5FBE651" w14:textId="77777777" w:rsidR="00FA7C11" w:rsidRDefault="00D84965">
            <w:pPr>
              <w:pStyle w:val="P68B1DB1-Normal66"/>
              <w:spacing w:after="200" w:line="276" w:lineRule="auto"/>
              <w:jc w:val="center"/>
              <w:rPr>
                <w:noProof/>
              </w:rPr>
            </w:pPr>
            <w:r>
              <w:rPr>
                <w:noProof/>
              </w:rPr>
              <w:t>87</w:t>
            </w:r>
          </w:p>
        </w:tc>
        <w:tc>
          <w:tcPr>
            <w:tcW w:w="1080" w:type="dxa"/>
            <w:tcBorders>
              <w:top w:val="single" w:sz="4" w:space="0" w:color="auto"/>
              <w:left w:val="nil"/>
              <w:bottom w:val="single" w:sz="4" w:space="0" w:color="auto"/>
              <w:right w:val="single" w:sz="4" w:space="0" w:color="auto"/>
            </w:tcBorders>
            <w:shd w:val="clear" w:color="auto" w:fill="C6EFCE"/>
            <w:noWrap/>
          </w:tcPr>
          <w:p w14:paraId="1BBF8A71" w14:textId="77777777" w:rsidR="00FA7C11" w:rsidRDefault="00D84965">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1E2EE2CD" w14:textId="77777777" w:rsidR="00FA7C11" w:rsidRDefault="00D84965">
            <w:pPr>
              <w:pStyle w:val="P68B1DB1-Normal66"/>
              <w:spacing w:after="200" w:line="276" w:lineRule="auto"/>
              <w:jc w:val="center"/>
              <w:rPr>
                <w:noProof/>
                <w:color w:val="000000" w:themeColor="text1"/>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07BF8C79" w14:textId="77777777" w:rsidR="00FA7C11" w:rsidRDefault="00D84965">
            <w:pPr>
              <w:pStyle w:val="P68B1DB1-Normal66"/>
              <w:spacing w:after="200" w:line="276" w:lineRule="auto"/>
              <w:rPr>
                <w:noProof/>
              </w:rPr>
            </w:pPr>
            <w:r>
              <w:rPr>
                <w:noProof/>
              </w:rPr>
              <w:t>Instalații construite pentru tratarea deșeurilor biologice colectate separat</w:t>
            </w:r>
          </w:p>
        </w:tc>
        <w:tc>
          <w:tcPr>
            <w:tcW w:w="1884" w:type="dxa"/>
            <w:tcBorders>
              <w:top w:val="single" w:sz="4" w:space="0" w:color="auto"/>
              <w:left w:val="nil"/>
              <w:bottom w:val="single" w:sz="4" w:space="0" w:color="auto"/>
              <w:right w:val="single" w:sz="4" w:space="0" w:color="auto"/>
            </w:tcBorders>
            <w:shd w:val="clear" w:color="auto" w:fill="C6EFCE"/>
            <w:noWrap/>
          </w:tcPr>
          <w:p w14:paraId="5A7CA1B2"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A541C27"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07C8F2FE"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431EA043" w14:textId="77777777" w:rsidR="00FA7C11" w:rsidRDefault="00D84965">
            <w:pPr>
              <w:pStyle w:val="P68B1DB1-Normal66"/>
              <w:spacing w:after="200" w:line="276" w:lineRule="auto"/>
              <w:jc w:val="center"/>
              <w:rPr>
                <w:noProof/>
              </w:rPr>
            </w:pPr>
            <w:r>
              <w:rPr>
                <w:noProof/>
              </w:rPr>
              <w:t>3</w:t>
            </w:r>
          </w:p>
        </w:tc>
        <w:tc>
          <w:tcPr>
            <w:tcW w:w="844" w:type="dxa"/>
            <w:tcBorders>
              <w:top w:val="single" w:sz="4" w:space="0" w:color="auto"/>
              <w:left w:val="nil"/>
              <w:bottom w:val="single" w:sz="4" w:space="0" w:color="auto"/>
              <w:right w:val="single" w:sz="4" w:space="0" w:color="auto"/>
            </w:tcBorders>
            <w:shd w:val="clear" w:color="auto" w:fill="C6EFCE"/>
            <w:noWrap/>
          </w:tcPr>
          <w:p w14:paraId="08F707B4"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07EF444F" w14:textId="77777777" w:rsidR="00FA7C11" w:rsidRDefault="00D84965">
            <w:pPr>
              <w:pStyle w:val="P68B1DB1-Normal66"/>
              <w:spacing w:after="200" w:line="276" w:lineRule="auto"/>
              <w:jc w:val="center"/>
              <w:rPr>
                <w:noProof/>
              </w:rPr>
            </w:pPr>
            <w:r>
              <w:rPr>
                <w:noProof/>
              </w:rPr>
              <w:t>2025</w:t>
            </w:r>
          </w:p>
        </w:tc>
        <w:tc>
          <w:tcPr>
            <w:tcW w:w="4935" w:type="dxa"/>
            <w:tcBorders>
              <w:top w:val="single" w:sz="4" w:space="0" w:color="auto"/>
              <w:left w:val="nil"/>
              <w:bottom w:val="single" w:sz="4" w:space="0" w:color="auto"/>
              <w:right w:val="single" w:sz="4" w:space="0" w:color="auto"/>
            </w:tcBorders>
            <w:shd w:val="clear" w:color="auto" w:fill="C6EFCE"/>
            <w:noWrap/>
          </w:tcPr>
          <w:p w14:paraId="011C3BDB" w14:textId="40F04C54" w:rsidR="00FA7C11" w:rsidRDefault="00D84965">
            <w:pPr>
              <w:pStyle w:val="P68B1DB1-Normal66"/>
              <w:spacing w:after="200" w:line="276" w:lineRule="auto"/>
              <w:rPr>
                <w:noProof/>
              </w:rPr>
            </w:pPr>
            <w:r>
              <w:rPr>
                <w:noProof/>
              </w:rPr>
              <w:t>Cel puțin 3 instalații construite pentru tratarea deșeurilor biologice colectate separat.</w:t>
            </w:r>
          </w:p>
        </w:tc>
      </w:tr>
      <w:tr w:rsidR="00FA7C11" w14:paraId="31537721"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8F4C498" w14:textId="77777777" w:rsidR="00FA7C11" w:rsidRDefault="00D84965">
            <w:pPr>
              <w:pStyle w:val="P68B1DB1-Normal66"/>
              <w:spacing w:after="200" w:line="276" w:lineRule="auto"/>
              <w:jc w:val="center"/>
              <w:rPr>
                <w:noProof/>
              </w:rPr>
            </w:pPr>
            <w:r>
              <w:rPr>
                <w:noProof/>
              </w:rPr>
              <w:t>88</w:t>
            </w:r>
          </w:p>
        </w:tc>
        <w:tc>
          <w:tcPr>
            <w:tcW w:w="1080" w:type="dxa"/>
            <w:tcBorders>
              <w:top w:val="single" w:sz="4" w:space="0" w:color="auto"/>
              <w:left w:val="nil"/>
              <w:bottom w:val="single" w:sz="4" w:space="0" w:color="auto"/>
              <w:right w:val="single" w:sz="4" w:space="0" w:color="auto"/>
            </w:tcBorders>
            <w:shd w:val="clear" w:color="auto" w:fill="C6EFCE"/>
            <w:noWrap/>
          </w:tcPr>
          <w:p w14:paraId="6126EFB1" w14:textId="77777777" w:rsidR="00FA7C11" w:rsidRDefault="00D84965">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2DC65442"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2C9B4497" w14:textId="77777777" w:rsidR="00FA7C11" w:rsidRDefault="00D84965">
            <w:pPr>
              <w:pStyle w:val="P68B1DB1-Normal66"/>
              <w:spacing w:after="200" w:line="276" w:lineRule="auto"/>
              <w:rPr>
                <w:noProof/>
              </w:rPr>
            </w:pPr>
            <w:r>
              <w:rPr>
                <w:noProof/>
              </w:rPr>
              <w:t>Amplasament funcțional fix/mobil de sortare a deșeurilor</w:t>
            </w:r>
          </w:p>
        </w:tc>
        <w:tc>
          <w:tcPr>
            <w:tcW w:w="1884" w:type="dxa"/>
            <w:tcBorders>
              <w:top w:val="single" w:sz="4" w:space="0" w:color="auto"/>
              <w:left w:val="nil"/>
              <w:bottom w:val="single" w:sz="4" w:space="0" w:color="auto"/>
              <w:right w:val="single" w:sz="4" w:space="0" w:color="auto"/>
            </w:tcBorders>
            <w:shd w:val="clear" w:color="auto" w:fill="C6EFCE"/>
            <w:noWrap/>
          </w:tcPr>
          <w:p w14:paraId="5BA31BD0"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1B6ED4EE"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05EB6430"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326F41FB" w14:textId="77777777" w:rsidR="00FA7C11" w:rsidRDefault="00D84965">
            <w:pPr>
              <w:pStyle w:val="P68B1DB1-Normal66"/>
              <w:spacing w:after="200" w:line="276" w:lineRule="auto"/>
              <w:jc w:val="center"/>
              <w:rPr>
                <w:noProof/>
              </w:rPr>
            </w:pPr>
            <w:r>
              <w:rPr>
                <w:noProof/>
              </w:rPr>
              <w:t>20</w:t>
            </w:r>
          </w:p>
        </w:tc>
        <w:tc>
          <w:tcPr>
            <w:tcW w:w="844" w:type="dxa"/>
            <w:tcBorders>
              <w:top w:val="single" w:sz="4" w:space="0" w:color="auto"/>
              <w:left w:val="nil"/>
              <w:bottom w:val="single" w:sz="4" w:space="0" w:color="auto"/>
              <w:right w:val="single" w:sz="4" w:space="0" w:color="auto"/>
            </w:tcBorders>
            <w:shd w:val="clear" w:color="auto" w:fill="C6EFCE"/>
            <w:noWrap/>
          </w:tcPr>
          <w:p w14:paraId="71430B07" w14:textId="77777777" w:rsidR="00FA7C11" w:rsidRDefault="00D84965">
            <w:pPr>
              <w:pStyle w:val="P68B1DB1-Normal66"/>
              <w:spacing w:after="200" w:line="276" w:lineRule="auto"/>
              <w:jc w:val="center"/>
              <w:rPr>
                <w:noProof/>
              </w:rPr>
            </w:pPr>
            <w:r>
              <w:rPr>
                <w:noProof/>
              </w:rPr>
              <w:t>Î3</w:t>
            </w:r>
          </w:p>
        </w:tc>
        <w:tc>
          <w:tcPr>
            <w:tcW w:w="600" w:type="dxa"/>
            <w:tcBorders>
              <w:top w:val="single" w:sz="4" w:space="0" w:color="auto"/>
              <w:left w:val="nil"/>
              <w:bottom w:val="single" w:sz="4" w:space="0" w:color="auto"/>
              <w:right w:val="single" w:sz="4" w:space="0" w:color="auto"/>
            </w:tcBorders>
            <w:shd w:val="clear" w:color="auto" w:fill="C6EFCE"/>
            <w:noWrap/>
          </w:tcPr>
          <w:p w14:paraId="340B0B5F" w14:textId="77777777" w:rsidR="00FA7C11" w:rsidRDefault="00D84965">
            <w:pPr>
              <w:pStyle w:val="P68B1DB1-Normal66"/>
              <w:spacing w:after="200" w:line="276" w:lineRule="auto"/>
              <w:jc w:val="center"/>
              <w:rPr>
                <w:noProof/>
              </w:rPr>
            </w:pPr>
            <w:r>
              <w:rPr>
                <w:noProof/>
              </w:rPr>
              <w:t>2025</w:t>
            </w:r>
          </w:p>
        </w:tc>
        <w:tc>
          <w:tcPr>
            <w:tcW w:w="4935" w:type="dxa"/>
            <w:tcBorders>
              <w:top w:val="single" w:sz="4" w:space="0" w:color="auto"/>
              <w:left w:val="nil"/>
              <w:bottom w:val="single" w:sz="4" w:space="0" w:color="auto"/>
              <w:right w:val="single" w:sz="4" w:space="0" w:color="auto"/>
            </w:tcBorders>
            <w:shd w:val="clear" w:color="auto" w:fill="C6EFCE"/>
            <w:noWrap/>
          </w:tcPr>
          <w:p w14:paraId="26C010DB" w14:textId="77777777"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Cel puțin 20 de situri fixe sau mobile de sortare a deșeurilor construite sau livrate. </w:t>
            </w:r>
            <w:r>
              <w:rPr>
                <w:rFonts w:ascii="Times New Roman" w:hAnsi="Times New Roman" w:cs="Times New Roman"/>
                <w:noProof/>
              </w:rPr>
              <w:br/>
            </w:r>
          </w:p>
        </w:tc>
      </w:tr>
      <w:tr w:rsidR="00FA7C11" w14:paraId="08984E65"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A0DF119" w14:textId="77777777" w:rsidR="00FA7C11" w:rsidRDefault="00D84965">
            <w:pPr>
              <w:pStyle w:val="P68B1DB1-Normal66"/>
              <w:spacing w:after="200" w:line="276" w:lineRule="auto"/>
              <w:jc w:val="center"/>
              <w:rPr>
                <w:noProof/>
              </w:rPr>
            </w:pPr>
            <w:r>
              <w:rPr>
                <w:noProof/>
              </w:rPr>
              <w:t>90</w:t>
            </w:r>
          </w:p>
        </w:tc>
        <w:tc>
          <w:tcPr>
            <w:tcW w:w="1080" w:type="dxa"/>
            <w:tcBorders>
              <w:top w:val="single" w:sz="4" w:space="0" w:color="auto"/>
              <w:left w:val="nil"/>
              <w:bottom w:val="single" w:sz="4" w:space="0" w:color="auto"/>
              <w:right w:val="single" w:sz="4" w:space="0" w:color="auto"/>
            </w:tcBorders>
            <w:shd w:val="clear" w:color="auto" w:fill="C6EFCE"/>
            <w:noWrap/>
          </w:tcPr>
          <w:p w14:paraId="33E72A31" w14:textId="77777777" w:rsidR="00FA7C11" w:rsidRDefault="00D84965">
            <w:pPr>
              <w:pStyle w:val="P68B1DB1-Normal66"/>
              <w:spacing w:after="200" w:line="276" w:lineRule="auto"/>
              <w:jc w:val="center"/>
              <w:rPr>
                <w:noProof/>
              </w:rPr>
            </w:pPr>
            <w:r>
              <w:rPr>
                <w:noProof/>
              </w:rPr>
              <w:t>C1.3. R2-I2</w:t>
            </w:r>
          </w:p>
        </w:tc>
        <w:tc>
          <w:tcPr>
            <w:tcW w:w="1080" w:type="dxa"/>
            <w:tcBorders>
              <w:top w:val="single" w:sz="4" w:space="0" w:color="auto"/>
              <w:left w:val="nil"/>
              <w:bottom w:val="single" w:sz="4" w:space="0" w:color="auto"/>
              <w:right w:val="single" w:sz="4" w:space="0" w:color="auto"/>
            </w:tcBorders>
            <w:shd w:val="clear" w:color="auto" w:fill="C6EFCE"/>
            <w:noWrap/>
          </w:tcPr>
          <w:p w14:paraId="464A7909"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321222F1" w14:textId="2B7FA856" w:rsidR="00FA7C11" w:rsidRDefault="00D84965">
            <w:pPr>
              <w:pStyle w:val="P68B1DB1-Normal66"/>
              <w:spacing w:after="200" w:line="276" w:lineRule="auto"/>
              <w:rPr>
                <w:noProof/>
              </w:rPr>
            </w:pPr>
            <w:r>
              <w:rPr>
                <w:noProof/>
              </w:rPr>
              <w:t>Decontaminarea depozitelor de deșeuri</w:t>
            </w:r>
          </w:p>
        </w:tc>
        <w:tc>
          <w:tcPr>
            <w:tcW w:w="1884" w:type="dxa"/>
            <w:tcBorders>
              <w:top w:val="single" w:sz="4" w:space="0" w:color="auto"/>
              <w:left w:val="nil"/>
              <w:bottom w:val="single" w:sz="4" w:space="0" w:color="auto"/>
              <w:right w:val="single" w:sz="4" w:space="0" w:color="auto"/>
            </w:tcBorders>
            <w:shd w:val="clear" w:color="auto" w:fill="C6EFCE"/>
            <w:noWrap/>
          </w:tcPr>
          <w:p w14:paraId="7CD334C4" w14:textId="77777777" w:rsidR="00FA7C11" w:rsidRDefault="00D84965">
            <w:pPr>
              <w:pStyle w:val="P68B1DB1-Normal66"/>
              <w:spacing w:after="20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4D9C2C67"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7B604627"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37704519" w14:textId="77777777" w:rsidR="00FA7C11" w:rsidRDefault="00D84965">
            <w:pPr>
              <w:pStyle w:val="P68B1DB1-Normal66"/>
              <w:spacing w:after="200" w:line="276" w:lineRule="auto"/>
              <w:jc w:val="center"/>
              <w:rPr>
                <w:noProof/>
              </w:rPr>
            </w:pPr>
            <w:r>
              <w:rPr>
                <w:noProof/>
              </w:rPr>
              <w:t>10</w:t>
            </w:r>
          </w:p>
        </w:tc>
        <w:tc>
          <w:tcPr>
            <w:tcW w:w="844" w:type="dxa"/>
            <w:tcBorders>
              <w:top w:val="single" w:sz="4" w:space="0" w:color="auto"/>
              <w:left w:val="nil"/>
              <w:bottom w:val="single" w:sz="4" w:space="0" w:color="auto"/>
              <w:right w:val="single" w:sz="4" w:space="0" w:color="auto"/>
            </w:tcBorders>
            <w:shd w:val="clear" w:color="auto" w:fill="C6EFCE"/>
            <w:noWrap/>
          </w:tcPr>
          <w:p w14:paraId="69179E88" w14:textId="77777777" w:rsidR="00FA7C11" w:rsidRDefault="00D84965">
            <w:pPr>
              <w:pStyle w:val="P68B1DB1-Normal66"/>
              <w:spacing w:after="200" w:line="276" w:lineRule="auto"/>
              <w:jc w:val="center"/>
              <w:rPr>
                <w:noProof/>
              </w:rPr>
            </w:pPr>
            <w:r>
              <w:rPr>
                <w:noProof/>
              </w:rPr>
              <w:t>Î2</w:t>
            </w:r>
          </w:p>
        </w:tc>
        <w:tc>
          <w:tcPr>
            <w:tcW w:w="600" w:type="dxa"/>
            <w:tcBorders>
              <w:top w:val="single" w:sz="4" w:space="0" w:color="auto"/>
              <w:left w:val="nil"/>
              <w:bottom w:val="single" w:sz="4" w:space="0" w:color="auto"/>
              <w:right w:val="single" w:sz="4" w:space="0" w:color="auto"/>
            </w:tcBorders>
            <w:shd w:val="clear" w:color="auto" w:fill="C6EFCE"/>
            <w:noWrap/>
          </w:tcPr>
          <w:p w14:paraId="4A29A810" w14:textId="77777777" w:rsidR="00FA7C11" w:rsidRDefault="00D84965">
            <w:pPr>
              <w:pStyle w:val="P68B1DB1-Normal66"/>
              <w:spacing w:after="200" w:line="276" w:lineRule="auto"/>
              <w:jc w:val="center"/>
              <w:rPr>
                <w:noProof/>
              </w:rPr>
            </w:pPr>
            <w:r>
              <w:rPr>
                <w:noProof/>
              </w:rPr>
              <w:t>2026</w:t>
            </w:r>
          </w:p>
        </w:tc>
        <w:tc>
          <w:tcPr>
            <w:tcW w:w="4935" w:type="dxa"/>
            <w:tcBorders>
              <w:top w:val="single" w:sz="4" w:space="0" w:color="auto"/>
              <w:left w:val="nil"/>
              <w:bottom w:val="single" w:sz="4" w:space="0" w:color="auto"/>
              <w:right w:val="single" w:sz="4" w:space="0" w:color="auto"/>
            </w:tcBorders>
            <w:shd w:val="clear" w:color="auto" w:fill="C6EFCE"/>
            <w:noWrap/>
          </w:tcPr>
          <w:p w14:paraId="3B2153CA" w14:textId="77777777" w:rsidR="00FA7C11" w:rsidRDefault="00D84965">
            <w:pPr>
              <w:pStyle w:val="P68B1DB1-Normal66"/>
              <w:spacing w:after="200" w:line="276" w:lineRule="auto"/>
              <w:rPr>
                <w:noProof/>
              </w:rPr>
            </w:pPr>
            <w:r>
              <w:rPr>
                <w:noProof/>
              </w:rPr>
              <w:t xml:space="preserve">Reabilitarea a cel puțin 10 de depozite de deșeuri/situri contaminate cu deșeuri periculoase. </w:t>
            </w:r>
          </w:p>
        </w:tc>
      </w:tr>
      <w:tr w:rsidR="00FA7C11" w14:paraId="21936789"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6041C48" w14:textId="77777777" w:rsidR="00FA7C11" w:rsidRDefault="00D84965">
            <w:pPr>
              <w:pStyle w:val="P68B1DB1-Normal66"/>
              <w:spacing w:after="200" w:line="276" w:lineRule="auto"/>
              <w:jc w:val="center"/>
              <w:rPr>
                <w:noProof/>
              </w:rPr>
            </w:pPr>
            <w:r>
              <w:rPr>
                <w:noProof/>
              </w:rPr>
              <w:t>378</w:t>
            </w:r>
          </w:p>
        </w:tc>
        <w:tc>
          <w:tcPr>
            <w:tcW w:w="1080" w:type="dxa"/>
            <w:tcBorders>
              <w:top w:val="single" w:sz="4" w:space="0" w:color="auto"/>
              <w:left w:val="nil"/>
              <w:bottom w:val="single" w:sz="4" w:space="0" w:color="auto"/>
              <w:right w:val="single" w:sz="4" w:space="0" w:color="auto"/>
            </w:tcBorders>
            <w:shd w:val="clear" w:color="auto" w:fill="C6EFCE"/>
            <w:noWrap/>
          </w:tcPr>
          <w:p w14:paraId="76BDDAB5" w14:textId="77777777" w:rsidR="00FA7C11" w:rsidRDefault="00D84965">
            <w:pPr>
              <w:pStyle w:val="P68B1DB1-Normal66"/>
              <w:spacing w:after="200" w:line="276" w:lineRule="auto"/>
              <w:jc w:val="center"/>
              <w:rPr>
                <w:noProof/>
              </w:rPr>
            </w:pPr>
            <w:r>
              <w:rPr>
                <w:noProof/>
              </w:rPr>
              <w:t>C1.3. R2-I1</w:t>
            </w:r>
          </w:p>
          <w:p w14:paraId="6C7C48D0"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tcPr>
          <w:p w14:paraId="77024587" w14:textId="77777777" w:rsidR="00FA7C11" w:rsidRDefault="00D84965">
            <w:pPr>
              <w:pStyle w:val="P68B1DB1-Normal66"/>
              <w:spacing w:after="200" w:line="276" w:lineRule="auto"/>
              <w:jc w:val="center"/>
              <w:rPr>
                <w:noProof/>
              </w:rPr>
            </w:pPr>
            <w:r>
              <w:rPr>
                <w:noProof/>
              </w:rPr>
              <w:t>M</w:t>
            </w:r>
          </w:p>
        </w:tc>
        <w:tc>
          <w:tcPr>
            <w:tcW w:w="1920" w:type="dxa"/>
            <w:tcBorders>
              <w:top w:val="single" w:sz="4" w:space="0" w:color="auto"/>
              <w:left w:val="nil"/>
              <w:bottom w:val="single" w:sz="4" w:space="0" w:color="auto"/>
              <w:right w:val="single" w:sz="4" w:space="0" w:color="auto"/>
            </w:tcBorders>
            <w:shd w:val="clear" w:color="auto" w:fill="C6EFCE"/>
            <w:noWrap/>
          </w:tcPr>
          <w:p w14:paraId="2D323086" w14:textId="77777777" w:rsidR="00FA7C11" w:rsidRDefault="00D84965">
            <w:pPr>
              <w:pStyle w:val="P68B1DB1-Normal66"/>
              <w:spacing w:after="200" w:line="276" w:lineRule="auto"/>
              <w:rPr>
                <w:noProof/>
              </w:rPr>
            </w:pPr>
            <w:r>
              <w:rPr>
                <w:noProof/>
              </w:rPr>
              <w:t>Intrarea în vigoare a Regulamentului privind taxa de depozitare a deșeurilor</w:t>
            </w:r>
          </w:p>
          <w:p w14:paraId="797C4E7B" w14:textId="77777777" w:rsidR="00FA7C11" w:rsidRDefault="00FA7C11">
            <w:pPr>
              <w:spacing w:after="200" w:line="276" w:lineRule="auto"/>
              <w:rPr>
                <w:rFonts w:ascii="Times New Roman" w:eastAsia="Calibri" w:hAnsi="Times New Roman" w:cs="Times New Roman"/>
                <w:noProof/>
                <w:color w:val="000000"/>
                <w:sz w:val="20"/>
                <w:szCs w:val="20"/>
              </w:rPr>
            </w:pPr>
          </w:p>
        </w:tc>
        <w:tc>
          <w:tcPr>
            <w:tcW w:w="1884" w:type="dxa"/>
            <w:tcBorders>
              <w:top w:val="single" w:sz="4" w:space="0" w:color="auto"/>
              <w:left w:val="nil"/>
              <w:bottom w:val="single" w:sz="4" w:space="0" w:color="auto"/>
              <w:right w:val="single" w:sz="4" w:space="0" w:color="auto"/>
            </w:tcBorders>
            <w:shd w:val="clear" w:color="auto" w:fill="C6EFCE"/>
            <w:noWrap/>
          </w:tcPr>
          <w:p w14:paraId="30DBC1AA" w14:textId="77777777" w:rsidR="00FA7C11" w:rsidRDefault="00D84965">
            <w:pPr>
              <w:pStyle w:val="P68B1DB1-Normal66"/>
              <w:spacing w:after="200" w:line="276" w:lineRule="auto"/>
              <w:rPr>
                <w:noProof/>
              </w:rPr>
            </w:pPr>
            <w:r>
              <w:rPr>
                <w:noProof/>
              </w:rPr>
              <w:t>Dispoziție dintr-un regulament privind taxa de depozitare a deșeurilor care indică intrarea sa în vigoare</w:t>
            </w:r>
          </w:p>
        </w:tc>
        <w:tc>
          <w:tcPr>
            <w:tcW w:w="1134" w:type="dxa"/>
            <w:tcBorders>
              <w:top w:val="single" w:sz="4" w:space="0" w:color="auto"/>
              <w:left w:val="nil"/>
              <w:bottom w:val="single" w:sz="4" w:space="0" w:color="auto"/>
              <w:right w:val="single" w:sz="4" w:space="0" w:color="auto"/>
            </w:tcBorders>
            <w:shd w:val="clear" w:color="auto" w:fill="C6EFCE"/>
            <w:noWrap/>
          </w:tcPr>
          <w:p w14:paraId="79A16FB2"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4146F0CE"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5990F377"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44" w:type="dxa"/>
            <w:tcBorders>
              <w:top w:val="single" w:sz="4" w:space="0" w:color="auto"/>
              <w:left w:val="nil"/>
              <w:bottom w:val="single" w:sz="4" w:space="0" w:color="auto"/>
              <w:right w:val="single" w:sz="4" w:space="0" w:color="auto"/>
            </w:tcBorders>
            <w:shd w:val="clear" w:color="auto" w:fill="C6EFCE"/>
            <w:noWrap/>
          </w:tcPr>
          <w:p w14:paraId="28D8F3E6"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261185F7" w14:textId="77777777" w:rsidR="00FA7C11" w:rsidRDefault="00D84965">
            <w:pPr>
              <w:pStyle w:val="P68B1DB1-Normal66"/>
              <w:spacing w:after="200" w:line="276" w:lineRule="auto"/>
              <w:jc w:val="center"/>
              <w:rPr>
                <w:noProof/>
              </w:rPr>
            </w:pPr>
            <w:r>
              <w:rPr>
                <w:noProof/>
              </w:rPr>
              <w:t>2024</w:t>
            </w:r>
          </w:p>
          <w:p w14:paraId="094D0C2E"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4935" w:type="dxa"/>
            <w:tcBorders>
              <w:top w:val="single" w:sz="4" w:space="0" w:color="auto"/>
              <w:left w:val="nil"/>
              <w:bottom w:val="single" w:sz="4" w:space="0" w:color="auto"/>
              <w:right w:val="single" w:sz="4" w:space="0" w:color="auto"/>
            </w:tcBorders>
            <w:shd w:val="clear" w:color="auto" w:fill="C6EFCE"/>
            <w:noWrap/>
          </w:tcPr>
          <w:p w14:paraId="6BD90412" w14:textId="77777777" w:rsidR="00FA7C11" w:rsidRDefault="00D84965">
            <w:pPr>
              <w:pStyle w:val="P68B1DB1-Normal66"/>
              <w:spacing w:after="200" w:line="276" w:lineRule="auto"/>
              <w:rPr>
                <w:noProof/>
              </w:rPr>
            </w:pPr>
            <w:r>
              <w:rPr>
                <w:noProof/>
              </w:rPr>
              <w:t>Regulamentul privind taxa de depozitare a deșeurilor intră în vigoare și prevede o taxă unitară care permite calcularea taxei de depozitare a deșeurilor în conformitate cu Legea privind gestionarea deșeurilor.</w:t>
            </w:r>
          </w:p>
          <w:p w14:paraId="7F7E0BB0" w14:textId="77777777" w:rsidR="00FA7C11" w:rsidRDefault="00D84965">
            <w:pPr>
              <w:pStyle w:val="P68B1DB1-Normal66"/>
              <w:spacing w:after="200" w:line="276" w:lineRule="auto"/>
              <w:rPr>
                <w:noProof/>
              </w:rPr>
            </w:pPr>
            <w:r>
              <w:rPr>
                <w:noProof/>
              </w:rPr>
              <w:t>Regulamentul stabilește dispoziții de creștere treptată a taxei de depozitare a deșeurilor pentru a elimina treptat depozitarea deșeurilor reciclabile și recuperabile și pentru ca veniturile să fie utilizate în conformitate cu Legea privind gestionarea deșeurilor.</w:t>
            </w:r>
          </w:p>
        </w:tc>
      </w:tr>
      <w:tr w:rsidR="00FA7C11" w14:paraId="17F9AD8D"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EF7AB57" w14:textId="77777777" w:rsidR="00FA7C11" w:rsidRDefault="00D84965">
            <w:pPr>
              <w:pStyle w:val="P68B1DB1-Normal66"/>
              <w:spacing w:after="200" w:line="276" w:lineRule="auto"/>
              <w:jc w:val="center"/>
              <w:rPr>
                <w:noProof/>
              </w:rPr>
            </w:pPr>
            <w:r>
              <w:rPr>
                <w:noProof/>
              </w:rPr>
              <w:t xml:space="preserve">380 </w:t>
            </w:r>
          </w:p>
        </w:tc>
        <w:tc>
          <w:tcPr>
            <w:tcW w:w="1080" w:type="dxa"/>
            <w:tcBorders>
              <w:top w:val="single" w:sz="4" w:space="0" w:color="auto"/>
              <w:left w:val="nil"/>
              <w:bottom w:val="single" w:sz="4" w:space="0" w:color="auto"/>
              <w:right w:val="single" w:sz="4" w:space="0" w:color="auto"/>
            </w:tcBorders>
            <w:shd w:val="clear" w:color="auto" w:fill="C6EFCE"/>
            <w:noWrap/>
          </w:tcPr>
          <w:p w14:paraId="6E7507C3" w14:textId="77777777" w:rsidR="00FA7C11" w:rsidRDefault="00D84965">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1AB7B7E8"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151700B2" w14:textId="77777777" w:rsidR="00FA7C11" w:rsidRDefault="00D84965">
            <w:pPr>
              <w:pStyle w:val="P68B1DB1-Normal66"/>
              <w:spacing w:after="200" w:line="276" w:lineRule="auto"/>
              <w:rPr>
                <w:noProof/>
              </w:rPr>
            </w:pPr>
            <w:r>
              <w:rPr>
                <w:noProof/>
              </w:rPr>
              <w:t>Echipamente pentru tratarea deșeurilor biologice</w:t>
            </w:r>
          </w:p>
          <w:p w14:paraId="2E827618" w14:textId="77777777" w:rsidR="00FA7C11" w:rsidRDefault="00FA7C11">
            <w:pPr>
              <w:spacing w:after="200" w:line="276" w:lineRule="auto"/>
              <w:rPr>
                <w:rFonts w:ascii="Times New Roman" w:eastAsia="Calibri" w:hAnsi="Times New Roman" w:cs="Times New Roman"/>
                <w:noProof/>
                <w:color w:val="000000"/>
                <w:sz w:val="20"/>
                <w:szCs w:val="20"/>
              </w:rPr>
            </w:pPr>
          </w:p>
        </w:tc>
        <w:tc>
          <w:tcPr>
            <w:tcW w:w="1884" w:type="dxa"/>
            <w:tcBorders>
              <w:top w:val="single" w:sz="4" w:space="0" w:color="auto"/>
              <w:left w:val="nil"/>
              <w:bottom w:val="single" w:sz="4" w:space="0" w:color="auto"/>
              <w:right w:val="single" w:sz="4" w:space="0" w:color="auto"/>
            </w:tcBorders>
            <w:shd w:val="clear" w:color="auto" w:fill="C6EFCE"/>
            <w:noWrap/>
          </w:tcPr>
          <w:p w14:paraId="5DF950DB" w14:textId="77777777" w:rsidR="00FA7C11" w:rsidRDefault="00FA7C11">
            <w:pPr>
              <w:spacing w:after="200" w:line="276" w:lineRule="auto"/>
              <w:rPr>
                <w:rFonts w:ascii="Times New Roman" w:eastAsia="Calibri" w:hAnsi="Times New Roman" w:cs="Times New Roman"/>
                <w:noProof/>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409FCF1B"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4DD907B7"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1A09C735" w14:textId="77777777" w:rsidR="00FA7C11" w:rsidRDefault="00D84965">
            <w:pPr>
              <w:pStyle w:val="P68B1DB1-Normal66"/>
              <w:spacing w:after="200" w:line="276" w:lineRule="auto"/>
              <w:jc w:val="center"/>
              <w:rPr>
                <w:noProof/>
              </w:rPr>
            </w:pPr>
            <w:r>
              <w:rPr>
                <w:noProof/>
              </w:rPr>
              <w:t>20</w:t>
            </w:r>
          </w:p>
        </w:tc>
        <w:tc>
          <w:tcPr>
            <w:tcW w:w="844" w:type="dxa"/>
            <w:tcBorders>
              <w:top w:val="single" w:sz="4" w:space="0" w:color="auto"/>
              <w:left w:val="nil"/>
              <w:bottom w:val="single" w:sz="4" w:space="0" w:color="auto"/>
              <w:right w:val="single" w:sz="4" w:space="0" w:color="auto"/>
            </w:tcBorders>
            <w:shd w:val="clear" w:color="auto" w:fill="C6EFCE"/>
            <w:noWrap/>
          </w:tcPr>
          <w:p w14:paraId="042BF9ED" w14:textId="77777777" w:rsidR="00FA7C11" w:rsidRDefault="00D84965">
            <w:pPr>
              <w:pStyle w:val="P68B1DB1-Normal66"/>
              <w:spacing w:after="200" w:line="276" w:lineRule="auto"/>
              <w:jc w:val="center"/>
              <w:rPr>
                <w:noProof/>
              </w:rPr>
            </w:pPr>
            <w:r>
              <w:rPr>
                <w:noProof/>
              </w:rPr>
              <w:t>Î4</w:t>
            </w:r>
          </w:p>
        </w:tc>
        <w:tc>
          <w:tcPr>
            <w:tcW w:w="600" w:type="dxa"/>
            <w:tcBorders>
              <w:top w:val="single" w:sz="4" w:space="0" w:color="auto"/>
              <w:left w:val="nil"/>
              <w:bottom w:val="single" w:sz="4" w:space="0" w:color="auto"/>
              <w:right w:val="single" w:sz="4" w:space="0" w:color="auto"/>
            </w:tcBorders>
            <w:shd w:val="clear" w:color="auto" w:fill="C6EFCE"/>
            <w:noWrap/>
          </w:tcPr>
          <w:p w14:paraId="261F9905" w14:textId="77777777" w:rsidR="00FA7C11" w:rsidRDefault="00D84965">
            <w:pPr>
              <w:pStyle w:val="P68B1DB1-Normal66"/>
              <w:spacing w:after="200" w:line="276" w:lineRule="auto"/>
              <w:jc w:val="center"/>
              <w:rPr>
                <w:noProof/>
              </w:rPr>
            </w:pPr>
            <w:r>
              <w:rPr>
                <w:noProof/>
              </w:rPr>
              <w:t>2025</w:t>
            </w:r>
          </w:p>
        </w:tc>
        <w:tc>
          <w:tcPr>
            <w:tcW w:w="4935" w:type="dxa"/>
            <w:tcBorders>
              <w:top w:val="single" w:sz="4" w:space="0" w:color="auto"/>
              <w:left w:val="nil"/>
              <w:bottom w:val="single" w:sz="4" w:space="0" w:color="auto"/>
              <w:right w:val="single" w:sz="4" w:space="0" w:color="auto"/>
            </w:tcBorders>
            <w:shd w:val="clear" w:color="auto" w:fill="C6EFCE"/>
            <w:noWrap/>
          </w:tcPr>
          <w:p w14:paraId="253E16D5" w14:textId="03F405B8" w:rsidR="00FA7C11" w:rsidRDefault="00D84965">
            <w:pPr>
              <w:pStyle w:val="P68B1DB1-Normal66"/>
              <w:spacing w:after="200" w:line="276" w:lineRule="auto"/>
              <w:rPr>
                <w:noProof/>
                <w:color w:val="000000" w:themeColor="text1"/>
              </w:rPr>
            </w:pPr>
            <w:r>
              <w:rPr>
                <w:noProof/>
              </w:rPr>
              <w:t xml:space="preserve">Trebuie livrate cel puțin 20 de echipamente pentru tratarea deșeurilor biologice. </w:t>
            </w:r>
          </w:p>
          <w:p w14:paraId="59FE9DD4" w14:textId="77777777" w:rsidR="00FA7C11" w:rsidRDefault="00D84965">
            <w:pPr>
              <w:pStyle w:val="P68B1DB1-Normal70"/>
              <w:spacing w:after="200" w:line="276" w:lineRule="auto"/>
              <w:rPr>
                <w:noProof/>
              </w:rPr>
            </w:pPr>
            <w:r>
              <w:rPr>
                <w:noProof/>
              </w:rPr>
              <w:t>Se livrează cel puțin 30 de echipamente pentru reciclare și/sau reutilizare.</w:t>
            </w:r>
          </w:p>
        </w:tc>
      </w:tr>
      <w:tr w:rsidR="00FA7C11" w14:paraId="4B50B347"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083C466" w14:textId="77777777" w:rsidR="00FA7C11" w:rsidRDefault="00D84965">
            <w:pPr>
              <w:pStyle w:val="P68B1DB1-Normal66"/>
              <w:spacing w:after="200" w:line="276" w:lineRule="auto"/>
              <w:jc w:val="center"/>
              <w:rPr>
                <w:noProof/>
              </w:rPr>
            </w:pPr>
            <w:r>
              <w:rPr>
                <w:noProof/>
              </w:rPr>
              <w:t xml:space="preserve">381 </w:t>
            </w:r>
          </w:p>
        </w:tc>
        <w:tc>
          <w:tcPr>
            <w:tcW w:w="1080" w:type="dxa"/>
            <w:tcBorders>
              <w:top w:val="single" w:sz="4" w:space="0" w:color="auto"/>
              <w:left w:val="nil"/>
              <w:bottom w:val="single" w:sz="4" w:space="0" w:color="auto"/>
              <w:right w:val="single" w:sz="4" w:space="0" w:color="auto"/>
            </w:tcBorders>
            <w:shd w:val="clear" w:color="auto" w:fill="C6EFCE"/>
            <w:noWrap/>
          </w:tcPr>
          <w:p w14:paraId="3A127684" w14:textId="77777777" w:rsidR="00FA7C11" w:rsidRDefault="00D84965">
            <w:pPr>
              <w:pStyle w:val="P68B1DB1-Normal66"/>
              <w:spacing w:after="200" w:line="276" w:lineRule="auto"/>
              <w:jc w:val="center"/>
              <w:rPr>
                <w:noProof/>
              </w:rPr>
            </w:pPr>
            <w:r>
              <w:rPr>
                <w:noProof/>
              </w:rPr>
              <w:t>C1.3. R2-I1</w:t>
            </w:r>
          </w:p>
        </w:tc>
        <w:tc>
          <w:tcPr>
            <w:tcW w:w="1080" w:type="dxa"/>
            <w:tcBorders>
              <w:top w:val="single" w:sz="4" w:space="0" w:color="auto"/>
              <w:left w:val="nil"/>
              <w:bottom w:val="single" w:sz="4" w:space="0" w:color="auto"/>
              <w:right w:val="single" w:sz="4" w:space="0" w:color="auto"/>
            </w:tcBorders>
            <w:shd w:val="clear" w:color="auto" w:fill="C6EFCE"/>
            <w:noWrap/>
          </w:tcPr>
          <w:p w14:paraId="71596A49" w14:textId="77777777" w:rsidR="00FA7C11" w:rsidRDefault="00D84965">
            <w:pPr>
              <w:pStyle w:val="P68B1DB1-Normal66"/>
              <w:spacing w:after="200" w:line="276" w:lineRule="auto"/>
              <w:jc w:val="center"/>
              <w:rPr>
                <w:noProof/>
              </w:rPr>
            </w:pPr>
            <w:r>
              <w:rPr>
                <w:noProof/>
              </w:rPr>
              <w:t>T</w:t>
            </w:r>
          </w:p>
        </w:tc>
        <w:tc>
          <w:tcPr>
            <w:tcW w:w="1920" w:type="dxa"/>
            <w:tcBorders>
              <w:top w:val="single" w:sz="4" w:space="0" w:color="auto"/>
              <w:left w:val="nil"/>
              <w:bottom w:val="single" w:sz="4" w:space="0" w:color="auto"/>
              <w:right w:val="single" w:sz="4" w:space="0" w:color="auto"/>
            </w:tcBorders>
            <w:shd w:val="clear" w:color="auto" w:fill="C6EFCE"/>
            <w:noWrap/>
          </w:tcPr>
          <w:p w14:paraId="0E4F658A" w14:textId="6F7BC110" w:rsidR="00FA7C11" w:rsidRDefault="00D84965">
            <w:pPr>
              <w:pStyle w:val="P68B1DB1-Normal66"/>
              <w:spacing w:after="200" w:line="276" w:lineRule="auto"/>
              <w:rPr>
                <w:noProof/>
              </w:rPr>
            </w:pPr>
            <w:r>
              <w:rPr>
                <w:noProof/>
              </w:rPr>
              <w:t xml:space="preserve">Construcția stațiilor de transfer al deșeurilor </w:t>
            </w:r>
          </w:p>
        </w:tc>
        <w:tc>
          <w:tcPr>
            <w:tcW w:w="1884" w:type="dxa"/>
            <w:tcBorders>
              <w:top w:val="single" w:sz="4" w:space="0" w:color="auto"/>
              <w:left w:val="nil"/>
              <w:bottom w:val="single" w:sz="4" w:space="0" w:color="auto"/>
              <w:right w:val="single" w:sz="4" w:space="0" w:color="auto"/>
            </w:tcBorders>
            <w:shd w:val="clear" w:color="auto" w:fill="C6EFCE"/>
            <w:noWrap/>
          </w:tcPr>
          <w:p w14:paraId="16F70BB8" w14:textId="77777777" w:rsidR="00FA7C11" w:rsidRDefault="00FA7C11">
            <w:pPr>
              <w:spacing w:after="200" w:line="276" w:lineRule="auto"/>
              <w:rPr>
                <w:rFonts w:ascii="Times New Roman" w:eastAsia="Calibri" w:hAnsi="Times New Roman" w:cs="Times New Roman"/>
                <w:noProof/>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1E89483E"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13A5476C"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46B1A5FE" w14:textId="77777777" w:rsidR="00FA7C11" w:rsidRDefault="00D84965">
            <w:pPr>
              <w:pStyle w:val="P68B1DB1-Normal66"/>
              <w:spacing w:after="200" w:line="276" w:lineRule="auto"/>
              <w:jc w:val="center"/>
              <w:rPr>
                <w:noProof/>
              </w:rPr>
            </w:pPr>
            <w:r>
              <w:rPr>
                <w:noProof/>
              </w:rPr>
              <w:t>15</w:t>
            </w:r>
          </w:p>
        </w:tc>
        <w:tc>
          <w:tcPr>
            <w:tcW w:w="844" w:type="dxa"/>
            <w:tcBorders>
              <w:top w:val="single" w:sz="4" w:space="0" w:color="auto"/>
              <w:left w:val="nil"/>
              <w:bottom w:val="single" w:sz="4" w:space="0" w:color="auto"/>
              <w:right w:val="single" w:sz="4" w:space="0" w:color="auto"/>
            </w:tcBorders>
            <w:shd w:val="clear" w:color="auto" w:fill="C6EFCE"/>
            <w:noWrap/>
          </w:tcPr>
          <w:p w14:paraId="2839DE1D" w14:textId="77777777" w:rsidR="00FA7C11" w:rsidRDefault="00D84965">
            <w:pPr>
              <w:pStyle w:val="P68B1DB1-Normal66"/>
              <w:spacing w:after="200" w:line="276" w:lineRule="auto"/>
              <w:jc w:val="center"/>
              <w:rPr>
                <w:noProof/>
              </w:rPr>
            </w:pPr>
            <w:r>
              <w:rPr>
                <w:noProof/>
              </w:rPr>
              <w:t>Î1</w:t>
            </w:r>
          </w:p>
        </w:tc>
        <w:tc>
          <w:tcPr>
            <w:tcW w:w="600" w:type="dxa"/>
            <w:tcBorders>
              <w:top w:val="single" w:sz="4" w:space="0" w:color="auto"/>
              <w:left w:val="nil"/>
              <w:bottom w:val="single" w:sz="4" w:space="0" w:color="auto"/>
              <w:right w:val="single" w:sz="4" w:space="0" w:color="auto"/>
            </w:tcBorders>
            <w:shd w:val="clear" w:color="auto" w:fill="C6EFCE"/>
            <w:noWrap/>
          </w:tcPr>
          <w:p w14:paraId="4F0AB409" w14:textId="77777777" w:rsidR="00FA7C11" w:rsidRDefault="00D84965">
            <w:pPr>
              <w:pStyle w:val="P68B1DB1-Normal66"/>
              <w:spacing w:after="200" w:line="276" w:lineRule="auto"/>
              <w:jc w:val="center"/>
              <w:rPr>
                <w:noProof/>
              </w:rPr>
            </w:pPr>
            <w:r>
              <w:rPr>
                <w:noProof/>
              </w:rPr>
              <w:t>2026</w:t>
            </w:r>
          </w:p>
        </w:tc>
        <w:tc>
          <w:tcPr>
            <w:tcW w:w="4935" w:type="dxa"/>
            <w:tcBorders>
              <w:top w:val="single" w:sz="4" w:space="0" w:color="auto"/>
              <w:left w:val="nil"/>
              <w:bottom w:val="single" w:sz="4" w:space="0" w:color="auto"/>
              <w:right w:val="single" w:sz="4" w:space="0" w:color="auto"/>
            </w:tcBorders>
            <w:shd w:val="clear" w:color="auto" w:fill="C6EFCE"/>
            <w:noWrap/>
          </w:tcPr>
          <w:p w14:paraId="68A98B45" w14:textId="77777777" w:rsidR="00FA7C11" w:rsidRDefault="00D84965">
            <w:pPr>
              <w:pStyle w:val="P68B1DB1-Normal66"/>
              <w:spacing w:after="200" w:line="276" w:lineRule="auto"/>
              <w:rPr>
                <w:noProof/>
              </w:rPr>
            </w:pPr>
            <w:r>
              <w:rPr>
                <w:noProof/>
              </w:rPr>
              <w:t>Trebuie construite cel puțin 15 stații de transfer al deșeurilor.</w:t>
            </w:r>
          </w:p>
        </w:tc>
      </w:tr>
    </w:tbl>
    <w:p w14:paraId="71FA8321" w14:textId="77777777" w:rsidR="00FA7C11" w:rsidRDefault="00FA7C11">
      <w:pPr>
        <w:rPr>
          <w:noProof/>
        </w:rPr>
      </w:pPr>
    </w:p>
    <w:p w14:paraId="32858F1C" w14:textId="77777777" w:rsidR="00FA7C11" w:rsidRDefault="00FA7C11">
      <w:pPr>
        <w:rPr>
          <w:noProof/>
        </w:rPr>
        <w:sectPr w:rsidR="00FA7C11" w:rsidSect="00FA29B2">
          <w:headerReference w:type="even" r:id="rId56"/>
          <w:headerReference w:type="default" r:id="rId57"/>
          <w:footerReference w:type="even" r:id="rId58"/>
          <w:footerReference w:type="default" r:id="rId59"/>
          <w:headerReference w:type="first" r:id="rId60"/>
          <w:footerReference w:type="first" r:id="rId61"/>
          <w:pgSz w:w="16839" w:h="11907" w:orient="landscape"/>
          <w:pgMar w:top="1134" w:right="1134" w:bottom="1134" w:left="1134" w:header="567" w:footer="567" w:gutter="0"/>
          <w:cols w:space="708"/>
          <w:docGrid w:linePitch="360"/>
        </w:sectPr>
      </w:pPr>
    </w:p>
    <w:p w14:paraId="48D00468" w14:textId="1C460FA7" w:rsidR="00FA7C11" w:rsidRDefault="00D84965">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C.3. </w:t>
      </w:r>
      <w:r>
        <w:rPr>
          <w:noProof/>
          <w:u w:val="single"/>
        </w:rPr>
        <w:t xml:space="preserve"> </w:t>
      </w:r>
      <w:r>
        <w:rPr>
          <w:rStyle w:val="normaltextrun"/>
          <w:b/>
          <w:noProof/>
          <w:u w:val="single"/>
        </w:rPr>
        <w:t xml:space="preserve">Descrierea reformelor și a investițiilor pentru împrumut </w:t>
      </w:r>
    </w:p>
    <w:p w14:paraId="6F45DE73" w14:textId="30719F5A" w:rsidR="00FA7C11" w:rsidRDefault="00D84965">
      <w:pPr>
        <w:pStyle w:val="paragraph"/>
        <w:spacing w:before="0" w:beforeAutospacing="0" w:after="0" w:afterAutospacing="0"/>
        <w:ind w:left="840"/>
        <w:jc w:val="both"/>
        <w:textAlignment w:val="baseline"/>
        <w:rPr>
          <w:rFonts w:ascii="Segoe UI" w:hAnsi="Segoe UI" w:cs="Segoe UI"/>
          <w:noProof/>
          <w:sz w:val="18"/>
          <w:szCs w:val="18"/>
        </w:rPr>
      </w:pPr>
      <w:r>
        <w:rPr>
          <w:rStyle w:val="normaltextrun"/>
          <w:noProof/>
        </w:rPr>
        <w:t xml:space="preserve"> </w:t>
      </w:r>
    </w:p>
    <w:p w14:paraId="6673C55B" w14:textId="77777777" w:rsidR="00FA7C11" w:rsidRDefault="00D84965">
      <w:pPr>
        <w:pStyle w:val="P68B1DB1-Normal98"/>
        <w:keepNext/>
        <w:tabs>
          <w:tab w:val="num" w:pos="850"/>
        </w:tabs>
        <w:spacing w:after="200" w:line="276" w:lineRule="auto"/>
        <w:ind w:left="840"/>
        <w:jc w:val="both"/>
        <w:outlineLvl w:val="2"/>
        <w:rPr>
          <w:rFonts w:eastAsia="Calibri"/>
          <w:noProof/>
          <w:szCs w:val="24"/>
        </w:rPr>
      </w:pPr>
      <w:r>
        <w:rPr>
          <w:noProof/>
          <w:szCs w:val="24"/>
        </w:rPr>
        <w:t>R</w:t>
      </w:r>
      <w:r>
        <w:rPr>
          <w:noProof/>
          <w:szCs w:val="28"/>
        </w:rPr>
        <w:t xml:space="preserve"> eform C1.3 R3 – Implementarea în continuare a programului de gospodărire a apelor</w:t>
      </w:r>
    </w:p>
    <w:p w14:paraId="02671D56" w14:textId="77777777" w:rsidR="00FA7C11" w:rsidRDefault="00D84965">
      <w:pPr>
        <w:pStyle w:val="paragraph"/>
        <w:spacing w:before="0" w:beforeAutospacing="0" w:after="0" w:afterAutospacing="0"/>
        <w:jc w:val="both"/>
        <w:rPr>
          <w:noProof/>
        </w:rPr>
      </w:pPr>
      <w:r>
        <w:rPr>
          <w:noProof/>
        </w:rPr>
        <w:t xml:space="preserve">Obiectivul acestei reforme este de a aborda în continuare principalele provocări politice din sectorul apei din Croația. </w:t>
      </w:r>
    </w:p>
    <w:p w14:paraId="48DD2796" w14:textId="77777777" w:rsidR="00FA7C11" w:rsidRDefault="00FA7C11">
      <w:pPr>
        <w:pStyle w:val="paragraph"/>
        <w:spacing w:before="0" w:beforeAutospacing="0" w:after="0" w:afterAutospacing="0"/>
        <w:jc w:val="both"/>
        <w:rPr>
          <w:noProof/>
        </w:rPr>
      </w:pPr>
    </w:p>
    <w:p w14:paraId="674479F0" w14:textId="69882902" w:rsidR="00FA7C11" w:rsidRDefault="00D84965">
      <w:pPr>
        <w:pStyle w:val="paragraph"/>
        <w:spacing w:before="0" w:beforeAutospacing="0" w:after="0" w:afterAutospacing="0"/>
        <w:jc w:val="both"/>
        <w:rPr>
          <w:noProof/>
        </w:rPr>
      </w:pPr>
      <w:r>
        <w:rPr>
          <w:noProof/>
        </w:rPr>
        <w:t xml:space="preserve">Reforma constă în adoptarea legislației, a planului național și a planurilor operatorilor din domeniul apei privind reducerea pierderilor de apă în sistemele publice de alimentare cu apă și înființarea organismului național de monitorizare a pierderilor de apă. </w:t>
      </w:r>
    </w:p>
    <w:p w14:paraId="4906D1DD" w14:textId="77777777" w:rsidR="00FA7C11" w:rsidRDefault="00FA7C11">
      <w:pPr>
        <w:spacing w:after="0" w:line="240" w:lineRule="auto"/>
        <w:jc w:val="both"/>
        <w:rPr>
          <w:rFonts w:ascii="Times New Roman" w:eastAsia="Calibri" w:hAnsi="Times New Roman" w:cs="Times New Roman"/>
          <w:noProof/>
          <w:color w:val="2B579A"/>
          <w:sz w:val="24"/>
          <w:szCs w:val="24"/>
        </w:rPr>
      </w:pPr>
    </w:p>
    <w:p w14:paraId="25ADF7C9" w14:textId="77777777" w:rsidR="00FA7C11" w:rsidRDefault="00D84965">
      <w:pPr>
        <w:pStyle w:val="P68B1DB1-Normal96"/>
        <w:keepNext/>
        <w:tabs>
          <w:tab w:val="num" w:pos="850"/>
        </w:tabs>
        <w:spacing w:after="200" w:line="276" w:lineRule="auto"/>
        <w:ind w:left="840"/>
        <w:jc w:val="both"/>
        <w:rPr>
          <w:noProof/>
        </w:rPr>
      </w:pPr>
      <w:r>
        <w:rPr>
          <w:noProof/>
        </w:rPr>
        <w:t>Investiția C1.3 R3-I1 – Investiții suplimentare în programul public de dezvoltare a sistemelor de canalizare</w:t>
      </w:r>
    </w:p>
    <w:p w14:paraId="1E078E19" w14:textId="77777777" w:rsidR="00FA7C11" w:rsidRDefault="00D84965">
      <w:pPr>
        <w:pStyle w:val="P68B1DB1-paragraph24"/>
        <w:spacing w:before="0" w:beforeAutospacing="0" w:after="0" w:afterAutospacing="0"/>
        <w:jc w:val="both"/>
        <w:rPr>
          <w:noProof/>
        </w:rPr>
      </w:pPr>
      <w:r>
        <w:rPr>
          <w:noProof/>
        </w:rPr>
        <w:t>Obiectivul acestei investiții este de a îmbunătăți și mai mult infrastructura de colectare și epurare a apelor uzate.</w:t>
      </w:r>
    </w:p>
    <w:p w14:paraId="22E311C7" w14:textId="77777777" w:rsidR="00FA7C11" w:rsidRDefault="00FA7C11">
      <w:pPr>
        <w:pStyle w:val="paragraph"/>
        <w:spacing w:before="0" w:beforeAutospacing="0" w:after="0" w:afterAutospacing="0"/>
        <w:jc w:val="both"/>
        <w:rPr>
          <w:rFonts w:eastAsia="Calibri"/>
          <w:noProof/>
        </w:rPr>
      </w:pPr>
    </w:p>
    <w:p w14:paraId="7C2DB7B6" w14:textId="77777777" w:rsidR="00FA7C11" w:rsidRDefault="00D84965">
      <w:pPr>
        <w:pStyle w:val="P68B1DB1-paragraph24"/>
        <w:spacing w:before="0" w:beforeAutospacing="0" w:after="0" w:afterAutospacing="0"/>
        <w:jc w:val="both"/>
        <w:rPr>
          <w:noProof/>
        </w:rPr>
      </w:pPr>
      <w:r>
        <w:rPr>
          <w:noProof/>
        </w:rPr>
        <w:t xml:space="preserve">Această măsură constă în construirea și reconstrucția suplimentară a rețelelor publice de canalizare, precum și în construirea de stații de epurare a apelor uzate. </w:t>
      </w:r>
    </w:p>
    <w:p w14:paraId="00EDB8B5" w14:textId="77777777" w:rsidR="00FA7C11" w:rsidRDefault="00FA7C11">
      <w:pPr>
        <w:pStyle w:val="paragraph"/>
        <w:spacing w:before="0" w:beforeAutospacing="0" w:after="0" w:afterAutospacing="0"/>
        <w:jc w:val="both"/>
        <w:rPr>
          <w:rFonts w:eastAsia="Calibri"/>
          <w:noProof/>
        </w:rPr>
      </w:pPr>
    </w:p>
    <w:p w14:paraId="4D281659" w14:textId="77777777" w:rsidR="00FA7C11" w:rsidRDefault="00D84965">
      <w:pPr>
        <w:pStyle w:val="P68B1DB1-Normal96"/>
        <w:spacing w:after="200" w:line="276" w:lineRule="auto"/>
        <w:ind w:left="840"/>
        <w:jc w:val="both"/>
        <w:rPr>
          <w:noProof/>
        </w:rPr>
      </w:pPr>
      <w:r>
        <w:rPr>
          <w:noProof/>
        </w:rPr>
        <w:t>Investiția C1.3 R3-I2 – Investiții suplimentare în programul public de dezvoltare a alimentării cu apă</w:t>
      </w:r>
    </w:p>
    <w:p w14:paraId="15EE2D6D" w14:textId="77777777" w:rsidR="00FA7C11" w:rsidRDefault="00D84965">
      <w:pPr>
        <w:pStyle w:val="P68B1DB1-Normal83"/>
        <w:spacing w:after="0"/>
        <w:rPr>
          <w:noProof/>
          <w:u w:val="single"/>
        </w:rPr>
      </w:pPr>
      <w:r>
        <w:rPr>
          <w:noProof/>
        </w:rPr>
        <w:t xml:space="preserve">Obiectivul acestei investiții este de a îmbunătăți și mai mult infrastructura de alimentare cu apă. </w:t>
      </w:r>
    </w:p>
    <w:p w14:paraId="6D5160F2" w14:textId="77777777" w:rsidR="00FA7C11" w:rsidRDefault="00D84965">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Această măsură constă în construirea și reconstrucția suplimentară a conductelor de alimentare cu apă.</w:t>
      </w:r>
      <w:r>
        <w:rPr>
          <w:noProof/>
        </w:rPr>
        <w:t xml:space="preserve"> </w:t>
      </w:r>
    </w:p>
    <w:p w14:paraId="552F6081" w14:textId="77777777" w:rsidR="00FA7C11" w:rsidRDefault="00D84965">
      <w:pPr>
        <w:pStyle w:val="P68B1DB1-paragraph99"/>
        <w:keepNext/>
        <w:ind w:left="851"/>
        <w:jc w:val="both"/>
        <w:rPr>
          <w:i/>
          <w:noProof/>
        </w:rPr>
      </w:pPr>
      <w:r>
        <w:rPr>
          <w:noProof/>
        </w:rPr>
        <w:t xml:space="preserve">Investiția C1.3 R3-I3 – Investiții suplimentare în programul de reducere a riscurilor de dezastre </w:t>
      </w:r>
    </w:p>
    <w:p w14:paraId="3CF4D091" w14:textId="77777777" w:rsidR="00FA7C11" w:rsidRDefault="00D84965">
      <w:pPr>
        <w:pStyle w:val="P68B1DB1-paragraph24"/>
        <w:spacing w:before="0" w:beforeAutospacing="0" w:after="0" w:afterAutospacing="0"/>
        <w:jc w:val="both"/>
        <w:rPr>
          <w:noProof/>
        </w:rPr>
      </w:pPr>
      <w:r>
        <w:rPr>
          <w:noProof/>
        </w:rPr>
        <w:t xml:space="preserve">Obiectivul acestei investiții este de a pune în aplicare investiții suplimentare în programul de reducere a riscurilor de dezastre. </w:t>
      </w:r>
    </w:p>
    <w:p w14:paraId="16F21934" w14:textId="77777777" w:rsidR="00FA7C11" w:rsidRDefault="00FA7C11">
      <w:pPr>
        <w:pStyle w:val="paragraph"/>
        <w:spacing w:before="0" w:beforeAutospacing="0" w:after="0" w:afterAutospacing="0"/>
        <w:jc w:val="both"/>
        <w:rPr>
          <w:rFonts w:eastAsia="Calibri"/>
          <w:noProof/>
        </w:rPr>
      </w:pPr>
    </w:p>
    <w:p w14:paraId="60BDA127" w14:textId="77777777" w:rsidR="00FA7C11" w:rsidRDefault="00D84965">
      <w:pPr>
        <w:pStyle w:val="P68B1DB1-paragraph24"/>
        <w:spacing w:before="0" w:beforeAutospacing="0" w:after="0" w:afterAutospacing="0"/>
        <w:jc w:val="both"/>
        <w:rPr>
          <w:noProof/>
        </w:rPr>
      </w:pPr>
      <w:r>
        <w:rPr>
          <w:noProof/>
        </w:rPr>
        <w:t xml:space="preserve">Această măsură constă în construirea de </w:t>
      </w:r>
      <w:r>
        <w:rPr>
          <w:noProof/>
          <w:color w:val="000000" w:themeColor="text1"/>
          <w:szCs w:val="24"/>
        </w:rPr>
        <w:t xml:space="preserve">structuri de protecție </w:t>
      </w:r>
      <w:r>
        <w:rPr>
          <w:noProof/>
        </w:rPr>
        <w:t>împotriva inundațiilor și în revitalizarea sistemelor de apă dulce.</w:t>
      </w:r>
    </w:p>
    <w:p w14:paraId="65DC3706" w14:textId="77777777" w:rsidR="00FA7C11" w:rsidRDefault="00FA7C11">
      <w:pPr>
        <w:pStyle w:val="paragraph"/>
        <w:spacing w:before="0" w:beforeAutospacing="0" w:after="0" w:afterAutospacing="0"/>
        <w:jc w:val="both"/>
        <w:rPr>
          <w:noProof/>
        </w:rPr>
      </w:pPr>
    </w:p>
    <w:p w14:paraId="4C37C38F" w14:textId="77777777" w:rsidR="00FA7C11" w:rsidRDefault="00FA7C11">
      <w:pPr>
        <w:tabs>
          <w:tab w:val="left" w:pos="2579"/>
        </w:tabs>
        <w:rPr>
          <w:rFonts w:eastAsia="Calibri"/>
          <w:noProof/>
        </w:rPr>
        <w:sectPr w:rsidR="00FA7C11" w:rsidSect="00FA29B2">
          <w:headerReference w:type="even" r:id="rId62"/>
          <w:headerReference w:type="default" r:id="rId63"/>
          <w:footerReference w:type="even" r:id="rId64"/>
          <w:footerReference w:type="default" r:id="rId65"/>
          <w:headerReference w:type="first" r:id="rId66"/>
          <w:footerReference w:type="first" r:id="rId67"/>
          <w:pgSz w:w="11907" w:h="16839"/>
          <w:pgMar w:top="1134" w:right="1134" w:bottom="1134" w:left="1134" w:header="567" w:footer="567" w:gutter="0"/>
          <w:cols w:space="708"/>
          <w:docGrid w:linePitch="360"/>
        </w:sectPr>
      </w:pPr>
    </w:p>
    <w:p w14:paraId="125631C0" w14:textId="5E77EBCA" w:rsidR="00FA7C11" w:rsidRDefault="00D84965">
      <w:pPr>
        <w:pStyle w:val="paragraph"/>
        <w:spacing w:before="0" w:beforeAutospacing="0" w:after="0" w:afterAutospacing="0"/>
        <w:jc w:val="both"/>
        <w:textAlignment w:val="baseline"/>
        <w:rPr>
          <w:rStyle w:val="eop"/>
          <w:noProof/>
          <w:u w:val="single"/>
        </w:rPr>
      </w:pPr>
      <w:r>
        <w:rPr>
          <w:rStyle w:val="normaltextrun"/>
          <w:b/>
          <w:noProof/>
          <w:u w:val="single"/>
        </w:rPr>
        <w:t xml:space="preserve">C.4. Jaloane, ținte, indicatori și calendarul de monitorizare și implementare aplicabile împrumutului </w:t>
      </w:r>
    </w:p>
    <w:p w14:paraId="0FBF3C57" w14:textId="77777777" w:rsidR="00FA7C11" w:rsidRDefault="00FA7C11">
      <w:pPr>
        <w:pStyle w:val="paragraph"/>
        <w:spacing w:before="0" w:beforeAutospacing="0" w:after="0" w:afterAutospacing="0"/>
        <w:ind w:left="840"/>
        <w:jc w:val="both"/>
        <w:textAlignment w:val="baseline"/>
        <w:rPr>
          <w:rStyle w:val="eop"/>
          <w:noProof/>
        </w:rPr>
      </w:pPr>
    </w:p>
    <w:tbl>
      <w:tblPr>
        <w:tblW w:w="15906" w:type="dxa"/>
        <w:jc w:val="center"/>
        <w:tblCellMar>
          <w:top w:w="28" w:type="dxa"/>
          <w:left w:w="28" w:type="dxa"/>
          <w:bottom w:w="28" w:type="dxa"/>
          <w:right w:w="28" w:type="dxa"/>
        </w:tblCellMar>
        <w:tblLook w:val="04A0" w:firstRow="1" w:lastRow="0" w:firstColumn="1" w:lastColumn="0" w:noHBand="0" w:noVBand="1"/>
      </w:tblPr>
      <w:tblGrid>
        <w:gridCol w:w="768"/>
        <w:gridCol w:w="1243"/>
        <w:gridCol w:w="1345"/>
        <w:gridCol w:w="1731"/>
        <w:gridCol w:w="1843"/>
        <w:gridCol w:w="862"/>
        <w:gridCol w:w="839"/>
        <w:gridCol w:w="850"/>
        <w:gridCol w:w="919"/>
        <w:gridCol w:w="993"/>
        <w:gridCol w:w="4917"/>
      </w:tblGrid>
      <w:tr w:rsidR="00FA7C11" w14:paraId="137F779D" w14:textId="77777777">
        <w:trPr>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7A81D0" w14:textId="77777777" w:rsidR="00FA7C11" w:rsidRDefault="00D84965">
            <w:pPr>
              <w:pStyle w:val="P68B1DB1-Normal58"/>
              <w:spacing w:after="0" w:line="276" w:lineRule="auto"/>
              <w:jc w:val="center"/>
              <w:rPr>
                <w:bCs/>
                <w:noProof/>
              </w:rPr>
            </w:pPr>
            <w:r>
              <w:rPr>
                <w:noProof/>
              </w:rPr>
              <w:t>Număr</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D2E8D9" w14:textId="77777777" w:rsidR="00FA7C11" w:rsidRDefault="00D84965">
            <w:pPr>
              <w:pStyle w:val="P68B1DB1-Normal87"/>
              <w:spacing w:after="0" w:line="276" w:lineRule="auto"/>
              <w:jc w:val="center"/>
              <w:rPr>
                <w:bCs/>
                <w:noProof/>
              </w:rPr>
            </w:pPr>
            <w:r>
              <w:rPr>
                <w:noProof/>
              </w:rPr>
              <w:t>Măsură conexă (reformă sau investiții)</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A3B8FF7" w14:textId="77777777" w:rsidR="00FA7C11" w:rsidRDefault="00D84965">
            <w:pPr>
              <w:pStyle w:val="P68B1DB1-Normal58"/>
              <w:spacing w:after="0" w:line="276" w:lineRule="auto"/>
              <w:jc w:val="center"/>
              <w:rPr>
                <w:bCs/>
                <w:noProof/>
              </w:rPr>
            </w:pPr>
            <w:r>
              <w:rPr>
                <w:noProof/>
              </w:rPr>
              <w:t>Etapă/Obiectiv</w:t>
            </w:r>
          </w:p>
        </w:tc>
        <w:tc>
          <w:tcPr>
            <w:tcW w:w="173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0EED57" w14:textId="77777777" w:rsidR="00FA7C11" w:rsidRDefault="00D84965">
            <w:pPr>
              <w:pStyle w:val="P68B1DB1-Normal58"/>
              <w:spacing w:after="0" w:line="276" w:lineRule="auto"/>
              <w:jc w:val="center"/>
              <w:rPr>
                <w:bCs/>
                <w:noProof/>
              </w:rPr>
            </w:pPr>
            <w:r>
              <w:rPr>
                <w:noProof/>
              </w:rPr>
              <w:t>Nume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B41121"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55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C01CF64"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749" w:type="dxa"/>
            <w:gridSpan w:val="2"/>
            <w:tcBorders>
              <w:top w:val="single" w:sz="4" w:space="0" w:color="auto"/>
              <w:left w:val="nil"/>
              <w:bottom w:val="single" w:sz="4" w:space="0" w:color="auto"/>
              <w:right w:val="single" w:sz="4" w:space="0" w:color="auto"/>
            </w:tcBorders>
            <w:shd w:val="clear" w:color="auto" w:fill="BDD7EE"/>
            <w:vAlign w:val="center"/>
            <w:hideMark/>
          </w:tcPr>
          <w:p w14:paraId="4C7E1634" w14:textId="77777777" w:rsidR="00FA7C11" w:rsidRDefault="00D84965">
            <w:pPr>
              <w:pStyle w:val="P68B1DB1-Normal58"/>
              <w:spacing w:after="0" w:line="276" w:lineRule="auto"/>
              <w:jc w:val="center"/>
              <w:rPr>
                <w:bCs/>
                <w:noProof/>
              </w:rPr>
            </w:pPr>
            <w:r>
              <w:rPr>
                <w:noProof/>
              </w:rPr>
              <w:t>Timp</w:t>
            </w:r>
          </w:p>
        </w:tc>
        <w:tc>
          <w:tcPr>
            <w:tcW w:w="49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26B1CB"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62A2D9F8" w14:textId="77777777">
        <w:trPr>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1C1C84B9"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243" w:type="dxa"/>
            <w:vMerge/>
            <w:tcBorders>
              <w:top w:val="single" w:sz="4" w:space="0" w:color="auto"/>
              <w:left w:val="single" w:sz="4" w:space="0" w:color="auto"/>
              <w:bottom w:val="single" w:sz="4" w:space="0" w:color="auto"/>
              <w:right w:val="single" w:sz="4" w:space="0" w:color="auto"/>
            </w:tcBorders>
            <w:hideMark/>
          </w:tcPr>
          <w:p w14:paraId="0D1C7A03"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04" w:type="dxa"/>
            <w:vMerge/>
            <w:tcBorders>
              <w:top w:val="single" w:sz="4" w:space="0" w:color="auto"/>
              <w:left w:val="single" w:sz="4" w:space="0" w:color="auto"/>
              <w:bottom w:val="single" w:sz="4" w:space="0" w:color="auto"/>
              <w:right w:val="single" w:sz="4" w:space="0" w:color="auto"/>
            </w:tcBorders>
            <w:hideMark/>
          </w:tcPr>
          <w:p w14:paraId="18817F89"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731" w:type="dxa"/>
            <w:vMerge/>
            <w:tcBorders>
              <w:top w:val="single" w:sz="4" w:space="0" w:color="auto"/>
              <w:left w:val="single" w:sz="4" w:space="0" w:color="auto"/>
              <w:bottom w:val="single" w:sz="4" w:space="0" w:color="auto"/>
              <w:right w:val="single" w:sz="4" w:space="0" w:color="auto"/>
            </w:tcBorders>
            <w:hideMark/>
          </w:tcPr>
          <w:p w14:paraId="3B067852" w14:textId="77777777" w:rsidR="00FA7C11" w:rsidRDefault="00FA7C11">
            <w:pPr>
              <w:spacing w:after="0" w:line="276" w:lineRule="auto"/>
              <w:rPr>
                <w:rFonts w:ascii="Times New Roman" w:eastAsia="Times New Roman" w:hAnsi="Times New Roman" w:cs="Times New Roman"/>
                <w:b/>
                <w:noProof/>
                <w:sz w:val="20"/>
                <w:szCs w:val="20"/>
              </w:rPr>
            </w:pPr>
          </w:p>
        </w:tc>
        <w:tc>
          <w:tcPr>
            <w:tcW w:w="1843" w:type="dxa"/>
            <w:vMerge/>
            <w:tcBorders>
              <w:top w:val="single" w:sz="4" w:space="0" w:color="auto"/>
              <w:left w:val="single" w:sz="4" w:space="0" w:color="auto"/>
              <w:bottom w:val="single" w:sz="4" w:space="0" w:color="auto"/>
              <w:right w:val="single" w:sz="4" w:space="0" w:color="auto"/>
            </w:tcBorders>
            <w:hideMark/>
          </w:tcPr>
          <w:p w14:paraId="0242BB8F" w14:textId="77777777" w:rsidR="00FA7C11" w:rsidRDefault="00FA7C11">
            <w:pPr>
              <w:spacing w:after="0" w:line="276" w:lineRule="auto"/>
              <w:rPr>
                <w:rFonts w:ascii="Times New Roman" w:eastAsia="Times New Roman" w:hAnsi="Times New Roman" w:cs="Times New Roman"/>
                <w:b/>
                <w:noProof/>
                <w:sz w:val="20"/>
                <w:szCs w:val="20"/>
              </w:rPr>
            </w:pPr>
          </w:p>
        </w:tc>
        <w:tc>
          <w:tcPr>
            <w:tcW w:w="862" w:type="dxa"/>
            <w:tcBorders>
              <w:top w:val="single" w:sz="4" w:space="0" w:color="auto"/>
              <w:left w:val="single" w:sz="4" w:space="0" w:color="auto"/>
              <w:bottom w:val="single" w:sz="4" w:space="0" w:color="auto"/>
              <w:right w:val="single" w:sz="4" w:space="0" w:color="auto"/>
            </w:tcBorders>
            <w:shd w:val="clear" w:color="auto" w:fill="BDD7EE"/>
            <w:hideMark/>
          </w:tcPr>
          <w:p w14:paraId="5522014A" w14:textId="77777777" w:rsidR="00FA7C11" w:rsidRDefault="00D84965">
            <w:pPr>
              <w:pStyle w:val="P68B1DB1-Normal58"/>
              <w:spacing w:after="0" w:line="276" w:lineRule="auto"/>
              <w:jc w:val="center"/>
              <w:rPr>
                <w:bCs/>
                <w:noProof/>
              </w:rPr>
            </w:pPr>
            <w:r>
              <w:rPr>
                <w:noProof/>
              </w:rPr>
              <w:t>Unitate</w:t>
            </w:r>
          </w:p>
        </w:tc>
        <w:tc>
          <w:tcPr>
            <w:tcW w:w="839" w:type="dxa"/>
            <w:tcBorders>
              <w:top w:val="single" w:sz="4" w:space="0" w:color="auto"/>
              <w:left w:val="single" w:sz="4" w:space="0" w:color="auto"/>
              <w:bottom w:val="single" w:sz="4" w:space="0" w:color="auto"/>
              <w:right w:val="single" w:sz="4" w:space="0" w:color="auto"/>
            </w:tcBorders>
            <w:shd w:val="clear" w:color="auto" w:fill="BDD7EE"/>
            <w:hideMark/>
          </w:tcPr>
          <w:p w14:paraId="14985166" w14:textId="77777777" w:rsidR="00FA7C11" w:rsidRDefault="00D84965">
            <w:pPr>
              <w:pStyle w:val="P68B1DB1-Normal58"/>
              <w:spacing w:after="0" w:line="276" w:lineRule="auto"/>
              <w:jc w:val="center"/>
              <w:rPr>
                <w:bCs/>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7EE"/>
            <w:hideMark/>
          </w:tcPr>
          <w:p w14:paraId="3277748C" w14:textId="77777777" w:rsidR="00FA7C11" w:rsidRDefault="00D84965">
            <w:pPr>
              <w:pStyle w:val="P68B1DB1-Normal58"/>
              <w:spacing w:after="0" w:line="276" w:lineRule="auto"/>
              <w:jc w:val="center"/>
              <w:rPr>
                <w:bCs/>
                <w:noProof/>
              </w:rPr>
            </w:pPr>
            <w:r>
              <w:rPr>
                <w:noProof/>
              </w:rPr>
              <w:t>Obiectiv</w:t>
            </w:r>
          </w:p>
        </w:tc>
        <w:tc>
          <w:tcPr>
            <w:tcW w:w="756" w:type="dxa"/>
            <w:tcBorders>
              <w:top w:val="single" w:sz="4" w:space="0" w:color="auto"/>
              <w:left w:val="single" w:sz="4" w:space="0" w:color="auto"/>
              <w:bottom w:val="single" w:sz="4" w:space="0" w:color="auto"/>
              <w:right w:val="single" w:sz="4" w:space="0" w:color="auto"/>
            </w:tcBorders>
            <w:shd w:val="clear" w:color="auto" w:fill="BDD7EE"/>
            <w:hideMark/>
          </w:tcPr>
          <w:p w14:paraId="2BBEE512" w14:textId="77777777" w:rsidR="00FA7C11" w:rsidRDefault="00D84965">
            <w:pPr>
              <w:pStyle w:val="P68B1DB1-Normal58"/>
              <w:spacing w:after="0" w:line="276" w:lineRule="auto"/>
              <w:jc w:val="center"/>
              <w:rPr>
                <w:bCs/>
                <w:noProof/>
              </w:rPr>
            </w:pPr>
            <w:r>
              <w:rPr>
                <w:noProof/>
              </w:rPr>
              <w:t>Trimestru</w:t>
            </w:r>
          </w:p>
        </w:tc>
        <w:tc>
          <w:tcPr>
            <w:tcW w:w="993" w:type="dxa"/>
            <w:tcBorders>
              <w:top w:val="single" w:sz="4" w:space="0" w:color="auto"/>
              <w:left w:val="single" w:sz="4" w:space="0" w:color="auto"/>
              <w:bottom w:val="single" w:sz="4" w:space="0" w:color="auto"/>
              <w:right w:val="single" w:sz="4" w:space="0" w:color="auto"/>
            </w:tcBorders>
            <w:shd w:val="clear" w:color="auto" w:fill="BDD7EE"/>
            <w:hideMark/>
          </w:tcPr>
          <w:p w14:paraId="55669E95" w14:textId="77777777" w:rsidR="00FA7C11" w:rsidRDefault="00D84965">
            <w:pPr>
              <w:pStyle w:val="P68B1DB1-Normal58"/>
              <w:spacing w:after="0" w:line="276" w:lineRule="auto"/>
              <w:jc w:val="center"/>
              <w:rPr>
                <w:bCs/>
                <w:noProof/>
              </w:rPr>
            </w:pPr>
            <w:r>
              <w:rPr>
                <w:noProof/>
              </w:rPr>
              <w:t>Anul</w:t>
            </w:r>
          </w:p>
        </w:tc>
        <w:tc>
          <w:tcPr>
            <w:tcW w:w="4917" w:type="dxa"/>
            <w:vMerge/>
            <w:tcBorders>
              <w:top w:val="single" w:sz="4" w:space="0" w:color="auto"/>
              <w:left w:val="single" w:sz="4" w:space="0" w:color="auto"/>
              <w:bottom w:val="single" w:sz="4" w:space="0" w:color="auto"/>
              <w:right w:val="single" w:sz="4" w:space="0" w:color="auto"/>
            </w:tcBorders>
            <w:hideMark/>
          </w:tcPr>
          <w:p w14:paraId="5CDE9910"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3D7C3AA9"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C90F329" w14:textId="77777777" w:rsidR="00FA7C11" w:rsidRDefault="00D84965">
            <w:pPr>
              <w:pStyle w:val="P68B1DB1-Normal89"/>
              <w:spacing w:after="200" w:line="276" w:lineRule="auto"/>
              <w:jc w:val="center"/>
              <w:rPr>
                <w:rFonts w:eastAsia="Calibri"/>
                <w:noProof/>
                <w:color w:val="000000"/>
              </w:rPr>
            </w:pPr>
            <w:r>
              <w:rPr>
                <w:noProof/>
              </w:rPr>
              <w:t>382</w:t>
            </w:r>
          </w:p>
        </w:tc>
        <w:tc>
          <w:tcPr>
            <w:tcW w:w="1243" w:type="dxa"/>
            <w:tcBorders>
              <w:top w:val="single" w:sz="4" w:space="0" w:color="auto"/>
              <w:left w:val="nil"/>
              <w:bottom w:val="single" w:sz="4" w:space="0" w:color="auto"/>
              <w:right w:val="single" w:sz="4" w:space="0" w:color="auto"/>
            </w:tcBorders>
            <w:shd w:val="clear" w:color="auto" w:fill="C6EFCE"/>
            <w:noWrap/>
          </w:tcPr>
          <w:p w14:paraId="7FCD2D3A" w14:textId="77777777" w:rsidR="00FA7C11" w:rsidRDefault="00D84965">
            <w:pPr>
              <w:pStyle w:val="P68B1DB1-Normal76"/>
              <w:spacing w:after="200" w:line="276" w:lineRule="auto"/>
              <w:jc w:val="center"/>
              <w:rPr>
                <w:rFonts w:eastAsia="Calibri"/>
                <w:noProof/>
              </w:rPr>
            </w:pPr>
            <w:r>
              <w:rPr>
                <w:noProof/>
              </w:rPr>
              <w:t>C1.3. R3</w:t>
            </w:r>
          </w:p>
        </w:tc>
        <w:tc>
          <w:tcPr>
            <w:tcW w:w="1104" w:type="dxa"/>
            <w:tcBorders>
              <w:top w:val="single" w:sz="4" w:space="0" w:color="auto"/>
              <w:left w:val="nil"/>
              <w:bottom w:val="single" w:sz="4" w:space="0" w:color="auto"/>
              <w:right w:val="single" w:sz="4" w:space="0" w:color="auto"/>
            </w:tcBorders>
            <w:shd w:val="clear" w:color="auto" w:fill="C6EFCE"/>
            <w:noWrap/>
          </w:tcPr>
          <w:p w14:paraId="7D4D1941" w14:textId="77777777" w:rsidR="00FA7C11" w:rsidRDefault="00D84965">
            <w:pPr>
              <w:pStyle w:val="P68B1DB1-Normal89"/>
              <w:spacing w:after="200" w:line="276" w:lineRule="auto"/>
              <w:jc w:val="center"/>
              <w:rPr>
                <w:rFonts w:eastAsia="Calibri"/>
                <w:noProof/>
              </w:rPr>
            </w:pPr>
            <w:r>
              <w:rPr>
                <w:noProof/>
              </w:rPr>
              <w:t>M</w:t>
            </w:r>
          </w:p>
        </w:tc>
        <w:tc>
          <w:tcPr>
            <w:tcW w:w="1731" w:type="dxa"/>
            <w:tcBorders>
              <w:top w:val="single" w:sz="4" w:space="0" w:color="auto"/>
              <w:left w:val="nil"/>
              <w:bottom w:val="single" w:sz="4" w:space="0" w:color="auto"/>
              <w:right w:val="single" w:sz="4" w:space="0" w:color="auto"/>
            </w:tcBorders>
            <w:shd w:val="clear" w:color="auto" w:fill="C6EFCE"/>
            <w:noWrap/>
          </w:tcPr>
          <w:p w14:paraId="11CED750" w14:textId="77777777" w:rsidR="00FA7C11" w:rsidRDefault="00D84965">
            <w:pPr>
              <w:pStyle w:val="P68B1DB1-Normal89"/>
              <w:spacing w:after="200" w:line="276" w:lineRule="auto"/>
              <w:rPr>
                <w:rFonts w:eastAsia="Calibri"/>
                <w:noProof/>
              </w:rPr>
            </w:pPr>
            <w:r>
              <w:rPr>
                <w:noProof/>
              </w:rPr>
              <w:t>Adoptarea Planului național de acțiune pentru reducerea pierderilor de apă</w:t>
            </w:r>
          </w:p>
        </w:tc>
        <w:tc>
          <w:tcPr>
            <w:tcW w:w="1843" w:type="dxa"/>
            <w:tcBorders>
              <w:top w:val="single" w:sz="4" w:space="0" w:color="auto"/>
              <w:left w:val="nil"/>
              <w:bottom w:val="single" w:sz="4" w:space="0" w:color="auto"/>
              <w:right w:val="single" w:sz="4" w:space="0" w:color="auto"/>
            </w:tcBorders>
            <w:shd w:val="clear" w:color="auto" w:fill="C6EFCE"/>
            <w:noWrap/>
          </w:tcPr>
          <w:p w14:paraId="4726E5EA" w14:textId="77777777" w:rsidR="00FA7C11" w:rsidRDefault="00D84965">
            <w:pPr>
              <w:pStyle w:val="P68B1DB1-Normal89"/>
              <w:spacing w:after="200" w:line="276" w:lineRule="auto"/>
              <w:rPr>
                <w:rFonts w:eastAsia="Calibri"/>
                <w:noProof/>
              </w:rPr>
            </w:pPr>
            <w:r>
              <w:rPr>
                <w:noProof/>
              </w:rPr>
              <w:t>Planul național de acțiune pentru reducerea pierderilor adoptat de apele croate</w:t>
            </w:r>
          </w:p>
        </w:tc>
        <w:tc>
          <w:tcPr>
            <w:tcW w:w="862" w:type="dxa"/>
            <w:tcBorders>
              <w:top w:val="single" w:sz="4" w:space="0" w:color="auto"/>
              <w:left w:val="nil"/>
              <w:bottom w:val="single" w:sz="4" w:space="0" w:color="auto"/>
              <w:right w:val="single" w:sz="4" w:space="0" w:color="auto"/>
            </w:tcBorders>
            <w:shd w:val="clear" w:color="auto" w:fill="C6EFCE"/>
            <w:noWrap/>
          </w:tcPr>
          <w:p w14:paraId="3A4F1148" w14:textId="77777777" w:rsidR="00FA7C11" w:rsidRDefault="00FA7C11">
            <w:pPr>
              <w:spacing w:after="200" w:line="276" w:lineRule="auto"/>
              <w:jc w:val="center"/>
              <w:rPr>
                <w:rFonts w:ascii="Times New Roman" w:eastAsia="Calibri" w:hAnsi="Times New Roman" w:cs="Times New Roman"/>
                <w:noProof/>
                <w:sz w:val="20"/>
                <w:szCs w:val="20"/>
              </w:rPr>
            </w:pPr>
          </w:p>
        </w:tc>
        <w:tc>
          <w:tcPr>
            <w:tcW w:w="839" w:type="dxa"/>
            <w:tcBorders>
              <w:top w:val="single" w:sz="4" w:space="0" w:color="auto"/>
              <w:left w:val="nil"/>
              <w:bottom w:val="single" w:sz="4" w:space="0" w:color="auto"/>
              <w:right w:val="single" w:sz="4" w:space="0" w:color="auto"/>
            </w:tcBorders>
            <w:shd w:val="clear" w:color="auto" w:fill="C6EFCE"/>
            <w:noWrap/>
          </w:tcPr>
          <w:p w14:paraId="0656D7BE"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4C9F4CAB" w14:textId="77777777" w:rsidR="00FA7C11" w:rsidRDefault="00FA7C11">
            <w:pPr>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164D2240" w14:textId="77777777" w:rsidR="00FA7C11" w:rsidRDefault="00D84965">
            <w:pPr>
              <w:pStyle w:val="P68B1DB1-Normal89"/>
              <w:spacing w:after="200" w:line="276" w:lineRule="auto"/>
              <w:jc w:val="center"/>
              <w:rPr>
                <w:rFonts w:eastAsia="Calibri"/>
                <w:noProof/>
              </w:rPr>
            </w:pPr>
            <w:r>
              <w:rPr>
                <w:noProof/>
              </w:rPr>
              <w:t>Î2</w:t>
            </w:r>
          </w:p>
        </w:tc>
        <w:tc>
          <w:tcPr>
            <w:tcW w:w="993" w:type="dxa"/>
            <w:tcBorders>
              <w:top w:val="single" w:sz="4" w:space="0" w:color="auto"/>
              <w:left w:val="nil"/>
              <w:bottom w:val="single" w:sz="4" w:space="0" w:color="auto"/>
              <w:right w:val="single" w:sz="4" w:space="0" w:color="auto"/>
            </w:tcBorders>
            <w:shd w:val="clear" w:color="auto" w:fill="C6EFCE"/>
            <w:noWrap/>
          </w:tcPr>
          <w:p w14:paraId="2827BAD5" w14:textId="77777777" w:rsidR="00FA7C11" w:rsidRDefault="00D84965">
            <w:pPr>
              <w:pStyle w:val="P68B1DB1-Normal89"/>
              <w:spacing w:after="200" w:line="276" w:lineRule="auto"/>
              <w:jc w:val="center"/>
              <w:rPr>
                <w:rFonts w:eastAsia="Calibri"/>
                <w:noProof/>
              </w:rPr>
            </w:pPr>
            <w:r>
              <w:rPr>
                <w:noProof/>
              </w:rPr>
              <w:t>2024</w:t>
            </w:r>
          </w:p>
        </w:tc>
        <w:tc>
          <w:tcPr>
            <w:tcW w:w="4917" w:type="dxa"/>
            <w:tcBorders>
              <w:top w:val="single" w:sz="4" w:space="0" w:color="auto"/>
              <w:left w:val="nil"/>
              <w:bottom w:val="single" w:sz="4" w:space="0" w:color="auto"/>
              <w:right w:val="single" w:sz="4" w:space="0" w:color="auto"/>
            </w:tcBorders>
            <w:shd w:val="clear" w:color="auto" w:fill="C6EFCE"/>
            <w:noWrap/>
          </w:tcPr>
          <w:p w14:paraId="17373F18" w14:textId="77777777" w:rsidR="00FA7C11" w:rsidRDefault="00D84965">
            <w:pPr>
              <w:pStyle w:val="P68B1DB1-Normal70"/>
              <w:spacing w:after="200" w:line="276" w:lineRule="auto"/>
              <w:rPr>
                <w:noProof/>
              </w:rPr>
            </w:pPr>
            <w:r>
              <w:rPr>
                <w:noProof/>
              </w:rPr>
              <w:t>Apele croate adoptă Planul național de acțiune pentru reducerea pierderilor și îl publică pe pagina lor web. Planul național de acțiune include lista activităților planificate pentru reducerea pierderilor de apă, inclusiv estimări ale investițiilor și surse de finanțare. Planul acoperă perioada 2024-2026, cu o perspectivă pentru 2030, în conformitate cu Programul multianual de construcție pentru tratarea apei și a apelor urbane reziduale din 2030.</w:t>
            </w:r>
          </w:p>
        </w:tc>
      </w:tr>
      <w:tr w:rsidR="00FA7C11" w14:paraId="20197223"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1E32F0C" w14:textId="77777777" w:rsidR="00FA7C11" w:rsidRDefault="00D84965">
            <w:pPr>
              <w:pStyle w:val="P68B1DB1-Normal89"/>
              <w:spacing w:after="0" w:line="240" w:lineRule="auto"/>
              <w:jc w:val="center"/>
              <w:textAlignment w:val="baseline"/>
              <w:rPr>
                <w:rFonts w:eastAsia="Times New Roman"/>
                <w:noProof/>
              </w:rPr>
            </w:pPr>
            <w:r>
              <w:rPr>
                <w:noProof/>
              </w:rPr>
              <w:t>383</w:t>
            </w:r>
          </w:p>
          <w:p w14:paraId="6390CE67"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1243" w:type="dxa"/>
            <w:tcBorders>
              <w:top w:val="single" w:sz="4" w:space="0" w:color="auto"/>
              <w:left w:val="nil"/>
              <w:bottom w:val="single" w:sz="4" w:space="0" w:color="auto"/>
              <w:right w:val="single" w:sz="4" w:space="0" w:color="auto"/>
            </w:tcBorders>
            <w:shd w:val="clear" w:color="auto" w:fill="C6EFCE"/>
            <w:noWrap/>
          </w:tcPr>
          <w:p w14:paraId="454B269A" w14:textId="77777777" w:rsidR="00FA7C11" w:rsidRDefault="00D84965">
            <w:pPr>
              <w:pStyle w:val="P68B1DB1-Normal76"/>
              <w:spacing w:after="200" w:line="276" w:lineRule="auto"/>
              <w:jc w:val="center"/>
              <w:rPr>
                <w:rFonts w:eastAsia="Calibri"/>
                <w:noProof/>
                <w:color w:val="000000"/>
              </w:rPr>
            </w:pPr>
            <w:r>
              <w:rPr>
                <w:noProof/>
              </w:rPr>
              <w:t xml:space="preserve">C1.3. R3 </w:t>
            </w:r>
          </w:p>
        </w:tc>
        <w:tc>
          <w:tcPr>
            <w:tcW w:w="1104" w:type="dxa"/>
            <w:tcBorders>
              <w:top w:val="single" w:sz="4" w:space="0" w:color="auto"/>
              <w:left w:val="nil"/>
              <w:bottom w:val="single" w:sz="4" w:space="0" w:color="auto"/>
              <w:right w:val="single" w:sz="4" w:space="0" w:color="auto"/>
            </w:tcBorders>
            <w:shd w:val="clear" w:color="auto" w:fill="C6EFCE"/>
            <w:noWrap/>
          </w:tcPr>
          <w:p w14:paraId="6F14ABF9" w14:textId="77777777" w:rsidR="00FA7C11" w:rsidRDefault="00D84965">
            <w:pPr>
              <w:pStyle w:val="P68B1DB1-Normal89"/>
              <w:spacing w:after="200" w:line="276" w:lineRule="auto"/>
              <w:jc w:val="center"/>
              <w:rPr>
                <w:rFonts w:eastAsia="Calibri"/>
                <w:noProof/>
                <w:color w:val="000000"/>
              </w:rPr>
            </w:pPr>
            <w:r>
              <w:rPr>
                <w:noProof/>
              </w:rPr>
              <w:t>M</w:t>
            </w:r>
          </w:p>
        </w:tc>
        <w:tc>
          <w:tcPr>
            <w:tcW w:w="1731" w:type="dxa"/>
            <w:tcBorders>
              <w:top w:val="single" w:sz="4" w:space="0" w:color="auto"/>
              <w:left w:val="nil"/>
              <w:bottom w:val="single" w:sz="4" w:space="0" w:color="auto"/>
              <w:right w:val="single" w:sz="4" w:space="0" w:color="auto"/>
            </w:tcBorders>
            <w:shd w:val="clear" w:color="auto" w:fill="C6EFCE"/>
            <w:noWrap/>
          </w:tcPr>
          <w:p w14:paraId="07165AFC" w14:textId="77777777" w:rsidR="00FA7C11" w:rsidRDefault="00D84965">
            <w:pPr>
              <w:pStyle w:val="P68B1DB1-Normal89"/>
              <w:spacing w:after="200" w:line="276" w:lineRule="auto"/>
              <w:rPr>
                <w:rFonts w:eastAsia="Calibri"/>
                <w:noProof/>
                <w:color w:val="000000"/>
              </w:rPr>
            </w:pPr>
            <w:r>
              <w:rPr>
                <w:noProof/>
              </w:rPr>
              <w:t>Autoritatea Națională de Monitorizare a Pierderilor de Apă Înființată</w:t>
            </w:r>
          </w:p>
        </w:tc>
        <w:tc>
          <w:tcPr>
            <w:tcW w:w="1843" w:type="dxa"/>
            <w:tcBorders>
              <w:top w:val="single" w:sz="4" w:space="0" w:color="auto"/>
              <w:left w:val="nil"/>
              <w:bottom w:val="single" w:sz="4" w:space="0" w:color="auto"/>
              <w:right w:val="single" w:sz="4" w:space="0" w:color="auto"/>
            </w:tcBorders>
            <w:shd w:val="clear" w:color="auto" w:fill="C6EFCE"/>
            <w:noWrap/>
          </w:tcPr>
          <w:p w14:paraId="7FAD1BD5" w14:textId="77777777" w:rsidR="00FA7C11" w:rsidRDefault="00D84965">
            <w:pPr>
              <w:pStyle w:val="P68B1DB1-Normal89"/>
              <w:spacing w:after="200" w:line="276" w:lineRule="auto"/>
              <w:rPr>
                <w:rFonts w:eastAsia="Calibri"/>
                <w:noProof/>
                <w:color w:val="000000"/>
              </w:rPr>
            </w:pPr>
            <w:r>
              <w:rPr>
                <w:noProof/>
              </w:rPr>
              <w:t>Înființarea Autorității Naționale de Monitorizare a Pierderilor de Apă</w:t>
            </w:r>
          </w:p>
        </w:tc>
        <w:tc>
          <w:tcPr>
            <w:tcW w:w="862" w:type="dxa"/>
            <w:tcBorders>
              <w:top w:val="single" w:sz="4" w:space="0" w:color="auto"/>
              <w:left w:val="nil"/>
              <w:bottom w:val="single" w:sz="4" w:space="0" w:color="auto"/>
              <w:right w:val="single" w:sz="4" w:space="0" w:color="auto"/>
            </w:tcBorders>
            <w:shd w:val="clear" w:color="auto" w:fill="C6EFCE"/>
            <w:noWrap/>
          </w:tcPr>
          <w:p w14:paraId="2F11B39D" w14:textId="77777777" w:rsidR="00FA7C11" w:rsidRDefault="00FA7C11">
            <w:pPr>
              <w:spacing w:after="200" w:line="276" w:lineRule="auto"/>
              <w:jc w:val="center"/>
              <w:rPr>
                <w:rFonts w:ascii="Times New Roman" w:eastAsia="Calibri" w:hAnsi="Times New Roman" w:cs="Times New Roman"/>
                <w:noProof/>
                <w:sz w:val="20"/>
                <w:szCs w:val="20"/>
              </w:rPr>
            </w:pPr>
          </w:p>
        </w:tc>
        <w:tc>
          <w:tcPr>
            <w:tcW w:w="839" w:type="dxa"/>
            <w:tcBorders>
              <w:top w:val="single" w:sz="4" w:space="0" w:color="auto"/>
              <w:left w:val="nil"/>
              <w:bottom w:val="single" w:sz="4" w:space="0" w:color="auto"/>
              <w:right w:val="single" w:sz="4" w:space="0" w:color="auto"/>
            </w:tcBorders>
            <w:shd w:val="clear" w:color="auto" w:fill="C6EFCE"/>
            <w:noWrap/>
          </w:tcPr>
          <w:p w14:paraId="552463FA"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701C54C5" w14:textId="77777777" w:rsidR="00FA7C11" w:rsidRDefault="00FA7C11">
            <w:pPr>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09ECF970" w14:textId="77777777" w:rsidR="00FA7C11" w:rsidRDefault="00D84965">
            <w:pPr>
              <w:pStyle w:val="P68B1DB1-Normal89"/>
              <w:spacing w:after="200" w:line="276" w:lineRule="auto"/>
              <w:jc w:val="center"/>
              <w:rPr>
                <w:rFonts w:eastAsia="Calibri"/>
                <w:noProof/>
                <w:color w:val="000000"/>
              </w:rPr>
            </w:pPr>
            <w:r>
              <w:rPr>
                <w:noProof/>
              </w:rPr>
              <w:t>Î4</w:t>
            </w:r>
          </w:p>
        </w:tc>
        <w:tc>
          <w:tcPr>
            <w:tcW w:w="993" w:type="dxa"/>
            <w:tcBorders>
              <w:top w:val="single" w:sz="4" w:space="0" w:color="auto"/>
              <w:left w:val="nil"/>
              <w:bottom w:val="single" w:sz="4" w:space="0" w:color="auto"/>
              <w:right w:val="single" w:sz="4" w:space="0" w:color="auto"/>
            </w:tcBorders>
            <w:shd w:val="clear" w:color="auto" w:fill="C6EFCE"/>
            <w:noWrap/>
          </w:tcPr>
          <w:p w14:paraId="6329F881" w14:textId="77777777" w:rsidR="00FA7C11" w:rsidRDefault="00D84965">
            <w:pPr>
              <w:pStyle w:val="P68B1DB1-Normal89"/>
              <w:spacing w:after="200" w:line="276" w:lineRule="auto"/>
              <w:jc w:val="center"/>
              <w:rPr>
                <w:rFonts w:eastAsia="Calibri"/>
                <w:noProof/>
                <w:color w:val="000000"/>
              </w:rPr>
            </w:pPr>
            <w:r>
              <w:rPr>
                <w:noProof/>
              </w:rPr>
              <w:t>2024</w:t>
            </w:r>
          </w:p>
        </w:tc>
        <w:tc>
          <w:tcPr>
            <w:tcW w:w="4917" w:type="dxa"/>
            <w:tcBorders>
              <w:top w:val="single" w:sz="4" w:space="0" w:color="auto"/>
              <w:left w:val="nil"/>
              <w:bottom w:val="single" w:sz="4" w:space="0" w:color="auto"/>
              <w:right w:val="single" w:sz="4" w:space="0" w:color="auto"/>
            </w:tcBorders>
            <w:shd w:val="clear" w:color="auto" w:fill="C6EFCE"/>
            <w:noWrap/>
          </w:tcPr>
          <w:p w14:paraId="5C2F5D41" w14:textId="77777777" w:rsidR="00FA7C11" w:rsidRDefault="00D84965">
            <w:pPr>
              <w:pStyle w:val="P68B1DB1-Normal70"/>
              <w:spacing w:after="200" w:line="276" w:lineRule="auto"/>
              <w:rPr>
                <w:noProof/>
                <w:color w:val="000000"/>
              </w:rPr>
            </w:pPr>
            <w:r>
              <w:rPr>
                <w:noProof/>
              </w:rPr>
              <w:t>Se înființează Autoritatea Națională de Monitorizare a Pierderilor de Apă, care are autoritatea de a supraveghea realizarea măsurilor prevăzute în Planul național de acțiune pentru reducerea pierderilor și de a verifica planurile de acțiune ale operatorilor din domeniul apei pentru reducerea pierderilor de apă.</w:t>
            </w:r>
          </w:p>
        </w:tc>
      </w:tr>
      <w:tr w:rsidR="00FA7C11" w14:paraId="0FC07E9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B3C754C" w14:textId="77777777" w:rsidR="00FA7C11" w:rsidRDefault="00D84965">
            <w:pPr>
              <w:pStyle w:val="P68B1DB1-Normal89"/>
              <w:spacing w:after="200" w:line="276" w:lineRule="auto"/>
              <w:jc w:val="center"/>
              <w:rPr>
                <w:rFonts w:eastAsia="Calibri"/>
                <w:noProof/>
              </w:rPr>
            </w:pPr>
            <w:r>
              <w:rPr>
                <w:noProof/>
              </w:rPr>
              <w:t>384</w:t>
            </w:r>
          </w:p>
        </w:tc>
        <w:tc>
          <w:tcPr>
            <w:tcW w:w="1243" w:type="dxa"/>
            <w:tcBorders>
              <w:top w:val="single" w:sz="4" w:space="0" w:color="auto"/>
              <w:left w:val="nil"/>
              <w:bottom w:val="single" w:sz="4" w:space="0" w:color="auto"/>
              <w:right w:val="single" w:sz="4" w:space="0" w:color="auto"/>
            </w:tcBorders>
            <w:shd w:val="clear" w:color="auto" w:fill="C6EFCE"/>
            <w:noWrap/>
          </w:tcPr>
          <w:p w14:paraId="296C8A26" w14:textId="77777777" w:rsidR="00FA7C11" w:rsidRDefault="00D84965">
            <w:pPr>
              <w:pStyle w:val="P68B1DB1-Normal76"/>
              <w:spacing w:after="200" w:line="276" w:lineRule="auto"/>
              <w:jc w:val="center"/>
              <w:rPr>
                <w:rFonts w:eastAsia="Calibri"/>
                <w:noProof/>
              </w:rPr>
            </w:pPr>
            <w:r>
              <w:rPr>
                <w:noProof/>
              </w:rPr>
              <w:t xml:space="preserve"> C1.3. R3 </w:t>
            </w:r>
          </w:p>
        </w:tc>
        <w:tc>
          <w:tcPr>
            <w:tcW w:w="1104" w:type="dxa"/>
            <w:tcBorders>
              <w:top w:val="single" w:sz="4" w:space="0" w:color="auto"/>
              <w:left w:val="nil"/>
              <w:bottom w:val="single" w:sz="4" w:space="0" w:color="auto"/>
              <w:right w:val="single" w:sz="4" w:space="0" w:color="auto"/>
            </w:tcBorders>
            <w:shd w:val="clear" w:color="auto" w:fill="C6EFCE"/>
            <w:noWrap/>
          </w:tcPr>
          <w:p w14:paraId="43FCADB8" w14:textId="77777777" w:rsidR="00FA7C11" w:rsidRDefault="00D84965">
            <w:pPr>
              <w:pStyle w:val="P68B1DB1-Normal89"/>
              <w:spacing w:after="200" w:line="276" w:lineRule="auto"/>
              <w:jc w:val="center"/>
              <w:rPr>
                <w:rFonts w:eastAsia="Calibri"/>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4FA1447C" w14:textId="77777777" w:rsidR="00FA7C11" w:rsidRDefault="00D84965">
            <w:pPr>
              <w:pStyle w:val="P68B1DB1-Normal89"/>
              <w:spacing w:after="200" w:line="276" w:lineRule="auto"/>
              <w:rPr>
                <w:rFonts w:eastAsia="Calibri"/>
                <w:noProof/>
              </w:rPr>
            </w:pPr>
            <w:r>
              <w:rPr>
                <w:noProof/>
              </w:rPr>
              <w:t>Adoptarea planurilor de acțiune pentru reducerea pierderilor de apă ale operatorilor din domeniul apei</w:t>
            </w:r>
          </w:p>
        </w:tc>
        <w:tc>
          <w:tcPr>
            <w:tcW w:w="1843" w:type="dxa"/>
            <w:tcBorders>
              <w:top w:val="single" w:sz="4" w:space="0" w:color="auto"/>
              <w:left w:val="nil"/>
              <w:bottom w:val="single" w:sz="4" w:space="0" w:color="auto"/>
              <w:right w:val="single" w:sz="4" w:space="0" w:color="auto"/>
            </w:tcBorders>
            <w:shd w:val="clear" w:color="auto" w:fill="C6EFCE"/>
            <w:noWrap/>
          </w:tcPr>
          <w:p w14:paraId="78CD1E50" w14:textId="77777777" w:rsidR="00FA7C11" w:rsidRDefault="00FA7C11">
            <w:pPr>
              <w:spacing w:after="200" w:line="276" w:lineRule="auto"/>
              <w:rPr>
                <w:rFonts w:ascii="Times New Roman" w:eastAsia="Calibri" w:hAnsi="Times New Roman" w:cs="Times New Roman"/>
                <w:noProof/>
                <w:sz w:val="20"/>
                <w:szCs w:val="20"/>
              </w:rPr>
            </w:pPr>
          </w:p>
        </w:tc>
        <w:tc>
          <w:tcPr>
            <w:tcW w:w="862" w:type="dxa"/>
            <w:tcBorders>
              <w:top w:val="single" w:sz="4" w:space="0" w:color="auto"/>
              <w:left w:val="nil"/>
              <w:bottom w:val="single" w:sz="4" w:space="0" w:color="auto"/>
              <w:right w:val="single" w:sz="4" w:space="0" w:color="auto"/>
            </w:tcBorders>
            <w:shd w:val="clear" w:color="auto" w:fill="C6EFCE"/>
            <w:noWrap/>
          </w:tcPr>
          <w:p w14:paraId="7010D806" w14:textId="77777777" w:rsidR="00FA7C11" w:rsidRDefault="00D84965">
            <w:pPr>
              <w:pStyle w:val="P68B1DB1-Normal89"/>
              <w:spacing w:after="200" w:line="276" w:lineRule="auto"/>
              <w:jc w:val="center"/>
              <w:rPr>
                <w:rFonts w:eastAsia="Calibri"/>
                <w:noProof/>
              </w:rPr>
            </w:pPr>
            <w:r>
              <w:rPr>
                <w:noProof/>
              </w:rPr>
              <w:t>Număr</w:t>
            </w:r>
          </w:p>
        </w:tc>
        <w:tc>
          <w:tcPr>
            <w:tcW w:w="839" w:type="dxa"/>
            <w:tcBorders>
              <w:top w:val="single" w:sz="4" w:space="0" w:color="auto"/>
              <w:left w:val="nil"/>
              <w:bottom w:val="single" w:sz="4" w:space="0" w:color="auto"/>
              <w:right w:val="single" w:sz="4" w:space="0" w:color="auto"/>
            </w:tcBorders>
            <w:shd w:val="clear" w:color="auto" w:fill="C6EFCE"/>
            <w:noWrap/>
          </w:tcPr>
          <w:p w14:paraId="513C4CD9" w14:textId="77777777" w:rsidR="00FA7C11" w:rsidRDefault="00D84965">
            <w:pPr>
              <w:pStyle w:val="P68B1DB1-Normal89"/>
              <w:spacing w:after="200" w:line="276" w:lineRule="auto"/>
              <w:jc w:val="center"/>
              <w:rPr>
                <w:rFonts w:eastAsia="Calibri"/>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115D059D" w14:textId="77777777" w:rsidR="00FA7C11" w:rsidRDefault="00D84965">
            <w:pPr>
              <w:pStyle w:val="P68B1DB1-Normal89"/>
              <w:spacing w:after="200" w:line="276" w:lineRule="auto"/>
              <w:jc w:val="center"/>
              <w:rPr>
                <w:rFonts w:eastAsia="Calibri"/>
                <w:noProof/>
              </w:rPr>
            </w:pPr>
            <w:r>
              <w:rPr>
                <w:noProof/>
              </w:rPr>
              <w:t>40</w:t>
            </w:r>
          </w:p>
        </w:tc>
        <w:tc>
          <w:tcPr>
            <w:tcW w:w="756" w:type="dxa"/>
            <w:tcBorders>
              <w:top w:val="single" w:sz="4" w:space="0" w:color="auto"/>
              <w:left w:val="nil"/>
              <w:bottom w:val="single" w:sz="4" w:space="0" w:color="auto"/>
              <w:right w:val="single" w:sz="4" w:space="0" w:color="auto"/>
            </w:tcBorders>
            <w:shd w:val="clear" w:color="auto" w:fill="C6EFCE"/>
            <w:noWrap/>
          </w:tcPr>
          <w:p w14:paraId="38AD1747" w14:textId="77777777" w:rsidR="00FA7C11" w:rsidRDefault="00D84965">
            <w:pPr>
              <w:pStyle w:val="P68B1DB1-Normal89"/>
              <w:spacing w:line="240" w:lineRule="auto"/>
              <w:jc w:val="center"/>
              <w:rPr>
                <w:rFonts w:eastAsia="Calibri"/>
                <w:noProof/>
              </w:rPr>
            </w:pPr>
            <w:r>
              <w:rPr>
                <w:noProof/>
              </w:rPr>
              <w:t>Î4</w:t>
            </w:r>
          </w:p>
        </w:tc>
        <w:tc>
          <w:tcPr>
            <w:tcW w:w="993" w:type="dxa"/>
            <w:tcBorders>
              <w:top w:val="single" w:sz="4" w:space="0" w:color="auto"/>
              <w:left w:val="nil"/>
              <w:bottom w:val="single" w:sz="4" w:space="0" w:color="auto"/>
              <w:right w:val="single" w:sz="4" w:space="0" w:color="auto"/>
            </w:tcBorders>
            <w:shd w:val="clear" w:color="auto" w:fill="C6EFCE"/>
            <w:noWrap/>
          </w:tcPr>
          <w:p w14:paraId="6362BDF5" w14:textId="77777777" w:rsidR="00FA7C11" w:rsidRDefault="00D84965">
            <w:pPr>
              <w:pStyle w:val="P68B1DB1-Normal89"/>
              <w:spacing w:line="240" w:lineRule="auto"/>
              <w:jc w:val="center"/>
              <w:rPr>
                <w:rFonts w:eastAsia="Calibri"/>
                <w:noProof/>
              </w:rPr>
            </w:pPr>
            <w:r>
              <w:rPr>
                <w:noProof/>
              </w:rPr>
              <w:t>2025</w:t>
            </w:r>
          </w:p>
        </w:tc>
        <w:tc>
          <w:tcPr>
            <w:tcW w:w="4917" w:type="dxa"/>
            <w:tcBorders>
              <w:top w:val="single" w:sz="4" w:space="0" w:color="auto"/>
              <w:left w:val="nil"/>
              <w:bottom w:val="single" w:sz="4" w:space="0" w:color="auto"/>
              <w:right w:val="single" w:sz="4" w:space="0" w:color="auto"/>
            </w:tcBorders>
            <w:shd w:val="clear" w:color="auto" w:fill="C6EFCE"/>
            <w:noWrap/>
          </w:tcPr>
          <w:p w14:paraId="5E1E3E90" w14:textId="77777777" w:rsidR="00FA7C11" w:rsidRDefault="00D84965">
            <w:pPr>
              <w:pStyle w:val="P68B1DB1-Normal89"/>
              <w:spacing w:after="0" w:line="240" w:lineRule="auto"/>
              <w:textAlignment w:val="baseline"/>
              <w:rPr>
                <w:noProof/>
              </w:rPr>
            </w:pPr>
            <w:r>
              <w:rPr>
                <w:noProof/>
              </w:rPr>
              <w:t xml:space="preserve">Se adoptă cel puțin 40 planuri de acțiune individuale de reducere a pierderilor de apă ale operatorilor din domeniul apei. </w:t>
            </w:r>
          </w:p>
          <w:p w14:paraId="4952FCFE" w14:textId="77777777" w:rsidR="00FA7C11" w:rsidRDefault="00D84965">
            <w:pPr>
              <w:pStyle w:val="P68B1DB1-Normal89"/>
              <w:spacing w:after="200" w:line="276" w:lineRule="auto"/>
              <w:rPr>
                <w:rFonts w:eastAsia="Calibri"/>
                <w:noProof/>
              </w:rPr>
            </w:pPr>
            <w:r>
              <w:rPr>
                <w:noProof/>
              </w:rPr>
              <w:t xml:space="preserve">Fiecare plan include scheme și planuri organizaționale pentru educarea angajaților, măsuri de îmbunătățire a datelor de sistem, măsuri de optimizare a sistemului de alimentare cu apă, măsuri active de control al scurgerilor, măsuri de abordare a pierderilor aparente, măsuri de planificare și de înlocuire a rețelei. </w:t>
            </w:r>
          </w:p>
        </w:tc>
      </w:tr>
      <w:tr w:rsidR="00FA7C11" w14:paraId="6A962E84"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6C4D997" w14:textId="47DB6867" w:rsidR="00FA7C11" w:rsidRDefault="00D84965">
            <w:pPr>
              <w:pStyle w:val="P68B1DB1-Normal89"/>
              <w:spacing w:after="200" w:line="276" w:lineRule="auto"/>
              <w:jc w:val="center"/>
              <w:rPr>
                <w:noProof/>
              </w:rPr>
            </w:pPr>
            <w:r>
              <w:rPr>
                <w:noProof/>
              </w:rPr>
              <w:t xml:space="preserve">385 </w:t>
            </w:r>
          </w:p>
        </w:tc>
        <w:tc>
          <w:tcPr>
            <w:tcW w:w="1243" w:type="dxa"/>
            <w:tcBorders>
              <w:top w:val="single" w:sz="4" w:space="0" w:color="auto"/>
              <w:left w:val="nil"/>
              <w:bottom w:val="single" w:sz="4" w:space="0" w:color="auto"/>
              <w:right w:val="single" w:sz="4" w:space="0" w:color="auto"/>
            </w:tcBorders>
            <w:shd w:val="clear" w:color="auto" w:fill="C6EFCE"/>
            <w:noWrap/>
          </w:tcPr>
          <w:p w14:paraId="28DC704A" w14:textId="77777777" w:rsidR="00FA7C11" w:rsidRDefault="00D84965">
            <w:pPr>
              <w:pStyle w:val="P68B1DB1-Normal89"/>
              <w:spacing w:after="200" w:line="276" w:lineRule="auto"/>
              <w:jc w:val="center"/>
              <w:rPr>
                <w:rFonts w:eastAsia="Times New Roman"/>
                <w:noProof/>
              </w:rPr>
            </w:pPr>
            <w:r>
              <w:rPr>
                <w:noProof/>
              </w:rPr>
              <w:t>C1.3. R3</w:t>
            </w:r>
          </w:p>
        </w:tc>
        <w:tc>
          <w:tcPr>
            <w:tcW w:w="1104" w:type="dxa"/>
            <w:tcBorders>
              <w:top w:val="single" w:sz="4" w:space="0" w:color="auto"/>
              <w:left w:val="nil"/>
              <w:bottom w:val="single" w:sz="4" w:space="0" w:color="auto"/>
              <w:right w:val="single" w:sz="4" w:space="0" w:color="auto"/>
            </w:tcBorders>
            <w:shd w:val="clear" w:color="auto" w:fill="C6EFCE"/>
            <w:noWrap/>
          </w:tcPr>
          <w:p w14:paraId="2BCC9915" w14:textId="77777777" w:rsidR="00FA7C11" w:rsidRDefault="00D84965">
            <w:pPr>
              <w:pStyle w:val="P68B1DB1-Normal89"/>
              <w:spacing w:after="200" w:line="276" w:lineRule="auto"/>
              <w:jc w:val="center"/>
              <w:rPr>
                <w:noProof/>
              </w:rPr>
            </w:pPr>
            <w:r>
              <w:rPr>
                <w:noProof/>
              </w:rPr>
              <w:t>M</w:t>
            </w:r>
          </w:p>
        </w:tc>
        <w:tc>
          <w:tcPr>
            <w:tcW w:w="1731" w:type="dxa"/>
            <w:tcBorders>
              <w:top w:val="single" w:sz="4" w:space="0" w:color="auto"/>
              <w:left w:val="nil"/>
              <w:bottom w:val="single" w:sz="4" w:space="0" w:color="auto"/>
              <w:right w:val="single" w:sz="4" w:space="0" w:color="auto"/>
            </w:tcBorders>
            <w:shd w:val="clear" w:color="auto" w:fill="C6EFCE"/>
            <w:noWrap/>
          </w:tcPr>
          <w:p w14:paraId="63197811" w14:textId="55F673E0" w:rsidR="00FA7C11" w:rsidRDefault="00D84965">
            <w:pPr>
              <w:pStyle w:val="P68B1DB1-Normal76"/>
              <w:spacing w:after="200" w:line="276" w:lineRule="auto"/>
              <w:rPr>
                <w:noProof/>
              </w:rPr>
            </w:pPr>
            <w:r>
              <w:rPr>
                <w:noProof/>
              </w:rPr>
              <w:t>Intrarea în vigoare a Regulamentului privind Consiliul pentru servicii în domeniul apei</w:t>
            </w:r>
          </w:p>
        </w:tc>
        <w:tc>
          <w:tcPr>
            <w:tcW w:w="1843" w:type="dxa"/>
            <w:tcBorders>
              <w:top w:val="single" w:sz="4" w:space="0" w:color="auto"/>
              <w:left w:val="nil"/>
              <w:bottom w:val="single" w:sz="4" w:space="0" w:color="auto"/>
              <w:right w:val="single" w:sz="4" w:space="0" w:color="auto"/>
            </w:tcBorders>
            <w:shd w:val="clear" w:color="auto" w:fill="C6EFCE"/>
            <w:noWrap/>
          </w:tcPr>
          <w:p w14:paraId="63202247" w14:textId="1E326E88" w:rsidR="00FA7C11" w:rsidRDefault="00D84965">
            <w:pPr>
              <w:pStyle w:val="P68B1DB1-Normal89"/>
              <w:spacing w:after="200" w:line="276" w:lineRule="auto"/>
              <w:rPr>
                <w:rFonts w:eastAsia="Calibri"/>
                <w:noProof/>
              </w:rPr>
            </w:pPr>
            <w:r>
              <w:rPr>
                <w:noProof/>
              </w:rPr>
              <w:t xml:space="preserve">Dispoziție din Regulamentul privind Consiliul pentru servicii în domeniul apei care indică intrarea sa în vigoare </w:t>
            </w:r>
          </w:p>
        </w:tc>
        <w:tc>
          <w:tcPr>
            <w:tcW w:w="862" w:type="dxa"/>
            <w:tcBorders>
              <w:top w:val="single" w:sz="4" w:space="0" w:color="auto"/>
              <w:left w:val="nil"/>
              <w:bottom w:val="single" w:sz="4" w:space="0" w:color="auto"/>
              <w:right w:val="single" w:sz="4" w:space="0" w:color="auto"/>
            </w:tcBorders>
            <w:shd w:val="clear" w:color="auto" w:fill="C6EFCE"/>
            <w:noWrap/>
          </w:tcPr>
          <w:p w14:paraId="62CFF288" w14:textId="77777777" w:rsidR="00FA7C11" w:rsidRDefault="00FA7C11">
            <w:pPr>
              <w:spacing w:after="200" w:line="276" w:lineRule="auto"/>
              <w:jc w:val="center"/>
              <w:rPr>
                <w:rFonts w:ascii="Times New Roman" w:hAnsi="Times New Roman" w:cs="Times New Roman"/>
                <w:noProof/>
                <w:sz w:val="20"/>
                <w:szCs w:val="20"/>
              </w:rPr>
            </w:pPr>
          </w:p>
        </w:tc>
        <w:tc>
          <w:tcPr>
            <w:tcW w:w="839" w:type="dxa"/>
            <w:tcBorders>
              <w:top w:val="single" w:sz="4" w:space="0" w:color="auto"/>
              <w:left w:val="nil"/>
              <w:bottom w:val="single" w:sz="4" w:space="0" w:color="auto"/>
              <w:right w:val="single" w:sz="4" w:space="0" w:color="auto"/>
            </w:tcBorders>
            <w:shd w:val="clear" w:color="auto" w:fill="C6EFCE"/>
            <w:noWrap/>
          </w:tcPr>
          <w:p w14:paraId="5E982518" w14:textId="77777777" w:rsidR="00FA7C11" w:rsidRDefault="00FA7C11">
            <w:pPr>
              <w:spacing w:after="200" w:line="276" w:lineRule="auto"/>
              <w:jc w:val="center"/>
              <w:rPr>
                <w:rFonts w:ascii="Times New Roman"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0DD3F3D2" w14:textId="77777777" w:rsidR="00FA7C11" w:rsidRDefault="00FA7C11">
            <w:pPr>
              <w:spacing w:after="200" w:line="276" w:lineRule="auto"/>
              <w:jc w:val="center"/>
              <w:rPr>
                <w:rFonts w:ascii="Times New Roman"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173D7A8F" w14:textId="77777777" w:rsidR="00FA7C11" w:rsidRDefault="00D84965">
            <w:pPr>
              <w:pStyle w:val="P68B1DB1-Normal89"/>
              <w:spacing w:line="240" w:lineRule="auto"/>
              <w:jc w:val="center"/>
              <w:rPr>
                <w:noProof/>
              </w:rPr>
            </w:pPr>
            <w:r>
              <w:rPr>
                <w:noProof/>
              </w:rPr>
              <w:t>Î1</w:t>
            </w:r>
          </w:p>
        </w:tc>
        <w:tc>
          <w:tcPr>
            <w:tcW w:w="993" w:type="dxa"/>
            <w:tcBorders>
              <w:top w:val="single" w:sz="4" w:space="0" w:color="auto"/>
              <w:left w:val="nil"/>
              <w:bottom w:val="single" w:sz="4" w:space="0" w:color="auto"/>
              <w:right w:val="single" w:sz="4" w:space="0" w:color="auto"/>
            </w:tcBorders>
            <w:shd w:val="clear" w:color="auto" w:fill="C6EFCE"/>
            <w:noWrap/>
          </w:tcPr>
          <w:p w14:paraId="2C938D6D" w14:textId="77777777" w:rsidR="00FA7C11" w:rsidRDefault="00D84965">
            <w:pPr>
              <w:pStyle w:val="P68B1DB1-Normal76"/>
              <w:spacing w:line="240" w:lineRule="auto"/>
              <w:jc w:val="center"/>
              <w:rPr>
                <w:noProof/>
              </w:rPr>
            </w:pPr>
            <w:r>
              <w:rPr>
                <w:noProof/>
              </w:rPr>
              <w:t>2024</w:t>
            </w:r>
          </w:p>
        </w:tc>
        <w:tc>
          <w:tcPr>
            <w:tcW w:w="4917" w:type="dxa"/>
            <w:tcBorders>
              <w:top w:val="single" w:sz="4" w:space="0" w:color="auto"/>
              <w:left w:val="nil"/>
              <w:bottom w:val="single" w:sz="4" w:space="0" w:color="auto"/>
              <w:right w:val="single" w:sz="4" w:space="0" w:color="auto"/>
            </w:tcBorders>
            <w:shd w:val="clear" w:color="auto" w:fill="C6EFCE"/>
            <w:noWrap/>
          </w:tcPr>
          <w:p w14:paraId="33A56165" w14:textId="77777777" w:rsidR="00FA7C11" w:rsidRDefault="00D84965">
            <w:pPr>
              <w:pStyle w:val="P68B1DB1-Normal76"/>
              <w:spacing w:after="0" w:line="240" w:lineRule="auto"/>
              <w:textAlignment w:val="baseline"/>
              <w:rPr>
                <w:noProof/>
              </w:rPr>
            </w:pPr>
            <w:r>
              <w:rPr>
                <w:noProof/>
              </w:rPr>
              <w:t>Regulamentul privind Consiliul pentru servicii în domeniul apei intră în vigoare. Acesta prevede publicarea obligatorie a deciziilor Consiliului pentru servicii în domeniul apei, publicarea obligatorie a interpretărilor competente ale Legii serviciilor în domeniul apei, ale Legii privind finanțarea gospodăririi apelor și ale statutului autorității de reglementare și prevede, de asemenea, formarea profesională obligatorie a personalului.</w:t>
            </w:r>
          </w:p>
        </w:tc>
      </w:tr>
      <w:tr w:rsidR="00FA7C11" w14:paraId="1933E1B7"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E835B17" w14:textId="2617A476" w:rsidR="00FA7C11" w:rsidRDefault="00D84965">
            <w:pPr>
              <w:pStyle w:val="P68B1DB1-Normal89"/>
              <w:spacing w:after="200" w:line="276" w:lineRule="auto"/>
              <w:jc w:val="center"/>
              <w:rPr>
                <w:noProof/>
              </w:rPr>
            </w:pPr>
            <w:r>
              <w:rPr>
                <w:noProof/>
              </w:rPr>
              <w:t xml:space="preserve">386 </w:t>
            </w:r>
          </w:p>
        </w:tc>
        <w:tc>
          <w:tcPr>
            <w:tcW w:w="1243" w:type="dxa"/>
            <w:tcBorders>
              <w:top w:val="single" w:sz="4" w:space="0" w:color="auto"/>
              <w:left w:val="nil"/>
              <w:bottom w:val="single" w:sz="4" w:space="0" w:color="auto"/>
              <w:right w:val="single" w:sz="4" w:space="0" w:color="auto"/>
            </w:tcBorders>
            <w:shd w:val="clear" w:color="auto" w:fill="C6EFCE"/>
            <w:noWrap/>
          </w:tcPr>
          <w:p w14:paraId="304A52BB" w14:textId="77777777" w:rsidR="00FA7C11" w:rsidRDefault="00D84965">
            <w:pPr>
              <w:pStyle w:val="P68B1DB1-Normal89"/>
              <w:spacing w:after="200" w:line="276" w:lineRule="auto"/>
              <w:jc w:val="center"/>
              <w:rPr>
                <w:noProof/>
              </w:rPr>
            </w:pPr>
            <w:r>
              <w:rPr>
                <w:noProof/>
              </w:rPr>
              <w:t>C1.3. R3</w:t>
            </w:r>
          </w:p>
        </w:tc>
        <w:tc>
          <w:tcPr>
            <w:tcW w:w="1104" w:type="dxa"/>
            <w:tcBorders>
              <w:top w:val="single" w:sz="4" w:space="0" w:color="auto"/>
              <w:left w:val="nil"/>
              <w:bottom w:val="single" w:sz="4" w:space="0" w:color="auto"/>
              <w:right w:val="single" w:sz="4" w:space="0" w:color="auto"/>
            </w:tcBorders>
            <w:shd w:val="clear" w:color="auto" w:fill="C6EFCE"/>
            <w:noWrap/>
          </w:tcPr>
          <w:p w14:paraId="2E548D73" w14:textId="77777777" w:rsidR="00FA7C11" w:rsidRDefault="00D84965">
            <w:pPr>
              <w:pStyle w:val="P68B1DB1-Normal76"/>
              <w:spacing w:after="200" w:line="276" w:lineRule="auto"/>
              <w:jc w:val="center"/>
              <w:rPr>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7CC3537C" w14:textId="77777777" w:rsidR="00FA7C11" w:rsidRDefault="00D84965">
            <w:pPr>
              <w:pStyle w:val="P68B1DB1-Normal70"/>
              <w:spacing w:after="200" w:line="276" w:lineRule="auto"/>
              <w:rPr>
                <w:rFonts w:eastAsia="Times New Roman"/>
                <w:noProof/>
              </w:rPr>
            </w:pPr>
            <w:r>
              <w:rPr>
                <w:noProof/>
              </w:rPr>
              <w:t>Consolidarea capacităților Consiliului pentru servicii în domeniul apei</w:t>
            </w:r>
          </w:p>
        </w:tc>
        <w:tc>
          <w:tcPr>
            <w:tcW w:w="1843" w:type="dxa"/>
            <w:tcBorders>
              <w:top w:val="single" w:sz="4" w:space="0" w:color="auto"/>
              <w:left w:val="nil"/>
              <w:bottom w:val="single" w:sz="4" w:space="0" w:color="auto"/>
              <w:right w:val="single" w:sz="4" w:space="0" w:color="auto"/>
            </w:tcBorders>
            <w:shd w:val="clear" w:color="auto" w:fill="C6EFCE"/>
            <w:noWrap/>
          </w:tcPr>
          <w:p w14:paraId="6C66ACA9" w14:textId="77777777" w:rsidR="00FA7C11" w:rsidRDefault="00FA7C11">
            <w:pPr>
              <w:spacing w:after="200" w:line="276" w:lineRule="auto"/>
              <w:rPr>
                <w:rFonts w:ascii="Times New Roman" w:eastAsia="Times New Roman" w:hAnsi="Times New Roman" w:cs="Times New Roman"/>
                <w:noProof/>
                <w:sz w:val="20"/>
                <w:szCs w:val="20"/>
              </w:rPr>
            </w:pPr>
          </w:p>
        </w:tc>
        <w:tc>
          <w:tcPr>
            <w:tcW w:w="862" w:type="dxa"/>
            <w:tcBorders>
              <w:top w:val="single" w:sz="4" w:space="0" w:color="auto"/>
              <w:left w:val="nil"/>
              <w:bottom w:val="single" w:sz="4" w:space="0" w:color="auto"/>
              <w:right w:val="single" w:sz="4" w:space="0" w:color="auto"/>
            </w:tcBorders>
            <w:shd w:val="clear" w:color="auto" w:fill="C6EFCE"/>
            <w:noWrap/>
          </w:tcPr>
          <w:p w14:paraId="39FACFE6" w14:textId="77777777" w:rsidR="00FA7C11" w:rsidRDefault="00D84965">
            <w:pPr>
              <w:pStyle w:val="P68B1DB1-Normal76"/>
              <w:spacing w:after="200" w:line="276" w:lineRule="auto"/>
              <w:jc w:val="center"/>
              <w:rPr>
                <w:noProof/>
              </w:rPr>
            </w:pPr>
            <w:r>
              <w:rPr>
                <w:noProof/>
              </w:rPr>
              <w:t>Număr</w:t>
            </w:r>
          </w:p>
        </w:tc>
        <w:tc>
          <w:tcPr>
            <w:tcW w:w="839" w:type="dxa"/>
            <w:tcBorders>
              <w:top w:val="single" w:sz="4" w:space="0" w:color="auto"/>
              <w:left w:val="nil"/>
              <w:bottom w:val="single" w:sz="4" w:space="0" w:color="auto"/>
              <w:right w:val="single" w:sz="4" w:space="0" w:color="auto"/>
            </w:tcBorders>
            <w:shd w:val="clear" w:color="auto" w:fill="C6EFCE"/>
            <w:noWrap/>
          </w:tcPr>
          <w:p w14:paraId="660671CF" w14:textId="77777777" w:rsidR="00FA7C11" w:rsidRDefault="00D84965">
            <w:pPr>
              <w:pStyle w:val="P68B1DB1-Normal76"/>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20490870" w14:textId="77777777" w:rsidR="00FA7C11" w:rsidRDefault="00D84965">
            <w:pPr>
              <w:pStyle w:val="P68B1DB1-Normal76"/>
              <w:spacing w:after="200" w:line="276" w:lineRule="auto"/>
              <w:jc w:val="center"/>
              <w:rPr>
                <w:noProof/>
              </w:rPr>
            </w:pPr>
            <w:r>
              <w:rPr>
                <w:noProof/>
              </w:rPr>
              <w:t>7</w:t>
            </w:r>
          </w:p>
        </w:tc>
        <w:tc>
          <w:tcPr>
            <w:tcW w:w="756" w:type="dxa"/>
            <w:tcBorders>
              <w:top w:val="single" w:sz="4" w:space="0" w:color="auto"/>
              <w:left w:val="nil"/>
              <w:bottom w:val="single" w:sz="4" w:space="0" w:color="auto"/>
              <w:right w:val="single" w:sz="4" w:space="0" w:color="auto"/>
            </w:tcBorders>
            <w:shd w:val="clear" w:color="auto" w:fill="C6EFCE"/>
            <w:noWrap/>
          </w:tcPr>
          <w:p w14:paraId="2CD57C4B" w14:textId="77777777" w:rsidR="00FA7C11" w:rsidRDefault="00D84965">
            <w:pPr>
              <w:pStyle w:val="P68B1DB1-Normal76"/>
              <w:spacing w:line="240" w:lineRule="auto"/>
              <w:jc w:val="center"/>
              <w:rPr>
                <w:noProof/>
              </w:rPr>
            </w:pPr>
            <w:r>
              <w:rPr>
                <w:noProof/>
              </w:rPr>
              <w:t>Î4</w:t>
            </w:r>
          </w:p>
        </w:tc>
        <w:tc>
          <w:tcPr>
            <w:tcW w:w="993" w:type="dxa"/>
            <w:tcBorders>
              <w:top w:val="single" w:sz="4" w:space="0" w:color="auto"/>
              <w:left w:val="nil"/>
              <w:bottom w:val="single" w:sz="4" w:space="0" w:color="auto"/>
              <w:right w:val="single" w:sz="4" w:space="0" w:color="auto"/>
            </w:tcBorders>
            <w:shd w:val="clear" w:color="auto" w:fill="C6EFCE"/>
            <w:noWrap/>
          </w:tcPr>
          <w:p w14:paraId="150E074A" w14:textId="77777777" w:rsidR="00FA7C11" w:rsidRDefault="00D84965">
            <w:pPr>
              <w:pStyle w:val="P68B1DB1-Normal76"/>
              <w:spacing w:line="240" w:lineRule="auto"/>
              <w:jc w:val="center"/>
              <w:rPr>
                <w:noProof/>
              </w:rPr>
            </w:pPr>
            <w:r>
              <w:rPr>
                <w:noProof/>
              </w:rPr>
              <w:t>2024</w:t>
            </w:r>
          </w:p>
        </w:tc>
        <w:tc>
          <w:tcPr>
            <w:tcW w:w="4917" w:type="dxa"/>
            <w:tcBorders>
              <w:top w:val="single" w:sz="4" w:space="0" w:color="auto"/>
              <w:left w:val="nil"/>
              <w:bottom w:val="single" w:sz="4" w:space="0" w:color="auto"/>
              <w:right w:val="single" w:sz="4" w:space="0" w:color="auto"/>
            </w:tcBorders>
            <w:shd w:val="clear" w:color="auto" w:fill="C6EFCE"/>
            <w:noWrap/>
          </w:tcPr>
          <w:p w14:paraId="563A64A5" w14:textId="77777777" w:rsidR="00FA7C11" w:rsidRDefault="00D84965">
            <w:pPr>
              <w:pStyle w:val="P68B1DB1-Normal70"/>
              <w:spacing w:after="0" w:line="240" w:lineRule="auto"/>
              <w:textAlignment w:val="baseline"/>
              <w:rPr>
                <w:rFonts w:eastAsia="Times New Roman"/>
                <w:noProof/>
              </w:rPr>
            </w:pPr>
            <w:r>
              <w:rPr>
                <w:noProof/>
              </w:rPr>
              <w:t xml:space="preserve">Consiliul pentru servicii în domeniul apei recrutează cel puțin șapte membri ai personalului cu normă întreagă, fără a include consilierii numiți. </w:t>
            </w:r>
          </w:p>
        </w:tc>
      </w:tr>
      <w:tr w:rsidR="00FA7C11" w14:paraId="42A7904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666DFCD" w14:textId="284F4FE1" w:rsidR="00FA7C11" w:rsidRDefault="00D84965">
            <w:pPr>
              <w:pStyle w:val="P68B1DB1-Normal89"/>
              <w:spacing w:after="200" w:line="276" w:lineRule="auto"/>
              <w:jc w:val="center"/>
              <w:rPr>
                <w:noProof/>
              </w:rPr>
            </w:pPr>
            <w:r>
              <w:rPr>
                <w:noProof/>
              </w:rPr>
              <w:t xml:space="preserve">388 </w:t>
            </w:r>
          </w:p>
        </w:tc>
        <w:tc>
          <w:tcPr>
            <w:tcW w:w="1243" w:type="dxa"/>
            <w:tcBorders>
              <w:top w:val="single" w:sz="4" w:space="0" w:color="auto"/>
              <w:left w:val="nil"/>
              <w:bottom w:val="single" w:sz="4" w:space="0" w:color="auto"/>
              <w:right w:val="single" w:sz="4" w:space="0" w:color="auto"/>
            </w:tcBorders>
            <w:shd w:val="clear" w:color="auto" w:fill="C6EFCE"/>
            <w:noWrap/>
          </w:tcPr>
          <w:p w14:paraId="63A4AFC2" w14:textId="77777777" w:rsidR="00FA7C11" w:rsidRDefault="00D84965">
            <w:pPr>
              <w:pStyle w:val="P68B1DB1-Normal89"/>
              <w:spacing w:after="200" w:line="276" w:lineRule="auto"/>
              <w:jc w:val="center"/>
              <w:rPr>
                <w:noProof/>
              </w:rPr>
            </w:pPr>
            <w:r>
              <w:rPr>
                <w:noProof/>
              </w:rPr>
              <w:t>C1.3. R3-I1</w:t>
            </w:r>
          </w:p>
        </w:tc>
        <w:tc>
          <w:tcPr>
            <w:tcW w:w="1104" w:type="dxa"/>
            <w:tcBorders>
              <w:top w:val="single" w:sz="4" w:space="0" w:color="auto"/>
              <w:left w:val="nil"/>
              <w:bottom w:val="single" w:sz="4" w:space="0" w:color="auto"/>
              <w:right w:val="single" w:sz="4" w:space="0" w:color="auto"/>
            </w:tcBorders>
            <w:shd w:val="clear" w:color="auto" w:fill="C6EFCE"/>
            <w:noWrap/>
          </w:tcPr>
          <w:p w14:paraId="3FF7A215" w14:textId="77777777" w:rsidR="00FA7C11" w:rsidRDefault="00D84965">
            <w:pPr>
              <w:pStyle w:val="P68B1DB1-Normal76"/>
              <w:spacing w:after="0" w:line="240" w:lineRule="auto"/>
              <w:jc w:val="center"/>
              <w:rPr>
                <w:noProof/>
              </w:rPr>
            </w:pPr>
            <w:r>
              <w:rPr>
                <w:noProof/>
              </w:rPr>
              <w:t>T</w:t>
            </w:r>
          </w:p>
          <w:p w14:paraId="1A11DC18" w14:textId="77777777" w:rsidR="00FA7C11" w:rsidRDefault="00FA7C11">
            <w:pPr>
              <w:spacing w:after="200" w:line="276" w:lineRule="auto"/>
              <w:jc w:val="center"/>
              <w:rPr>
                <w:rFonts w:ascii="Times New Roman" w:eastAsia="Times New Roman" w:hAnsi="Times New Roman" w:cs="Times New Roman"/>
                <w:noProof/>
                <w:sz w:val="20"/>
                <w:szCs w:val="20"/>
              </w:rPr>
            </w:pPr>
          </w:p>
        </w:tc>
        <w:tc>
          <w:tcPr>
            <w:tcW w:w="1731" w:type="dxa"/>
            <w:tcBorders>
              <w:top w:val="single" w:sz="4" w:space="0" w:color="auto"/>
              <w:left w:val="nil"/>
              <w:bottom w:val="single" w:sz="4" w:space="0" w:color="auto"/>
              <w:right w:val="single" w:sz="4" w:space="0" w:color="auto"/>
            </w:tcBorders>
            <w:shd w:val="clear" w:color="auto" w:fill="C6EFCE"/>
            <w:noWrap/>
          </w:tcPr>
          <w:p w14:paraId="3A353DBD" w14:textId="77777777" w:rsidR="00FA7C11" w:rsidRDefault="00D84965">
            <w:pPr>
              <w:pStyle w:val="P68B1DB1-Normal76"/>
              <w:spacing w:after="0" w:line="240" w:lineRule="auto"/>
              <w:rPr>
                <w:rFonts w:eastAsia="Calibri"/>
                <w:noProof/>
              </w:rPr>
            </w:pPr>
            <w:r>
              <w:rPr>
                <w:noProof/>
              </w:rPr>
              <w:t>Stații de epurare a apelor uzate construite sau modernizate</w:t>
            </w:r>
          </w:p>
        </w:tc>
        <w:tc>
          <w:tcPr>
            <w:tcW w:w="1843" w:type="dxa"/>
            <w:tcBorders>
              <w:top w:val="single" w:sz="4" w:space="0" w:color="auto"/>
              <w:left w:val="nil"/>
              <w:bottom w:val="single" w:sz="4" w:space="0" w:color="auto"/>
              <w:right w:val="single" w:sz="4" w:space="0" w:color="auto"/>
            </w:tcBorders>
            <w:shd w:val="clear" w:color="auto" w:fill="C6EFCE"/>
            <w:noWrap/>
          </w:tcPr>
          <w:p w14:paraId="278E5E45" w14:textId="6675EE35" w:rsidR="00FA7C11" w:rsidRDefault="00FA7C11">
            <w:pPr>
              <w:spacing w:after="0" w:line="240" w:lineRule="auto"/>
              <w:jc w:val="both"/>
              <w:rPr>
                <w:rFonts w:ascii="Times New Roman" w:eastAsia="Times New Roman" w:hAnsi="Times New Roman" w:cs="Times New Roman"/>
                <w:noProof/>
                <w:sz w:val="20"/>
                <w:szCs w:val="20"/>
              </w:rPr>
            </w:pPr>
          </w:p>
          <w:p w14:paraId="1BC3320B" w14:textId="77777777" w:rsidR="00FA7C11" w:rsidRDefault="00FA7C11">
            <w:pPr>
              <w:spacing w:after="200" w:line="276" w:lineRule="auto"/>
              <w:rPr>
                <w:rFonts w:ascii="Times New Roman" w:eastAsia="Times New Roman" w:hAnsi="Times New Roman" w:cs="Times New Roman"/>
                <w:noProof/>
                <w:sz w:val="20"/>
                <w:szCs w:val="20"/>
              </w:rPr>
            </w:pPr>
          </w:p>
        </w:tc>
        <w:tc>
          <w:tcPr>
            <w:tcW w:w="862" w:type="dxa"/>
            <w:tcBorders>
              <w:top w:val="single" w:sz="4" w:space="0" w:color="auto"/>
              <w:left w:val="nil"/>
              <w:bottom w:val="single" w:sz="4" w:space="0" w:color="auto"/>
              <w:right w:val="single" w:sz="4" w:space="0" w:color="auto"/>
            </w:tcBorders>
            <w:shd w:val="clear" w:color="auto" w:fill="C6EFCE"/>
            <w:noWrap/>
          </w:tcPr>
          <w:p w14:paraId="2A639395" w14:textId="77777777" w:rsidR="00FA7C11" w:rsidRDefault="00D84965">
            <w:pPr>
              <w:pStyle w:val="P68B1DB1-Normal76"/>
              <w:spacing w:after="200" w:line="276" w:lineRule="auto"/>
              <w:jc w:val="center"/>
              <w:rPr>
                <w:noProof/>
              </w:rPr>
            </w:pPr>
            <w:r>
              <w:rPr>
                <w:noProof/>
              </w:rPr>
              <w:t>Număr</w:t>
            </w:r>
          </w:p>
        </w:tc>
        <w:tc>
          <w:tcPr>
            <w:tcW w:w="839" w:type="dxa"/>
            <w:tcBorders>
              <w:top w:val="single" w:sz="4" w:space="0" w:color="auto"/>
              <w:left w:val="nil"/>
              <w:bottom w:val="single" w:sz="4" w:space="0" w:color="auto"/>
              <w:right w:val="single" w:sz="4" w:space="0" w:color="auto"/>
            </w:tcBorders>
            <w:shd w:val="clear" w:color="auto" w:fill="C6EFCE"/>
            <w:noWrap/>
          </w:tcPr>
          <w:p w14:paraId="49218ED3" w14:textId="059F5C4F" w:rsidR="00FA7C11" w:rsidRDefault="00D84965">
            <w:pPr>
              <w:pStyle w:val="P68B1DB1-Normal76"/>
              <w:spacing w:after="200" w:line="276" w:lineRule="auto"/>
              <w:jc w:val="center"/>
              <w:rPr>
                <w:noProof/>
              </w:rPr>
            </w:pPr>
            <w:r>
              <w:rPr>
                <w:noProof/>
              </w:rPr>
              <w:t xml:space="preserve"> 12</w:t>
            </w:r>
          </w:p>
        </w:tc>
        <w:tc>
          <w:tcPr>
            <w:tcW w:w="850" w:type="dxa"/>
            <w:tcBorders>
              <w:top w:val="single" w:sz="4" w:space="0" w:color="auto"/>
              <w:left w:val="nil"/>
              <w:bottom w:val="single" w:sz="4" w:space="0" w:color="auto"/>
              <w:right w:val="single" w:sz="4" w:space="0" w:color="auto"/>
            </w:tcBorders>
            <w:shd w:val="clear" w:color="auto" w:fill="C6EFCE"/>
            <w:noWrap/>
          </w:tcPr>
          <w:p w14:paraId="27710A5F" w14:textId="4C23326B" w:rsidR="00FA7C11" w:rsidRDefault="00D84965">
            <w:pPr>
              <w:pStyle w:val="P68B1DB1-Normal76"/>
              <w:spacing w:after="200" w:line="276" w:lineRule="auto"/>
              <w:jc w:val="center"/>
              <w:rPr>
                <w:noProof/>
              </w:rPr>
            </w:pPr>
            <w:r>
              <w:rPr>
                <w:noProof/>
              </w:rPr>
              <w:t xml:space="preserve"> 31</w:t>
            </w:r>
          </w:p>
        </w:tc>
        <w:tc>
          <w:tcPr>
            <w:tcW w:w="756" w:type="dxa"/>
            <w:tcBorders>
              <w:top w:val="single" w:sz="4" w:space="0" w:color="auto"/>
              <w:left w:val="nil"/>
              <w:bottom w:val="single" w:sz="4" w:space="0" w:color="auto"/>
              <w:right w:val="single" w:sz="4" w:space="0" w:color="auto"/>
            </w:tcBorders>
            <w:shd w:val="clear" w:color="auto" w:fill="C6EFCE"/>
            <w:noWrap/>
          </w:tcPr>
          <w:p w14:paraId="36A7B08F" w14:textId="4DAD8B96" w:rsidR="00FA7C11" w:rsidRDefault="00D84965">
            <w:pPr>
              <w:pStyle w:val="P68B1DB1-Normal76"/>
              <w:spacing w:line="240" w:lineRule="auto"/>
              <w:jc w:val="center"/>
              <w:rPr>
                <w:noProof/>
              </w:rPr>
            </w:pPr>
            <w:r>
              <w:rPr>
                <w:noProof/>
              </w:rPr>
              <w:t xml:space="preserve">Î4 </w:t>
            </w:r>
          </w:p>
        </w:tc>
        <w:tc>
          <w:tcPr>
            <w:tcW w:w="993" w:type="dxa"/>
            <w:tcBorders>
              <w:top w:val="single" w:sz="4" w:space="0" w:color="auto"/>
              <w:left w:val="nil"/>
              <w:bottom w:val="single" w:sz="4" w:space="0" w:color="auto"/>
              <w:right w:val="single" w:sz="4" w:space="0" w:color="auto"/>
            </w:tcBorders>
            <w:shd w:val="clear" w:color="auto" w:fill="C6EFCE"/>
            <w:noWrap/>
          </w:tcPr>
          <w:p w14:paraId="5A2D33D1" w14:textId="10E2CDD9" w:rsidR="00FA7C11" w:rsidRDefault="00D84965">
            <w:pPr>
              <w:pStyle w:val="P68B1DB1-Normal76"/>
              <w:spacing w:line="240" w:lineRule="auto"/>
              <w:jc w:val="center"/>
              <w:rPr>
                <w:noProof/>
              </w:rPr>
            </w:pPr>
            <w:r>
              <w:rPr>
                <w:noProof/>
              </w:rPr>
              <w:t>2025</w:t>
            </w:r>
          </w:p>
        </w:tc>
        <w:tc>
          <w:tcPr>
            <w:tcW w:w="4917" w:type="dxa"/>
            <w:tcBorders>
              <w:top w:val="single" w:sz="4" w:space="0" w:color="auto"/>
              <w:left w:val="nil"/>
              <w:bottom w:val="single" w:sz="4" w:space="0" w:color="auto"/>
              <w:right w:val="single" w:sz="4" w:space="0" w:color="auto"/>
            </w:tcBorders>
            <w:shd w:val="clear" w:color="auto" w:fill="C6EFCE"/>
            <w:noWrap/>
          </w:tcPr>
          <w:p w14:paraId="1329B8E9" w14:textId="77777777" w:rsidR="00FA7C11" w:rsidRDefault="00D84965">
            <w:pPr>
              <w:pStyle w:val="P68B1DB1-Normal70"/>
              <w:spacing w:after="200" w:line="276" w:lineRule="auto"/>
              <w:rPr>
                <w:noProof/>
              </w:rPr>
            </w:pPr>
            <w:r>
              <w:rPr>
                <w:noProof/>
              </w:rPr>
              <w:t>Se construiesc sau se modernizează cel puțin 19 de stații suplimentare de epurare a apelor uzate.</w:t>
            </w:r>
          </w:p>
        </w:tc>
      </w:tr>
      <w:tr w:rsidR="00FA7C11" w14:paraId="2DF847BD"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15687CD" w14:textId="77777777" w:rsidR="00FA7C11" w:rsidRDefault="00D84965">
            <w:pPr>
              <w:pStyle w:val="P68B1DB1-Normal89"/>
              <w:spacing w:after="200" w:line="276" w:lineRule="auto"/>
              <w:jc w:val="center"/>
              <w:rPr>
                <w:noProof/>
              </w:rPr>
            </w:pPr>
            <w:r>
              <w:rPr>
                <w:noProof/>
              </w:rPr>
              <w:t>389</w:t>
            </w:r>
          </w:p>
        </w:tc>
        <w:tc>
          <w:tcPr>
            <w:tcW w:w="1243" w:type="dxa"/>
            <w:tcBorders>
              <w:top w:val="single" w:sz="4" w:space="0" w:color="auto"/>
              <w:left w:val="nil"/>
              <w:bottom w:val="single" w:sz="4" w:space="0" w:color="auto"/>
              <w:right w:val="single" w:sz="4" w:space="0" w:color="auto"/>
            </w:tcBorders>
            <w:shd w:val="clear" w:color="auto" w:fill="C6EFCE"/>
            <w:noWrap/>
          </w:tcPr>
          <w:p w14:paraId="5FA48A0E" w14:textId="77777777" w:rsidR="00FA7C11" w:rsidRDefault="00D84965">
            <w:pPr>
              <w:pStyle w:val="P68B1DB1-Normal76"/>
              <w:spacing w:after="200" w:line="276" w:lineRule="auto"/>
              <w:jc w:val="center"/>
              <w:rPr>
                <w:noProof/>
              </w:rPr>
            </w:pPr>
            <w:r>
              <w:rPr>
                <w:noProof/>
              </w:rPr>
              <w:t>C1.3. R3-I1</w:t>
            </w:r>
          </w:p>
        </w:tc>
        <w:tc>
          <w:tcPr>
            <w:tcW w:w="1104" w:type="dxa"/>
            <w:tcBorders>
              <w:top w:val="single" w:sz="4" w:space="0" w:color="auto"/>
              <w:left w:val="nil"/>
              <w:bottom w:val="single" w:sz="4" w:space="0" w:color="auto"/>
              <w:right w:val="single" w:sz="4" w:space="0" w:color="auto"/>
            </w:tcBorders>
            <w:shd w:val="clear" w:color="auto" w:fill="C6EFCE"/>
            <w:noWrap/>
          </w:tcPr>
          <w:p w14:paraId="465118F9" w14:textId="77777777" w:rsidR="00FA7C11" w:rsidRDefault="00D84965">
            <w:pPr>
              <w:pStyle w:val="P68B1DB1-Normal76"/>
              <w:spacing w:after="0" w:line="240" w:lineRule="auto"/>
              <w:jc w:val="center"/>
              <w:rPr>
                <w:noProof/>
              </w:rPr>
            </w:pPr>
            <w:r>
              <w:rPr>
                <w:noProof/>
              </w:rPr>
              <w:t>T</w:t>
            </w:r>
          </w:p>
          <w:p w14:paraId="3037D2CA" w14:textId="77777777" w:rsidR="00FA7C11" w:rsidRDefault="00FA7C11">
            <w:pPr>
              <w:spacing w:after="0" w:line="240" w:lineRule="auto"/>
              <w:jc w:val="center"/>
              <w:rPr>
                <w:rFonts w:ascii="Times New Roman" w:eastAsia="Times New Roman" w:hAnsi="Times New Roman" w:cs="Times New Roman"/>
                <w:noProof/>
                <w:sz w:val="20"/>
                <w:szCs w:val="20"/>
              </w:rPr>
            </w:pPr>
          </w:p>
        </w:tc>
        <w:tc>
          <w:tcPr>
            <w:tcW w:w="1731" w:type="dxa"/>
            <w:tcBorders>
              <w:top w:val="single" w:sz="4" w:space="0" w:color="auto"/>
              <w:left w:val="nil"/>
              <w:bottom w:val="single" w:sz="4" w:space="0" w:color="auto"/>
              <w:right w:val="single" w:sz="4" w:space="0" w:color="auto"/>
            </w:tcBorders>
            <w:shd w:val="clear" w:color="auto" w:fill="C6EFCE"/>
            <w:noWrap/>
          </w:tcPr>
          <w:p w14:paraId="689E4A0D" w14:textId="77777777" w:rsidR="00FA7C11" w:rsidRDefault="00D84965">
            <w:pPr>
              <w:pStyle w:val="P68B1DB1-Normal76"/>
              <w:spacing w:after="0" w:line="240" w:lineRule="auto"/>
              <w:jc w:val="both"/>
              <w:rPr>
                <w:noProof/>
              </w:rPr>
            </w:pPr>
            <w:r>
              <w:rPr>
                <w:noProof/>
              </w:rPr>
              <w:t>Rețea publică de canalizare construită sau reconstruită</w:t>
            </w:r>
          </w:p>
        </w:tc>
        <w:tc>
          <w:tcPr>
            <w:tcW w:w="1843" w:type="dxa"/>
            <w:tcBorders>
              <w:top w:val="single" w:sz="4" w:space="0" w:color="auto"/>
              <w:left w:val="nil"/>
              <w:bottom w:val="single" w:sz="4" w:space="0" w:color="auto"/>
              <w:right w:val="single" w:sz="4" w:space="0" w:color="auto"/>
            </w:tcBorders>
            <w:shd w:val="clear" w:color="auto" w:fill="C6EFCE"/>
            <w:noWrap/>
          </w:tcPr>
          <w:p w14:paraId="1B8BB72E" w14:textId="77777777" w:rsidR="00FA7C11" w:rsidRDefault="00FA7C11">
            <w:pPr>
              <w:spacing w:after="0" w:line="240" w:lineRule="auto"/>
              <w:jc w:val="both"/>
              <w:rPr>
                <w:rFonts w:ascii="Times New Roman" w:eastAsia="Times New Roman" w:hAnsi="Times New Roman" w:cs="Times New Roman"/>
                <w:noProof/>
                <w:sz w:val="20"/>
                <w:szCs w:val="20"/>
                <w:shd w:val="clear" w:color="auto" w:fill="E6E6E6"/>
              </w:rPr>
            </w:pPr>
          </w:p>
        </w:tc>
        <w:tc>
          <w:tcPr>
            <w:tcW w:w="862" w:type="dxa"/>
            <w:tcBorders>
              <w:top w:val="single" w:sz="4" w:space="0" w:color="auto"/>
              <w:left w:val="nil"/>
              <w:bottom w:val="single" w:sz="4" w:space="0" w:color="auto"/>
              <w:right w:val="single" w:sz="4" w:space="0" w:color="auto"/>
            </w:tcBorders>
            <w:shd w:val="clear" w:color="auto" w:fill="C6EFCE"/>
            <w:noWrap/>
          </w:tcPr>
          <w:p w14:paraId="2D727D5D" w14:textId="58A66555" w:rsidR="00FA7C11" w:rsidRDefault="00D84965">
            <w:pPr>
              <w:pStyle w:val="P68B1DB1-Normal76"/>
              <w:spacing w:after="0" w:line="240" w:lineRule="auto"/>
              <w:jc w:val="both"/>
              <w:rPr>
                <w:noProof/>
              </w:rPr>
            </w:pPr>
            <w:r>
              <w:rPr>
                <w:noProof/>
              </w:rPr>
              <w:t>Număr</w:t>
            </w:r>
          </w:p>
        </w:tc>
        <w:tc>
          <w:tcPr>
            <w:tcW w:w="839" w:type="dxa"/>
            <w:tcBorders>
              <w:top w:val="single" w:sz="4" w:space="0" w:color="auto"/>
              <w:left w:val="nil"/>
              <w:bottom w:val="single" w:sz="4" w:space="0" w:color="auto"/>
              <w:right w:val="single" w:sz="4" w:space="0" w:color="auto"/>
            </w:tcBorders>
            <w:shd w:val="clear" w:color="auto" w:fill="C6EFCE"/>
            <w:noWrap/>
          </w:tcPr>
          <w:p w14:paraId="1C402BBC" w14:textId="19287A80" w:rsidR="00FA7C11" w:rsidRDefault="00D84965">
            <w:pPr>
              <w:pStyle w:val="P68B1DB1-Normal76"/>
              <w:spacing w:after="200" w:line="276" w:lineRule="auto"/>
              <w:jc w:val="center"/>
              <w:rPr>
                <w:noProof/>
              </w:rPr>
            </w:pPr>
            <w:r>
              <w:rPr>
                <w:noProof/>
              </w:rPr>
              <w:t>807</w:t>
            </w:r>
          </w:p>
        </w:tc>
        <w:tc>
          <w:tcPr>
            <w:tcW w:w="850" w:type="dxa"/>
            <w:tcBorders>
              <w:top w:val="single" w:sz="4" w:space="0" w:color="auto"/>
              <w:left w:val="nil"/>
              <w:bottom w:val="single" w:sz="4" w:space="0" w:color="auto"/>
              <w:right w:val="single" w:sz="4" w:space="0" w:color="auto"/>
            </w:tcBorders>
            <w:shd w:val="clear" w:color="auto" w:fill="C6EFCE"/>
            <w:noWrap/>
          </w:tcPr>
          <w:p w14:paraId="64DA81B1" w14:textId="6F7765CD" w:rsidR="00FA7C11" w:rsidRDefault="00D84965">
            <w:pPr>
              <w:pStyle w:val="P68B1DB1-Normal76"/>
              <w:spacing w:after="200" w:line="276" w:lineRule="auto"/>
              <w:jc w:val="center"/>
              <w:rPr>
                <w:noProof/>
              </w:rPr>
            </w:pPr>
            <w:r>
              <w:rPr>
                <w:noProof/>
              </w:rPr>
              <w:t xml:space="preserve"> 883</w:t>
            </w:r>
          </w:p>
        </w:tc>
        <w:tc>
          <w:tcPr>
            <w:tcW w:w="756" w:type="dxa"/>
            <w:tcBorders>
              <w:top w:val="single" w:sz="4" w:space="0" w:color="auto"/>
              <w:left w:val="nil"/>
              <w:bottom w:val="single" w:sz="4" w:space="0" w:color="auto"/>
              <w:right w:val="single" w:sz="4" w:space="0" w:color="auto"/>
            </w:tcBorders>
            <w:shd w:val="clear" w:color="auto" w:fill="C6EFCE"/>
            <w:noWrap/>
          </w:tcPr>
          <w:p w14:paraId="2DAE5E8F" w14:textId="7C20C998" w:rsidR="00FA7C11" w:rsidRDefault="00D84965">
            <w:pPr>
              <w:pStyle w:val="P68B1DB1-Normal76"/>
              <w:spacing w:line="240" w:lineRule="auto"/>
              <w:jc w:val="center"/>
              <w:rPr>
                <w:noProof/>
              </w:rPr>
            </w:pPr>
            <w:r>
              <w:rPr>
                <w:noProof/>
              </w:rPr>
              <w:t xml:space="preserve"> Î4</w:t>
            </w:r>
          </w:p>
        </w:tc>
        <w:tc>
          <w:tcPr>
            <w:tcW w:w="993" w:type="dxa"/>
            <w:tcBorders>
              <w:top w:val="single" w:sz="4" w:space="0" w:color="auto"/>
              <w:left w:val="nil"/>
              <w:bottom w:val="single" w:sz="4" w:space="0" w:color="auto"/>
              <w:right w:val="single" w:sz="4" w:space="0" w:color="auto"/>
            </w:tcBorders>
            <w:shd w:val="clear" w:color="auto" w:fill="C6EFCE"/>
            <w:noWrap/>
          </w:tcPr>
          <w:p w14:paraId="156E6613" w14:textId="11C5434A" w:rsidR="00FA7C11" w:rsidRDefault="00D84965">
            <w:pPr>
              <w:pStyle w:val="P68B1DB1-Normal76"/>
              <w:spacing w:line="240" w:lineRule="auto"/>
              <w:jc w:val="center"/>
              <w:rPr>
                <w:noProof/>
              </w:rPr>
            </w:pPr>
            <w:r>
              <w:rPr>
                <w:noProof/>
              </w:rPr>
              <w:t xml:space="preserve">2025 </w:t>
            </w:r>
          </w:p>
        </w:tc>
        <w:tc>
          <w:tcPr>
            <w:tcW w:w="4917" w:type="dxa"/>
            <w:tcBorders>
              <w:top w:val="single" w:sz="4" w:space="0" w:color="auto"/>
              <w:left w:val="nil"/>
              <w:bottom w:val="single" w:sz="4" w:space="0" w:color="auto"/>
              <w:right w:val="single" w:sz="4" w:space="0" w:color="auto"/>
            </w:tcBorders>
            <w:shd w:val="clear" w:color="auto" w:fill="C6EFCE"/>
            <w:noWrap/>
          </w:tcPr>
          <w:p w14:paraId="474E9D60" w14:textId="77777777" w:rsidR="00FA7C11" w:rsidRDefault="00D84965">
            <w:pPr>
              <w:pStyle w:val="P68B1DB1-Normal70"/>
              <w:spacing w:after="200" w:line="276" w:lineRule="auto"/>
              <w:rPr>
                <w:noProof/>
              </w:rPr>
            </w:pPr>
            <w:r>
              <w:rPr>
                <w:noProof/>
              </w:rPr>
              <w:t>Se construiesc sau se reconstruiesc cel puțin 76 km suplimentari de rețea publică de canalizare.</w:t>
            </w:r>
          </w:p>
        </w:tc>
      </w:tr>
      <w:tr w:rsidR="00FA7C11" w14:paraId="66561819"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8E4EBAA" w14:textId="77777777" w:rsidR="00FA7C11" w:rsidRDefault="00D84965">
            <w:pPr>
              <w:pStyle w:val="P68B1DB1-Normal89"/>
              <w:spacing w:after="0" w:line="240" w:lineRule="auto"/>
              <w:jc w:val="center"/>
              <w:rPr>
                <w:noProof/>
              </w:rPr>
            </w:pPr>
            <w:r>
              <w:rPr>
                <w:noProof/>
              </w:rPr>
              <w:t>391 </w:t>
            </w:r>
          </w:p>
          <w:p w14:paraId="71318F9A" w14:textId="77777777" w:rsidR="00FA7C11" w:rsidRDefault="00FA7C11">
            <w:pPr>
              <w:spacing w:after="200" w:line="276" w:lineRule="auto"/>
              <w:jc w:val="center"/>
              <w:rPr>
                <w:rFonts w:ascii="Times New Roman" w:hAnsi="Times New Roman" w:cs="Times New Roman"/>
                <w:noProof/>
                <w:sz w:val="20"/>
                <w:szCs w:val="20"/>
              </w:rPr>
            </w:pPr>
          </w:p>
        </w:tc>
        <w:tc>
          <w:tcPr>
            <w:tcW w:w="1243" w:type="dxa"/>
            <w:tcBorders>
              <w:top w:val="single" w:sz="4" w:space="0" w:color="auto"/>
              <w:left w:val="nil"/>
              <w:bottom w:val="single" w:sz="4" w:space="0" w:color="auto"/>
              <w:right w:val="single" w:sz="4" w:space="0" w:color="auto"/>
            </w:tcBorders>
            <w:shd w:val="clear" w:color="auto" w:fill="C6EFCE"/>
            <w:noWrap/>
          </w:tcPr>
          <w:p w14:paraId="155F05A7" w14:textId="77777777" w:rsidR="00FA7C11" w:rsidRDefault="00D84965">
            <w:pPr>
              <w:pStyle w:val="P68B1DB1-Normal76"/>
              <w:spacing w:after="200" w:line="276" w:lineRule="auto"/>
              <w:jc w:val="center"/>
              <w:rPr>
                <w:noProof/>
              </w:rPr>
            </w:pPr>
            <w:r>
              <w:rPr>
                <w:noProof/>
              </w:rPr>
              <w:t>C1.3. R3-I2</w:t>
            </w:r>
          </w:p>
        </w:tc>
        <w:tc>
          <w:tcPr>
            <w:tcW w:w="1104" w:type="dxa"/>
            <w:tcBorders>
              <w:top w:val="single" w:sz="4" w:space="0" w:color="auto"/>
              <w:left w:val="nil"/>
              <w:bottom w:val="single" w:sz="4" w:space="0" w:color="auto"/>
              <w:right w:val="single" w:sz="4" w:space="0" w:color="auto"/>
            </w:tcBorders>
            <w:shd w:val="clear" w:color="auto" w:fill="C6EFCE"/>
            <w:noWrap/>
          </w:tcPr>
          <w:p w14:paraId="79689123" w14:textId="77777777" w:rsidR="00FA7C11" w:rsidRDefault="00D84965">
            <w:pPr>
              <w:pStyle w:val="P68B1DB1-Normal76"/>
              <w:spacing w:after="0" w:line="240" w:lineRule="auto"/>
              <w:jc w:val="center"/>
              <w:rPr>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3B94D1C5" w14:textId="77777777" w:rsidR="00FA7C11" w:rsidRDefault="00D84965">
            <w:pPr>
              <w:pStyle w:val="P68B1DB1-Normal70"/>
              <w:spacing w:after="0" w:line="240" w:lineRule="auto"/>
              <w:jc w:val="both"/>
              <w:rPr>
                <w:rFonts w:eastAsia="Times New Roman"/>
                <w:noProof/>
              </w:rPr>
            </w:pPr>
            <w:r>
              <w:rPr>
                <w:noProof/>
              </w:rPr>
              <w:t xml:space="preserve">Rețea publică de alimentare cu apă construită sau reconstruită </w:t>
            </w:r>
          </w:p>
        </w:tc>
        <w:tc>
          <w:tcPr>
            <w:tcW w:w="1843" w:type="dxa"/>
            <w:tcBorders>
              <w:top w:val="single" w:sz="4" w:space="0" w:color="auto"/>
              <w:left w:val="nil"/>
              <w:bottom w:val="single" w:sz="4" w:space="0" w:color="auto"/>
              <w:right w:val="single" w:sz="4" w:space="0" w:color="auto"/>
            </w:tcBorders>
            <w:shd w:val="clear" w:color="auto" w:fill="C6EFCE"/>
            <w:noWrap/>
          </w:tcPr>
          <w:p w14:paraId="57403554" w14:textId="77777777" w:rsidR="00FA7C11" w:rsidRDefault="00D84965">
            <w:pPr>
              <w:pStyle w:val="P68B1DB1-Normal100"/>
              <w:spacing w:after="0" w:line="240" w:lineRule="auto"/>
              <w:jc w:val="both"/>
              <w:rPr>
                <w:rFonts w:eastAsia="Times New Roman"/>
                <w:noProof/>
              </w:rPr>
            </w:pPr>
            <w:r>
              <w:rPr>
                <w:noProof/>
              </w:rPr>
              <w:t xml:space="preserve"> </w:t>
            </w:r>
          </w:p>
        </w:tc>
        <w:tc>
          <w:tcPr>
            <w:tcW w:w="862" w:type="dxa"/>
            <w:tcBorders>
              <w:top w:val="single" w:sz="4" w:space="0" w:color="auto"/>
              <w:left w:val="nil"/>
              <w:bottom w:val="single" w:sz="4" w:space="0" w:color="auto"/>
              <w:right w:val="single" w:sz="4" w:space="0" w:color="auto"/>
            </w:tcBorders>
            <w:shd w:val="clear" w:color="auto" w:fill="C6EFCE"/>
            <w:noWrap/>
          </w:tcPr>
          <w:p w14:paraId="554AAB49" w14:textId="77777777" w:rsidR="00FA7C11" w:rsidRDefault="00D84965">
            <w:pPr>
              <w:pStyle w:val="P68B1DB1-Normal76"/>
              <w:spacing w:after="0" w:line="240" w:lineRule="auto"/>
              <w:jc w:val="both"/>
              <w:rPr>
                <w:noProof/>
              </w:rPr>
            </w:pPr>
            <w:r>
              <w:rPr>
                <w:noProof/>
              </w:rPr>
              <w:t>Număr</w:t>
            </w:r>
          </w:p>
        </w:tc>
        <w:tc>
          <w:tcPr>
            <w:tcW w:w="839" w:type="dxa"/>
            <w:tcBorders>
              <w:top w:val="single" w:sz="4" w:space="0" w:color="auto"/>
              <w:left w:val="nil"/>
              <w:bottom w:val="single" w:sz="4" w:space="0" w:color="auto"/>
              <w:right w:val="single" w:sz="4" w:space="0" w:color="auto"/>
            </w:tcBorders>
            <w:shd w:val="clear" w:color="auto" w:fill="C6EFCE"/>
            <w:noWrap/>
          </w:tcPr>
          <w:p w14:paraId="2C99EC35" w14:textId="3847F3B9" w:rsidR="00FA7C11" w:rsidRDefault="00D84965">
            <w:pPr>
              <w:pStyle w:val="P68B1DB1-Normal76"/>
              <w:spacing w:after="200" w:line="276" w:lineRule="auto"/>
              <w:jc w:val="center"/>
              <w:rPr>
                <w:noProof/>
              </w:rPr>
            </w:pPr>
            <w:r>
              <w:rPr>
                <w:noProof/>
              </w:rPr>
              <w:t>1023</w:t>
            </w:r>
          </w:p>
        </w:tc>
        <w:tc>
          <w:tcPr>
            <w:tcW w:w="850" w:type="dxa"/>
            <w:tcBorders>
              <w:top w:val="single" w:sz="4" w:space="0" w:color="auto"/>
              <w:left w:val="nil"/>
              <w:bottom w:val="single" w:sz="4" w:space="0" w:color="auto"/>
              <w:right w:val="single" w:sz="4" w:space="0" w:color="auto"/>
            </w:tcBorders>
            <w:shd w:val="clear" w:color="auto" w:fill="C6EFCE"/>
            <w:noWrap/>
          </w:tcPr>
          <w:p w14:paraId="28077B2E" w14:textId="3B5DD3AE" w:rsidR="00FA7C11" w:rsidRDefault="00D84965">
            <w:pPr>
              <w:pStyle w:val="P68B1DB1-Normal76"/>
              <w:spacing w:after="200" w:line="276" w:lineRule="auto"/>
              <w:jc w:val="center"/>
              <w:rPr>
                <w:noProof/>
              </w:rPr>
            </w:pPr>
            <w:r>
              <w:rPr>
                <w:noProof/>
              </w:rPr>
              <w:t>1154</w:t>
            </w:r>
          </w:p>
        </w:tc>
        <w:tc>
          <w:tcPr>
            <w:tcW w:w="756" w:type="dxa"/>
            <w:tcBorders>
              <w:top w:val="single" w:sz="4" w:space="0" w:color="auto"/>
              <w:left w:val="nil"/>
              <w:bottom w:val="single" w:sz="4" w:space="0" w:color="auto"/>
              <w:right w:val="single" w:sz="4" w:space="0" w:color="auto"/>
            </w:tcBorders>
            <w:shd w:val="clear" w:color="auto" w:fill="C6EFCE"/>
            <w:noWrap/>
          </w:tcPr>
          <w:p w14:paraId="420D69F4" w14:textId="77777777" w:rsidR="00FA7C11" w:rsidRDefault="00D84965">
            <w:pPr>
              <w:pStyle w:val="P68B1DB1-Normal76"/>
              <w:spacing w:line="240" w:lineRule="auto"/>
              <w:jc w:val="center"/>
              <w:rPr>
                <w:noProof/>
              </w:rPr>
            </w:pPr>
            <w:r>
              <w:rPr>
                <w:noProof/>
              </w:rPr>
              <w:t>Î4</w:t>
            </w:r>
          </w:p>
        </w:tc>
        <w:tc>
          <w:tcPr>
            <w:tcW w:w="993" w:type="dxa"/>
            <w:tcBorders>
              <w:top w:val="single" w:sz="4" w:space="0" w:color="auto"/>
              <w:left w:val="nil"/>
              <w:bottom w:val="single" w:sz="4" w:space="0" w:color="auto"/>
              <w:right w:val="single" w:sz="4" w:space="0" w:color="auto"/>
            </w:tcBorders>
            <w:shd w:val="clear" w:color="auto" w:fill="C6EFCE"/>
            <w:noWrap/>
          </w:tcPr>
          <w:p w14:paraId="17A6921B" w14:textId="77777777" w:rsidR="00FA7C11" w:rsidRDefault="00D84965">
            <w:pPr>
              <w:pStyle w:val="P68B1DB1-Normal76"/>
              <w:spacing w:line="240" w:lineRule="auto"/>
              <w:jc w:val="center"/>
              <w:rPr>
                <w:noProof/>
              </w:rPr>
            </w:pPr>
            <w:r>
              <w:rPr>
                <w:noProof/>
              </w:rPr>
              <w:t>2025</w:t>
            </w:r>
          </w:p>
        </w:tc>
        <w:tc>
          <w:tcPr>
            <w:tcW w:w="4917" w:type="dxa"/>
            <w:tcBorders>
              <w:top w:val="single" w:sz="4" w:space="0" w:color="auto"/>
              <w:left w:val="nil"/>
              <w:bottom w:val="single" w:sz="4" w:space="0" w:color="auto"/>
              <w:right w:val="single" w:sz="4" w:space="0" w:color="auto"/>
            </w:tcBorders>
            <w:shd w:val="clear" w:color="auto" w:fill="C6EFCE"/>
            <w:noWrap/>
          </w:tcPr>
          <w:p w14:paraId="6C3FCED4" w14:textId="77777777" w:rsidR="00FA7C11" w:rsidRDefault="00D84965">
            <w:pPr>
              <w:pStyle w:val="P68B1DB1-Normal70"/>
              <w:spacing w:after="200" w:line="276" w:lineRule="auto"/>
              <w:rPr>
                <w:noProof/>
              </w:rPr>
            </w:pPr>
            <w:r>
              <w:rPr>
                <w:noProof/>
              </w:rPr>
              <w:t xml:space="preserve">Construirea sau reconstruirea a cel puțin 131 km suplimentari de rețea publică de alimentare cu apă. </w:t>
            </w:r>
          </w:p>
          <w:p w14:paraId="66EE7D9F" w14:textId="77777777" w:rsidR="00FA7C11" w:rsidRDefault="00D84965">
            <w:pPr>
              <w:pStyle w:val="P68B1DB1-Normal70"/>
              <w:spacing w:after="200" w:line="276" w:lineRule="auto"/>
              <w:rPr>
                <w:noProof/>
              </w:rPr>
            </w:pPr>
            <w:r>
              <w:rPr>
                <w:noProof/>
              </w:rPr>
              <w:t xml:space="preserve">Investiția constă în construirea de sisteme de alimentare cu apă potabilă cu un consum mediu de energie ≤ 0,5 kWh sau cu un indice de pierderi în infrastructură (ILI) ≤ 1.5 și în renovarea sistemelor existente de alimentare cu apă potabilă pentru a reduce consumul mediu de energie cu peste 20 % sau pentru a reduce pierderile cu peste 20 %. </w:t>
            </w:r>
          </w:p>
        </w:tc>
      </w:tr>
      <w:tr w:rsidR="00FA7C11" w14:paraId="146F979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FE76109" w14:textId="77777777" w:rsidR="00FA7C11" w:rsidRDefault="00D84965">
            <w:pPr>
              <w:pStyle w:val="P68B1DB1-Normal89"/>
              <w:spacing w:after="0" w:line="240" w:lineRule="auto"/>
              <w:jc w:val="center"/>
              <w:rPr>
                <w:noProof/>
              </w:rPr>
            </w:pPr>
            <w:r>
              <w:rPr>
                <w:noProof/>
              </w:rPr>
              <w:t>440</w:t>
            </w:r>
          </w:p>
        </w:tc>
        <w:tc>
          <w:tcPr>
            <w:tcW w:w="1243" w:type="dxa"/>
            <w:tcBorders>
              <w:top w:val="single" w:sz="4" w:space="0" w:color="auto"/>
              <w:left w:val="nil"/>
              <w:bottom w:val="single" w:sz="4" w:space="0" w:color="auto"/>
              <w:right w:val="single" w:sz="4" w:space="0" w:color="auto"/>
            </w:tcBorders>
            <w:shd w:val="clear" w:color="auto" w:fill="C6EFCE"/>
            <w:noWrap/>
          </w:tcPr>
          <w:p w14:paraId="3A82439A" w14:textId="77777777" w:rsidR="00FA7C11" w:rsidRDefault="00D84965">
            <w:pPr>
              <w:pStyle w:val="P68B1DB1-Normal76"/>
              <w:spacing w:after="200" w:line="276" w:lineRule="auto"/>
              <w:jc w:val="center"/>
              <w:rPr>
                <w:noProof/>
              </w:rPr>
            </w:pPr>
            <w:r>
              <w:rPr>
                <w:noProof/>
              </w:rPr>
              <w:t>C1.3 R3-I3</w:t>
            </w:r>
          </w:p>
        </w:tc>
        <w:tc>
          <w:tcPr>
            <w:tcW w:w="1104" w:type="dxa"/>
            <w:tcBorders>
              <w:top w:val="single" w:sz="4" w:space="0" w:color="auto"/>
              <w:left w:val="nil"/>
              <w:bottom w:val="single" w:sz="4" w:space="0" w:color="auto"/>
              <w:right w:val="single" w:sz="4" w:space="0" w:color="auto"/>
            </w:tcBorders>
            <w:shd w:val="clear" w:color="auto" w:fill="C6EFCE"/>
            <w:noWrap/>
          </w:tcPr>
          <w:p w14:paraId="326840AA" w14:textId="77777777" w:rsidR="00FA7C11" w:rsidRDefault="00D84965">
            <w:pPr>
              <w:pStyle w:val="P68B1DB1-Normal76"/>
              <w:spacing w:after="0" w:line="240" w:lineRule="auto"/>
              <w:jc w:val="center"/>
              <w:rPr>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64858BCD" w14:textId="77777777" w:rsidR="00FA7C11" w:rsidRDefault="00D84965">
            <w:pPr>
              <w:pStyle w:val="P68B1DB1-Normal66"/>
              <w:spacing w:after="0" w:line="240" w:lineRule="auto"/>
              <w:jc w:val="both"/>
              <w:rPr>
                <w:noProof/>
              </w:rPr>
            </w:pPr>
            <w:r>
              <w:rPr>
                <w:noProof/>
              </w:rPr>
              <w:t>Structuri de protecție împotriva inundațiilor construite</w:t>
            </w:r>
          </w:p>
        </w:tc>
        <w:tc>
          <w:tcPr>
            <w:tcW w:w="1843" w:type="dxa"/>
            <w:tcBorders>
              <w:top w:val="single" w:sz="4" w:space="0" w:color="auto"/>
              <w:left w:val="nil"/>
              <w:bottom w:val="single" w:sz="4" w:space="0" w:color="auto"/>
              <w:right w:val="single" w:sz="4" w:space="0" w:color="auto"/>
            </w:tcBorders>
            <w:shd w:val="clear" w:color="auto" w:fill="C6EFCE"/>
            <w:noWrap/>
          </w:tcPr>
          <w:p w14:paraId="725133B3" w14:textId="77777777" w:rsidR="00FA7C11" w:rsidRDefault="00FA7C11">
            <w:pPr>
              <w:spacing w:after="0" w:line="240" w:lineRule="auto"/>
              <w:jc w:val="both"/>
              <w:rPr>
                <w:rFonts w:ascii="Times New Roman" w:eastAsia="Calibri" w:hAnsi="Times New Roman" w:cs="Times New Roman"/>
                <w:noProof/>
                <w:sz w:val="20"/>
                <w:szCs w:val="20"/>
                <w:shd w:val="clear" w:color="auto" w:fill="E6E6E6"/>
              </w:rPr>
            </w:pPr>
          </w:p>
        </w:tc>
        <w:tc>
          <w:tcPr>
            <w:tcW w:w="862" w:type="dxa"/>
            <w:tcBorders>
              <w:top w:val="single" w:sz="4" w:space="0" w:color="auto"/>
              <w:left w:val="nil"/>
              <w:bottom w:val="single" w:sz="4" w:space="0" w:color="auto"/>
              <w:right w:val="single" w:sz="4" w:space="0" w:color="auto"/>
            </w:tcBorders>
            <w:shd w:val="clear" w:color="auto" w:fill="C6EFCE"/>
            <w:noWrap/>
          </w:tcPr>
          <w:p w14:paraId="30396060" w14:textId="77777777" w:rsidR="00FA7C11" w:rsidRDefault="00D84965">
            <w:pPr>
              <w:pStyle w:val="P68B1DB1-Normal66"/>
              <w:spacing w:after="0" w:line="240" w:lineRule="auto"/>
              <w:jc w:val="both"/>
              <w:rPr>
                <w:rFonts w:eastAsia="Times New Roman"/>
                <w:noProof/>
              </w:rPr>
            </w:pPr>
            <w:r>
              <w:rPr>
                <w:noProof/>
              </w:rPr>
              <w:t>Număr</w:t>
            </w:r>
          </w:p>
        </w:tc>
        <w:tc>
          <w:tcPr>
            <w:tcW w:w="839" w:type="dxa"/>
            <w:tcBorders>
              <w:top w:val="single" w:sz="4" w:space="0" w:color="auto"/>
              <w:left w:val="nil"/>
              <w:bottom w:val="single" w:sz="4" w:space="0" w:color="auto"/>
              <w:right w:val="single" w:sz="4" w:space="0" w:color="auto"/>
            </w:tcBorders>
            <w:shd w:val="clear" w:color="auto" w:fill="C6EFCE"/>
            <w:noWrap/>
          </w:tcPr>
          <w:p w14:paraId="24331094" w14:textId="77777777" w:rsidR="00FA7C11" w:rsidRDefault="00D84965">
            <w:pPr>
              <w:pStyle w:val="P68B1DB1-Normal76"/>
              <w:spacing w:after="200" w:line="276" w:lineRule="auto"/>
              <w:jc w:val="center"/>
              <w:rPr>
                <w:noProof/>
              </w:rPr>
            </w:pPr>
            <w:r>
              <w:rPr>
                <w:noProof/>
              </w:rPr>
              <w:t>77</w:t>
            </w:r>
          </w:p>
        </w:tc>
        <w:tc>
          <w:tcPr>
            <w:tcW w:w="850" w:type="dxa"/>
            <w:tcBorders>
              <w:top w:val="single" w:sz="4" w:space="0" w:color="auto"/>
              <w:left w:val="nil"/>
              <w:bottom w:val="single" w:sz="4" w:space="0" w:color="auto"/>
              <w:right w:val="single" w:sz="4" w:space="0" w:color="auto"/>
            </w:tcBorders>
            <w:shd w:val="clear" w:color="auto" w:fill="C6EFCE"/>
            <w:noWrap/>
          </w:tcPr>
          <w:p w14:paraId="560FBF1A" w14:textId="77777777" w:rsidR="00FA7C11" w:rsidRDefault="00D84965">
            <w:pPr>
              <w:pStyle w:val="P68B1DB1-Normal76"/>
              <w:spacing w:after="200" w:line="276" w:lineRule="auto"/>
              <w:jc w:val="center"/>
              <w:rPr>
                <w:noProof/>
              </w:rPr>
            </w:pPr>
            <w:r>
              <w:rPr>
                <w:noProof/>
              </w:rPr>
              <w:t>79</w:t>
            </w:r>
          </w:p>
        </w:tc>
        <w:tc>
          <w:tcPr>
            <w:tcW w:w="756" w:type="dxa"/>
            <w:tcBorders>
              <w:top w:val="single" w:sz="4" w:space="0" w:color="auto"/>
              <w:left w:val="nil"/>
              <w:bottom w:val="single" w:sz="4" w:space="0" w:color="auto"/>
              <w:right w:val="single" w:sz="4" w:space="0" w:color="auto"/>
            </w:tcBorders>
            <w:shd w:val="clear" w:color="auto" w:fill="C6EFCE"/>
            <w:noWrap/>
          </w:tcPr>
          <w:p w14:paraId="35233145" w14:textId="77777777" w:rsidR="00FA7C11" w:rsidRDefault="00D84965">
            <w:pPr>
              <w:pStyle w:val="P68B1DB1-Normal76"/>
              <w:spacing w:line="240" w:lineRule="auto"/>
              <w:jc w:val="center"/>
              <w:rPr>
                <w:noProof/>
              </w:rPr>
            </w:pPr>
            <w:r>
              <w:rPr>
                <w:noProof/>
              </w:rPr>
              <w:t>Î2</w:t>
            </w:r>
          </w:p>
        </w:tc>
        <w:tc>
          <w:tcPr>
            <w:tcW w:w="993" w:type="dxa"/>
            <w:tcBorders>
              <w:top w:val="single" w:sz="4" w:space="0" w:color="auto"/>
              <w:left w:val="nil"/>
              <w:bottom w:val="single" w:sz="4" w:space="0" w:color="auto"/>
              <w:right w:val="single" w:sz="4" w:space="0" w:color="auto"/>
            </w:tcBorders>
            <w:shd w:val="clear" w:color="auto" w:fill="C6EFCE"/>
            <w:noWrap/>
          </w:tcPr>
          <w:p w14:paraId="22260254" w14:textId="77777777" w:rsidR="00FA7C11" w:rsidRDefault="00D84965">
            <w:pPr>
              <w:pStyle w:val="P68B1DB1-Normal76"/>
              <w:spacing w:line="240" w:lineRule="auto"/>
              <w:jc w:val="center"/>
              <w:rPr>
                <w:noProof/>
              </w:rPr>
            </w:pPr>
            <w:r>
              <w:rPr>
                <w:noProof/>
              </w:rPr>
              <w:t>2026</w:t>
            </w:r>
          </w:p>
        </w:tc>
        <w:tc>
          <w:tcPr>
            <w:tcW w:w="4917" w:type="dxa"/>
            <w:tcBorders>
              <w:top w:val="single" w:sz="4" w:space="0" w:color="auto"/>
              <w:left w:val="nil"/>
              <w:bottom w:val="single" w:sz="4" w:space="0" w:color="auto"/>
              <w:right w:val="single" w:sz="4" w:space="0" w:color="auto"/>
            </w:tcBorders>
            <w:shd w:val="clear" w:color="auto" w:fill="C6EFCE"/>
            <w:noWrap/>
          </w:tcPr>
          <w:p w14:paraId="27341753" w14:textId="77777777" w:rsidR="00FA7C11" w:rsidRDefault="00D84965">
            <w:pPr>
              <w:pStyle w:val="P68B1DB1-Normal66"/>
              <w:spacing w:after="200" w:line="276" w:lineRule="auto"/>
              <w:rPr>
                <w:noProof/>
              </w:rPr>
            </w:pPr>
            <w:r>
              <w:rPr>
                <w:noProof/>
              </w:rPr>
              <w:t>Construirea a cel puțin 2 km suplimentari de structuri de protecție împotriva inundațiilor.</w:t>
            </w:r>
          </w:p>
        </w:tc>
      </w:tr>
      <w:tr w:rsidR="00FA7C11" w14:paraId="6103B48A"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816ED19" w14:textId="77777777" w:rsidR="00FA7C11" w:rsidRDefault="00D84965">
            <w:pPr>
              <w:pStyle w:val="P68B1DB1-Normal89"/>
              <w:spacing w:after="0" w:line="240" w:lineRule="auto"/>
              <w:jc w:val="center"/>
              <w:rPr>
                <w:noProof/>
              </w:rPr>
            </w:pPr>
            <w:r>
              <w:rPr>
                <w:noProof/>
              </w:rPr>
              <w:t>441</w:t>
            </w:r>
          </w:p>
        </w:tc>
        <w:tc>
          <w:tcPr>
            <w:tcW w:w="1243" w:type="dxa"/>
            <w:tcBorders>
              <w:top w:val="single" w:sz="4" w:space="0" w:color="auto"/>
              <w:left w:val="nil"/>
              <w:bottom w:val="single" w:sz="4" w:space="0" w:color="auto"/>
              <w:right w:val="single" w:sz="4" w:space="0" w:color="auto"/>
            </w:tcBorders>
            <w:shd w:val="clear" w:color="auto" w:fill="C6EFCE"/>
            <w:noWrap/>
          </w:tcPr>
          <w:p w14:paraId="429293E0" w14:textId="77777777" w:rsidR="00FA7C11" w:rsidRDefault="00D84965">
            <w:pPr>
              <w:pStyle w:val="P68B1DB1-Normal76"/>
              <w:spacing w:after="200" w:line="276" w:lineRule="auto"/>
              <w:jc w:val="center"/>
              <w:rPr>
                <w:noProof/>
              </w:rPr>
            </w:pPr>
            <w:r>
              <w:rPr>
                <w:noProof/>
              </w:rPr>
              <w:t>C1.3 R3-I3</w:t>
            </w:r>
          </w:p>
        </w:tc>
        <w:tc>
          <w:tcPr>
            <w:tcW w:w="1104" w:type="dxa"/>
            <w:tcBorders>
              <w:top w:val="single" w:sz="4" w:space="0" w:color="auto"/>
              <w:left w:val="nil"/>
              <w:bottom w:val="single" w:sz="4" w:space="0" w:color="auto"/>
              <w:right w:val="single" w:sz="4" w:space="0" w:color="auto"/>
            </w:tcBorders>
            <w:shd w:val="clear" w:color="auto" w:fill="C6EFCE"/>
            <w:noWrap/>
          </w:tcPr>
          <w:p w14:paraId="0C3FD045" w14:textId="77777777" w:rsidR="00FA7C11" w:rsidRDefault="00D84965">
            <w:pPr>
              <w:pStyle w:val="P68B1DB1-Normal76"/>
              <w:spacing w:after="0" w:line="240" w:lineRule="auto"/>
              <w:jc w:val="center"/>
              <w:rPr>
                <w:noProof/>
              </w:rPr>
            </w:pPr>
            <w:r>
              <w:rPr>
                <w:noProof/>
              </w:rPr>
              <w:t>T</w:t>
            </w:r>
          </w:p>
        </w:tc>
        <w:tc>
          <w:tcPr>
            <w:tcW w:w="1731" w:type="dxa"/>
            <w:tcBorders>
              <w:top w:val="single" w:sz="4" w:space="0" w:color="auto"/>
              <w:left w:val="nil"/>
              <w:bottom w:val="single" w:sz="4" w:space="0" w:color="auto"/>
              <w:right w:val="single" w:sz="4" w:space="0" w:color="auto"/>
            </w:tcBorders>
            <w:shd w:val="clear" w:color="auto" w:fill="C6EFCE"/>
            <w:noWrap/>
          </w:tcPr>
          <w:p w14:paraId="07259D05" w14:textId="77777777" w:rsidR="00FA7C11" w:rsidRDefault="00D84965">
            <w:pPr>
              <w:pStyle w:val="P68B1DB1-Normal66"/>
              <w:spacing w:after="0" w:line="240" w:lineRule="auto"/>
              <w:jc w:val="both"/>
              <w:rPr>
                <w:noProof/>
              </w:rPr>
            </w:pPr>
            <w:r>
              <w:rPr>
                <w:noProof/>
              </w:rPr>
              <w:t>Cursuri de apă revitalizate</w:t>
            </w:r>
          </w:p>
        </w:tc>
        <w:tc>
          <w:tcPr>
            <w:tcW w:w="1843" w:type="dxa"/>
            <w:tcBorders>
              <w:top w:val="single" w:sz="4" w:space="0" w:color="auto"/>
              <w:left w:val="nil"/>
              <w:bottom w:val="single" w:sz="4" w:space="0" w:color="auto"/>
              <w:right w:val="single" w:sz="4" w:space="0" w:color="auto"/>
            </w:tcBorders>
            <w:shd w:val="clear" w:color="auto" w:fill="C6EFCE"/>
            <w:noWrap/>
          </w:tcPr>
          <w:p w14:paraId="490573E6" w14:textId="77777777" w:rsidR="00FA7C11" w:rsidRDefault="00FA7C11">
            <w:pPr>
              <w:spacing w:after="0" w:line="240" w:lineRule="auto"/>
              <w:jc w:val="both"/>
              <w:rPr>
                <w:rFonts w:ascii="Times New Roman" w:eastAsia="Calibri" w:hAnsi="Times New Roman" w:cs="Times New Roman"/>
                <w:noProof/>
                <w:sz w:val="20"/>
                <w:szCs w:val="20"/>
                <w:shd w:val="clear" w:color="auto" w:fill="E6E6E6"/>
              </w:rPr>
            </w:pPr>
          </w:p>
        </w:tc>
        <w:tc>
          <w:tcPr>
            <w:tcW w:w="862" w:type="dxa"/>
            <w:tcBorders>
              <w:top w:val="single" w:sz="4" w:space="0" w:color="auto"/>
              <w:left w:val="nil"/>
              <w:bottom w:val="single" w:sz="4" w:space="0" w:color="auto"/>
              <w:right w:val="single" w:sz="4" w:space="0" w:color="auto"/>
            </w:tcBorders>
            <w:shd w:val="clear" w:color="auto" w:fill="C6EFCE"/>
            <w:noWrap/>
          </w:tcPr>
          <w:p w14:paraId="713C2966" w14:textId="77777777" w:rsidR="00FA7C11" w:rsidRDefault="00D84965">
            <w:pPr>
              <w:pStyle w:val="P68B1DB1-Normal76"/>
              <w:spacing w:after="0" w:line="240" w:lineRule="auto"/>
              <w:jc w:val="both"/>
              <w:rPr>
                <w:noProof/>
              </w:rPr>
            </w:pPr>
            <w:r>
              <w:rPr>
                <w:noProof/>
              </w:rPr>
              <w:t>Număr</w:t>
            </w:r>
          </w:p>
        </w:tc>
        <w:tc>
          <w:tcPr>
            <w:tcW w:w="839" w:type="dxa"/>
            <w:tcBorders>
              <w:top w:val="single" w:sz="4" w:space="0" w:color="auto"/>
              <w:left w:val="nil"/>
              <w:bottom w:val="single" w:sz="4" w:space="0" w:color="auto"/>
              <w:right w:val="single" w:sz="4" w:space="0" w:color="auto"/>
            </w:tcBorders>
            <w:shd w:val="clear" w:color="auto" w:fill="C6EFCE"/>
            <w:noWrap/>
          </w:tcPr>
          <w:p w14:paraId="2C0D2F02" w14:textId="77777777" w:rsidR="00FA7C11" w:rsidRDefault="00D84965">
            <w:pPr>
              <w:pStyle w:val="P68B1DB1-Normal76"/>
              <w:spacing w:after="200" w:line="276" w:lineRule="auto"/>
              <w:jc w:val="center"/>
              <w:rPr>
                <w:noProof/>
              </w:rPr>
            </w:pPr>
            <w:r>
              <w:rPr>
                <w:noProof/>
              </w:rPr>
              <w:t>16</w:t>
            </w:r>
          </w:p>
        </w:tc>
        <w:tc>
          <w:tcPr>
            <w:tcW w:w="850" w:type="dxa"/>
            <w:tcBorders>
              <w:top w:val="single" w:sz="4" w:space="0" w:color="auto"/>
              <w:left w:val="nil"/>
              <w:bottom w:val="single" w:sz="4" w:space="0" w:color="auto"/>
              <w:right w:val="single" w:sz="4" w:space="0" w:color="auto"/>
            </w:tcBorders>
            <w:shd w:val="clear" w:color="auto" w:fill="C6EFCE"/>
            <w:noWrap/>
          </w:tcPr>
          <w:p w14:paraId="10D12A6F" w14:textId="77777777" w:rsidR="00FA7C11" w:rsidRDefault="00D84965">
            <w:pPr>
              <w:pStyle w:val="P68B1DB1-Normal76"/>
              <w:spacing w:after="200" w:line="276" w:lineRule="auto"/>
              <w:jc w:val="center"/>
              <w:rPr>
                <w:noProof/>
              </w:rPr>
            </w:pPr>
            <w:r>
              <w:rPr>
                <w:noProof/>
              </w:rPr>
              <w:t>23</w:t>
            </w:r>
          </w:p>
        </w:tc>
        <w:tc>
          <w:tcPr>
            <w:tcW w:w="756" w:type="dxa"/>
            <w:tcBorders>
              <w:top w:val="single" w:sz="4" w:space="0" w:color="auto"/>
              <w:left w:val="nil"/>
              <w:bottom w:val="single" w:sz="4" w:space="0" w:color="auto"/>
              <w:right w:val="single" w:sz="4" w:space="0" w:color="auto"/>
            </w:tcBorders>
            <w:shd w:val="clear" w:color="auto" w:fill="C6EFCE"/>
            <w:noWrap/>
          </w:tcPr>
          <w:p w14:paraId="43559B79" w14:textId="77777777" w:rsidR="00FA7C11" w:rsidRDefault="00D84965">
            <w:pPr>
              <w:pStyle w:val="P68B1DB1-Normal76"/>
              <w:spacing w:line="240" w:lineRule="auto"/>
              <w:jc w:val="center"/>
              <w:rPr>
                <w:noProof/>
              </w:rPr>
            </w:pPr>
            <w:r>
              <w:rPr>
                <w:noProof/>
              </w:rPr>
              <w:t>Î2</w:t>
            </w:r>
          </w:p>
        </w:tc>
        <w:tc>
          <w:tcPr>
            <w:tcW w:w="993" w:type="dxa"/>
            <w:tcBorders>
              <w:top w:val="single" w:sz="4" w:space="0" w:color="auto"/>
              <w:left w:val="nil"/>
              <w:bottom w:val="single" w:sz="4" w:space="0" w:color="auto"/>
              <w:right w:val="single" w:sz="4" w:space="0" w:color="auto"/>
            </w:tcBorders>
            <w:shd w:val="clear" w:color="auto" w:fill="C6EFCE"/>
            <w:noWrap/>
          </w:tcPr>
          <w:p w14:paraId="463A3ECF" w14:textId="77777777" w:rsidR="00FA7C11" w:rsidRDefault="00D84965">
            <w:pPr>
              <w:pStyle w:val="P68B1DB1-Normal76"/>
              <w:spacing w:line="240" w:lineRule="auto"/>
              <w:jc w:val="center"/>
              <w:rPr>
                <w:noProof/>
              </w:rPr>
            </w:pPr>
            <w:r>
              <w:rPr>
                <w:noProof/>
              </w:rPr>
              <w:t>2026</w:t>
            </w:r>
          </w:p>
        </w:tc>
        <w:tc>
          <w:tcPr>
            <w:tcW w:w="4917" w:type="dxa"/>
            <w:tcBorders>
              <w:top w:val="single" w:sz="4" w:space="0" w:color="auto"/>
              <w:left w:val="nil"/>
              <w:bottom w:val="single" w:sz="4" w:space="0" w:color="auto"/>
              <w:right w:val="single" w:sz="4" w:space="0" w:color="auto"/>
            </w:tcBorders>
            <w:shd w:val="clear" w:color="auto" w:fill="C6EFCE"/>
            <w:noWrap/>
          </w:tcPr>
          <w:p w14:paraId="43885A79" w14:textId="77777777" w:rsidR="00FA7C11" w:rsidRDefault="00D84965">
            <w:pPr>
              <w:pStyle w:val="P68B1DB1-Normal66"/>
              <w:spacing w:after="200" w:line="276" w:lineRule="auto"/>
              <w:rPr>
                <w:noProof/>
              </w:rPr>
            </w:pPr>
            <w:r>
              <w:rPr>
                <w:noProof/>
              </w:rPr>
              <w:t>Cel puțin 7 km suplimentari de cursuri de apă refăcute.</w:t>
            </w:r>
          </w:p>
        </w:tc>
      </w:tr>
    </w:tbl>
    <w:p w14:paraId="6631F124" w14:textId="77777777" w:rsidR="00FA7C11" w:rsidRDefault="00FA7C11">
      <w:pPr>
        <w:pStyle w:val="paragraph"/>
        <w:spacing w:before="0" w:beforeAutospacing="0" w:after="0" w:afterAutospacing="0"/>
        <w:ind w:left="840"/>
        <w:jc w:val="both"/>
        <w:textAlignment w:val="baseline"/>
        <w:rPr>
          <w:rStyle w:val="eop"/>
          <w:noProof/>
        </w:rPr>
      </w:pPr>
    </w:p>
    <w:p w14:paraId="24FCD835" w14:textId="77777777" w:rsidR="00FA7C11" w:rsidRDefault="00FA7C11">
      <w:pPr>
        <w:pStyle w:val="paragraph"/>
        <w:spacing w:before="0" w:beforeAutospacing="0" w:after="0" w:afterAutospacing="0"/>
        <w:ind w:left="840"/>
        <w:jc w:val="both"/>
        <w:textAlignment w:val="baseline"/>
        <w:rPr>
          <w:rFonts w:ascii="Segoe UI" w:hAnsi="Segoe UI" w:cs="Segoe UI"/>
          <w:noProof/>
          <w:sz w:val="18"/>
          <w:szCs w:val="18"/>
        </w:rPr>
      </w:pPr>
    </w:p>
    <w:p w14:paraId="12FF32D6" w14:textId="77777777" w:rsidR="00FA7C11" w:rsidRDefault="00FA7C11">
      <w:pPr>
        <w:rPr>
          <w:noProof/>
        </w:rPr>
      </w:pPr>
    </w:p>
    <w:p w14:paraId="634DFD74" w14:textId="77777777" w:rsidR="00FA7C11" w:rsidRDefault="00FA7C11">
      <w:pPr>
        <w:rPr>
          <w:noProof/>
        </w:rPr>
        <w:sectPr w:rsidR="00FA7C11" w:rsidSect="00FA29B2">
          <w:headerReference w:type="even" r:id="rId68"/>
          <w:headerReference w:type="default" r:id="rId69"/>
          <w:footerReference w:type="even" r:id="rId70"/>
          <w:footerReference w:type="default" r:id="rId71"/>
          <w:headerReference w:type="first" r:id="rId72"/>
          <w:footerReference w:type="first" r:id="rId73"/>
          <w:pgSz w:w="16838" w:h="11906" w:orient="landscape"/>
          <w:pgMar w:top="1134" w:right="1134" w:bottom="1134" w:left="1134" w:header="567" w:footer="567" w:gutter="0"/>
          <w:cols w:space="708"/>
          <w:docGrid w:linePitch="360"/>
        </w:sectPr>
      </w:pPr>
    </w:p>
    <w:p w14:paraId="42013072" w14:textId="77777777" w:rsidR="00FA7C11" w:rsidRDefault="00D84965">
      <w:pPr>
        <w:pStyle w:val="P68B1DB1-Normal32"/>
        <w:keepNext/>
        <w:tabs>
          <w:tab w:val="left" w:pos="850"/>
        </w:tabs>
        <w:spacing w:after="200" w:line="276" w:lineRule="auto"/>
        <w:ind w:left="850" w:hanging="850"/>
        <w:jc w:val="both"/>
        <w:outlineLvl w:val="0"/>
        <w:rPr>
          <w:noProof/>
        </w:rPr>
      </w:pPr>
      <w:r>
        <w:rPr>
          <w:noProof/>
        </w:rPr>
        <w:t>D. COMPONENTA 1.4: DEZVOLTAREA UNUI SISTEM DE TRANSPORT COMPETITIV, DURABIL DIN PUNCT DE VEDERE ENERGETIC ȘI EFICIENT</w:t>
      </w:r>
    </w:p>
    <w:p w14:paraId="42AC4F12" w14:textId="77777777" w:rsidR="00FA7C11" w:rsidRDefault="00D84965">
      <w:pPr>
        <w:pStyle w:val="P68B1DB1-Normal46"/>
        <w:spacing w:line="240" w:lineRule="auto"/>
        <w:jc w:val="both"/>
        <w:rPr>
          <w:rFonts w:eastAsia="Times New Roman"/>
          <w:noProof/>
        </w:rPr>
      </w:pPr>
      <w:r>
        <w:rPr>
          <w:noProof/>
        </w:rPr>
        <w:t>Sectorul transporturilor este unul dintre principalii emițători de gaze cu efect de seră (GES) din Croația, reprezentând 27 % din totalul emisiilor în 2018, din care transportul rutier de călători a reprezentat 71,6 %, transportul rutier de mărfuri 24,7 %, transportul feroviar 0,8 %, transportul maritim și fluvial 2,4 %, iar traficul aerian intern 0,5 % din emisii. Se preconizează că modernizarea infrastructurii de transport existente prin investiții în tipuri de transport durabile din punctul de vedere al mediului, eficiente, inovatoare și competitive va juca un rol esențial în punerea în aplicare eficace a tranziției verzi și a celei digitale.</w:t>
      </w:r>
    </w:p>
    <w:p w14:paraId="67622E38" w14:textId="77777777" w:rsidR="00FA7C11" w:rsidRDefault="00D84965">
      <w:pPr>
        <w:pStyle w:val="P68B1DB1-Normal83"/>
        <w:spacing w:line="240" w:lineRule="auto"/>
        <w:jc w:val="both"/>
        <w:rPr>
          <w:noProof/>
        </w:rPr>
      </w:pPr>
      <w:r>
        <w:rPr>
          <w:noProof/>
        </w:rPr>
        <w:t>Obiectivul acestei componente a planului croat de redresare și reziliență este de a dezvolta o rețea de transport uniformă, cu o infrastructură de transport feroviar și public dezvoltată și o intermodalitate între diferitele moduri de transport, de a crește ponderea autoturismelor alimentate cu combustibili alternativi, de a reduce emisiile de gaze cu efect de seră și amprenta de mediu a sectorului transporturilor, precum și de a promova mobilitatea durabilă a persoanelor și a mărfurilor.</w:t>
      </w:r>
    </w:p>
    <w:p w14:paraId="3C93FB87" w14:textId="77777777" w:rsidR="00FA7C11" w:rsidRDefault="00D84965">
      <w:pPr>
        <w:pStyle w:val="P68B1DB1-Normal83"/>
        <w:spacing w:line="240" w:lineRule="auto"/>
        <w:jc w:val="both"/>
        <w:rPr>
          <w:noProof/>
        </w:rPr>
      </w:pPr>
      <w:r>
        <w:rPr>
          <w:noProof/>
        </w:rPr>
        <w:t>Această componentă include reforme și investiții în toate modurile de transport (feroviar, rutier, maritim, aerian, public urban și pe căi navigabile interioare) și acoperă toate regiunile Croației.</w:t>
      </w:r>
    </w:p>
    <w:p w14:paraId="14253413" w14:textId="77777777" w:rsidR="00FA7C11" w:rsidRDefault="00D84965">
      <w:pPr>
        <w:pStyle w:val="P68B1DB1-Normal83"/>
        <w:spacing w:line="240" w:lineRule="auto"/>
        <w:jc w:val="both"/>
        <w:rPr>
          <w:noProof/>
        </w:rPr>
      </w:pPr>
      <w:r>
        <w:rPr>
          <w:noProof/>
        </w:rPr>
        <w:t>Aceste investiții și reforme contribuie la punerea în aplicare a recomandării specifice adresate Croației „cu privire la necesitatea de a concentra investițiile în tranziția verde și în cea digitală” (recomandările specifice 3 și 2020) și „cu privire la transportul urban și feroviar durabil” (recomandările specifice 3 și 2019).</w:t>
      </w:r>
    </w:p>
    <w:p w14:paraId="724B820F" w14:textId="77777777" w:rsidR="00FA7C11" w:rsidRDefault="00D84965">
      <w:pPr>
        <w:pStyle w:val="P68B1DB1-Normal83"/>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5C96C63" w14:textId="77777777" w:rsidR="00FA7C11" w:rsidRDefault="00D84965">
      <w:pPr>
        <w:pStyle w:val="P68B1DB1-Normal57"/>
        <w:keepNext/>
        <w:spacing w:after="200" w:line="240" w:lineRule="auto"/>
        <w:ind w:left="851"/>
        <w:jc w:val="both"/>
        <w:outlineLvl w:val="1"/>
        <w:rPr>
          <w:rFonts w:eastAsia="Calibri"/>
          <w:noProof/>
        </w:rPr>
      </w:pPr>
      <w:r>
        <w:rPr>
          <w:noProof/>
        </w:rPr>
        <w:t xml:space="preserve">D.1. </w:t>
      </w:r>
      <w:r>
        <w:rPr>
          <w:noProof/>
        </w:rPr>
        <w:tab/>
        <w:t>Descrierea reformelor și a investițiilor pentru sprijinul financiar nerambursabil</w:t>
      </w:r>
    </w:p>
    <w:p w14:paraId="2B500462" w14:textId="77777777" w:rsidR="00FA7C11" w:rsidRDefault="00D84965">
      <w:pPr>
        <w:pStyle w:val="P68B1DB1-Normal96"/>
        <w:keepNext/>
        <w:tabs>
          <w:tab w:val="num" w:pos="850"/>
        </w:tabs>
        <w:spacing w:after="200" w:line="240" w:lineRule="auto"/>
        <w:ind w:left="851"/>
        <w:jc w:val="both"/>
        <w:outlineLvl w:val="2"/>
        <w:rPr>
          <w:rFonts w:eastAsia="Calibri"/>
          <w:noProof/>
        </w:rPr>
      </w:pPr>
      <w:r>
        <w:rPr>
          <w:noProof/>
        </w:rPr>
        <w:t>Reforma C1.4 R1 – Reforma sectorului rutier</w:t>
      </w:r>
    </w:p>
    <w:p w14:paraId="37C4E517" w14:textId="77777777" w:rsidR="00FA7C11" w:rsidRDefault="00D84965">
      <w:pPr>
        <w:pStyle w:val="P68B1DB1-Normal83"/>
        <w:spacing w:line="240" w:lineRule="auto"/>
        <w:jc w:val="both"/>
        <w:rPr>
          <w:noProof/>
        </w:rPr>
      </w:pPr>
      <w:r>
        <w:rPr>
          <w:noProof/>
        </w:rPr>
        <w:t>Obiectivul reformei este de a reduce costurile de funcționare ale întreprinderilor, de a alinia obligațiile financiare la fluxurile de numerar, de a spori siguranța rutieră și, astfel, de a reduce mortalitatea rutieră. Se preconizează că introducerea unui nou sistem de taxare rutieră va reduce emisiile de gaze cu efect de seră prin eliminarea blocajelor și a locurilor periculoase de pe drumuri. Ca parte a acestei reforme, legislația care reglementează sectorul rutier va fi actualizată prin intrarea în vigoare a modificării Legii privind drumurile.</w:t>
      </w:r>
    </w:p>
    <w:p w14:paraId="179573C2" w14:textId="77777777" w:rsidR="00FA7C11" w:rsidRDefault="00D84965">
      <w:pPr>
        <w:pStyle w:val="P68B1DB1-Normal83"/>
        <w:spacing w:after="200" w:line="240" w:lineRule="auto"/>
        <w:jc w:val="both"/>
        <w:rPr>
          <w:rFonts w:eastAsia="Calibri"/>
          <w:noProof/>
        </w:rPr>
      </w:pPr>
      <w:r>
        <w:rPr>
          <w:noProof/>
        </w:rPr>
        <w:t>Reforma se finalizează până la 31 decembrie 2025.</w:t>
      </w:r>
    </w:p>
    <w:p w14:paraId="5B868921"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R1-I2 – Îmbunătățirea sistemului de exercitare a drepturilor persoanelor cu handicap în domeniul mobilității</w:t>
      </w:r>
    </w:p>
    <w:p w14:paraId="5347A4E8" w14:textId="77777777" w:rsidR="00FA7C11" w:rsidRDefault="00D84965">
      <w:pPr>
        <w:pStyle w:val="P68B1DB1-Normal83"/>
        <w:spacing w:line="240" w:lineRule="auto"/>
        <w:jc w:val="both"/>
        <w:rPr>
          <w:noProof/>
        </w:rPr>
      </w:pPr>
      <w:r>
        <w:rPr>
          <w:noProof/>
        </w:rPr>
        <w:t>Investiția urmărește să faciliteze și să accelereze exercitarea de către persoanele cu handicap a drepturilor lor în domeniul mobilității prin introducerea unui document unic pentru persoanele cu handicap, care să le permită să își exercite toate drepturile de mobilitate, să simplifice mediul administrativ pentru utilizatorii finali ai serviciilor publice digitale în domeniul mobilității și să îmbunătățească accesul persoanelor cu handicap la serviciile publice digitale. Investiția urmărește, de asemenea, să îmbunătățească protecția datelor cu caracter personal ale utilizatorilor și să armonizeze practicile decizionale care afectează drepturile persoanelor cu handicap în domeniul mobilității. Se preconizează că investiția va permite instituțiilor de stat să monitorizeze mai ușor și mai cuprinzător drepturile dobândite și să asigure accesul eficient al publicului la toate datele. Se preconizează că investiția va reduce costurile cu forța de muncă ale angajaților din serviciile de stat și locale cu 15 % până la 35 %.</w:t>
      </w:r>
    </w:p>
    <w:p w14:paraId="7E8E4406" w14:textId="77777777" w:rsidR="00FA7C11" w:rsidRDefault="00D84965">
      <w:pPr>
        <w:pStyle w:val="P68B1DB1-Normal83"/>
        <w:spacing w:after="200" w:line="240" w:lineRule="auto"/>
        <w:jc w:val="both"/>
        <w:rPr>
          <w:rFonts w:eastAsia="Calibri"/>
          <w:noProof/>
        </w:rPr>
      </w:pPr>
      <w:r>
        <w:rPr>
          <w:noProof/>
        </w:rPr>
        <w:t>Investiția se finalizează până la 31 decembrie 2023.</w:t>
      </w:r>
    </w:p>
    <w:p w14:paraId="32D4A207"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R1-I3 – Sistemul național de stocare electronică și de schimb de date în domeniul transportului rutier (PNSCP)</w:t>
      </w:r>
    </w:p>
    <w:p w14:paraId="2258A629" w14:textId="77777777" w:rsidR="00FA7C11" w:rsidRDefault="00D84965">
      <w:pPr>
        <w:pStyle w:val="P68B1DB1-Normal83"/>
        <w:spacing w:line="240" w:lineRule="auto"/>
        <w:jc w:val="both"/>
        <w:rPr>
          <w:noProof/>
        </w:rPr>
      </w:pPr>
      <w:r>
        <w:rPr>
          <w:noProof/>
        </w:rPr>
        <w:t>Obiectivul investiției este de a spori eficiența și durabilitatea transportului rutier.</w:t>
      </w:r>
    </w:p>
    <w:p w14:paraId="3DEB2E8A" w14:textId="77777777" w:rsidR="00FA7C11" w:rsidRDefault="00D84965">
      <w:pPr>
        <w:pStyle w:val="P68B1DB1-Normal83"/>
        <w:spacing w:line="240" w:lineRule="auto"/>
        <w:jc w:val="both"/>
        <w:rPr>
          <w:noProof/>
        </w:rPr>
      </w:pPr>
      <w:r>
        <w:rPr>
          <w:noProof/>
        </w:rPr>
        <w:t xml:space="preserve">Investiția constă în instituirea Sistemului național de stocare electronică și schimb de date privind transportul rutier (National Road Transport Electronic Storage and Data Exchange System – NSCP). </w:t>
      </w:r>
    </w:p>
    <w:p w14:paraId="02652E17"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R1-I4 – Sistemul de control al raportării pentru transportul rutier de călători și de mărfuri</w:t>
      </w:r>
    </w:p>
    <w:p w14:paraId="7EA5E68B" w14:textId="77777777" w:rsidR="00FA7C11" w:rsidRDefault="00D84965">
      <w:pPr>
        <w:pStyle w:val="P68B1DB1-Normal83"/>
        <w:spacing w:after="200" w:line="240" w:lineRule="auto"/>
        <w:jc w:val="both"/>
        <w:rPr>
          <w:rFonts w:eastAsia="Calibri"/>
          <w:noProof/>
        </w:rPr>
      </w:pPr>
      <w:r>
        <w:rPr>
          <w:noProof/>
        </w:rPr>
        <w:t>Obiectivul investiției este de a spori siguranța rutieră prin instituirea unui sistem funcțional de control al raportării pentru transportul rutier de călători și de mărfuri. Sistemul de control al raportării conectează datele din sistemul central de prelucrare a tahografelor (SOTAH) și înregistrările naționale ale cardurilor de tahograf și înregistrările conexe aflate sub responsabilitatea Ministerului Mării, Transporturilor și Infrastructurii din Republica Croația și contribuie la digitalizarea sectorului croat al transporturilor.</w:t>
      </w:r>
    </w:p>
    <w:p w14:paraId="3D8A598F" w14:textId="77777777" w:rsidR="00FA7C11" w:rsidRDefault="00D84965">
      <w:pPr>
        <w:pStyle w:val="P68B1DB1-Normal83"/>
        <w:spacing w:after="200" w:line="240" w:lineRule="auto"/>
        <w:jc w:val="both"/>
        <w:rPr>
          <w:rFonts w:eastAsia="Calibri"/>
          <w:noProof/>
        </w:rPr>
      </w:pPr>
      <w:r>
        <w:rPr>
          <w:noProof/>
        </w:rPr>
        <w:t>Investiția se finalizează până la 31 decembrie 2024.</w:t>
      </w:r>
    </w:p>
    <w:p w14:paraId="7F9AA57A"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R1-I5 – Monitorizarea transportului rutier de mărfuri periculoase (e-ADR)</w:t>
      </w:r>
    </w:p>
    <w:p w14:paraId="6ACB340D" w14:textId="77777777" w:rsidR="00FA7C11" w:rsidRDefault="00D84965">
      <w:pPr>
        <w:pStyle w:val="P68B1DB1-Normal83"/>
        <w:spacing w:line="240" w:lineRule="auto"/>
        <w:jc w:val="both"/>
        <w:rPr>
          <w:noProof/>
        </w:rPr>
      </w:pPr>
      <w:r>
        <w:rPr>
          <w:noProof/>
        </w:rPr>
        <w:t>Obiectivul investiției este de a îmbunătăți transportul rutier de mărfuri periculoase.</w:t>
      </w:r>
    </w:p>
    <w:p w14:paraId="1098C4F2" w14:textId="198E7B07" w:rsidR="00FA7C11" w:rsidRDefault="00D84965">
      <w:pPr>
        <w:pStyle w:val="P68B1DB1-Normal83"/>
        <w:spacing w:line="240" w:lineRule="auto"/>
        <w:jc w:val="both"/>
        <w:rPr>
          <w:noProof/>
        </w:rPr>
      </w:pPr>
      <w:r>
        <w:rPr>
          <w:noProof/>
        </w:rPr>
        <w:t>Investiția constă în instituirea unui sistem de monitorizare pentru transportul rutier de mărfuri periculoase (e-ADR).</w:t>
      </w:r>
    </w:p>
    <w:p w14:paraId="4FC832E2"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Reforma C1.4 R2 – Reforma sectorului feroviar</w:t>
      </w:r>
    </w:p>
    <w:p w14:paraId="4E54E011" w14:textId="77777777" w:rsidR="00FA7C11" w:rsidRDefault="00D84965">
      <w:pPr>
        <w:pStyle w:val="P68B1DB1-Normal46"/>
        <w:spacing w:line="240" w:lineRule="auto"/>
        <w:jc w:val="both"/>
        <w:rPr>
          <w:rFonts w:eastAsia="Times New Roman"/>
          <w:noProof/>
        </w:rPr>
      </w:pPr>
      <w:r>
        <w:rPr>
          <w:noProof/>
        </w:rPr>
        <w:t>Reforma vizează creșterea competitivității și a eficienței sectorului feroviar pentru a oferi servicii mai bune clienților serviciilor de transport de călători și de marfă și pentru a spori competitivitatea economică a Croației. Pentru a sprijini reforma, guvernul croat adoptă o scrisoare de politică sectorială pentru sectorul feroviar până la 30 iunie 2021, prezentând calea de urmat în domenii-cheie legate de reforma și modernizarea sectorului feroviar și stabilind planuri de punere în aplicare pentru guvern și întreprinderile feroviare, inclusiv măsuri și acțiuni detaliate în ceea ce privește:</w:t>
      </w:r>
    </w:p>
    <w:p w14:paraId="2924CF75" w14:textId="77777777" w:rsidR="00FA7C11" w:rsidRDefault="00D84965">
      <w:pPr>
        <w:pStyle w:val="P68B1DB1-ListParagraph101"/>
        <w:numPr>
          <w:ilvl w:val="0"/>
          <w:numId w:val="50"/>
        </w:numPr>
        <w:spacing w:before="120" w:after="120" w:line="240" w:lineRule="auto"/>
        <w:jc w:val="both"/>
        <w:rPr>
          <w:rFonts w:eastAsia="Calibri"/>
          <w:noProof/>
        </w:rPr>
      </w:pPr>
      <w:r>
        <w:rPr>
          <w:noProof/>
        </w:rPr>
        <w:t>Guvernanța sectorului;</w:t>
      </w:r>
    </w:p>
    <w:p w14:paraId="043788D5" w14:textId="77777777" w:rsidR="00FA7C11" w:rsidRDefault="00D84965">
      <w:pPr>
        <w:pStyle w:val="P68B1DB1-ListParagraph43"/>
        <w:numPr>
          <w:ilvl w:val="0"/>
          <w:numId w:val="50"/>
        </w:numPr>
        <w:spacing w:before="120" w:after="120" w:line="240" w:lineRule="auto"/>
        <w:jc w:val="both"/>
        <w:rPr>
          <w:noProof/>
        </w:rPr>
      </w:pPr>
      <w:r>
        <w:rPr>
          <w:noProof/>
        </w:rPr>
        <w:t>Gestionarea societăților și a operațiunilor feroviare;</w:t>
      </w:r>
    </w:p>
    <w:p w14:paraId="6189183C" w14:textId="77777777" w:rsidR="00FA7C11" w:rsidRDefault="00D84965">
      <w:pPr>
        <w:pStyle w:val="P68B1DB1-ListParagraph43"/>
        <w:numPr>
          <w:ilvl w:val="0"/>
          <w:numId w:val="50"/>
        </w:numPr>
        <w:spacing w:before="120" w:after="120" w:line="240" w:lineRule="auto"/>
        <w:jc w:val="both"/>
        <w:rPr>
          <w:noProof/>
        </w:rPr>
      </w:pPr>
      <w:r>
        <w:rPr>
          <w:noProof/>
        </w:rPr>
        <w:t>Planificarea investițiilor sectoriale și a finanțării;</w:t>
      </w:r>
    </w:p>
    <w:p w14:paraId="6373B33A" w14:textId="77777777" w:rsidR="00FA7C11" w:rsidRDefault="00D84965">
      <w:pPr>
        <w:pStyle w:val="P68B1DB1-ListParagraph43"/>
        <w:numPr>
          <w:ilvl w:val="0"/>
          <w:numId w:val="50"/>
        </w:numPr>
        <w:spacing w:before="120" w:after="120" w:line="240" w:lineRule="auto"/>
        <w:jc w:val="both"/>
        <w:rPr>
          <w:noProof/>
        </w:rPr>
      </w:pPr>
      <w:r>
        <w:rPr>
          <w:noProof/>
        </w:rPr>
        <w:t>Dezvoltarea cunoștințelor, a tehnologiilor și a competențelor în sectorul feroviar.</w:t>
      </w:r>
    </w:p>
    <w:p w14:paraId="68AF9474" w14:textId="77777777" w:rsidR="00FA7C11" w:rsidRDefault="00D84965">
      <w:pPr>
        <w:pStyle w:val="P68B1DB1-Normal83"/>
        <w:spacing w:after="200" w:line="240" w:lineRule="auto"/>
        <w:jc w:val="both"/>
        <w:rPr>
          <w:rFonts w:eastAsia="Calibri"/>
          <w:noProof/>
        </w:rPr>
      </w:pPr>
      <w:r>
        <w:rPr>
          <w:noProof/>
        </w:rPr>
        <w:t>Reforma se finalizează până la 31 decembrie 2025.</w:t>
      </w:r>
    </w:p>
    <w:p w14:paraId="32DF24EC"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R2-I3 – Eliminarea „blocajelor” din infrastructura feroviară</w:t>
      </w:r>
    </w:p>
    <w:p w14:paraId="35983219" w14:textId="77777777" w:rsidR="00FA7C11" w:rsidRDefault="00D84965">
      <w:pPr>
        <w:pStyle w:val="P68B1DB1-Normal83"/>
        <w:spacing w:after="200" w:line="240" w:lineRule="auto"/>
        <w:jc w:val="both"/>
        <w:rPr>
          <w:noProof/>
        </w:rPr>
      </w:pPr>
      <w:r>
        <w:rPr>
          <w:noProof/>
        </w:rPr>
        <w:t xml:space="preserve">Obiectivul investiției este de a aborda blocajele din rețeaua feroviară a Croației. </w:t>
      </w:r>
    </w:p>
    <w:p w14:paraId="2AC6C40C" w14:textId="77777777" w:rsidR="00FA7C11" w:rsidRDefault="00D84965">
      <w:pPr>
        <w:pStyle w:val="P68B1DB1-Normal83"/>
        <w:spacing w:after="200" w:line="240" w:lineRule="auto"/>
        <w:jc w:val="both"/>
        <w:rPr>
          <w:rFonts w:eastAsia="Calibri"/>
          <w:noProof/>
        </w:rPr>
      </w:pPr>
      <w:r>
        <w:rPr>
          <w:noProof/>
        </w:rPr>
        <w:t xml:space="preserve">Investiția constă în eliminarea a cinci blocaje din rețeaua feroviară a Croației. </w:t>
      </w:r>
    </w:p>
    <w:p w14:paraId="265BC778"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R2-I4 – Modernizarea Zagreb Kustošija – Zagreb ZK – Zagreb GK</w:t>
      </w:r>
    </w:p>
    <w:p w14:paraId="2A000888" w14:textId="77777777" w:rsidR="00FA7C11" w:rsidRDefault="00D84965">
      <w:pPr>
        <w:pStyle w:val="P68B1DB1-Normal83"/>
        <w:spacing w:after="200" w:line="240" w:lineRule="auto"/>
        <w:jc w:val="both"/>
        <w:rPr>
          <w:rFonts w:eastAsia="Calibri"/>
          <w:noProof/>
        </w:rPr>
      </w:pPr>
      <w:r>
        <w:rPr>
          <w:noProof/>
        </w:rPr>
        <w:t>Obiectivul investiției este de a moderniza tronsonul feroviar Zagreb Kustošija – Zagreb Zapadni Kolodvor – Zagreb Glavni Kolodvor, de a îmbunătăți calitatea și disponibilitatea transportului feroviar local și regional de călători, de a integra mai bine căile ferate în sistemul de transport public al orașului Zagreb, precum și de a crește ponderea transportului feroviar și a transportului public local în zona mai largă a orașului Zagreb. Proiectul contribuie la realizarea obiectivului de finalizare a rețelei centrale TEN-T până la 31 decembrie 2030.</w:t>
      </w:r>
    </w:p>
    <w:p w14:paraId="5E541D40" w14:textId="77777777" w:rsidR="00FA7C11" w:rsidRDefault="00D84965">
      <w:pPr>
        <w:pStyle w:val="P68B1DB1-Normal83"/>
        <w:spacing w:after="200" w:line="240" w:lineRule="auto"/>
        <w:jc w:val="both"/>
        <w:rPr>
          <w:rFonts w:eastAsia="Calibri"/>
          <w:noProof/>
        </w:rPr>
      </w:pPr>
      <w:r>
        <w:rPr>
          <w:noProof/>
        </w:rPr>
        <w:t>Investiția se finalizează până la 31 decembrie 2024.</w:t>
      </w:r>
    </w:p>
    <w:p w14:paraId="5BF303E7"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R2-I6 – Utilizarea tehnologiilor verzi în transportul feroviar de călători</w:t>
      </w:r>
    </w:p>
    <w:p w14:paraId="14E9A517" w14:textId="77777777" w:rsidR="00FA7C11" w:rsidRDefault="00D84965">
      <w:pPr>
        <w:pStyle w:val="P68B1DB1-Normal83"/>
        <w:spacing w:after="200" w:line="240" w:lineRule="auto"/>
        <w:jc w:val="both"/>
        <w:rPr>
          <w:noProof/>
        </w:rPr>
      </w:pPr>
      <w:r>
        <w:rPr>
          <w:noProof/>
        </w:rPr>
        <w:t xml:space="preserve">Obiectivul investiției este de a spori transportul feroviar de călători pe liniile neelectrificate. </w:t>
      </w:r>
    </w:p>
    <w:p w14:paraId="626F139C" w14:textId="77777777" w:rsidR="00FA7C11" w:rsidRDefault="00D84965">
      <w:pPr>
        <w:pStyle w:val="P68B1DB1-Normal83"/>
        <w:spacing w:after="200" w:line="240" w:lineRule="auto"/>
        <w:jc w:val="both"/>
        <w:rPr>
          <w:rFonts w:eastAsia="Calibri"/>
          <w:noProof/>
        </w:rPr>
      </w:pPr>
      <w:r>
        <w:rPr>
          <w:noProof/>
        </w:rPr>
        <w:t>Investiția constă în două prototipuri de trenuri cu baterii produse.</w:t>
      </w:r>
    </w:p>
    <w:p w14:paraId="5A50209C"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R2-I7 – Modernizarea sistemelor informatice</w:t>
      </w:r>
    </w:p>
    <w:p w14:paraId="4EFFF1D0" w14:textId="77777777" w:rsidR="00FA7C11" w:rsidRDefault="00D84965">
      <w:pPr>
        <w:pStyle w:val="P68B1DB1-Normal83"/>
        <w:spacing w:after="200" w:line="240" w:lineRule="auto"/>
        <w:jc w:val="both"/>
        <w:rPr>
          <w:noProof/>
        </w:rPr>
      </w:pPr>
      <w:r>
        <w:rPr>
          <w:noProof/>
        </w:rPr>
        <w:t>Obiectivul investiției este de a spori calitatea serviciilor feroviare.</w:t>
      </w:r>
    </w:p>
    <w:p w14:paraId="4BEC9D0A" w14:textId="77777777" w:rsidR="00FA7C11" w:rsidRDefault="00D84965">
      <w:pPr>
        <w:pStyle w:val="P68B1DB1-Normal83"/>
        <w:spacing w:after="200" w:line="240" w:lineRule="auto"/>
        <w:jc w:val="both"/>
        <w:rPr>
          <w:noProof/>
        </w:rPr>
      </w:pPr>
      <w:r>
        <w:rPr>
          <w:noProof/>
        </w:rPr>
        <w:t>Investiția constă în modernizarea sistemelor informatice</w:t>
      </w:r>
      <w:r>
        <w:rPr>
          <w:noProof/>
          <w:u w:val="single"/>
        </w:rPr>
        <w:t xml:space="preserve"> </w:t>
      </w:r>
      <w:r>
        <w:rPr>
          <w:noProof/>
        </w:rPr>
        <w:t xml:space="preserve">pentru transportul de pasageri HŽ. </w:t>
      </w:r>
    </w:p>
    <w:p w14:paraId="4F5178BA"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Reforma C1.4 R3 – Reforma navigației maritime și interioare</w:t>
      </w:r>
    </w:p>
    <w:p w14:paraId="03914739" w14:textId="77777777" w:rsidR="00FA7C11" w:rsidRDefault="00D84965">
      <w:pPr>
        <w:pStyle w:val="P68B1DB1-Normal46"/>
        <w:spacing w:line="240" w:lineRule="auto"/>
        <w:jc w:val="both"/>
        <w:rPr>
          <w:rFonts w:eastAsia="Times New Roman"/>
          <w:noProof/>
        </w:rPr>
      </w:pPr>
      <w:r>
        <w:rPr>
          <w:noProof/>
        </w:rPr>
        <w:t>Obiectivul reformei este dezvoltarea unui transport maritim și pe căi navigabile interioare durabil și eficient, care să contribuie la creșterea siguranței navigației, asigurând revitalizarea căilor navigabile interioare, îmbunătățind conectivitatea transporturilor insulelor și infrastructura portuară pentru a reduce impactul negativ al sectorului transporturilor asupra mediului. Ca parte a acestei reforme, intră în vigoare noua Lege privind transportul costier regulat și sezonier, noua Lege privind domeniul maritim și porturile maritime și noua Lege privind navigația interioară și porturile.</w:t>
      </w:r>
    </w:p>
    <w:p w14:paraId="77660C67" w14:textId="77777777" w:rsidR="00FA7C11" w:rsidRDefault="00D84965">
      <w:pPr>
        <w:pStyle w:val="P68B1DB1-Normal83"/>
        <w:spacing w:after="200" w:line="240" w:lineRule="auto"/>
        <w:jc w:val="both"/>
        <w:rPr>
          <w:rFonts w:eastAsia="Calibri"/>
          <w:noProof/>
        </w:rPr>
      </w:pPr>
      <w:r>
        <w:rPr>
          <w:noProof/>
        </w:rPr>
        <w:t>Reforma se finalizează până la 31 decembrie 2022.</w:t>
      </w:r>
    </w:p>
    <w:p w14:paraId="20F6BC30" w14:textId="337F51CB" w:rsidR="00FA7C11" w:rsidRDefault="00D84965">
      <w:pPr>
        <w:pStyle w:val="P68B1DB1-Normal82"/>
        <w:keepNext/>
        <w:tabs>
          <w:tab w:val="num" w:pos="850"/>
        </w:tabs>
        <w:spacing w:after="200" w:line="240" w:lineRule="auto"/>
        <w:ind w:left="851"/>
        <w:jc w:val="both"/>
        <w:outlineLvl w:val="2"/>
        <w:rPr>
          <w:rFonts w:eastAsia="Calibri"/>
          <w:noProof/>
        </w:rPr>
      </w:pPr>
      <w:r>
        <w:rPr>
          <w:noProof/>
        </w:rPr>
        <w:t xml:space="preserve">Investiția C1.4 R3-I1 – Modernizarea portului municipal Split </w:t>
      </w:r>
    </w:p>
    <w:p w14:paraId="349E3F27" w14:textId="77777777" w:rsidR="00FA7C11" w:rsidRDefault="00D84965">
      <w:pPr>
        <w:pStyle w:val="P68B1DB1-Normal83"/>
        <w:spacing w:after="200" w:line="240" w:lineRule="auto"/>
        <w:jc w:val="both"/>
        <w:rPr>
          <w:noProof/>
        </w:rPr>
      </w:pPr>
      <w:r>
        <w:rPr>
          <w:noProof/>
        </w:rPr>
        <w:t xml:space="preserve">Obiectivul investiției este modernizarea infrastructurii portuare și creșterea calității transportului maritim public. </w:t>
      </w:r>
    </w:p>
    <w:p w14:paraId="35E97A1C" w14:textId="3671961D" w:rsidR="00FA7C11" w:rsidRDefault="00D84965">
      <w:pPr>
        <w:pStyle w:val="P68B1DB1-Normal83"/>
        <w:spacing w:after="200" w:line="240" w:lineRule="auto"/>
        <w:jc w:val="both"/>
        <w:rPr>
          <w:rFonts w:eastAsia="Calibri"/>
          <w:noProof/>
        </w:rPr>
      </w:pPr>
      <w:r>
        <w:rPr>
          <w:noProof/>
        </w:rPr>
        <w:t>Investiția constă într-un nou terminal pentru pasageri al portului municipal Split.</w:t>
      </w:r>
    </w:p>
    <w:p w14:paraId="58FE4DD3"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R3-I3 – Construirea unui nou feribot prin cablu „Križnica”, municipalitatea Pitomača</w:t>
      </w:r>
    </w:p>
    <w:p w14:paraId="2EFC86B3" w14:textId="77777777" w:rsidR="00FA7C11" w:rsidRDefault="00D84965">
      <w:pPr>
        <w:pStyle w:val="P68B1DB1-Normal83"/>
        <w:spacing w:after="200" w:line="240" w:lineRule="auto"/>
        <w:jc w:val="both"/>
        <w:rPr>
          <w:rFonts w:eastAsia="Calibri"/>
          <w:noProof/>
        </w:rPr>
      </w:pPr>
      <w:r>
        <w:rPr>
          <w:noProof/>
        </w:rPr>
        <w:t>Obiectivul investiției este de a construi un nou feribot prin cablu „Križnica” peste râul Drava în municipalitatea Pitomača, pentru a asigura conectivitatea transporturilor și a încuraja dezvoltarea regiunilor mai puțin dezvoltate. Investiția include un nou feribot electric alimentat cu energie solară, care va crește capacitatea de transport și va contribui totodată la înverzirea sectorului transporturilor.</w:t>
      </w:r>
    </w:p>
    <w:p w14:paraId="28C83BD9" w14:textId="77777777" w:rsidR="00FA7C11" w:rsidRDefault="00D84965">
      <w:pPr>
        <w:pStyle w:val="P68B1DB1-Normal83"/>
        <w:spacing w:line="240" w:lineRule="auto"/>
        <w:jc w:val="both"/>
        <w:rPr>
          <w:rFonts w:eastAsia="Calibri"/>
          <w:noProof/>
        </w:rPr>
      </w:pPr>
      <w:r>
        <w:rPr>
          <w:noProof/>
        </w:rPr>
        <w:t>Investiția se finalizează până la 30 octombrie 2022.</w:t>
      </w:r>
    </w:p>
    <w:p w14:paraId="6B19852C"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R4-I2 – Modernizarea parcului de tramvaie</w:t>
      </w:r>
    </w:p>
    <w:p w14:paraId="4D16E943" w14:textId="77777777" w:rsidR="00FA7C11" w:rsidRDefault="00D84965">
      <w:pPr>
        <w:pStyle w:val="P68B1DB1-Normal83"/>
        <w:spacing w:line="240" w:lineRule="auto"/>
        <w:jc w:val="both"/>
        <w:rPr>
          <w:noProof/>
        </w:rPr>
      </w:pPr>
      <w:r>
        <w:rPr>
          <w:noProof/>
        </w:rPr>
        <w:t>Obiectivul investiției este de a moderniza flota de tramvaie din orașele Osijek și Zagreb.</w:t>
      </w:r>
    </w:p>
    <w:p w14:paraId="02FF87FC" w14:textId="77777777" w:rsidR="00FA7C11" w:rsidRDefault="00D84965">
      <w:pPr>
        <w:pStyle w:val="P68B1DB1-Normal83"/>
        <w:spacing w:line="240" w:lineRule="auto"/>
        <w:jc w:val="both"/>
        <w:rPr>
          <w:noProof/>
        </w:rPr>
      </w:pPr>
      <w:r>
        <w:rPr>
          <w:noProof/>
        </w:rPr>
        <w:t>Investiția constă în livrarea de noi tramvaie.</w:t>
      </w:r>
    </w:p>
    <w:p w14:paraId="20107D74" w14:textId="77777777" w:rsidR="00FA7C11" w:rsidRDefault="00D84965">
      <w:pPr>
        <w:pStyle w:val="P68B1DB1-Normal82"/>
        <w:keepNext/>
        <w:tabs>
          <w:tab w:val="num" w:pos="850"/>
        </w:tabs>
        <w:spacing w:after="200" w:line="240" w:lineRule="auto"/>
        <w:ind w:left="851"/>
        <w:jc w:val="both"/>
        <w:outlineLvl w:val="2"/>
        <w:rPr>
          <w:rFonts w:eastAsia="Calibri"/>
          <w:noProof/>
        </w:rPr>
      </w:pPr>
      <w:r>
        <w:rPr>
          <w:noProof/>
        </w:rPr>
        <w:t>Investiția C1.4 R5-I1 – Electrificarea și ecologizarea sistemului de handling la sol și de alimentare cu energie electrică la aeroportul din Zadar</w:t>
      </w:r>
    </w:p>
    <w:p w14:paraId="33A999BE" w14:textId="77777777" w:rsidR="00FA7C11" w:rsidRDefault="00D84965">
      <w:pPr>
        <w:pStyle w:val="P68B1DB1-Normal83"/>
        <w:spacing w:line="240" w:lineRule="auto"/>
        <w:jc w:val="both"/>
        <w:rPr>
          <w:noProof/>
        </w:rPr>
      </w:pPr>
      <w:r>
        <w:rPr>
          <w:noProof/>
        </w:rPr>
        <w:t xml:space="preserve">Obiectivul investiției este de a asigura un sistem ecologic de handling la sol al aeronavelor și de a promova utilizarea surselor regenerabile de energie. </w:t>
      </w:r>
    </w:p>
    <w:p w14:paraId="0C7BED43" w14:textId="77777777" w:rsidR="00FA7C11" w:rsidRDefault="00D84965">
      <w:pPr>
        <w:pStyle w:val="P68B1DB1-Normal83"/>
        <w:spacing w:after="120" w:line="240" w:lineRule="auto"/>
        <w:jc w:val="both"/>
        <w:rPr>
          <w:rFonts w:eastAsia="Calibri"/>
          <w:noProof/>
        </w:rPr>
      </w:pPr>
      <w:r>
        <w:rPr>
          <w:noProof/>
        </w:rPr>
        <w:t>Investiția constă în electrificarea și înverzirea serviciilor de handling la sol pentru aeronave pe aeroportul din Zadar.</w:t>
      </w:r>
    </w:p>
    <w:p w14:paraId="0949D1A6" w14:textId="77777777" w:rsidR="00FA7C11" w:rsidRDefault="00D84965">
      <w:pPr>
        <w:pStyle w:val="P68B1DB1-Normal82"/>
        <w:keepNext/>
        <w:tabs>
          <w:tab w:val="num" w:pos="850"/>
        </w:tabs>
        <w:spacing w:after="200" w:line="276" w:lineRule="auto"/>
        <w:ind w:left="851"/>
        <w:jc w:val="both"/>
        <w:outlineLvl w:val="2"/>
        <w:rPr>
          <w:rFonts w:eastAsia="Calibri"/>
          <w:noProof/>
        </w:rPr>
      </w:pPr>
      <w:r>
        <w:rPr>
          <w:noProof/>
        </w:rPr>
        <w:t>Investiția C1.4 R5-I2 – Cercetarea, dezvoltarea și producția de noi vehicule de mobilitate și infrastructura de sprijin</w:t>
      </w:r>
    </w:p>
    <w:p w14:paraId="6FFC8A85" w14:textId="77777777" w:rsidR="00FA7C11" w:rsidRDefault="00D84965">
      <w:pPr>
        <w:pStyle w:val="P68B1DB1-Normal83"/>
        <w:spacing w:line="240" w:lineRule="auto"/>
        <w:jc w:val="both"/>
        <w:rPr>
          <w:noProof/>
        </w:rPr>
      </w:pPr>
      <w:r>
        <w:rPr>
          <w:noProof/>
        </w:rPr>
        <w:t>Obiectivul investiției este de a spori siguranța transporturilor, sporind în același timp eficiența, de a reduce congestionarea traficului și de a reduce emisiile globale de poluanți generate de transportul cu autovehicule în orașul Zagreb.</w:t>
      </w:r>
    </w:p>
    <w:p w14:paraId="465AF984" w14:textId="77777777" w:rsidR="00FA7C11" w:rsidRDefault="00D84965">
      <w:pPr>
        <w:pStyle w:val="P68B1DB1-Normal83"/>
        <w:spacing w:line="240" w:lineRule="auto"/>
        <w:jc w:val="both"/>
        <w:rPr>
          <w:noProof/>
        </w:rPr>
      </w:pPr>
      <w:r>
        <w:rPr>
          <w:noProof/>
        </w:rPr>
        <w:t xml:space="preserve">Investiția constă în dezvoltarea și punerea în aplicare a unui nou serviciu de transport urban al vehiculelor electrice complet autonome. </w:t>
      </w:r>
    </w:p>
    <w:p w14:paraId="2B2317B1" w14:textId="43ED2CED" w:rsidR="00FA7C11" w:rsidRDefault="00D84965">
      <w:pPr>
        <w:pStyle w:val="P68B1DB1-Normal82"/>
        <w:keepNext/>
        <w:tabs>
          <w:tab w:val="num" w:pos="850"/>
        </w:tabs>
        <w:spacing w:after="200" w:line="276" w:lineRule="auto"/>
        <w:ind w:left="851"/>
        <w:jc w:val="both"/>
        <w:outlineLvl w:val="2"/>
        <w:rPr>
          <w:rFonts w:eastAsia="Calibri"/>
          <w:noProof/>
        </w:rPr>
      </w:pPr>
      <w:r>
        <w:rPr>
          <w:noProof/>
        </w:rPr>
        <w:t xml:space="preserve">Investiția C1.4 R5-I3 – Program pentru achiziționarea de vehicule noi alimentate cu combustibili alternativi </w:t>
      </w:r>
    </w:p>
    <w:p w14:paraId="7C50B9DD" w14:textId="77777777" w:rsidR="00FA7C11" w:rsidRDefault="00D84965">
      <w:pPr>
        <w:pStyle w:val="P68B1DB1-Normal83"/>
        <w:spacing w:line="240" w:lineRule="auto"/>
        <w:jc w:val="both"/>
        <w:rPr>
          <w:noProof/>
        </w:rPr>
      </w:pPr>
      <w:r>
        <w:rPr>
          <w:noProof/>
        </w:rPr>
        <w:t xml:space="preserve">Obiectivul investiției este de a spori eficiența energetică a transportului rutier prin reducerea dependenței de combustibilii fosili. </w:t>
      </w:r>
    </w:p>
    <w:p w14:paraId="3FF747F3" w14:textId="42B9C977" w:rsidR="00FA7C11" w:rsidRDefault="00D84965">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Investiția constă în achiziționarea de vehicule cu propulsie alternativă (electrice și/sau pe bază de hidrogen).</w:t>
      </w:r>
    </w:p>
    <w:p w14:paraId="0C900814" w14:textId="77777777" w:rsidR="00FA7C11" w:rsidRDefault="00D84965">
      <w:pPr>
        <w:pStyle w:val="P68B1DB1-Normal33"/>
        <w:spacing w:line="240" w:lineRule="auto"/>
        <w:ind w:left="850"/>
        <w:jc w:val="both"/>
        <w:rPr>
          <w:noProof/>
          <w:u w:val="single"/>
        </w:rPr>
      </w:pPr>
      <w:r>
        <w:rPr>
          <w:noProof/>
        </w:rPr>
        <w:t xml:space="preserve"> </w:t>
      </w:r>
    </w:p>
    <w:p w14:paraId="0C928FBB" w14:textId="77777777" w:rsidR="00FA7C11" w:rsidRDefault="00FA7C11">
      <w:pPr>
        <w:rPr>
          <w:noProof/>
        </w:rPr>
        <w:sectPr w:rsidR="00FA7C11" w:rsidSect="00FA29B2">
          <w:headerReference w:type="even" r:id="rId74"/>
          <w:headerReference w:type="default" r:id="rId75"/>
          <w:footerReference w:type="even" r:id="rId76"/>
          <w:footerReference w:type="default" r:id="rId77"/>
          <w:headerReference w:type="first" r:id="rId78"/>
          <w:footerReference w:type="first" r:id="rId79"/>
          <w:pgSz w:w="11906" w:h="16838"/>
          <w:pgMar w:top="1134" w:right="1134" w:bottom="1134" w:left="1134" w:header="567" w:footer="567" w:gutter="0"/>
          <w:cols w:space="708"/>
          <w:docGrid w:linePitch="360"/>
        </w:sectPr>
      </w:pPr>
    </w:p>
    <w:p w14:paraId="6DA0AFB4" w14:textId="77777777" w:rsidR="00FA7C11" w:rsidRDefault="00D84965">
      <w:pPr>
        <w:pStyle w:val="P68B1DB1-Normal57"/>
        <w:keepNext/>
        <w:tabs>
          <w:tab w:val="num" w:pos="850"/>
        </w:tabs>
        <w:spacing w:after="200" w:line="276" w:lineRule="auto"/>
        <w:ind w:left="851"/>
        <w:jc w:val="both"/>
        <w:outlineLvl w:val="1"/>
        <w:rPr>
          <w:rFonts w:eastAsia="Calibri"/>
          <w:noProof/>
        </w:rPr>
      </w:pPr>
      <w:r>
        <w:rPr>
          <w:noProof/>
        </w:rPr>
        <w:t xml:space="preserve">D.2. </w:t>
      </w:r>
      <w:r>
        <w:rPr>
          <w:noProof/>
        </w:rPr>
        <w:tab/>
        <w:t>Jaloane, ținte, indicatori și calendarul de monitorizare și implementare aplicabile sprijinului financiar nerambursabil</w:t>
      </w:r>
    </w:p>
    <w:tbl>
      <w:tblPr>
        <w:tblW w:w="16245" w:type="dxa"/>
        <w:jc w:val="center"/>
        <w:tblCellMar>
          <w:top w:w="28" w:type="dxa"/>
          <w:left w:w="28" w:type="dxa"/>
          <w:bottom w:w="28" w:type="dxa"/>
          <w:right w:w="28" w:type="dxa"/>
        </w:tblCellMar>
        <w:tblLook w:val="04A0" w:firstRow="1" w:lastRow="0" w:firstColumn="1" w:lastColumn="0" w:noHBand="0" w:noVBand="1"/>
      </w:tblPr>
      <w:tblGrid>
        <w:gridCol w:w="846"/>
        <w:gridCol w:w="1134"/>
        <w:gridCol w:w="1345"/>
        <w:gridCol w:w="1733"/>
        <w:gridCol w:w="1984"/>
        <w:gridCol w:w="1067"/>
        <w:gridCol w:w="918"/>
        <w:gridCol w:w="779"/>
        <w:gridCol w:w="919"/>
        <w:gridCol w:w="851"/>
        <w:gridCol w:w="5193"/>
      </w:tblGrid>
      <w:tr w:rsidR="00FA7C11" w14:paraId="741A5AB5" w14:textId="77777777">
        <w:trPr>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818420" w14:textId="77777777" w:rsidR="00FA7C11" w:rsidRDefault="00D84965">
            <w:pPr>
              <w:pStyle w:val="P68B1DB1-Normal58"/>
              <w:spacing w:after="0" w:line="276" w:lineRule="auto"/>
              <w:jc w:val="center"/>
              <w:rPr>
                <w:bCs/>
                <w:noProof/>
              </w:rPr>
            </w:pPr>
            <w:r>
              <w:rPr>
                <w:noProof/>
              </w:rPr>
              <w:t>Număr</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B6A3A8" w14:textId="77777777" w:rsidR="00FA7C11" w:rsidRDefault="00D84965">
            <w:pPr>
              <w:pStyle w:val="P68B1DB1-Normal58"/>
              <w:spacing w:after="0" w:line="276" w:lineRule="auto"/>
              <w:jc w:val="center"/>
              <w:rPr>
                <w:bCs/>
                <w:noProof/>
              </w:rPr>
            </w:pPr>
            <w:r>
              <w:rPr>
                <w:noProof/>
              </w:rPr>
              <w:t>Măsură</w:t>
            </w:r>
          </w:p>
        </w:tc>
        <w:tc>
          <w:tcPr>
            <w:tcW w:w="11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B12A51" w14:textId="77777777" w:rsidR="00FA7C11" w:rsidRDefault="00D84965">
            <w:pPr>
              <w:pStyle w:val="P68B1DB1-Normal58"/>
              <w:spacing w:after="0" w:line="276" w:lineRule="auto"/>
              <w:jc w:val="center"/>
              <w:rPr>
                <w:bCs/>
                <w:noProof/>
              </w:rPr>
            </w:pPr>
            <w:r>
              <w:rPr>
                <w:noProof/>
              </w:rPr>
              <w:t>Etapă/Obiectiv</w:t>
            </w:r>
          </w:p>
        </w:tc>
        <w:tc>
          <w:tcPr>
            <w:tcW w:w="17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B12770" w14:textId="77777777" w:rsidR="00FA7C11" w:rsidRDefault="00D84965">
            <w:pPr>
              <w:pStyle w:val="P68B1DB1-Normal58"/>
              <w:spacing w:after="0" w:line="276" w:lineRule="auto"/>
              <w:jc w:val="center"/>
              <w:rPr>
                <w:bCs/>
                <w:noProof/>
              </w:rPr>
            </w:pPr>
            <w:r>
              <w:rPr>
                <w:noProof/>
              </w:rPr>
              <w:t>Nume</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42CE81"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FF8E408"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6A50F772" w14:textId="77777777" w:rsidR="00FA7C11" w:rsidRDefault="00D84965">
            <w:pPr>
              <w:pStyle w:val="P68B1DB1-Normal58"/>
              <w:spacing w:after="0" w:line="276" w:lineRule="auto"/>
              <w:jc w:val="center"/>
              <w:rPr>
                <w:bCs/>
                <w:noProof/>
              </w:rPr>
            </w:pPr>
            <w:r>
              <w:rPr>
                <w:noProof/>
              </w:rPr>
              <w:t>Timp</w:t>
            </w:r>
          </w:p>
        </w:tc>
        <w:tc>
          <w:tcPr>
            <w:tcW w:w="51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31C9E0"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6A767BED" w14:textId="77777777">
        <w:trPr>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3216C4C5"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34" w:type="dxa"/>
            <w:vMerge/>
            <w:tcBorders>
              <w:top w:val="single" w:sz="4" w:space="0" w:color="auto"/>
              <w:left w:val="single" w:sz="4" w:space="0" w:color="auto"/>
              <w:bottom w:val="single" w:sz="4" w:space="0" w:color="auto"/>
              <w:right w:val="single" w:sz="4" w:space="0" w:color="auto"/>
            </w:tcBorders>
            <w:hideMark/>
          </w:tcPr>
          <w:p w14:paraId="2E878C83"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02" w:type="dxa"/>
            <w:vMerge/>
            <w:tcBorders>
              <w:top w:val="single" w:sz="4" w:space="0" w:color="auto"/>
              <w:left w:val="single" w:sz="4" w:space="0" w:color="auto"/>
              <w:bottom w:val="single" w:sz="4" w:space="0" w:color="auto"/>
              <w:right w:val="single" w:sz="4" w:space="0" w:color="auto"/>
            </w:tcBorders>
            <w:hideMark/>
          </w:tcPr>
          <w:p w14:paraId="21265A5A"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733" w:type="dxa"/>
            <w:vMerge/>
            <w:tcBorders>
              <w:top w:val="single" w:sz="4" w:space="0" w:color="auto"/>
              <w:left w:val="single" w:sz="4" w:space="0" w:color="auto"/>
              <w:bottom w:val="single" w:sz="4" w:space="0" w:color="auto"/>
              <w:right w:val="single" w:sz="4" w:space="0" w:color="auto"/>
            </w:tcBorders>
            <w:hideMark/>
          </w:tcPr>
          <w:p w14:paraId="57650397" w14:textId="77777777" w:rsidR="00FA7C11" w:rsidRDefault="00FA7C11">
            <w:pPr>
              <w:spacing w:after="0" w:line="276" w:lineRule="auto"/>
              <w:rPr>
                <w:rFonts w:ascii="Times New Roman" w:eastAsia="Times New Roman" w:hAnsi="Times New Roman" w:cs="Times New Roman"/>
                <w:b/>
                <w:noProof/>
                <w:sz w:val="20"/>
                <w:szCs w:val="20"/>
              </w:rPr>
            </w:pPr>
          </w:p>
        </w:tc>
        <w:tc>
          <w:tcPr>
            <w:tcW w:w="1984" w:type="dxa"/>
            <w:vMerge/>
            <w:tcBorders>
              <w:top w:val="single" w:sz="4" w:space="0" w:color="auto"/>
              <w:left w:val="single" w:sz="4" w:space="0" w:color="auto"/>
              <w:bottom w:val="single" w:sz="4" w:space="0" w:color="auto"/>
              <w:right w:val="single" w:sz="4" w:space="0" w:color="auto"/>
            </w:tcBorders>
            <w:hideMark/>
          </w:tcPr>
          <w:p w14:paraId="594789FA" w14:textId="77777777" w:rsidR="00FA7C11" w:rsidRDefault="00FA7C11">
            <w:pPr>
              <w:spacing w:after="0" w:line="276" w:lineRule="auto"/>
              <w:rPr>
                <w:rFonts w:ascii="Times New Roman" w:eastAsia="Times New Roman" w:hAnsi="Times New Roman" w:cs="Times New Roman"/>
                <w:b/>
                <w:noProof/>
                <w:sz w:val="20"/>
                <w:szCs w:val="20"/>
              </w:rPr>
            </w:pPr>
          </w:p>
        </w:tc>
        <w:tc>
          <w:tcPr>
            <w:tcW w:w="1067" w:type="dxa"/>
            <w:tcBorders>
              <w:top w:val="single" w:sz="4" w:space="0" w:color="auto"/>
              <w:left w:val="single" w:sz="4" w:space="0" w:color="auto"/>
              <w:bottom w:val="single" w:sz="4" w:space="0" w:color="auto"/>
              <w:right w:val="single" w:sz="4" w:space="0" w:color="auto"/>
            </w:tcBorders>
            <w:shd w:val="clear" w:color="auto" w:fill="BDD7EE"/>
            <w:hideMark/>
          </w:tcPr>
          <w:p w14:paraId="288518A9" w14:textId="77777777" w:rsidR="00FA7C11" w:rsidRDefault="00D84965">
            <w:pPr>
              <w:pStyle w:val="P68B1DB1-Normal58"/>
              <w:spacing w:after="0" w:line="276" w:lineRule="auto"/>
              <w:jc w:val="center"/>
              <w:rPr>
                <w:bCs/>
                <w:noProof/>
              </w:rPr>
            </w:pPr>
            <w:r>
              <w:rPr>
                <w:noProof/>
              </w:rPr>
              <w:t>Unitate</w:t>
            </w:r>
          </w:p>
        </w:tc>
        <w:tc>
          <w:tcPr>
            <w:tcW w:w="918" w:type="dxa"/>
            <w:tcBorders>
              <w:top w:val="single" w:sz="4" w:space="0" w:color="auto"/>
              <w:left w:val="nil"/>
              <w:bottom w:val="single" w:sz="4" w:space="0" w:color="auto"/>
              <w:right w:val="single" w:sz="4" w:space="0" w:color="auto"/>
            </w:tcBorders>
            <w:shd w:val="clear" w:color="auto" w:fill="BDD7EE"/>
            <w:hideMark/>
          </w:tcPr>
          <w:p w14:paraId="150FC0E5" w14:textId="77777777" w:rsidR="00FA7C11" w:rsidRDefault="00D84965">
            <w:pPr>
              <w:pStyle w:val="P68B1DB1-Normal58"/>
              <w:spacing w:after="0" w:line="276" w:lineRule="auto"/>
              <w:jc w:val="center"/>
              <w:rPr>
                <w:bCs/>
                <w:noProof/>
              </w:rPr>
            </w:pPr>
            <w:r>
              <w:rPr>
                <w:noProof/>
              </w:rPr>
              <w:t>Situația de referință</w:t>
            </w:r>
          </w:p>
        </w:tc>
        <w:tc>
          <w:tcPr>
            <w:tcW w:w="567" w:type="dxa"/>
            <w:tcBorders>
              <w:top w:val="single" w:sz="4" w:space="0" w:color="auto"/>
              <w:left w:val="nil"/>
              <w:bottom w:val="single" w:sz="4" w:space="0" w:color="auto"/>
              <w:right w:val="single" w:sz="4" w:space="0" w:color="auto"/>
            </w:tcBorders>
            <w:shd w:val="clear" w:color="auto" w:fill="BDD7EE"/>
            <w:hideMark/>
          </w:tcPr>
          <w:p w14:paraId="1867DF32" w14:textId="77777777" w:rsidR="00FA7C11" w:rsidRDefault="00D84965">
            <w:pPr>
              <w:pStyle w:val="P68B1DB1-Normal58"/>
              <w:spacing w:after="0" w:line="276" w:lineRule="auto"/>
              <w:jc w:val="center"/>
              <w:rPr>
                <w:bCs/>
                <w:noProof/>
              </w:rPr>
            </w:pPr>
            <w:r>
              <w:rPr>
                <w:noProof/>
              </w:rPr>
              <w:t>Obiectiv</w:t>
            </w:r>
          </w:p>
        </w:tc>
        <w:tc>
          <w:tcPr>
            <w:tcW w:w="850" w:type="dxa"/>
            <w:tcBorders>
              <w:top w:val="single" w:sz="4" w:space="0" w:color="auto"/>
              <w:left w:val="nil"/>
              <w:bottom w:val="single" w:sz="4" w:space="0" w:color="auto"/>
              <w:right w:val="single" w:sz="4" w:space="0" w:color="auto"/>
            </w:tcBorders>
            <w:shd w:val="clear" w:color="auto" w:fill="BDD7EE"/>
            <w:hideMark/>
          </w:tcPr>
          <w:p w14:paraId="63EA3802" w14:textId="77777777" w:rsidR="00FA7C11" w:rsidRDefault="00D84965">
            <w:pPr>
              <w:pStyle w:val="P68B1DB1-Normal58"/>
              <w:spacing w:after="0" w:line="276" w:lineRule="auto"/>
              <w:jc w:val="center"/>
              <w:rPr>
                <w:bCs/>
                <w:noProof/>
              </w:rPr>
            </w:pPr>
            <w:r>
              <w:rPr>
                <w:noProof/>
              </w:rPr>
              <w:t>Trimestru</w:t>
            </w:r>
          </w:p>
        </w:tc>
        <w:tc>
          <w:tcPr>
            <w:tcW w:w="851" w:type="dxa"/>
            <w:tcBorders>
              <w:top w:val="single" w:sz="4" w:space="0" w:color="auto"/>
              <w:left w:val="nil"/>
              <w:bottom w:val="single" w:sz="4" w:space="0" w:color="auto"/>
              <w:right w:val="single" w:sz="4" w:space="0" w:color="auto"/>
            </w:tcBorders>
            <w:shd w:val="clear" w:color="auto" w:fill="BDD7EE"/>
            <w:hideMark/>
          </w:tcPr>
          <w:p w14:paraId="2B73A36F" w14:textId="77777777" w:rsidR="00FA7C11" w:rsidRDefault="00D84965">
            <w:pPr>
              <w:pStyle w:val="P68B1DB1-Normal58"/>
              <w:spacing w:after="0" w:line="276" w:lineRule="auto"/>
              <w:jc w:val="center"/>
              <w:rPr>
                <w:bCs/>
                <w:noProof/>
              </w:rPr>
            </w:pPr>
            <w:r>
              <w:rPr>
                <w:noProof/>
              </w:rPr>
              <w:t>Anul</w:t>
            </w:r>
          </w:p>
        </w:tc>
        <w:tc>
          <w:tcPr>
            <w:tcW w:w="5193" w:type="dxa"/>
            <w:vMerge/>
            <w:tcBorders>
              <w:top w:val="single" w:sz="4" w:space="0" w:color="auto"/>
              <w:bottom w:val="single" w:sz="4" w:space="0" w:color="auto"/>
              <w:right w:val="single" w:sz="4" w:space="0" w:color="auto"/>
            </w:tcBorders>
            <w:hideMark/>
          </w:tcPr>
          <w:p w14:paraId="0E5192B9"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57F9ECA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E7D2031" w14:textId="77777777" w:rsidR="00FA7C11" w:rsidRDefault="00D84965">
            <w:pPr>
              <w:pStyle w:val="P68B1DB1-Normal66"/>
              <w:spacing w:after="0" w:line="276" w:lineRule="auto"/>
              <w:jc w:val="center"/>
              <w:rPr>
                <w:noProof/>
              </w:rPr>
            </w:pPr>
            <w:r>
              <w:rPr>
                <w:noProof/>
              </w:rPr>
              <w:t>91</w:t>
            </w:r>
          </w:p>
        </w:tc>
        <w:tc>
          <w:tcPr>
            <w:tcW w:w="1134" w:type="dxa"/>
            <w:tcBorders>
              <w:top w:val="single" w:sz="4" w:space="0" w:color="auto"/>
              <w:left w:val="nil"/>
              <w:bottom w:val="single" w:sz="4" w:space="0" w:color="auto"/>
              <w:right w:val="single" w:sz="4" w:space="0" w:color="auto"/>
            </w:tcBorders>
            <w:shd w:val="clear" w:color="auto" w:fill="C6EFCE"/>
            <w:noWrap/>
          </w:tcPr>
          <w:p w14:paraId="0148E3A0" w14:textId="77777777" w:rsidR="00FA7C11" w:rsidRDefault="00D84965">
            <w:pPr>
              <w:pStyle w:val="P68B1DB1-Normal66"/>
              <w:spacing w:after="200" w:line="276" w:lineRule="auto"/>
              <w:jc w:val="center"/>
              <w:rPr>
                <w:noProof/>
              </w:rPr>
            </w:pPr>
            <w:r>
              <w:rPr>
                <w:noProof/>
              </w:rPr>
              <w:t>C1.4. R1</w:t>
            </w:r>
          </w:p>
        </w:tc>
        <w:tc>
          <w:tcPr>
            <w:tcW w:w="1102" w:type="dxa"/>
            <w:tcBorders>
              <w:top w:val="single" w:sz="4" w:space="0" w:color="auto"/>
              <w:left w:val="nil"/>
              <w:bottom w:val="single" w:sz="4" w:space="0" w:color="auto"/>
              <w:right w:val="single" w:sz="4" w:space="0" w:color="auto"/>
            </w:tcBorders>
            <w:shd w:val="clear" w:color="auto" w:fill="C6EFCE"/>
            <w:noWrap/>
          </w:tcPr>
          <w:p w14:paraId="64513336"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1A268067" w14:textId="77777777" w:rsidR="00FA7C11" w:rsidRDefault="00D84965">
            <w:pPr>
              <w:pStyle w:val="P68B1DB1-Normal66"/>
              <w:spacing w:after="200" w:line="276" w:lineRule="auto"/>
              <w:rPr>
                <w:noProof/>
              </w:rPr>
            </w:pPr>
            <w:r>
              <w:rPr>
                <w:noProof/>
              </w:rPr>
              <w:t xml:space="preserve">Modificările aduse Legii drumurilor </w:t>
            </w:r>
          </w:p>
        </w:tc>
        <w:tc>
          <w:tcPr>
            <w:tcW w:w="1984" w:type="dxa"/>
            <w:tcBorders>
              <w:top w:val="single" w:sz="4" w:space="0" w:color="auto"/>
              <w:left w:val="nil"/>
              <w:bottom w:val="single" w:sz="4" w:space="0" w:color="auto"/>
              <w:right w:val="single" w:sz="4" w:space="0" w:color="auto"/>
            </w:tcBorders>
            <w:shd w:val="clear" w:color="auto" w:fill="C6EFCE"/>
            <w:noWrap/>
          </w:tcPr>
          <w:p w14:paraId="5218AFEE" w14:textId="77777777" w:rsidR="00FA7C11" w:rsidRDefault="00D84965">
            <w:pPr>
              <w:pStyle w:val="P68B1DB1-Normal66"/>
              <w:spacing w:after="200" w:line="276" w:lineRule="auto"/>
              <w:rPr>
                <w:noProof/>
              </w:rPr>
            </w:pPr>
            <w:r>
              <w:rPr>
                <w:noProof/>
              </w:rPr>
              <w:t xml:space="preserve">Intrarea în vigoare a modificărilor aduse Legii drumurilor </w:t>
            </w:r>
          </w:p>
        </w:tc>
        <w:tc>
          <w:tcPr>
            <w:tcW w:w="1067" w:type="dxa"/>
            <w:tcBorders>
              <w:top w:val="single" w:sz="4" w:space="0" w:color="auto"/>
              <w:left w:val="nil"/>
              <w:bottom w:val="single" w:sz="4" w:space="0" w:color="auto"/>
              <w:right w:val="single" w:sz="4" w:space="0" w:color="auto"/>
            </w:tcBorders>
            <w:shd w:val="clear" w:color="auto" w:fill="C6EFCE"/>
            <w:noWrap/>
          </w:tcPr>
          <w:p w14:paraId="1822265D"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71267CA6"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6C88D55A"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586DD102" w14:textId="77777777" w:rsidR="00FA7C11" w:rsidRDefault="00D84965">
            <w:pPr>
              <w:pStyle w:val="P68B1DB1-Normal66"/>
              <w:spacing w:after="200" w:line="276" w:lineRule="auto"/>
              <w:jc w:val="center"/>
              <w:rPr>
                <w:noProof/>
              </w:rPr>
            </w:pPr>
            <w:r>
              <w:rPr>
                <w:noProof/>
              </w:rPr>
              <w:t>Î3</w:t>
            </w:r>
          </w:p>
          <w:p w14:paraId="07F8288D" w14:textId="77777777" w:rsidR="00FA7C11" w:rsidRDefault="00FA7C11">
            <w:pPr>
              <w:rPr>
                <w:rFonts w:ascii="Times New Roman" w:eastAsia="Calibri" w:hAnsi="Times New Roman" w:cs="Times New Roman"/>
                <w:noProof/>
                <w:sz w:val="20"/>
                <w:szCs w:val="20"/>
              </w:rPr>
            </w:pPr>
          </w:p>
          <w:p w14:paraId="56384F23" w14:textId="77777777" w:rsidR="00FA7C11" w:rsidRDefault="00FA7C11">
            <w:pPr>
              <w:rPr>
                <w:rFonts w:ascii="Times New Roman" w:eastAsia="Calibri" w:hAnsi="Times New Roman" w:cs="Times New Roman"/>
                <w:noProof/>
                <w:sz w:val="20"/>
                <w:szCs w:val="20"/>
              </w:rPr>
            </w:pPr>
          </w:p>
          <w:p w14:paraId="4940C81B" w14:textId="77777777" w:rsidR="00FA7C11" w:rsidRDefault="00FA7C11">
            <w:pPr>
              <w:rPr>
                <w:rFonts w:ascii="Times New Roman" w:eastAsia="Calibri" w:hAnsi="Times New Roman" w:cs="Times New Roman"/>
                <w:noProof/>
                <w:color w:val="000000"/>
                <w:sz w:val="20"/>
                <w:szCs w:val="20"/>
              </w:rPr>
            </w:pPr>
          </w:p>
          <w:p w14:paraId="55499E35" w14:textId="77777777" w:rsidR="00FA7C11" w:rsidRDefault="00FA7C11">
            <w:pP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04472E66" w14:textId="77777777" w:rsidR="00FA7C11" w:rsidRDefault="00D84965">
            <w:pPr>
              <w:pStyle w:val="P68B1DB1-Normal66"/>
              <w:spacing w:after="200" w:line="276" w:lineRule="auto"/>
              <w:jc w:val="center"/>
              <w:rPr>
                <w:noProof/>
              </w:rPr>
            </w:pPr>
            <w:r>
              <w:rPr>
                <w:noProof/>
              </w:rPr>
              <w:t>2021</w:t>
            </w:r>
          </w:p>
        </w:tc>
        <w:tc>
          <w:tcPr>
            <w:tcW w:w="5193" w:type="dxa"/>
            <w:tcBorders>
              <w:top w:val="single" w:sz="4" w:space="0" w:color="auto"/>
              <w:left w:val="nil"/>
              <w:bottom w:val="single" w:sz="4" w:space="0" w:color="auto"/>
              <w:right w:val="single" w:sz="4" w:space="0" w:color="auto"/>
            </w:tcBorders>
            <w:shd w:val="clear" w:color="auto" w:fill="C6EFCE"/>
            <w:noWrap/>
          </w:tcPr>
          <w:p w14:paraId="39CBBC0C" w14:textId="6C72C2FA" w:rsidR="00FA7C11" w:rsidRDefault="00D84965">
            <w:pPr>
              <w:pStyle w:val="P68B1DB1-Normal66"/>
              <w:spacing w:after="200" w:line="276" w:lineRule="auto"/>
              <w:rPr>
                <w:noProof/>
              </w:rPr>
            </w:pPr>
            <w:r>
              <w:rPr>
                <w:noProof/>
              </w:rPr>
              <w:t>Printre altele, amendamentele la Legea privind drumurile:</w:t>
            </w:r>
            <w:r>
              <w:rPr>
                <w:noProof/>
              </w:rPr>
              <w:br/>
              <w:t>— Asigură interoperabilitatea sistemelor de taxare rutieră electronică pe întreaga rețea rutieră a Uniunii, pe autostrăzile urbane și interurbane, pe drumurile principale și secundare și pe diferite structuri, cum ar fi tunelurile sau podurile, precum și pe feriboturi;</w:t>
            </w:r>
            <w:r>
              <w:rPr>
                <w:noProof/>
              </w:rPr>
              <w:br/>
              <w:t>— Facilitează schimbul transfrontalier de date privind înmatricularea vehiculelor în ceea ce privește vehiculele și proprietarii sau deținătorii de vehicule pentru care a fost identificată în Uniune neplata oricărui tip de taxă rutieră;</w:t>
            </w:r>
            <w:r>
              <w:rPr>
                <w:noProof/>
              </w:rPr>
              <w:br/>
              <w:t>— Să includă dispoziții care să încurajeze creșterea infrastructurii utilizate pentru traficul de biciclete și de pietoni;</w:t>
            </w:r>
            <w:r>
              <w:rPr>
                <w:noProof/>
              </w:rPr>
              <w:br/>
              <w:t>— Să stabilească criterii și condiții privind acoperirea costurilor cu taxele rutiere plătite;</w:t>
            </w:r>
            <w:r>
              <w:rPr>
                <w:noProof/>
              </w:rPr>
              <w:br/>
              <w:t xml:space="preserve">— Abordarea scutirilor de la obligația de a plăti taxele pentru dreptul de a construi și dreptul de servitute pe un drum public, prin eliminarea acestor scutiri din legislație. Acest lucru creează condiții de concurență echitabile în ceea ce privește aceste taxe pentru toți antreprenorii. </w:t>
            </w:r>
          </w:p>
        </w:tc>
      </w:tr>
      <w:tr w:rsidR="00FA7C11" w14:paraId="2EFD2178"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9F8A9C5" w14:textId="77777777" w:rsidR="00FA7C11" w:rsidRDefault="00D84965">
            <w:pPr>
              <w:pStyle w:val="P68B1DB1-Normal66"/>
              <w:spacing w:after="0" w:line="276" w:lineRule="auto"/>
              <w:jc w:val="center"/>
              <w:rPr>
                <w:noProof/>
              </w:rPr>
            </w:pPr>
            <w:r>
              <w:rPr>
                <w:noProof/>
              </w:rPr>
              <w:t>92</w:t>
            </w:r>
          </w:p>
        </w:tc>
        <w:tc>
          <w:tcPr>
            <w:tcW w:w="1134" w:type="dxa"/>
            <w:tcBorders>
              <w:top w:val="single" w:sz="4" w:space="0" w:color="auto"/>
              <w:left w:val="nil"/>
              <w:bottom w:val="single" w:sz="4" w:space="0" w:color="auto"/>
              <w:right w:val="single" w:sz="4" w:space="0" w:color="auto"/>
            </w:tcBorders>
            <w:shd w:val="clear" w:color="auto" w:fill="C6EFCE"/>
            <w:noWrap/>
          </w:tcPr>
          <w:p w14:paraId="4395C202" w14:textId="77777777" w:rsidR="00FA7C11" w:rsidRDefault="00D84965">
            <w:pPr>
              <w:pStyle w:val="P68B1DB1-Normal66"/>
              <w:spacing w:after="200" w:line="276" w:lineRule="auto"/>
              <w:jc w:val="center"/>
              <w:rPr>
                <w:noProof/>
              </w:rPr>
            </w:pPr>
            <w:r>
              <w:rPr>
                <w:noProof/>
              </w:rPr>
              <w:t>C1.4. R1</w:t>
            </w:r>
          </w:p>
        </w:tc>
        <w:tc>
          <w:tcPr>
            <w:tcW w:w="1102" w:type="dxa"/>
            <w:tcBorders>
              <w:top w:val="single" w:sz="4" w:space="0" w:color="auto"/>
              <w:left w:val="nil"/>
              <w:bottom w:val="single" w:sz="4" w:space="0" w:color="auto"/>
              <w:right w:val="single" w:sz="4" w:space="0" w:color="auto"/>
            </w:tcBorders>
            <w:shd w:val="clear" w:color="auto" w:fill="C6EFCE"/>
            <w:noWrap/>
          </w:tcPr>
          <w:p w14:paraId="63409F97"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41374E07" w14:textId="77777777" w:rsidR="00FA7C11" w:rsidRDefault="00D84965">
            <w:pPr>
              <w:pStyle w:val="P68B1DB1-Normal66"/>
              <w:spacing w:after="200" w:line="276" w:lineRule="auto"/>
              <w:rPr>
                <w:noProof/>
              </w:rPr>
            </w:pPr>
            <w:r>
              <w:rPr>
                <w:noProof/>
              </w:rPr>
              <w:t>Programul național de siguranță rutieră 2021-2030</w:t>
            </w:r>
          </w:p>
        </w:tc>
        <w:tc>
          <w:tcPr>
            <w:tcW w:w="1984" w:type="dxa"/>
            <w:tcBorders>
              <w:top w:val="single" w:sz="4" w:space="0" w:color="auto"/>
              <w:left w:val="nil"/>
              <w:bottom w:val="single" w:sz="4" w:space="0" w:color="auto"/>
              <w:right w:val="single" w:sz="4" w:space="0" w:color="auto"/>
            </w:tcBorders>
            <w:shd w:val="clear" w:color="auto" w:fill="C6EFCE"/>
            <w:noWrap/>
          </w:tcPr>
          <w:p w14:paraId="01B94B26" w14:textId="77777777" w:rsidR="00FA7C11" w:rsidRDefault="00D84965">
            <w:pPr>
              <w:pStyle w:val="P68B1DB1-Normal66"/>
              <w:spacing w:after="200" w:line="276" w:lineRule="auto"/>
              <w:rPr>
                <w:noProof/>
              </w:rPr>
            </w:pPr>
            <w:r>
              <w:rPr>
                <w:noProof/>
              </w:rPr>
              <w:t>Programul național de siguranță rutieră 2021-2030 adoptat de guvernul croat</w:t>
            </w:r>
          </w:p>
        </w:tc>
        <w:tc>
          <w:tcPr>
            <w:tcW w:w="1067" w:type="dxa"/>
            <w:tcBorders>
              <w:top w:val="single" w:sz="4" w:space="0" w:color="auto"/>
              <w:left w:val="nil"/>
              <w:bottom w:val="single" w:sz="4" w:space="0" w:color="auto"/>
              <w:right w:val="single" w:sz="4" w:space="0" w:color="auto"/>
            </w:tcBorders>
            <w:shd w:val="clear" w:color="auto" w:fill="C6EFCE"/>
            <w:noWrap/>
          </w:tcPr>
          <w:p w14:paraId="3C8493CC"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4526CC48"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7C77C875"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1A523CB3" w14:textId="77777777" w:rsidR="00FA7C11" w:rsidRDefault="00D84965">
            <w:pPr>
              <w:pStyle w:val="P68B1DB1-Normal66"/>
              <w:spacing w:after="200" w:line="276" w:lineRule="auto"/>
              <w:jc w:val="center"/>
              <w:rPr>
                <w:noProof/>
              </w:rPr>
            </w:pPr>
            <w:r>
              <w:rPr>
                <w:noProof/>
              </w:rPr>
              <w:t>Î3</w:t>
            </w:r>
          </w:p>
        </w:tc>
        <w:tc>
          <w:tcPr>
            <w:tcW w:w="851" w:type="dxa"/>
            <w:tcBorders>
              <w:top w:val="single" w:sz="4" w:space="0" w:color="auto"/>
              <w:left w:val="nil"/>
              <w:bottom w:val="single" w:sz="4" w:space="0" w:color="auto"/>
              <w:right w:val="single" w:sz="4" w:space="0" w:color="auto"/>
            </w:tcBorders>
            <w:shd w:val="clear" w:color="auto" w:fill="C6EFCE"/>
            <w:noWrap/>
          </w:tcPr>
          <w:p w14:paraId="5FEF4CCF" w14:textId="77777777" w:rsidR="00FA7C11" w:rsidRDefault="00D84965">
            <w:pPr>
              <w:pStyle w:val="P68B1DB1-Normal66"/>
              <w:spacing w:after="200" w:line="276" w:lineRule="auto"/>
              <w:jc w:val="center"/>
              <w:rPr>
                <w:noProof/>
              </w:rPr>
            </w:pPr>
            <w:r>
              <w:rPr>
                <w:noProof/>
              </w:rPr>
              <w:t>2021</w:t>
            </w:r>
          </w:p>
        </w:tc>
        <w:tc>
          <w:tcPr>
            <w:tcW w:w="5193" w:type="dxa"/>
            <w:tcBorders>
              <w:top w:val="single" w:sz="4" w:space="0" w:color="auto"/>
              <w:left w:val="nil"/>
              <w:bottom w:val="single" w:sz="4" w:space="0" w:color="auto"/>
              <w:right w:val="single" w:sz="4" w:space="0" w:color="auto"/>
            </w:tcBorders>
            <w:shd w:val="clear" w:color="auto" w:fill="C6EFCE"/>
            <w:noWrap/>
          </w:tcPr>
          <w:p w14:paraId="7A627A5C" w14:textId="77777777" w:rsidR="00FA7C11" w:rsidRDefault="00D84965">
            <w:pPr>
              <w:pStyle w:val="P68B1DB1-Normal66"/>
              <w:spacing w:after="200" w:line="276" w:lineRule="auto"/>
              <w:rPr>
                <w:noProof/>
              </w:rPr>
            </w:pPr>
            <w:r>
              <w:rPr>
                <w:noProof/>
              </w:rPr>
              <w:t xml:space="preserve">Obiectivul Programului național de siguranță rutieră 2021-2030, elaborat de Ministerul de Interne în cooperare cu Ministerul Mării, Transporturilor și Infrastructurii și cu alte ministere de resort, este de a îmbunătăți siguranța rutieră în Croația. </w:t>
            </w:r>
          </w:p>
        </w:tc>
      </w:tr>
      <w:tr w:rsidR="00FA7C11" w14:paraId="548DF336"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FF9D0C9" w14:textId="77777777" w:rsidR="00FA7C11" w:rsidRDefault="00D84965">
            <w:pPr>
              <w:pStyle w:val="P68B1DB1-Normal66"/>
              <w:spacing w:after="200" w:line="276" w:lineRule="auto"/>
              <w:jc w:val="center"/>
              <w:rPr>
                <w:noProof/>
              </w:rPr>
            </w:pPr>
            <w:r>
              <w:rPr>
                <w:noProof/>
              </w:rPr>
              <w:t>94</w:t>
            </w:r>
          </w:p>
        </w:tc>
        <w:tc>
          <w:tcPr>
            <w:tcW w:w="1134" w:type="dxa"/>
            <w:tcBorders>
              <w:top w:val="single" w:sz="4" w:space="0" w:color="auto"/>
              <w:left w:val="nil"/>
              <w:bottom w:val="single" w:sz="4" w:space="0" w:color="auto"/>
              <w:right w:val="single" w:sz="4" w:space="0" w:color="auto"/>
            </w:tcBorders>
            <w:shd w:val="clear" w:color="auto" w:fill="C6EFCE"/>
            <w:noWrap/>
          </w:tcPr>
          <w:p w14:paraId="6DCB80D7" w14:textId="77777777" w:rsidR="00FA7C11" w:rsidRDefault="00D84965">
            <w:pPr>
              <w:pStyle w:val="P68B1DB1-Normal66"/>
              <w:spacing w:after="200" w:line="276" w:lineRule="auto"/>
              <w:jc w:val="center"/>
              <w:rPr>
                <w:noProof/>
              </w:rPr>
            </w:pPr>
            <w:r>
              <w:rPr>
                <w:noProof/>
              </w:rPr>
              <w:t>C1.4. R1-I2</w:t>
            </w:r>
          </w:p>
        </w:tc>
        <w:tc>
          <w:tcPr>
            <w:tcW w:w="1102" w:type="dxa"/>
            <w:tcBorders>
              <w:top w:val="single" w:sz="4" w:space="0" w:color="auto"/>
              <w:left w:val="nil"/>
              <w:bottom w:val="single" w:sz="4" w:space="0" w:color="auto"/>
              <w:right w:val="single" w:sz="4" w:space="0" w:color="auto"/>
            </w:tcBorders>
            <w:shd w:val="clear" w:color="auto" w:fill="C6EFCE"/>
            <w:noWrap/>
          </w:tcPr>
          <w:p w14:paraId="331A9F6F" w14:textId="77777777" w:rsidR="00FA7C11" w:rsidRDefault="00D84965">
            <w:pPr>
              <w:pStyle w:val="P68B1DB1-Normal66"/>
              <w:spacing w:after="200" w:line="276" w:lineRule="auto"/>
              <w:jc w:val="center"/>
              <w:rPr>
                <w:noProof/>
              </w:rPr>
            </w:pPr>
            <w:r>
              <w:rPr>
                <w:noProof/>
              </w:rPr>
              <w:t>T</w:t>
            </w:r>
          </w:p>
        </w:tc>
        <w:tc>
          <w:tcPr>
            <w:tcW w:w="1733" w:type="dxa"/>
            <w:tcBorders>
              <w:top w:val="single" w:sz="4" w:space="0" w:color="auto"/>
              <w:left w:val="nil"/>
              <w:bottom w:val="single" w:sz="4" w:space="0" w:color="auto"/>
              <w:right w:val="single" w:sz="4" w:space="0" w:color="auto"/>
            </w:tcBorders>
            <w:shd w:val="clear" w:color="auto" w:fill="C6EFCE"/>
            <w:noWrap/>
          </w:tcPr>
          <w:p w14:paraId="1F632B62" w14:textId="77777777" w:rsidR="00FA7C11" w:rsidRDefault="00D84965">
            <w:pPr>
              <w:pStyle w:val="P68B1DB1-Normal66"/>
              <w:spacing w:after="200" w:line="276" w:lineRule="auto"/>
              <w:rPr>
                <w:noProof/>
              </w:rPr>
            </w:pPr>
            <w:r>
              <w:rPr>
                <w:noProof/>
              </w:rPr>
              <w:t>Instituirea unui sistem funcțional pentru exercitarea drepturilor persoanelor cu handicap în domeniul mobilității</w:t>
            </w:r>
          </w:p>
        </w:tc>
        <w:tc>
          <w:tcPr>
            <w:tcW w:w="1984" w:type="dxa"/>
            <w:tcBorders>
              <w:top w:val="single" w:sz="4" w:space="0" w:color="auto"/>
              <w:left w:val="nil"/>
              <w:bottom w:val="single" w:sz="4" w:space="0" w:color="auto"/>
              <w:right w:val="single" w:sz="4" w:space="0" w:color="auto"/>
            </w:tcBorders>
            <w:shd w:val="clear" w:color="auto" w:fill="C6EFCE"/>
            <w:noWrap/>
          </w:tcPr>
          <w:p w14:paraId="3A842213" w14:textId="77777777" w:rsidR="00FA7C11" w:rsidRDefault="00D84965">
            <w:pPr>
              <w:pStyle w:val="P68B1DB1-Normal66"/>
              <w:spacing w:after="240" w:line="276" w:lineRule="auto"/>
              <w:rPr>
                <w:noProof/>
              </w:rPr>
            </w:pPr>
            <w:r>
              <w:rPr>
                <w:noProof/>
              </w:rPr>
              <w:t> </w:t>
            </w:r>
          </w:p>
        </w:tc>
        <w:tc>
          <w:tcPr>
            <w:tcW w:w="1067" w:type="dxa"/>
            <w:tcBorders>
              <w:top w:val="single" w:sz="4" w:space="0" w:color="auto"/>
              <w:left w:val="nil"/>
              <w:bottom w:val="single" w:sz="4" w:space="0" w:color="auto"/>
              <w:right w:val="single" w:sz="4" w:space="0" w:color="auto"/>
            </w:tcBorders>
            <w:shd w:val="clear" w:color="auto" w:fill="C6EFCE"/>
            <w:noWrap/>
          </w:tcPr>
          <w:p w14:paraId="7A1BF3B6" w14:textId="77777777" w:rsidR="00FA7C11" w:rsidRDefault="00D84965">
            <w:pPr>
              <w:pStyle w:val="P68B1DB1-Normal66"/>
              <w:spacing w:after="0" w:line="276" w:lineRule="auto"/>
              <w:jc w:val="center"/>
              <w:rPr>
                <w:noProof/>
              </w:rPr>
            </w:pPr>
            <w:r>
              <w:rPr>
                <w:noProof/>
              </w:rPr>
              <w:t>% (procent)</w:t>
            </w:r>
          </w:p>
        </w:tc>
        <w:tc>
          <w:tcPr>
            <w:tcW w:w="918" w:type="dxa"/>
            <w:tcBorders>
              <w:top w:val="single" w:sz="4" w:space="0" w:color="auto"/>
              <w:left w:val="nil"/>
              <w:bottom w:val="single" w:sz="4" w:space="0" w:color="auto"/>
              <w:right w:val="single" w:sz="4" w:space="0" w:color="auto"/>
            </w:tcBorders>
            <w:shd w:val="clear" w:color="auto" w:fill="C6EFCE"/>
            <w:noWrap/>
          </w:tcPr>
          <w:p w14:paraId="1D6191E4"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4326AC92" w14:textId="77777777" w:rsidR="00FA7C11" w:rsidRDefault="00D84965">
            <w:pPr>
              <w:pStyle w:val="P68B1DB1-Normal66"/>
              <w:spacing w:after="200" w:line="276" w:lineRule="auto"/>
              <w:jc w:val="center"/>
              <w:rPr>
                <w:noProof/>
              </w:rPr>
            </w:pPr>
            <w:r>
              <w:rPr>
                <w:noProof/>
              </w:rPr>
              <w:t>50</w:t>
            </w:r>
          </w:p>
        </w:tc>
        <w:tc>
          <w:tcPr>
            <w:tcW w:w="850" w:type="dxa"/>
            <w:tcBorders>
              <w:top w:val="single" w:sz="4" w:space="0" w:color="auto"/>
              <w:left w:val="nil"/>
              <w:bottom w:val="single" w:sz="4" w:space="0" w:color="auto"/>
              <w:right w:val="single" w:sz="4" w:space="0" w:color="auto"/>
            </w:tcBorders>
            <w:shd w:val="clear" w:color="auto" w:fill="C6EFCE"/>
            <w:noWrap/>
          </w:tcPr>
          <w:p w14:paraId="3DB74796"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nil"/>
              <w:bottom w:val="single" w:sz="4" w:space="0" w:color="auto"/>
              <w:right w:val="single" w:sz="4" w:space="0" w:color="auto"/>
            </w:tcBorders>
            <w:shd w:val="clear" w:color="auto" w:fill="C6EFCE"/>
            <w:noWrap/>
          </w:tcPr>
          <w:p w14:paraId="3B422A92" w14:textId="77777777" w:rsidR="00FA7C11" w:rsidRDefault="00D84965">
            <w:pPr>
              <w:pStyle w:val="P68B1DB1-Normal66"/>
              <w:spacing w:after="200" w:line="276" w:lineRule="auto"/>
              <w:jc w:val="center"/>
              <w:rPr>
                <w:noProof/>
              </w:rPr>
            </w:pPr>
            <w:r>
              <w:rPr>
                <w:noProof/>
              </w:rPr>
              <w:t>2023</w:t>
            </w:r>
          </w:p>
        </w:tc>
        <w:tc>
          <w:tcPr>
            <w:tcW w:w="5193" w:type="dxa"/>
            <w:tcBorders>
              <w:top w:val="single" w:sz="4" w:space="0" w:color="auto"/>
              <w:left w:val="nil"/>
              <w:bottom w:val="single" w:sz="4" w:space="0" w:color="auto"/>
              <w:right w:val="single" w:sz="4" w:space="0" w:color="auto"/>
            </w:tcBorders>
            <w:shd w:val="clear" w:color="auto" w:fill="C6EFCE"/>
            <w:noWrap/>
          </w:tcPr>
          <w:p w14:paraId="7467FE26" w14:textId="77777777" w:rsidR="00FA7C11" w:rsidRDefault="00D84965">
            <w:pPr>
              <w:pStyle w:val="P68B1DB1-Normal66"/>
              <w:spacing w:after="200" w:line="276" w:lineRule="auto"/>
              <w:rPr>
                <w:noProof/>
              </w:rPr>
            </w:pPr>
            <w:r>
              <w:rPr>
                <w:noProof/>
              </w:rPr>
              <w:t>Ca parte a investiției, care instituie un sistem funcțional care să faciliteze solicitarea de către persoanele cu dizabilități a tuturor drepturilor de mobilitate într-un singur loc și să asigure o prelucrare mai rapidă a cererilor, se instituie un document unic pentru a permite persoanelor cu dizabilități să utilizeze sistemul funcțional și să exercite aceleași drepturi pe întreg teritoriul Croației (cardul electronic de invaliditate) și cel puțin 50 % din cardurile avute în vedere se eliberează persoanelor cu dizabilități care au drepturi în domeniul mobilității.</w:t>
            </w:r>
          </w:p>
        </w:tc>
      </w:tr>
      <w:tr w:rsidR="00FA7C11" w14:paraId="0ED7C9A8"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64B83EC0" w14:textId="77777777" w:rsidR="00FA7C11" w:rsidRDefault="00D84965">
            <w:pPr>
              <w:pStyle w:val="P68B1DB1-Normal66"/>
              <w:spacing w:after="200" w:line="276" w:lineRule="auto"/>
              <w:jc w:val="center"/>
              <w:rPr>
                <w:noProof/>
              </w:rPr>
            </w:pPr>
            <w:r>
              <w:rPr>
                <w:noProof/>
              </w:rPr>
              <w:t>95</w:t>
            </w:r>
          </w:p>
        </w:tc>
        <w:tc>
          <w:tcPr>
            <w:tcW w:w="1134" w:type="dxa"/>
            <w:tcBorders>
              <w:top w:val="single" w:sz="4" w:space="0" w:color="auto"/>
              <w:left w:val="nil"/>
              <w:bottom w:val="single" w:sz="4" w:space="0" w:color="auto"/>
              <w:right w:val="single" w:sz="4" w:space="0" w:color="auto"/>
            </w:tcBorders>
            <w:shd w:val="clear" w:color="auto" w:fill="C6EFCE"/>
            <w:noWrap/>
          </w:tcPr>
          <w:p w14:paraId="0B4C2751" w14:textId="77777777" w:rsidR="00FA7C11" w:rsidRDefault="00D84965">
            <w:pPr>
              <w:pStyle w:val="P68B1DB1-Normal66"/>
              <w:spacing w:after="200" w:line="276" w:lineRule="auto"/>
              <w:jc w:val="center"/>
              <w:rPr>
                <w:noProof/>
              </w:rPr>
            </w:pPr>
            <w:r>
              <w:rPr>
                <w:noProof/>
              </w:rPr>
              <w:t>C1.4. R1-I3</w:t>
            </w:r>
          </w:p>
        </w:tc>
        <w:tc>
          <w:tcPr>
            <w:tcW w:w="1102" w:type="dxa"/>
            <w:tcBorders>
              <w:top w:val="single" w:sz="4" w:space="0" w:color="auto"/>
              <w:left w:val="nil"/>
              <w:bottom w:val="single" w:sz="4" w:space="0" w:color="auto"/>
              <w:right w:val="single" w:sz="4" w:space="0" w:color="auto"/>
            </w:tcBorders>
            <w:shd w:val="clear" w:color="auto" w:fill="C6EFCE"/>
            <w:noWrap/>
          </w:tcPr>
          <w:p w14:paraId="038D008F"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535B0EEB" w14:textId="77777777" w:rsidR="00FA7C11" w:rsidRDefault="00D84965">
            <w:pPr>
              <w:pStyle w:val="P68B1DB1-Normal66"/>
              <w:spacing w:after="200" w:line="276" w:lineRule="auto"/>
              <w:rPr>
                <w:noProof/>
              </w:rPr>
            </w:pPr>
            <w:r>
              <w:rPr>
                <w:noProof/>
              </w:rPr>
              <w:t>Instituirea unui sistem național de stocare electronică și de schimb de date în domeniul transportului rutier (PNSC)</w:t>
            </w:r>
          </w:p>
        </w:tc>
        <w:tc>
          <w:tcPr>
            <w:tcW w:w="1984" w:type="dxa"/>
            <w:tcBorders>
              <w:top w:val="single" w:sz="4" w:space="0" w:color="auto"/>
              <w:left w:val="nil"/>
              <w:bottom w:val="single" w:sz="4" w:space="0" w:color="auto"/>
              <w:right w:val="single" w:sz="4" w:space="0" w:color="auto"/>
            </w:tcBorders>
            <w:shd w:val="clear" w:color="auto" w:fill="C6EFCE"/>
            <w:noWrap/>
          </w:tcPr>
          <w:p w14:paraId="67582436" w14:textId="77777777" w:rsidR="00FA7C11" w:rsidRDefault="00D84965">
            <w:pPr>
              <w:pStyle w:val="P68B1DB1-Normal66"/>
              <w:spacing w:after="200" w:line="276" w:lineRule="auto"/>
              <w:rPr>
                <w:noProof/>
              </w:rPr>
            </w:pPr>
            <w:r>
              <w:rPr>
                <w:noProof/>
              </w:rPr>
              <w:t>Instituirea sistemului național de stocare electronică și de schimb de date pentru transportul rutier (PNSCP)</w:t>
            </w:r>
          </w:p>
        </w:tc>
        <w:tc>
          <w:tcPr>
            <w:tcW w:w="1067" w:type="dxa"/>
            <w:tcBorders>
              <w:top w:val="single" w:sz="4" w:space="0" w:color="auto"/>
              <w:left w:val="nil"/>
              <w:bottom w:val="single" w:sz="4" w:space="0" w:color="auto"/>
              <w:right w:val="single" w:sz="4" w:space="0" w:color="auto"/>
            </w:tcBorders>
            <w:shd w:val="clear" w:color="auto" w:fill="C6EFCE"/>
            <w:noWrap/>
          </w:tcPr>
          <w:p w14:paraId="3B721976"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2347A8A6"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0F1DA78C"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FB16505" w14:textId="77777777" w:rsidR="00FA7C11" w:rsidRDefault="00D84965">
            <w:pPr>
              <w:pStyle w:val="P68B1DB1-Normal66"/>
              <w:spacing w:after="200" w:line="276" w:lineRule="auto"/>
              <w:jc w:val="center"/>
              <w:rPr>
                <w:noProof/>
              </w:rPr>
            </w:pPr>
            <w:r>
              <w:rPr>
                <w:noProof/>
              </w:rPr>
              <w:t>Î2</w:t>
            </w:r>
          </w:p>
        </w:tc>
        <w:tc>
          <w:tcPr>
            <w:tcW w:w="851" w:type="dxa"/>
            <w:tcBorders>
              <w:top w:val="single" w:sz="4" w:space="0" w:color="auto"/>
              <w:left w:val="nil"/>
              <w:bottom w:val="single" w:sz="4" w:space="0" w:color="auto"/>
              <w:right w:val="single" w:sz="4" w:space="0" w:color="auto"/>
            </w:tcBorders>
            <w:shd w:val="clear" w:color="auto" w:fill="C6EFCE"/>
            <w:noWrap/>
          </w:tcPr>
          <w:p w14:paraId="537D75BD" w14:textId="77777777" w:rsidR="00FA7C11" w:rsidRDefault="00D84965">
            <w:pPr>
              <w:pStyle w:val="P68B1DB1-Normal66"/>
              <w:spacing w:after="200" w:line="276" w:lineRule="auto"/>
              <w:jc w:val="center"/>
              <w:rPr>
                <w:noProof/>
              </w:rPr>
            </w:pPr>
            <w:r>
              <w:rPr>
                <w:noProof/>
              </w:rPr>
              <w:t>2026</w:t>
            </w:r>
          </w:p>
        </w:tc>
        <w:tc>
          <w:tcPr>
            <w:tcW w:w="5193" w:type="dxa"/>
            <w:tcBorders>
              <w:top w:val="single" w:sz="4" w:space="0" w:color="auto"/>
              <w:left w:val="nil"/>
              <w:bottom w:val="single" w:sz="4" w:space="0" w:color="auto"/>
              <w:right w:val="single" w:sz="4" w:space="0" w:color="auto"/>
            </w:tcBorders>
            <w:shd w:val="clear" w:color="auto" w:fill="C6EFCE"/>
            <w:noWrap/>
          </w:tcPr>
          <w:p w14:paraId="0F1AB67E" w14:textId="77777777" w:rsidR="00FA7C11" w:rsidRDefault="00D84965">
            <w:pPr>
              <w:pStyle w:val="P68B1DB1-Normal66"/>
              <w:spacing w:after="200" w:line="276" w:lineRule="auto"/>
              <w:rPr>
                <w:noProof/>
              </w:rPr>
            </w:pPr>
            <w:r>
              <w:rPr>
                <w:noProof/>
              </w:rPr>
              <w:t xml:space="preserve">Se instituie sistemul electronic național de stocare și schimb de date (PNSC) pentru transportul rutier. </w:t>
            </w:r>
          </w:p>
        </w:tc>
      </w:tr>
      <w:tr w:rsidR="00FA7C11" w14:paraId="33B1E70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75FE942" w14:textId="77777777" w:rsidR="00FA7C11" w:rsidRDefault="00D84965">
            <w:pPr>
              <w:pStyle w:val="P68B1DB1-Normal66"/>
              <w:spacing w:after="200" w:line="276" w:lineRule="auto"/>
              <w:jc w:val="center"/>
              <w:rPr>
                <w:noProof/>
              </w:rPr>
            </w:pPr>
            <w:r>
              <w:rPr>
                <w:noProof/>
              </w:rPr>
              <w:t>96</w:t>
            </w:r>
          </w:p>
        </w:tc>
        <w:tc>
          <w:tcPr>
            <w:tcW w:w="1134" w:type="dxa"/>
            <w:tcBorders>
              <w:top w:val="single" w:sz="4" w:space="0" w:color="auto"/>
              <w:left w:val="nil"/>
              <w:bottom w:val="single" w:sz="4" w:space="0" w:color="auto"/>
              <w:right w:val="single" w:sz="4" w:space="0" w:color="auto"/>
            </w:tcBorders>
            <w:shd w:val="clear" w:color="auto" w:fill="C6EFCE"/>
            <w:noWrap/>
          </w:tcPr>
          <w:p w14:paraId="05843770" w14:textId="77777777" w:rsidR="00FA7C11" w:rsidRDefault="00D84965">
            <w:pPr>
              <w:pStyle w:val="P68B1DB1-Normal66"/>
              <w:spacing w:after="200" w:line="276" w:lineRule="auto"/>
              <w:jc w:val="center"/>
              <w:rPr>
                <w:noProof/>
              </w:rPr>
            </w:pPr>
            <w:r>
              <w:rPr>
                <w:noProof/>
              </w:rPr>
              <w:t>C1.4. R1-I4</w:t>
            </w:r>
          </w:p>
        </w:tc>
        <w:tc>
          <w:tcPr>
            <w:tcW w:w="1102" w:type="dxa"/>
            <w:tcBorders>
              <w:top w:val="single" w:sz="4" w:space="0" w:color="auto"/>
              <w:left w:val="nil"/>
              <w:bottom w:val="single" w:sz="4" w:space="0" w:color="auto"/>
              <w:right w:val="single" w:sz="4" w:space="0" w:color="auto"/>
            </w:tcBorders>
            <w:shd w:val="clear" w:color="auto" w:fill="C6EFCE"/>
            <w:noWrap/>
          </w:tcPr>
          <w:p w14:paraId="3C4F687A"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4D67F147" w14:textId="77777777" w:rsidR="00FA7C11" w:rsidRDefault="00D84965">
            <w:pPr>
              <w:pStyle w:val="P68B1DB1-Normal66"/>
              <w:spacing w:after="200" w:line="276" w:lineRule="auto"/>
              <w:rPr>
                <w:noProof/>
              </w:rPr>
            </w:pPr>
            <w:r>
              <w:rPr>
                <w:noProof/>
              </w:rPr>
              <w:t>Instituirea unui sistem funcțional de control al raportării pentru transportul rutier de călători și de mărfuri</w:t>
            </w:r>
          </w:p>
        </w:tc>
        <w:tc>
          <w:tcPr>
            <w:tcW w:w="1984" w:type="dxa"/>
            <w:tcBorders>
              <w:top w:val="single" w:sz="4" w:space="0" w:color="auto"/>
              <w:left w:val="nil"/>
              <w:bottom w:val="single" w:sz="4" w:space="0" w:color="auto"/>
              <w:right w:val="single" w:sz="4" w:space="0" w:color="auto"/>
            </w:tcBorders>
            <w:shd w:val="clear" w:color="auto" w:fill="C6EFCE"/>
            <w:noWrap/>
          </w:tcPr>
          <w:p w14:paraId="27A00C48" w14:textId="77777777" w:rsidR="00FA7C11" w:rsidRDefault="00D84965">
            <w:pPr>
              <w:pStyle w:val="P68B1DB1-Normal66"/>
              <w:spacing w:after="200" w:line="276" w:lineRule="auto"/>
              <w:rPr>
                <w:noProof/>
              </w:rPr>
            </w:pPr>
            <w:r>
              <w:rPr>
                <w:noProof/>
              </w:rPr>
              <w:t xml:space="preserve">Instituirea unui sistem funcțional de control al raportării pentru transportul rutier de călători și de mărfuri </w:t>
            </w:r>
          </w:p>
        </w:tc>
        <w:tc>
          <w:tcPr>
            <w:tcW w:w="1067" w:type="dxa"/>
            <w:tcBorders>
              <w:top w:val="single" w:sz="4" w:space="0" w:color="auto"/>
              <w:left w:val="nil"/>
              <w:bottom w:val="single" w:sz="4" w:space="0" w:color="auto"/>
              <w:right w:val="single" w:sz="4" w:space="0" w:color="auto"/>
            </w:tcBorders>
            <w:shd w:val="clear" w:color="auto" w:fill="C6EFCE"/>
            <w:noWrap/>
          </w:tcPr>
          <w:p w14:paraId="4203F7AE"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2D4199AA"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48B0E53A"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4556AD13"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nil"/>
              <w:bottom w:val="single" w:sz="4" w:space="0" w:color="auto"/>
              <w:right w:val="single" w:sz="4" w:space="0" w:color="auto"/>
            </w:tcBorders>
            <w:shd w:val="clear" w:color="auto" w:fill="C6EFCE"/>
            <w:noWrap/>
          </w:tcPr>
          <w:p w14:paraId="293A84ED" w14:textId="77777777" w:rsidR="00FA7C11" w:rsidRDefault="00D84965">
            <w:pPr>
              <w:pStyle w:val="P68B1DB1-Normal66"/>
              <w:spacing w:after="200" w:line="276" w:lineRule="auto"/>
              <w:jc w:val="center"/>
              <w:rPr>
                <w:noProof/>
              </w:rPr>
            </w:pPr>
            <w:r>
              <w:rPr>
                <w:noProof/>
              </w:rPr>
              <w:t>2024</w:t>
            </w:r>
          </w:p>
        </w:tc>
        <w:tc>
          <w:tcPr>
            <w:tcW w:w="5193" w:type="dxa"/>
            <w:tcBorders>
              <w:top w:val="single" w:sz="4" w:space="0" w:color="auto"/>
              <w:left w:val="nil"/>
              <w:bottom w:val="single" w:sz="4" w:space="0" w:color="auto"/>
              <w:right w:val="single" w:sz="4" w:space="0" w:color="auto"/>
            </w:tcBorders>
            <w:shd w:val="clear" w:color="auto" w:fill="C6EFCE"/>
            <w:noWrap/>
          </w:tcPr>
          <w:p w14:paraId="450A3577" w14:textId="77777777" w:rsidR="00FA7C11" w:rsidRDefault="00D84965">
            <w:pPr>
              <w:pStyle w:val="P68B1DB1-Normal66"/>
              <w:spacing w:after="200" w:line="276" w:lineRule="auto"/>
              <w:rPr>
                <w:noProof/>
              </w:rPr>
            </w:pPr>
            <w:r>
              <w:rPr>
                <w:noProof/>
              </w:rPr>
              <w:t>Se instituie un sistem funcțional de control al raportării pentru transportul rutier de persoane și de mărfuri, care conectează datele din sistemul central de procesare a tahografului (SOTAH) și înregistrările naționale ale cardurilor de tahograf și înregistrările conexe, sub responsabilitatea Ministerului Mării, Transporturilor și Infrastructurii.</w:t>
            </w:r>
          </w:p>
        </w:tc>
      </w:tr>
      <w:tr w:rsidR="00FA7C11" w14:paraId="79062CEB"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AF7E3DC" w14:textId="77777777" w:rsidR="00FA7C11" w:rsidRDefault="00D84965">
            <w:pPr>
              <w:pStyle w:val="P68B1DB1-Normal66"/>
              <w:spacing w:after="200" w:line="276" w:lineRule="auto"/>
              <w:jc w:val="center"/>
              <w:rPr>
                <w:noProof/>
              </w:rPr>
            </w:pPr>
            <w:r>
              <w:rPr>
                <w:noProof/>
              </w:rPr>
              <w:t>97</w:t>
            </w:r>
          </w:p>
        </w:tc>
        <w:tc>
          <w:tcPr>
            <w:tcW w:w="1134" w:type="dxa"/>
            <w:tcBorders>
              <w:top w:val="single" w:sz="4" w:space="0" w:color="auto"/>
              <w:left w:val="nil"/>
              <w:bottom w:val="single" w:sz="4" w:space="0" w:color="auto"/>
              <w:right w:val="single" w:sz="4" w:space="0" w:color="auto"/>
            </w:tcBorders>
            <w:shd w:val="clear" w:color="auto" w:fill="C6EFCE"/>
            <w:noWrap/>
          </w:tcPr>
          <w:p w14:paraId="22ED483D" w14:textId="77777777" w:rsidR="00FA7C11" w:rsidRDefault="00D84965">
            <w:pPr>
              <w:pStyle w:val="P68B1DB1-Normal66"/>
              <w:spacing w:after="200" w:line="276" w:lineRule="auto"/>
              <w:jc w:val="center"/>
              <w:rPr>
                <w:noProof/>
              </w:rPr>
            </w:pPr>
            <w:r>
              <w:rPr>
                <w:noProof/>
              </w:rPr>
              <w:t>C1.4. R1-I5</w:t>
            </w:r>
          </w:p>
        </w:tc>
        <w:tc>
          <w:tcPr>
            <w:tcW w:w="1102" w:type="dxa"/>
            <w:tcBorders>
              <w:top w:val="single" w:sz="4" w:space="0" w:color="auto"/>
              <w:left w:val="nil"/>
              <w:bottom w:val="single" w:sz="4" w:space="0" w:color="auto"/>
              <w:right w:val="single" w:sz="4" w:space="0" w:color="auto"/>
            </w:tcBorders>
            <w:shd w:val="clear" w:color="auto" w:fill="C6EFCE"/>
            <w:noWrap/>
          </w:tcPr>
          <w:p w14:paraId="03F9136C"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056ABFC0" w14:textId="6C53ED2F" w:rsidR="00FA7C11" w:rsidRDefault="00D84965">
            <w:pPr>
              <w:pStyle w:val="P68B1DB1-Normal66"/>
              <w:spacing w:after="200" w:line="276" w:lineRule="auto"/>
              <w:rPr>
                <w:noProof/>
              </w:rPr>
            </w:pPr>
            <w:r>
              <w:rPr>
                <w:noProof/>
              </w:rPr>
              <w:t>Instituirea unui sistem de monitorizare a transportului rutier de mărfuri periculoase (e-ADR)</w:t>
            </w:r>
          </w:p>
        </w:tc>
        <w:tc>
          <w:tcPr>
            <w:tcW w:w="1984" w:type="dxa"/>
            <w:tcBorders>
              <w:top w:val="single" w:sz="4" w:space="0" w:color="auto"/>
              <w:left w:val="nil"/>
              <w:bottom w:val="single" w:sz="4" w:space="0" w:color="auto"/>
              <w:right w:val="single" w:sz="4" w:space="0" w:color="auto"/>
            </w:tcBorders>
            <w:shd w:val="clear" w:color="auto" w:fill="C6EFCE"/>
            <w:noWrap/>
          </w:tcPr>
          <w:p w14:paraId="6B4ACDFD" w14:textId="6ABF10CB" w:rsidR="00FA7C11" w:rsidRDefault="00D84965">
            <w:pPr>
              <w:pStyle w:val="P68B1DB1-Normal66"/>
              <w:spacing w:after="200" w:line="276" w:lineRule="auto"/>
              <w:rPr>
                <w:noProof/>
              </w:rPr>
            </w:pPr>
            <w:r>
              <w:rPr>
                <w:noProof/>
              </w:rPr>
              <w:t xml:space="preserve">Un sistem instituit pentru monitorizarea transportului rutier de mărfuri periculoase (e-ADR) </w:t>
            </w:r>
          </w:p>
        </w:tc>
        <w:tc>
          <w:tcPr>
            <w:tcW w:w="1067" w:type="dxa"/>
            <w:tcBorders>
              <w:top w:val="single" w:sz="4" w:space="0" w:color="auto"/>
              <w:left w:val="nil"/>
              <w:bottom w:val="single" w:sz="4" w:space="0" w:color="auto"/>
              <w:right w:val="single" w:sz="4" w:space="0" w:color="auto"/>
            </w:tcBorders>
            <w:shd w:val="clear" w:color="auto" w:fill="C6EFCE"/>
            <w:noWrap/>
          </w:tcPr>
          <w:p w14:paraId="2FCD4751"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7135B12F"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33DB5235"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FED9816" w14:textId="77777777" w:rsidR="00FA7C11" w:rsidRDefault="00D84965">
            <w:pPr>
              <w:pStyle w:val="P68B1DB1-Normal66"/>
              <w:spacing w:after="200" w:line="276" w:lineRule="auto"/>
              <w:jc w:val="center"/>
              <w:rPr>
                <w:noProof/>
              </w:rPr>
            </w:pPr>
            <w:r>
              <w:rPr>
                <w:noProof/>
              </w:rPr>
              <w:t>Î2</w:t>
            </w:r>
          </w:p>
        </w:tc>
        <w:tc>
          <w:tcPr>
            <w:tcW w:w="851" w:type="dxa"/>
            <w:tcBorders>
              <w:top w:val="single" w:sz="4" w:space="0" w:color="auto"/>
              <w:left w:val="nil"/>
              <w:bottom w:val="single" w:sz="4" w:space="0" w:color="auto"/>
              <w:right w:val="single" w:sz="4" w:space="0" w:color="auto"/>
            </w:tcBorders>
            <w:shd w:val="clear" w:color="auto" w:fill="C6EFCE"/>
            <w:noWrap/>
          </w:tcPr>
          <w:p w14:paraId="58F08637" w14:textId="77777777" w:rsidR="00FA7C11" w:rsidRDefault="00D84965">
            <w:pPr>
              <w:pStyle w:val="P68B1DB1-Normal66"/>
              <w:spacing w:after="200" w:line="276" w:lineRule="auto"/>
              <w:jc w:val="center"/>
              <w:rPr>
                <w:noProof/>
              </w:rPr>
            </w:pPr>
            <w:r>
              <w:rPr>
                <w:noProof/>
              </w:rPr>
              <w:t>2026</w:t>
            </w:r>
          </w:p>
        </w:tc>
        <w:tc>
          <w:tcPr>
            <w:tcW w:w="5193" w:type="dxa"/>
            <w:tcBorders>
              <w:top w:val="single" w:sz="4" w:space="0" w:color="auto"/>
              <w:left w:val="nil"/>
              <w:bottom w:val="single" w:sz="4" w:space="0" w:color="auto"/>
              <w:right w:val="single" w:sz="4" w:space="0" w:color="auto"/>
            </w:tcBorders>
            <w:shd w:val="clear" w:color="auto" w:fill="C6EFCE"/>
            <w:noWrap/>
          </w:tcPr>
          <w:p w14:paraId="1E59E07F" w14:textId="3828C7EB" w:rsidR="00FA7C11" w:rsidRDefault="00D84965">
            <w:pPr>
              <w:pStyle w:val="P68B1DB1-Normal66"/>
              <w:spacing w:after="200" w:line="276" w:lineRule="auto"/>
              <w:rPr>
                <w:noProof/>
              </w:rPr>
            </w:pPr>
            <w:r>
              <w:rPr>
                <w:noProof/>
              </w:rPr>
              <w:t xml:space="preserve">Se instituie un sistem de monitorizare a transportului rutier de mărfuri periculoase (e-ADR). </w:t>
            </w:r>
          </w:p>
        </w:tc>
      </w:tr>
      <w:tr w:rsidR="00FA7C11" w14:paraId="76F0891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CF629D4" w14:textId="77777777" w:rsidR="00FA7C11" w:rsidRDefault="00D84965">
            <w:pPr>
              <w:pStyle w:val="P68B1DB1-Normal66"/>
              <w:spacing w:after="200" w:line="276" w:lineRule="auto"/>
              <w:jc w:val="center"/>
              <w:rPr>
                <w:noProof/>
              </w:rPr>
            </w:pPr>
            <w:r>
              <w:rPr>
                <w:noProof/>
              </w:rPr>
              <w:t>98</w:t>
            </w:r>
          </w:p>
        </w:tc>
        <w:tc>
          <w:tcPr>
            <w:tcW w:w="1134" w:type="dxa"/>
            <w:tcBorders>
              <w:top w:val="single" w:sz="4" w:space="0" w:color="auto"/>
              <w:left w:val="nil"/>
              <w:bottom w:val="single" w:sz="4" w:space="0" w:color="auto"/>
              <w:right w:val="single" w:sz="4" w:space="0" w:color="auto"/>
            </w:tcBorders>
            <w:shd w:val="clear" w:color="auto" w:fill="C6EFCE"/>
            <w:noWrap/>
          </w:tcPr>
          <w:p w14:paraId="0AAFB0F7" w14:textId="77777777" w:rsidR="00FA7C11" w:rsidRDefault="00D84965">
            <w:pPr>
              <w:pStyle w:val="P68B1DB1-Normal66"/>
              <w:spacing w:after="200" w:line="276" w:lineRule="auto"/>
              <w:jc w:val="center"/>
              <w:rPr>
                <w:noProof/>
              </w:rPr>
            </w:pPr>
            <w:r>
              <w:rPr>
                <w:noProof/>
              </w:rPr>
              <w:t>C1.4. R2</w:t>
            </w:r>
          </w:p>
        </w:tc>
        <w:tc>
          <w:tcPr>
            <w:tcW w:w="1102" w:type="dxa"/>
            <w:tcBorders>
              <w:top w:val="single" w:sz="4" w:space="0" w:color="auto"/>
              <w:left w:val="nil"/>
              <w:bottom w:val="single" w:sz="4" w:space="0" w:color="auto"/>
              <w:right w:val="single" w:sz="4" w:space="0" w:color="auto"/>
            </w:tcBorders>
            <w:shd w:val="clear" w:color="auto" w:fill="C6EFCE"/>
            <w:noWrap/>
          </w:tcPr>
          <w:p w14:paraId="1124AC74"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46F8A4DF" w14:textId="77777777" w:rsidR="00FA7C11" w:rsidRDefault="00D84965">
            <w:pPr>
              <w:pStyle w:val="P68B1DB1-Normal66"/>
              <w:spacing w:after="200" w:line="276" w:lineRule="auto"/>
              <w:rPr>
                <w:noProof/>
              </w:rPr>
            </w:pPr>
            <w:r>
              <w:rPr>
                <w:noProof/>
              </w:rPr>
              <w:t xml:space="preserve">Adoptarea scrisorii privind politica sectorială </w:t>
            </w:r>
          </w:p>
        </w:tc>
        <w:tc>
          <w:tcPr>
            <w:tcW w:w="1984" w:type="dxa"/>
            <w:tcBorders>
              <w:top w:val="single" w:sz="4" w:space="0" w:color="auto"/>
              <w:left w:val="nil"/>
              <w:bottom w:val="single" w:sz="4" w:space="0" w:color="auto"/>
              <w:right w:val="single" w:sz="4" w:space="0" w:color="auto"/>
            </w:tcBorders>
            <w:shd w:val="clear" w:color="auto" w:fill="C6EFCE"/>
            <w:noWrap/>
          </w:tcPr>
          <w:p w14:paraId="4BD9EAD5" w14:textId="77777777" w:rsidR="00FA7C11" w:rsidRDefault="00D84965">
            <w:pPr>
              <w:pStyle w:val="P68B1DB1-Normal66"/>
              <w:spacing w:after="200" w:line="276" w:lineRule="auto"/>
              <w:rPr>
                <w:noProof/>
              </w:rPr>
            </w:pPr>
            <w:r>
              <w:rPr>
                <w:noProof/>
              </w:rPr>
              <w:t>Scrisoarea privind politica sectorială pentru sectorul feroviar adoptată de guvernul croat</w:t>
            </w:r>
          </w:p>
        </w:tc>
        <w:tc>
          <w:tcPr>
            <w:tcW w:w="1067" w:type="dxa"/>
            <w:tcBorders>
              <w:top w:val="single" w:sz="4" w:space="0" w:color="auto"/>
              <w:left w:val="nil"/>
              <w:bottom w:val="single" w:sz="4" w:space="0" w:color="auto"/>
              <w:right w:val="single" w:sz="4" w:space="0" w:color="auto"/>
            </w:tcBorders>
            <w:shd w:val="clear" w:color="auto" w:fill="C6EFCE"/>
            <w:noWrap/>
          </w:tcPr>
          <w:p w14:paraId="0212D5D5"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27A207CD"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0E11F887"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62780E3C" w14:textId="77777777" w:rsidR="00FA7C11" w:rsidRDefault="00D84965">
            <w:pPr>
              <w:pStyle w:val="P68B1DB1-Normal66"/>
              <w:spacing w:after="200" w:line="276" w:lineRule="auto"/>
              <w:jc w:val="center"/>
              <w:rPr>
                <w:noProof/>
              </w:rPr>
            </w:pPr>
            <w:r>
              <w:rPr>
                <w:noProof/>
              </w:rPr>
              <w:t>Î2</w:t>
            </w:r>
          </w:p>
        </w:tc>
        <w:tc>
          <w:tcPr>
            <w:tcW w:w="851" w:type="dxa"/>
            <w:tcBorders>
              <w:top w:val="single" w:sz="4" w:space="0" w:color="auto"/>
              <w:left w:val="nil"/>
              <w:bottom w:val="single" w:sz="4" w:space="0" w:color="auto"/>
              <w:right w:val="single" w:sz="4" w:space="0" w:color="auto"/>
            </w:tcBorders>
            <w:shd w:val="clear" w:color="auto" w:fill="C6EFCE"/>
            <w:noWrap/>
          </w:tcPr>
          <w:p w14:paraId="32C700AB" w14:textId="77777777" w:rsidR="00FA7C11" w:rsidRDefault="00D84965">
            <w:pPr>
              <w:pStyle w:val="P68B1DB1-Normal66"/>
              <w:spacing w:after="200" w:line="276" w:lineRule="auto"/>
              <w:jc w:val="center"/>
              <w:rPr>
                <w:noProof/>
              </w:rPr>
            </w:pPr>
            <w:r>
              <w:rPr>
                <w:noProof/>
              </w:rPr>
              <w:t>2021</w:t>
            </w:r>
          </w:p>
        </w:tc>
        <w:tc>
          <w:tcPr>
            <w:tcW w:w="5193" w:type="dxa"/>
            <w:tcBorders>
              <w:top w:val="single" w:sz="4" w:space="0" w:color="auto"/>
              <w:left w:val="nil"/>
              <w:bottom w:val="single" w:sz="4" w:space="0" w:color="auto"/>
              <w:right w:val="single" w:sz="4" w:space="0" w:color="auto"/>
            </w:tcBorders>
            <w:shd w:val="clear" w:color="auto" w:fill="C6EFCE"/>
            <w:noWrap/>
          </w:tcPr>
          <w:p w14:paraId="1771770A" w14:textId="77777777" w:rsidR="00FA7C11" w:rsidRDefault="00D84965">
            <w:pPr>
              <w:pStyle w:val="P68B1DB1-Normal66"/>
              <w:spacing w:after="200" w:line="276" w:lineRule="auto"/>
              <w:rPr>
                <w:noProof/>
              </w:rPr>
            </w:pPr>
            <w:r>
              <w:rPr>
                <w:noProof/>
              </w:rPr>
              <w:t>Scrisoarea privind politica sectorială include: I) obiectivele-cheie ii) o revizuire a îmbunătățirilor preconizate, cum ar fi profesionalizarea, transparența operațiunilor și a activităților de gestionare și iii) un plan de punere în aplicare a măsurilor și acțiunilor de reformă și modernizare a sectorului feroviar, cum ar fi: adoptarea cadrului strategic pentru sectorul feroviar, a Planului Național de Dezvoltare a Infrastructurii Feroviare și a Planului Național de Management al Infrastructurii Feroviare și al Infrastructurii de Servicii; și dezvoltarea serviciilor de transport feroviar.</w:t>
            </w:r>
          </w:p>
        </w:tc>
      </w:tr>
      <w:tr w:rsidR="00FA7C11" w14:paraId="78471660"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4C7CB4A" w14:textId="77777777" w:rsidR="00FA7C11" w:rsidRDefault="00D84965">
            <w:pPr>
              <w:pStyle w:val="P68B1DB1-Normal66"/>
              <w:spacing w:after="200" w:line="276" w:lineRule="auto"/>
              <w:jc w:val="center"/>
              <w:rPr>
                <w:noProof/>
              </w:rPr>
            </w:pPr>
            <w:r>
              <w:rPr>
                <w:noProof/>
              </w:rPr>
              <w:t>99</w:t>
            </w:r>
          </w:p>
        </w:tc>
        <w:tc>
          <w:tcPr>
            <w:tcW w:w="1134" w:type="dxa"/>
            <w:tcBorders>
              <w:top w:val="single" w:sz="4" w:space="0" w:color="auto"/>
              <w:left w:val="nil"/>
              <w:bottom w:val="single" w:sz="4" w:space="0" w:color="auto"/>
              <w:right w:val="single" w:sz="4" w:space="0" w:color="auto"/>
            </w:tcBorders>
            <w:shd w:val="clear" w:color="auto" w:fill="C6EFCE"/>
            <w:noWrap/>
          </w:tcPr>
          <w:p w14:paraId="7FCE95A5" w14:textId="77777777" w:rsidR="00FA7C11" w:rsidRDefault="00D84965">
            <w:pPr>
              <w:pStyle w:val="P68B1DB1-Normal66"/>
              <w:spacing w:after="200" w:line="276" w:lineRule="auto"/>
              <w:jc w:val="center"/>
              <w:rPr>
                <w:noProof/>
              </w:rPr>
            </w:pPr>
            <w:r>
              <w:rPr>
                <w:noProof/>
              </w:rPr>
              <w:t>C1.4. R2</w:t>
            </w:r>
          </w:p>
        </w:tc>
        <w:tc>
          <w:tcPr>
            <w:tcW w:w="1102" w:type="dxa"/>
            <w:tcBorders>
              <w:top w:val="single" w:sz="4" w:space="0" w:color="auto"/>
              <w:left w:val="nil"/>
              <w:bottom w:val="single" w:sz="4" w:space="0" w:color="auto"/>
              <w:right w:val="single" w:sz="4" w:space="0" w:color="auto"/>
            </w:tcBorders>
            <w:shd w:val="clear" w:color="auto" w:fill="C6EFCE"/>
            <w:noWrap/>
          </w:tcPr>
          <w:p w14:paraId="334FCAE3"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17272854" w14:textId="77777777" w:rsidR="00FA7C11" w:rsidRDefault="00D84965">
            <w:pPr>
              <w:pStyle w:val="P68B1DB1-Normal66"/>
              <w:spacing w:after="200" w:line="276" w:lineRule="auto"/>
              <w:rPr>
                <w:noProof/>
              </w:rPr>
            </w:pPr>
            <w:r>
              <w:rPr>
                <w:noProof/>
              </w:rPr>
              <w:t>Planul Național de Dezvoltare a Infrastructurii Feroviare și Planul Național de Administrare a Infrastructurii Feroviare și a Infrastructurii de Servicii</w:t>
            </w:r>
          </w:p>
        </w:tc>
        <w:tc>
          <w:tcPr>
            <w:tcW w:w="1984" w:type="dxa"/>
            <w:tcBorders>
              <w:top w:val="single" w:sz="4" w:space="0" w:color="auto"/>
              <w:left w:val="nil"/>
              <w:bottom w:val="single" w:sz="4" w:space="0" w:color="auto"/>
              <w:right w:val="single" w:sz="4" w:space="0" w:color="auto"/>
            </w:tcBorders>
            <w:shd w:val="clear" w:color="auto" w:fill="C6EFCE"/>
            <w:noWrap/>
          </w:tcPr>
          <w:p w14:paraId="5442EB64" w14:textId="77777777" w:rsidR="00FA7C11" w:rsidRDefault="00D84965">
            <w:pPr>
              <w:pStyle w:val="P68B1DB1-Normal66"/>
              <w:spacing w:after="200" w:line="276" w:lineRule="auto"/>
              <w:rPr>
                <w:noProof/>
              </w:rPr>
            </w:pPr>
            <w:r>
              <w:rPr>
                <w:noProof/>
              </w:rPr>
              <w:t>Planul național de dezvoltare a infrastructurii feroviare și Planul național de gestionare a infrastructurii feroviare și a infrastructurii de servicii adoptate de guvernul croat</w:t>
            </w:r>
          </w:p>
        </w:tc>
        <w:tc>
          <w:tcPr>
            <w:tcW w:w="1067" w:type="dxa"/>
            <w:tcBorders>
              <w:top w:val="single" w:sz="4" w:space="0" w:color="auto"/>
              <w:left w:val="nil"/>
              <w:bottom w:val="single" w:sz="4" w:space="0" w:color="auto"/>
              <w:right w:val="single" w:sz="4" w:space="0" w:color="auto"/>
            </w:tcBorders>
            <w:shd w:val="clear" w:color="auto" w:fill="C6EFCE"/>
            <w:noWrap/>
          </w:tcPr>
          <w:p w14:paraId="264D431B"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7D142C3C"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09F1FA4D"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231C233B"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nil"/>
              <w:bottom w:val="single" w:sz="4" w:space="0" w:color="auto"/>
              <w:right w:val="single" w:sz="4" w:space="0" w:color="auto"/>
            </w:tcBorders>
            <w:shd w:val="clear" w:color="auto" w:fill="C6EFCE"/>
            <w:noWrap/>
          </w:tcPr>
          <w:p w14:paraId="09805E50" w14:textId="77777777" w:rsidR="00FA7C11" w:rsidRDefault="00D84965">
            <w:pPr>
              <w:pStyle w:val="P68B1DB1-Normal66"/>
              <w:spacing w:after="200" w:line="276" w:lineRule="auto"/>
              <w:jc w:val="center"/>
              <w:rPr>
                <w:noProof/>
              </w:rPr>
            </w:pPr>
            <w:r>
              <w:rPr>
                <w:noProof/>
              </w:rPr>
              <w:t>2022</w:t>
            </w:r>
          </w:p>
        </w:tc>
        <w:tc>
          <w:tcPr>
            <w:tcW w:w="5193" w:type="dxa"/>
            <w:tcBorders>
              <w:top w:val="single" w:sz="4" w:space="0" w:color="auto"/>
              <w:left w:val="nil"/>
              <w:bottom w:val="single" w:sz="4" w:space="0" w:color="auto"/>
              <w:right w:val="single" w:sz="4" w:space="0" w:color="auto"/>
            </w:tcBorders>
            <w:shd w:val="clear" w:color="auto" w:fill="C6EFCE"/>
            <w:noWrap/>
          </w:tcPr>
          <w:p w14:paraId="1CAEC84E" w14:textId="77777777" w:rsidR="00FA7C11" w:rsidRDefault="00D84965">
            <w:pPr>
              <w:pStyle w:val="P68B1DB1-Normal66"/>
              <w:spacing w:after="200" w:line="276" w:lineRule="auto"/>
              <w:rPr>
                <w:noProof/>
              </w:rPr>
            </w:pPr>
            <w:r>
              <w:rPr>
                <w:noProof/>
              </w:rPr>
              <w:t xml:space="preserve">Planul Național de Dezvoltare a Infrastructurii Feroviare stabilește proiectele și activitățile necesare pentru dezvoltarea infrastructurii feroviare. Planul Național de Management al Infrastructurii și Infrastructurii de Servicii Feroviare stabilește proiectele și activitățile de management, organizare a reglementării traficului feroviar și dezvoltare a serviciilor de transport feroviar. </w:t>
            </w:r>
          </w:p>
        </w:tc>
      </w:tr>
      <w:tr w:rsidR="00FA7C11" w14:paraId="4F7E477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A324A00" w14:textId="77777777" w:rsidR="00FA7C11" w:rsidRDefault="00D84965">
            <w:pPr>
              <w:pStyle w:val="P68B1DB1-Normal66"/>
              <w:spacing w:after="200" w:line="276" w:lineRule="auto"/>
              <w:jc w:val="center"/>
              <w:rPr>
                <w:noProof/>
              </w:rPr>
            </w:pPr>
            <w:r>
              <w:rPr>
                <w:noProof/>
              </w:rPr>
              <w:t>100</w:t>
            </w:r>
          </w:p>
        </w:tc>
        <w:tc>
          <w:tcPr>
            <w:tcW w:w="1134" w:type="dxa"/>
            <w:tcBorders>
              <w:top w:val="single" w:sz="4" w:space="0" w:color="auto"/>
              <w:left w:val="nil"/>
              <w:bottom w:val="single" w:sz="4" w:space="0" w:color="auto"/>
              <w:right w:val="single" w:sz="4" w:space="0" w:color="auto"/>
            </w:tcBorders>
            <w:shd w:val="clear" w:color="auto" w:fill="C6EFCE"/>
            <w:noWrap/>
          </w:tcPr>
          <w:p w14:paraId="564DB5D8" w14:textId="77777777" w:rsidR="00FA7C11" w:rsidRDefault="00D84965">
            <w:pPr>
              <w:pStyle w:val="P68B1DB1-Normal66"/>
              <w:spacing w:after="200" w:line="276" w:lineRule="auto"/>
              <w:jc w:val="center"/>
              <w:rPr>
                <w:noProof/>
              </w:rPr>
            </w:pPr>
            <w:r>
              <w:rPr>
                <w:noProof/>
              </w:rPr>
              <w:t>C1.4. R2</w:t>
            </w:r>
          </w:p>
        </w:tc>
        <w:tc>
          <w:tcPr>
            <w:tcW w:w="1102" w:type="dxa"/>
            <w:tcBorders>
              <w:top w:val="single" w:sz="4" w:space="0" w:color="auto"/>
              <w:left w:val="nil"/>
              <w:bottom w:val="single" w:sz="4" w:space="0" w:color="auto"/>
              <w:right w:val="single" w:sz="4" w:space="0" w:color="auto"/>
            </w:tcBorders>
            <w:shd w:val="clear" w:color="auto" w:fill="C6EFCE"/>
            <w:noWrap/>
          </w:tcPr>
          <w:p w14:paraId="7E46031F"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5EF2AC6E" w14:textId="77777777" w:rsidR="00FA7C11" w:rsidRDefault="00D84965">
            <w:pPr>
              <w:pStyle w:val="P68B1DB1-Normal66"/>
              <w:spacing w:after="200" w:line="276" w:lineRule="auto"/>
              <w:rPr>
                <w:noProof/>
              </w:rPr>
            </w:pPr>
            <w:r>
              <w:rPr>
                <w:noProof/>
              </w:rPr>
              <w:t xml:space="preserve">Reorganizarea societăților feroviare și gestionarea afacerilor </w:t>
            </w:r>
          </w:p>
        </w:tc>
        <w:tc>
          <w:tcPr>
            <w:tcW w:w="1984" w:type="dxa"/>
            <w:tcBorders>
              <w:top w:val="single" w:sz="4" w:space="0" w:color="auto"/>
              <w:left w:val="nil"/>
              <w:bottom w:val="single" w:sz="4" w:space="0" w:color="auto"/>
              <w:right w:val="single" w:sz="4" w:space="0" w:color="auto"/>
            </w:tcBorders>
            <w:shd w:val="clear" w:color="auto" w:fill="C6EFCE"/>
            <w:noWrap/>
          </w:tcPr>
          <w:p w14:paraId="1ECDCEA8" w14:textId="77777777" w:rsidR="00FA7C11" w:rsidRDefault="00D84965">
            <w:pPr>
              <w:pStyle w:val="P68B1DB1-Normal66"/>
              <w:spacing w:after="200" w:line="276" w:lineRule="auto"/>
              <w:rPr>
                <w:noProof/>
              </w:rPr>
            </w:pPr>
            <w:r>
              <w:rPr>
                <w:noProof/>
              </w:rPr>
              <w:t xml:space="preserve">Gestionarea societăților feroviare și a operațiunilor reorganizate </w:t>
            </w:r>
          </w:p>
        </w:tc>
        <w:tc>
          <w:tcPr>
            <w:tcW w:w="1067" w:type="dxa"/>
            <w:tcBorders>
              <w:top w:val="single" w:sz="4" w:space="0" w:color="auto"/>
              <w:left w:val="nil"/>
              <w:bottom w:val="single" w:sz="4" w:space="0" w:color="auto"/>
              <w:right w:val="single" w:sz="4" w:space="0" w:color="auto"/>
            </w:tcBorders>
            <w:shd w:val="clear" w:color="auto" w:fill="C6EFCE"/>
            <w:noWrap/>
          </w:tcPr>
          <w:p w14:paraId="587DBC93"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6AB8406C"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398C5417"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5782BC90"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nil"/>
              <w:bottom w:val="single" w:sz="4" w:space="0" w:color="auto"/>
              <w:right w:val="single" w:sz="4" w:space="0" w:color="auto"/>
            </w:tcBorders>
            <w:shd w:val="clear" w:color="auto" w:fill="C6EFCE"/>
            <w:noWrap/>
          </w:tcPr>
          <w:p w14:paraId="4D88C1B8" w14:textId="77777777" w:rsidR="00FA7C11" w:rsidRDefault="00D84965">
            <w:pPr>
              <w:pStyle w:val="P68B1DB1-Normal66"/>
              <w:spacing w:after="200" w:line="276" w:lineRule="auto"/>
              <w:jc w:val="center"/>
              <w:rPr>
                <w:noProof/>
              </w:rPr>
            </w:pPr>
            <w:r>
              <w:rPr>
                <w:noProof/>
              </w:rPr>
              <w:t>2024</w:t>
            </w:r>
          </w:p>
        </w:tc>
        <w:tc>
          <w:tcPr>
            <w:tcW w:w="5193" w:type="dxa"/>
            <w:tcBorders>
              <w:top w:val="single" w:sz="4" w:space="0" w:color="auto"/>
              <w:left w:val="nil"/>
              <w:bottom w:val="single" w:sz="4" w:space="0" w:color="auto"/>
              <w:right w:val="single" w:sz="4" w:space="0" w:color="auto"/>
            </w:tcBorders>
            <w:shd w:val="clear" w:color="auto" w:fill="C6EFCE"/>
            <w:noWrap/>
          </w:tcPr>
          <w:p w14:paraId="127C8EC8" w14:textId="77777777" w:rsidR="00FA7C11" w:rsidRDefault="00D84965">
            <w:pPr>
              <w:pStyle w:val="P68B1DB1-Normal66"/>
              <w:spacing w:after="200" w:line="276" w:lineRule="auto"/>
              <w:rPr>
                <w:noProof/>
              </w:rPr>
            </w:pPr>
            <w:r>
              <w:rPr>
                <w:noProof/>
              </w:rPr>
              <w:t>Reorganizarea managementului societăților și operațiilor feroviare se finalizează.</w:t>
            </w:r>
          </w:p>
        </w:tc>
      </w:tr>
      <w:tr w:rsidR="00FA7C11" w14:paraId="2588D13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A87FAD8" w14:textId="77777777" w:rsidR="00FA7C11" w:rsidRDefault="00D84965">
            <w:pPr>
              <w:pStyle w:val="P68B1DB1-Normal66"/>
              <w:spacing w:after="200" w:line="276" w:lineRule="auto"/>
              <w:jc w:val="center"/>
              <w:rPr>
                <w:noProof/>
              </w:rPr>
            </w:pPr>
            <w:r>
              <w:rPr>
                <w:noProof/>
              </w:rPr>
              <w:t>104</w:t>
            </w:r>
          </w:p>
        </w:tc>
        <w:tc>
          <w:tcPr>
            <w:tcW w:w="1134" w:type="dxa"/>
            <w:tcBorders>
              <w:top w:val="single" w:sz="4" w:space="0" w:color="auto"/>
              <w:left w:val="nil"/>
              <w:bottom w:val="single" w:sz="4" w:space="0" w:color="auto"/>
              <w:right w:val="single" w:sz="4" w:space="0" w:color="auto"/>
            </w:tcBorders>
            <w:shd w:val="clear" w:color="auto" w:fill="C6EFCE"/>
            <w:noWrap/>
          </w:tcPr>
          <w:p w14:paraId="0DAEF1CF" w14:textId="77777777" w:rsidR="00FA7C11" w:rsidRDefault="00D84965">
            <w:pPr>
              <w:pStyle w:val="P68B1DB1-Normal66"/>
              <w:spacing w:after="200" w:line="276" w:lineRule="auto"/>
              <w:jc w:val="center"/>
              <w:rPr>
                <w:noProof/>
              </w:rPr>
            </w:pPr>
            <w:r>
              <w:rPr>
                <w:noProof/>
              </w:rPr>
              <w:t>C1.4. R2-I3</w:t>
            </w:r>
          </w:p>
        </w:tc>
        <w:tc>
          <w:tcPr>
            <w:tcW w:w="1102" w:type="dxa"/>
            <w:tcBorders>
              <w:top w:val="single" w:sz="4" w:space="0" w:color="auto"/>
              <w:left w:val="nil"/>
              <w:bottom w:val="single" w:sz="4" w:space="0" w:color="auto"/>
              <w:right w:val="single" w:sz="4" w:space="0" w:color="auto"/>
            </w:tcBorders>
            <w:shd w:val="clear" w:color="auto" w:fill="C6EFCE"/>
            <w:noWrap/>
          </w:tcPr>
          <w:p w14:paraId="0B7F54AA" w14:textId="77777777" w:rsidR="00FA7C11" w:rsidRDefault="00D84965">
            <w:pPr>
              <w:pStyle w:val="P68B1DB1-Normal66"/>
              <w:spacing w:after="200" w:line="276" w:lineRule="auto"/>
              <w:jc w:val="center"/>
              <w:rPr>
                <w:noProof/>
              </w:rPr>
            </w:pPr>
            <w:r>
              <w:rPr>
                <w:noProof/>
              </w:rPr>
              <w:t>T</w:t>
            </w:r>
          </w:p>
        </w:tc>
        <w:tc>
          <w:tcPr>
            <w:tcW w:w="1733" w:type="dxa"/>
            <w:tcBorders>
              <w:top w:val="single" w:sz="4" w:space="0" w:color="auto"/>
              <w:left w:val="nil"/>
              <w:bottom w:val="single" w:sz="4" w:space="0" w:color="auto"/>
              <w:right w:val="single" w:sz="4" w:space="0" w:color="auto"/>
            </w:tcBorders>
            <w:shd w:val="clear" w:color="auto" w:fill="C6EFCE"/>
            <w:noWrap/>
          </w:tcPr>
          <w:p w14:paraId="2EDFB5A8" w14:textId="77777777" w:rsidR="00FA7C11" w:rsidRDefault="00D84965">
            <w:pPr>
              <w:pStyle w:val="P68B1DB1-Normal66"/>
              <w:spacing w:after="200" w:line="276" w:lineRule="auto"/>
              <w:rPr>
                <w:noProof/>
              </w:rPr>
            </w:pPr>
            <w:r>
              <w:rPr>
                <w:noProof/>
              </w:rPr>
              <w:t xml:space="preserve">Cinci blocaje eliminate pe tronsoanele cu constrângeri actuale, viteze de rulare de până la 60 km/h </w:t>
            </w:r>
          </w:p>
        </w:tc>
        <w:tc>
          <w:tcPr>
            <w:tcW w:w="1984" w:type="dxa"/>
            <w:tcBorders>
              <w:top w:val="single" w:sz="4" w:space="0" w:color="auto"/>
              <w:left w:val="nil"/>
              <w:bottom w:val="single" w:sz="4" w:space="0" w:color="auto"/>
              <w:right w:val="single" w:sz="4" w:space="0" w:color="auto"/>
            </w:tcBorders>
            <w:shd w:val="clear" w:color="auto" w:fill="C6EFCE"/>
            <w:noWrap/>
          </w:tcPr>
          <w:p w14:paraId="5748B4D6" w14:textId="77777777" w:rsidR="00FA7C11" w:rsidRDefault="00D84965">
            <w:pPr>
              <w:pStyle w:val="P68B1DB1-Normal66"/>
              <w:spacing w:after="200" w:line="276"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1B4E6889" w14:textId="77777777" w:rsidR="00FA7C11" w:rsidRDefault="00D84965">
            <w:pPr>
              <w:pStyle w:val="P68B1DB1-Normal66"/>
              <w:spacing w:after="200" w:line="276" w:lineRule="auto"/>
              <w:jc w:val="center"/>
              <w:rPr>
                <w:noProof/>
              </w:rPr>
            </w:pPr>
            <w:r>
              <w:rPr>
                <w:noProof/>
              </w:rPr>
              <w:t>Număr</w:t>
            </w:r>
          </w:p>
        </w:tc>
        <w:tc>
          <w:tcPr>
            <w:tcW w:w="918" w:type="dxa"/>
            <w:tcBorders>
              <w:top w:val="single" w:sz="4" w:space="0" w:color="auto"/>
              <w:left w:val="nil"/>
              <w:bottom w:val="single" w:sz="4" w:space="0" w:color="auto"/>
              <w:right w:val="single" w:sz="4" w:space="0" w:color="auto"/>
            </w:tcBorders>
            <w:shd w:val="clear" w:color="auto" w:fill="C6EFCE"/>
            <w:noWrap/>
          </w:tcPr>
          <w:p w14:paraId="2A0D0DBD"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51D4C774" w14:textId="77777777" w:rsidR="00FA7C11" w:rsidRDefault="00D84965">
            <w:pPr>
              <w:pStyle w:val="P68B1DB1-Normal66"/>
              <w:spacing w:after="200" w:line="276" w:lineRule="auto"/>
              <w:jc w:val="center"/>
              <w:rPr>
                <w:noProof/>
              </w:rPr>
            </w:pPr>
            <w:r>
              <w:rPr>
                <w:noProof/>
              </w:rPr>
              <w:t>5</w:t>
            </w:r>
          </w:p>
        </w:tc>
        <w:tc>
          <w:tcPr>
            <w:tcW w:w="850" w:type="dxa"/>
            <w:tcBorders>
              <w:top w:val="single" w:sz="4" w:space="0" w:color="auto"/>
              <w:left w:val="nil"/>
              <w:bottom w:val="single" w:sz="4" w:space="0" w:color="auto"/>
              <w:right w:val="single" w:sz="4" w:space="0" w:color="auto"/>
            </w:tcBorders>
            <w:shd w:val="clear" w:color="auto" w:fill="C6EFCE"/>
            <w:noWrap/>
          </w:tcPr>
          <w:p w14:paraId="6AF48507"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nil"/>
              <w:bottom w:val="single" w:sz="4" w:space="0" w:color="auto"/>
              <w:right w:val="single" w:sz="4" w:space="0" w:color="auto"/>
            </w:tcBorders>
            <w:shd w:val="clear" w:color="auto" w:fill="C6EFCE"/>
            <w:noWrap/>
          </w:tcPr>
          <w:p w14:paraId="41A06038" w14:textId="77777777" w:rsidR="00FA7C11" w:rsidRDefault="00D84965">
            <w:pPr>
              <w:pStyle w:val="P68B1DB1-Normal66"/>
              <w:spacing w:after="200" w:line="276" w:lineRule="auto"/>
              <w:jc w:val="center"/>
              <w:rPr>
                <w:noProof/>
              </w:rPr>
            </w:pPr>
            <w:r>
              <w:rPr>
                <w:noProof/>
              </w:rPr>
              <w:t>2025</w:t>
            </w:r>
          </w:p>
        </w:tc>
        <w:tc>
          <w:tcPr>
            <w:tcW w:w="5193" w:type="dxa"/>
            <w:tcBorders>
              <w:top w:val="single" w:sz="4" w:space="0" w:color="auto"/>
              <w:left w:val="nil"/>
              <w:bottom w:val="single" w:sz="4" w:space="0" w:color="auto"/>
              <w:right w:val="single" w:sz="4" w:space="0" w:color="auto"/>
            </w:tcBorders>
            <w:shd w:val="clear" w:color="auto" w:fill="C6EFCE"/>
            <w:noWrap/>
          </w:tcPr>
          <w:p w14:paraId="409815CB" w14:textId="77777777" w:rsidR="00FA7C11" w:rsidRDefault="00D84965">
            <w:pPr>
              <w:pStyle w:val="P68B1DB1-Normal66"/>
              <w:spacing w:after="200" w:line="276" w:lineRule="auto"/>
              <w:rPr>
                <w:noProof/>
              </w:rPr>
            </w:pPr>
            <w:r>
              <w:rPr>
                <w:noProof/>
              </w:rPr>
              <w:t>Investiția are ca rezultat eliminarea a cinci blocaje pe tronsoanele cu o limită de viteză actuală de până la 60 km/h.</w:t>
            </w:r>
            <w:r>
              <w:rPr>
                <w:noProof/>
              </w:rPr>
              <w:br/>
            </w:r>
          </w:p>
        </w:tc>
      </w:tr>
      <w:tr w:rsidR="00FA7C11" w14:paraId="6FCA8C7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CCF9F06" w14:textId="77777777" w:rsidR="00FA7C11" w:rsidRDefault="00D84965">
            <w:pPr>
              <w:pStyle w:val="P68B1DB1-Normal66"/>
              <w:spacing w:after="200" w:line="276" w:lineRule="auto"/>
              <w:jc w:val="center"/>
              <w:rPr>
                <w:noProof/>
              </w:rPr>
            </w:pPr>
            <w:r>
              <w:rPr>
                <w:noProof/>
              </w:rPr>
              <w:t>105</w:t>
            </w:r>
          </w:p>
        </w:tc>
        <w:tc>
          <w:tcPr>
            <w:tcW w:w="1134" w:type="dxa"/>
            <w:tcBorders>
              <w:top w:val="single" w:sz="4" w:space="0" w:color="auto"/>
              <w:left w:val="nil"/>
              <w:bottom w:val="single" w:sz="4" w:space="0" w:color="auto"/>
              <w:right w:val="single" w:sz="4" w:space="0" w:color="auto"/>
            </w:tcBorders>
            <w:shd w:val="clear" w:color="auto" w:fill="C6EFCE"/>
            <w:noWrap/>
          </w:tcPr>
          <w:p w14:paraId="141473D0" w14:textId="77777777" w:rsidR="00FA7C11" w:rsidRDefault="00D84965">
            <w:pPr>
              <w:pStyle w:val="P68B1DB1-Normal66"/>
              <w:spacing w:after="200" w:line="276" w:lineRule="auto"/>
              <w:jc w:val="center"/>
              <w:rPr>
                <w:noProof/>
              </w:rPr>
            </w:pPr>
            <w:r>
              <w:rPr>
                <w:noProof/>
              </w:rPr>
              <w:t>C1.4. R2-I4</w:t>
            </w:r>
          </w:p>
        </w:tc>
        <w:tc>
          <w:tcPr>
            <w:tcW w:w="1102" w:type="dxa"/>
            <w:tcBorders>
              <w:top w:val="single" w:sz="4" w:space="0" w:color="auto"/>
              <w:left w:val="nil"/>
              <w:bottom w:val="single" w:sz="4" w:space="0" w:color="auto"/>
              <w:right w:val="single" w:sz="4" w:space="0" w:color="auto"/>
            </w:tcBorders>
            <w:shd w:val="clear" w:color="auto" w:fill="C6EFCE"/>
            <w:noWrap/>
          </w:tcPr>
          <w:p w14:paraId="6FABA2BD" w14:textId="77777777" w:rsidR="00FA7C11" w:rsidRDefault="00D84965">
            <w:pPr>
              <w:pStyle w:val="P68B1DB1-Normal66"/>
              <w:spacing w:after="200" w:line="276" w:lineRule="auto"/>
              <w:jc w:val="center"/>
              <w:rPr>
                <w:noProof/>
              </w:rPr>
            </w:pPr>
            <w:r>
              <w:rPr>
                <w:noProof/>
              </w:rPr>
              <w:t>T</w:t>
            </w:r>
          </w:p>
        </w:tc>
        <w:tc>
          <w:tcPr>
            <w:tcW w:w="1733" w:type="dxa"/>
            <w:tcBorders>
              <w:top w:val="single" w:sz="4" w:space="0" w:color="auto"/>
              <w:left w:val="nil"/>
              <w:bottom w:val="single" w:sz="4" w:space="0" w:color="auto"/>
              <w:right w:val="single" w:sz="4" w:space="0" w:color="auto"/>
            </w:tcBorders>
            <w:shd w:val="clear" w:color="auto" w:fill="C6EFCE"/>
            <w:noWrap/>
          </w:tcPr>
          <w:p w14:paraId="268F24FF" w14:textId="0F839E8C" w:rsidR="00FA7C11" w:rsidRDefault="00D84965">
            <w:pPr>
              <w:pStyle w:val="P68B1DB1-Normal66"/>
              <w:spacing w:after="200" w:line="276" w:lineRule="auto"/>
              <w:rPr>
                <w:noProof/>
              </w:rPr>
            </w:pPr>
            <w:r>
              <w:rPr>
                <w:noProof/>
              </w:rPr>
              <w:t>Linie de cale ferată dublă la Zagreb Kustošija – ZG Zapadni Kolodvor – Zagreb Glavni Kolodvor pe o lungime de 3,4 km, reconstruită și modernizată</w:t>
            </w:r>
          </w:p>
        </w:tc>
        <w:tc>
          <w:tcPr>
            <w:tcW w:w="1984" w:type="dxa"/>
            <w:tcBorders>
              <w:top w:val="single" w:sz="4" w:space="0" w:color="auto"/>
              <w:left w:val="nil"/>
              <w:bottom w:val="single" w:sz="4" w:space="0" w:color="auto"/>
              <w:right w:val="single" w:sz="4" w:space="0" w:color="auto"/>
            </w:tcBorders>
            <w:shd w:val="clear" w:color="auto" w:fill="C6EFCE"/>
            <w:noWrap/>
          </w:tcPr>
          <w:p w14:paraId="5C8B19AF" w14:textId="77777777" w:rsidR="00FA7C11" w:rsidRDefault="00D84965">
            <w:pPr>
              <w:pStyle w:val="P68B1DB1-Normal66"/>
              <w:spacing w:after="200" w:line="276"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5F65409D" w14:textId="77777777" w:rsidR="00FA7C11" w:rsidRDefault="00D84965">
            <w:pPr>
              <w:pStyle w:val="P68B1DB1-Normal66"/>
              <w:spacing w:after="200" w:line="276" w:lineRule="auto"/>
              <w:jc w:val="center"/>
              <w:rPr>
                <w:noProof/>
              </w:rPr>
            </w:pPr>
            <w:r>
              <w:rPr>
                <w:noProof/>
              </w:rPr>
              <w:t>Număr (km)</w:t>
            </w:r>
          </w:p>
        </w:tc>
        <w:tc>
          <w:tcPr>
            <w:tcW w:w="918" w:type="dxa"/>
            <w:tcBorders>
              <w:top w:val="single" w:sz="4" w:space="0" w:color="auto"/>
              <w:left w:val="nil"/>
              <w:bottom w:val="single" w:sz="4" w:space="0" w:color="auto"/>
              <w:right w:val="single" w:sz="4" w:space="0" w:color="auto"/>
            </w:tcBorders>
            <w:shd w:val="clear" w:color="auto" w:fill="C6EFCE"/>
            <w:noWrap/>
          </w:tcPr>
          <w:p w14:paraId="4A6CB268"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470524C9" w14:textId="77777777" w:rsidR="00FA7C11" w:rsidRDefault="00D84965">
            <w:pPr>
              <w:pStyle w:val="P68B1DB1-Normal66"/>
              <w:spacing w:after="200" w:line="276" w:lineRule="auto"/>
              <w:jc w:val="center"/>
              <w:rPr>
                <w:noProof/>
              </w:rPr>
            </w:pPr>
            <w:r>
              <w:rPr>
                <w:noProof/>
              </w:rPr>
              <w:t>3,4</w:t>
            </w:r>
          </w:p>
        </w:tc>
        <w:tc>
          <w:tcPr>
            <w:tcW w:w="850" w:type="dxa"/>
            <w:tcBorders>
              <w:top w:val="single" w:sz="4" w:space="0" w:color="auto"/>
              <w:left w:val="nil"/>
              <w:bottom w:val="single" w:sz="4" w:space="0" w:color="auto"/>
              <w:right w:val="single" w:sz="4" w:space="0" w:color="auto"/>
            </w:tcBorders>
            <w:shd w:val="clear" w:color="auto" w:fill="C6EFCE"/>
            <w:noWrap/>
          </w:tcPr>
          <w:p w14:paraId="2B61072A"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nil"/>
              <w:bottom w:val="single" w:sz="4" w:space="0" w:color="auto"/>
              <w:right w:val="single" w:sz="4" w:space="0" w:color="auto"/>
            </w:tcBorders>
            <w:shd w:val="clear" w:color="auto" w:fill="C6EFCE"/>
            <w:noWrap/>
          </w:tcPr>
          <w:p w14:paraId="445CAF6C" w14:textId="77777777" w:rsidR="00FA7C11" w:rsidRDefault="00D84965">
            <w:pPr>
              <w:pStyle w:val="P68B1DB1-Normal66"/>
              <w:spacing w:after="200" w:line="276" w:lineRule="auto"/>
              <w:jc w:val="center"/>
              <w:rPr>
                <w:noProof/>
              </w:rPr>
            </w:pPr>
            <w:r>
              <w:rPr>
                <w:noProof/>
              </w:rPr>
              <w:t>2024</w:t>
            </w:r>
          </w:p>
        </w:tc>
        <w:tc>
          <w:tcPr>
            <w:tcW w:w="5193" w:type="dxa"/>
            <w:tcBorders>
              <w:top w:val="single" w:sz="4" w:space="0" w:color="auto"/>
              <w:left w:val="nil"/>
              <w:bottom w:val="single" w:sz="4" w:space="0" w:color="auto"/>
              <w:right w:val="single" w:sz="4" w:space="0" w:color="auto"/>
            </w:tcBorders>
            <w:shd w:val="clear" w:color="auto" w:fill="C6EFCE"/>
            <w:noWrap/>
          </w:tcPr>
          <w:p w14:paraId="32C2A1EB" w14:textId="77777777" w:rsidR="00FA7C11" w:rsidRDefault="00D84965">
            <w:pPr>
              <w:pStyle w:val="P68B1DB1-Normal66"/>
              <w:spacing w:after="200" w:line="276" w:lineRule="auto"/>
              <w:rPr>
                <w:noProof/>
              </w:rPr>
            </w:pPr>
            <w:r>
              <w:rPr>
                <w:noProof/>
              </w:rPr>
              <w:t>Linia de cale ferată cu două linii pe tronsonul Zagreb Kustošija – Zagreb Zapadni Kolodvor – Zagreb Glavni Kolodvor pentru o lungime de 3,4 km trebuie reconstruită și modernizată.</w:t>
            </w:r>
            <w:r>
              <w:rPr>
                <w:noProof/>
              </w:rPr>
              <w:br/>
              <w:t>Se furnizează dovezi privind respectarea procedurilor de autorizare în temeiul EIM în conformitate cu Directiva 2011/92/UE.</w:t>
            </w:r>
          </w:p>
        </w:tc>
      </w:tr>
      <w:tr w:rsidR="00FA7C11" w14:paraId="7AB4510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87C6243" w14:textId="77777777" w:rsidR="00FA7C11" w:rsidRDefault="00D84965">
            <w:pPr>
              <w:pStyle w:val="P68B1DB1-Normal66"/>
              <w:spacing w:after="200" w:line="276" w:lineRule="auto"/>
              <w:jc w:val="center"/>
              <w:rPr>
                <w:noProof/>
              </w:rPr>
            </w:pPr>
            <w:r>
              <w:rPr>
                <w:noProof/>
              </w:rPr>
              <w:t>107</w:t>
            </w:r>
          </w:p>
        </w:tc>
        <w:tc>
          <w:tcPr>
            <w:tcW w:w="1134" w:type="dxa"/>
            <w:tcBorders>
              <w:top w:val="single" w:sz="4" w:space="0" w:color="auto"/>
              <w:left w:val="nil"/>
              <w:bottom w:val="single" w:sz="4" w:space="0" w:color="auto"/>
              <w:right w:val="single" w:sz="4" w:space="0" w:color="auto"/>
            </w:tcBorders>
            <w:shd w:val="clear" w:color="auto" w:fill="C6EFCE"/>
            <w:noWrap/>
          </w:tcPr>
          <w:p w14:paraId="66D28FDC" w14:textId="77777777" w:rsidR="00FA7C11" w:rsidRDefault="00D84965">
            <w:pPr>
              <w:pStyle w:val="P68B1DB1-Normal66"/>
              <w:spacing w:after="200" w:line="276" w:lineRule="auto"/>
              <w:jc w:val="center"/>
              <w:rPr>
                <w:noProof/>
              </w:rPr>
            </w:pPr>
            <w:r>
              <w:rPr>
                <w:noProof/>
              </w:rPr>
              <w:t>C1.4. R2-I6</w:t>
            </w:r>
          </w:p>
        </w:tc>
        <w:tc>
          <w:tcPr>
            <w:tcW w:w="1102" w:type="dxa"/>
            <w:tcBorders>
              <w:top w:val="single" w:sz="4" w:space="0" w:color="auto"/>
              <w:left w:val="nil"/>
              <w:bottom w:val="single" w:sz="4" w:space="0" w:color="auto"/>
              <w:right w:val="single" w:sz="4" w:space="0" w:color="auto"/>
            </w:tcBorders>
            <w:shd w:val="clear" w:color="auto" w:fill="C6EFCE"/>
            <w:noWrap/>
          </w:tcPr>
          <w:p w14:paraId="36E5DDDD" w14:textId="77777777" w:rsidR="00FA7C11" w:rsidRDefault="00D84965">
            <w:pPr>
              <w:pStyle w:val="P68B1DB1-Normal66"/>
              <w:spacing w:after="200" w:line="276" w:lineRule="auto"/>
              <w:jc w:val="center"/>
              <w:rPr>
                <w:noProof/>
              </w:rPr>
            </w:pPr>
            <w:r>
              <w:rPr>
                <w:noProof/>
              </w:rPr>
              <w:t>T</w:t>
            </w:r>
          </w:p>
        </w:tc>
        <w:tc>
          <w:tcPr>
            <w:tcW w:w="1733" w:type="dxa"/>
            <w:tcBorders>
              <w:top w:val="single" w:sz="4" w:space="0" w:color="auto"/>
              <w:left w:val="nil"/>
              <w:bottom w:val="single" w:sz="4" w:space="0" w:color="auto"/>
              <w:right w:val="single" w:sz="4" w:space="0" w:color="auto"/>
            </w:tcBorders>
            <w:shd w:val="clear" w:color="auto" w:fill="C6EFCE"/>
            <w:noWrap/>
          </w:tcPr>
          <w:p w14:paraId="2B7D3330" w14:textId="77777777" w:rsidR="00FA7C11" w:rsidRDefault="00D84965">
            <w:pPr>
              <w:pStyle w:val="P68B1DB1-Normal66"/>
              <w:spacing w:after="200" w:line="276" w:lineRule="auto"/>
              <w:rPr>
                <w:noProof/>
              </w:rPr>
            </w:pPr>
            <w:r>
              <w:rPr>
                <w:noProof/>
              </w:rPr>
              <w:t xml:space="preserve">Două prototipuri de trenuri cu baterii produse </w:t>
            </w:r>
          </w:p>
        </w:tc>
        <w:tc>
          <w:tcPr>
            <w:tcW w:w="1984" w:type="dxa"/>
            <w:tcBorders>
              <w:top w:val="single" w:sz="4" w:space="0" w:color="auto"/>
              <w:left w:val="nil"/>
              <w:bottom w:val="single" w:sz="4" w:space="0" w:color="auto"/>
              <w:right w:val="single" w:sz="4" w:space="0" w:color="auto"/>
            </w:tcBorders>
            <w:shd w:val="clear" w:color="auto" w:fill="C6EFCE"/>
            <w:noWrap/>
          </w:tcPr>
          <w:p w14:paraId="7D219259" w14:textId="77777777" w:rsidR="00FA7C11" w:rsidRDefault="00D84965">
            <w:pPr>
              <w:pStyle w:val="P68B1DB1-Normal66"/>
              <w:spacing w:after="200" w:line="276" w:lineRule="auto"/>
              <w:rPr>
                <w:noProof/>
              </w:rPr>
            </w:pPr>
            <w:r>
              <w:rPr>
                <w:noProof/>
              </w:rPr>
              <w:t xml:space="preserve"> </w:t>
            </w:r>
          </w:p>
        </w:tc>
        <w:tc>
          <w:tcPr>
            <w:tcW w:w="1067" w:type="dxa"/>
            <w:tcBorders>
              <w:top w:val="single" w:sz="4" w:space="0" w:color="auto"/>
              <w:left w:val="nil"/>
              <w:bottom w:val="single" w:sz="4" w:space="0" w:color="auto"/>
              <w:right w:val="single" w:sz="4" w:space="0" w:color="auto"/>
            </w:tcBorders>
            <w:shd w:val="clear" w:color="auto" w:fill="C6EFCE"/>
            <w:noWrap/>
          </w:tcPr>
          <w:p w14:paraId="0BF85F57" w14:textId="77777777" w:rsidR="00FA7C11" w:rsidRDefault="00D84965">
            <w:pPr>
              <w:pStyle w:val="P68B1DB1-Normal66"/>
              <w:spacing w:after="200" w:line="276" w:lineRule="auto"/>
              <w:jc w:val="center"/>
              <w:rPr>
                <w:noProof/>
              </w:rPr>
            </w:pPr>
            <w:r>
              <w:rPr>
                <w:noProof/>
              </w:rPr>
              <w:t>Număr</w:t>
            </w:r>
          </w:p>
        </w:tc>
        <w:tc>
          <w:tcPr>
            <w:tcW w:w="918" w:type="dxa"/>
            <w:tcBorders>
              <w:top w:val="single" w:sz="4" w:space="0" w:color="auto"/>
              <w:left w:val="nil"/>
              <w:bottom w:val="single" w:sz="4" w:space="0" w:color="auto"/>
              <w:right w:val="single" w:sz="4" w:space="0" w:color="auto"/>
            </w:tcBorders>
            <w:shd w:val="clear" w:color="auto" w:fill="C6EFCE"/>
            <w:noWrap/>
          </w:tcPr>
          <w:p w14:paraId="526E3B96"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69F0BF0F" w14:textId="77777777" w:rsidR="00FA7C11" w:rsidRDefault="00D84965">
            <w:pPr>
              <w:pStyle w:val="P68B1DB1-Normal66"/>
              <w:spacing w:after="200" w:line="276" w:lineRule="auto"/>
              <w:jc w:val="center"/>
              <w:rPr>
                <w:noProof/>
              </w:rPr>
            </w:pPr>
            <w:r>
              <w:rPr>
                <w:noProof/>
              </w:rPr>
              <w:t>2</w:t>
            </w:r>
          </w:p>
        </w:tc>
        <w:tc>
          <w:tcPr>
            <w:tcW w:w="850" w:type="dxa"/>
            <w:tcBorders>
              <w:top w:val="single" w:sz="4" w:space="0" w:color="auto"/>
              <w:left w:val="nil"/>
              <w:bottom w:val="single" w:sz="4" w:space="0" w:color="auto"/>
              <w:right w:val="single" w:sz="4" w:space="0" w:color="auto"/>
            </w:tcBorders>
            <w:shd w:val="clear" w:color="auto" w:fill="C6EFCE"/>
            <w:noWrap/>
          </w:tcPr>
          <w:p w14:paraId="53DE8CEC"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nil"/>
              <w:bottom w:val="single" w:sz="4" w:space="0" w:color="auto"/>
              <w:right w:val="single" w:sz="4" w:space="0" w:color="auto"/>
            </w:tcBorders>
            <w:shd w:val="clear" w:color="auto" w:fill="C6EFCE"/>
            <w:noWrap/>
          </w:tcPr>
          <w:p w14:paraId="1BD117D9" w14:textId="77777777" w:rsidR="00FA7C11" w:rsidRDefault="00D84965">
            <w:pPr>
              <w:pStyle w:val="P68B1DB1-Normal66"/>
              <w:spacing w:after="200" w:line="276" w:lineRule="auto"/>
              <w:jc w:val="center"/>
              <w:rPr>
                <w:noProof/>
              </w:rPr>
            </w:pPr>
            <w:r>
              <w:rPr>
                <w:noProof/>
              </w:rPr>
              <w:t>2025</w:t>
            </w:r>
          </w:p>
        </w:tc>
        <w:tc>
          <w:tcPr>
            <w:tcW w:w="5193" w:type="dxa"/>
            <w:tcBorders>
              <w:top w:val="single" w:sz="4" w:space="0" w:color="auto"/>
              <w:left w:val="nil"/>
              <w:bottom w:val="single" w:sz="4" w:space="0" w:color="auto"/>
              <w:right w:val="single" w:sz="4" w:space="0" w:color="auto"/>
            </w:tcBorders>
            <w:shd w:val="clear" w:color="auto" w:fill="C6EFCE"/>
            <w:noWrap/>
          </w:tcPr>
          <w:p w14:paraId="3F8C98B4" w14:textId="77777777" w:rsidR="00FA7C11" w:rsidRDefault="00D84965">
            <w:pPr>
              <w:pStyle w:val="P68B1DB1-Normal66"/>
              <w:spacing w:after="200" w:line="276" w:lineRule="auto"/>
              <w:rPr>
                <w:noProof/>
              </w:rPr>
            </w:pPr>
            <w:r>
              <w:rPr>
                <w:noProof/>
              </w:rPr>
              <w:t xml:space="preserve">Se produce un prototip de grup motopropulsor electric cu baterie (BEMV) și se produce un prototip de grup motopropulsor cu baterie (BMV), se supune încercării de tip și se obține o premisiune pentru funcționare. </w:t>
            </w:r>
          </w:p>
          <w:p w14:paraId="0FCB0610" w14:textId="4A4B11ED" w:rsidR="00FA7C11" w:rsidRDefault="00D84965">
            <w:pPr>
              <w:pStyle w:val="P68B1DB1-Normal70"/>
              <w:spacing w:after="200" w:line="276" w:lineRule="auto"/>
              <w:rPr>
                <w:noProof/>
              </w:rPr>
            </w:pPr>
            <w:r>
              <w:rPr>
                <w:noProof/>
              </w:rPr>
              <w:t>Vor fi construite șase conexiuni electrice stabile pentru încărcarea bateriilor de tracțiune ale trenurilor.</w:t>
            </w:r>
          </w:p>
        </w:tc>
      </w:tr>
      <w:tr w:rsidR="00FA7C11" w14:paraId="35D67839"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29562BD" w14:textId="77777777" w:rsidR="00FA7C11" w:rsidRDefault="00D84965">
            <w:pPr>
              <w:pStyle w:val="P68B1DB1-Normal66"/>
              <w:spacing w:after="200" w:line="276" w:lineRule="auto"/>
              <w:jc w:val="center"/>
              <w:rPr>
                <w:noProof/>
              </w:rPr>
            </w:pPr>
            <w:r>
              <w:rPr>
                <w:noProof/>
              </w:rPr>
              <w:t>108</w:t>
            </w:r>
          </w:p>
        </w:tc>
        <w:tc>
          <w:tcPr>
            <w:tcW w:w="1134" w:type="dxa"/>
            <w:tcBorders>
              <w:top w:val="single" w:sz="4" w:space="0" w:color="auto"/>
              <w:left w:val="nil"/>
              <w:bottom w:val="single" w:sz="4" w:space="0" w:color="auto"/>
              <w:right w:val="single" w:sz="4" w:space="0" w:color="auto"/>
            </w:tcBorders>
            <w:shd w:val="clear" w:color="auto" w:fill="C6EFCE"/>
            <w:noWrap/>
          </w:tcPr>
          <w:p w14:paraId="67F9EDC2" w14:textId="77777777" w:rsidR="00FA7C11" w:rsidRDefault="00D84965">
            <w:pPr>
              <w:pStyle w:val="P68B1DB1-Normal66"/>
              <w:spacing w:after="200" w:line="276" w:lineRule="auto"/>
              <w:jc w:val="center"/>
              <w:rPr>
                <w:noProof/>
              </w:rPr>
            </w:pPr>
            <w:r>
              <w:rPr>
                <w:noProof/>
              </w:rPr>
              <w:t>C1.4. R2-I7</w:t>
            </w:r>
          </w:p>
        </w:tc>
        <w:tc>
          <w:tcPr>
            <w:tcW w:w="1102" w:type="dxa"/>
            <w:tcBorders>
              <w:top w:val="single" w:sz="4" w:space="0" w:color="auto"/>
              <w:left w:val="nil"/>
              <w:bottom w:val="single" w:sz="4" w:space="0" w:color="auto"/>
              <w:right w:val="single" w:sz="4" w:space="0" w:color="auto"/>
            </w:tcBorders>
            <w:shd w:val="clear" w:color="auto" w:fill="C6EFCE"/>
            <w:noWrap/>
          </w:tcPr>
          <w:p w14:paraId="7A232A7A"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nil"/>
              <w:bottom w:val="single" w:sz="4" w:space="0" w:color="auto"/>
              <w:right w:val="single" w:sz="4" w:space="0" w:color="auto"/>
            </w:tcBorders>
            <w:shd w:val="clear" w:color="auto" w:fill="C6EFCE"/>
            <w:noWrap/>
          </w:tcPr>
          <w:p w14:paraId="322185F4" w14:textId="77777777" w:rsidR="00FA7C11" w:rsidRDefault="00D84965">
            <w:pPr>
              <w:pStyle w:val="P68B1DB1-Normal66"/>
              <w:spacing w:after="200" w:line="276" w:lineRule="auto"/>
              <w:rPr>
                <w:strike/>
                <w:noProof/>
              </w:rPr>
            </w:pPr>
            <w:r>
              <w:rPr>
                <w:noProof/>
              </w:rPr>
              <w:t>Modernizarea sistemelor informatice pentru transportul de pasageri HŽ</w:t>
            </w:r>
          </w:p>
          <w:p w14:paraId="4B1CB064" w14:textId="77777777" w:rsidR="00FA7C11" w:rsidRDefault="00FA7C11">
            <w:pPr>
              <w:spacing w:after="200" w:line="276" w:lineRule="auto"/>
              <w:rPr>
                <w:rFonts w:ascii="Times New Roman" w:eastAsia="Calibri" w:hAnsi="Times New Roman" w:cs="Times New Roman"/>
                <w:noProof/>
                <w:sz w:val="20"/>
                <w:szCs w:val="20"/>
              </w:rPr>
            </w:pPr>
          </w:p>
        </w:tc>
        <w:tc>
          <w:tcPr>
            <w:tcW w:w="1984" w:type="dxa"/>
            <w:tcBorders>
              <w:top w:val="single" w:sz="4" w:space="0" w:color="auto"/>
              <w:left w:val="nil"/>
              <w:bottom w:val="single" w:sz="4" w:space="0" w:color="auto"/>
              <w:right w:val="single" w:sz="4" w:space="0" w:color="auto"/>
            </w:tcBorders>
            <w:shd w:val="clear" w:color="auto" w:fill="C6EFCE"/>
            <w:noWrap/>
          </w:tcPr>
          <w:p w14:paraId="26A7C27F" w14:textId="77777777" w:rsidR="00FA7C11" w:rsidRDefault="00D84965">
            <w:pPr>
              <w:pStyle w:val="P68B1DB1-Normal66"/>
              <w:spacing w:after="200" w:line="276" w:lineRule="auto"/>
              <w:rPr>
                <w:strike/>
                <w:noProof/>
              </w:rPr>
            </w:pPr>
            <w:r>
              <w:rPr>
                <w:noProof/>
              </w:rPr>
              <w:t xml:space="preserve">Modernizarea sistemelor informatice ale HŽ Passenger Transport </w:t>
            </w:r>
          </w:p>
        </w:tc>
        <w:tc>
          <w:tcPr>
            <w:tcW w:w="1067" w:type="dxa"/>
            <w:tcBorders>
              <w:top w:val="single" w:sz="4" w:space="0" w:color="auto"/>
              <w:left w:val="nil"/>
              <w:bottom w:val="single" w:sz="4" w:space="0" w:color="auto"/>
              <w:right w:val="single" w:sz="4" w:space="0" w:color="auto"/>
            </w:tcBorders>
            <w:shd w:val="clear" w:color="auto" w:fill="C6EFCE"/>
            <w:noWrap/>
          </w:tcPr>
          <w:p w14:paraId="0CDD57A2"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nil"/>
              <w:bottom w:val="single" w:sz="4" w:space="0" w:color="auto"/>
              <w:right w:val="single" w:sz="4" w:space="0" w:color="auto"/>
            </w:tcBorders>
            <w:shd w:val="clear" w:color="auto" w:fill="C6EFCE"/>
            <w:noWrap/>
          </w:tcPr>
          <w:p w14:paraId="22779EFF"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621B5881"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4E1F2BB9" w14:textId="77777777" w:rsidR="00FA7C11" w:rsidRDefault="00D84965">
            <w:pPr>
              <w:pStyle w:val="P68B1DB1-Normal66"/>
              <w:spacing w:after="200" w:line="276" w:lineRule="auto"/>
              <w:jc w:val="center"/>
              <w:rPr>
                <w:noProof/>
              </w:rPr>
            </w:pPr>
            <w:r>
              <w:rPr>
                <w:noProof/>
              </w:rPr>
              <w:t>Î2</w:t>
            </w:r>
          </w:p>
        </w:tc>
        <w:tc>
          <w:tcPr>
            <w:tcW w:w="851" w:type="dxa"/>
            <w:tcBorders>
              <w:top w:val="single" w:sz="4" w:space="0" w:color="auto"/>
              <w:left w:val="nil"/>
              <w:bottom w:val="single" w:sz="4" w:space="0" w:color="auto"/>
              <w:right w:val="single" w:sz="4" w:space="0" w:color="auto"/>
            </w:tcBorders>
            <w:shd w:val="clear" w:color="auto" w:fill="C6EFCE"/>
            <w:noWrap/>
          </w:tcPr>
          <w:p w14:paraId="1CDD3066" w14:textId="77777777" w:rsidR="00FA7C11" w:rsidRDefault="00D84965">
            <w:pPr>
              <w:pStyle w:val="P68B1DB1-Normal66"/>
              <w:spacing w:after="200" w:line="276" w:lineRule="auto"/>
              <w:jc w:val="center"/>
              <w:rPr>
                <w:noProof/>
              </w:rPr>
            </w:pPr>
            <w:r>
              <w:rPr>
                <w:noProof/>
              </w:rPr>
              <w:t>2026</w:t>
            </w:r>
          </w:p>
        </w:tc>
        <w:tc>
          <w:tcPr>
            <w:tcW w:w="5193" w:type="dxa"/>
            <w:tcBorders>
              <w:top w:val="single" w:sz="4" w:space="0" w:color="auto"/>
              <w:left w:val="nil"/>
              <w:bottom w:val="single" w:sz="4" w:space="0" w:color="auto"/>
              <w:right w:val="single" w:sz="4" w:space="0" w:color="auto"/>
            </w:tcBorders>
            <w:shd w:val="clear" w:color="auto" w:fill="C6EFCE"/>
            <w:noWrap/>
          </w:tcPr>
          <w:p w14:paraId="6C968AE0" w14:textId="77777777" w:rsidR="00FA7C11" w:rsidRDefault="00D84965">
            <w:pPr>
              <w:pStyle w:val="P68B1DB1-Normal66"/>
              <w:spacing w:after="200" w:line="276" w:lineRule="auto"/>
              <w:rPr>
                <w:strike/>
                <w:noProof/>
              </w:rPr>
            </w:pPr>
            <w:r>
              <w:rPr>
                <w:noProof/>
              </w:rPr>
              <w:t xml:space="preserve">Modernizarea sistemelor informatice pentru transportul de pasageri HŽ include: </w:t>
            </w:r>
          </w:p>
          <w:p w14:paraId="665A9AB3" w14:textId="77777777" w:rsidR="00FA7C11" w:rsidRDefault="00D84965">
            <w:pPr>
              <w:pStyle w:val="P68B1DB1-ListParagraph78"/>
              <w:numPr>
                <w:ilvl w:val="0"/>
                <w:numId w:val="51"/>
              </w:numPr>
              <w:spacing w:before="120" w:after="200" w:line="276" w:lineRule="auto"/>
              <w:jc w:val="both"/>
              <w:rPr>
                <w:noProof/>
              </w:rPr>
            </w:pPr>
            <w:r>
              <w:rPr>
                <w:noProof/>
              </w:rPr>
              <w:t>Instalarea WIFI pe 40 trenuri;</w:t>
            </w:r>
          </w:p>
          <w:p w14:paraId="3CEDB173" w14:textId="77777777" w:rsidR="00FA7C11" w:rsidRDefault="00D84965">
            <w:pPr>
              <w:pStyle w:val="P68B1DB1-ListParagraph78"/>
              <w:numPr>
                <w:ilvl w:val="0"/>
                <w:numId w:val="51"/>
              </w:numPr>
              <w:spacing w:before="120" w:after="200" w:line="276" w:lineRule="auto"/>
              <w:jc w:val="both"/>
              <w:rPr>
                <w:noProof/>
              </w:rPr>
            </w:pPr>
            <w:r>
              <w:rPr>
                <w:noProof/>
              </w:rPr>
              <w:t>Instalarea sistemului GPS pe 40 trenuri;</w:t>
            </w:r>
          </w:p>
          <w:p w14:paraId="05BD5C40" w14:textId="77777777" w:rsidR="00FA7C11" w:rsidRDefault="00D84965">
            <w:pPr>
              <w:pStyle w:val="P68B1DB1-ListParagraph78"/>
              <w:numPr>
                <w:ilvl w:val="0"/>
                <w:numId w:val="51"/>
              </w:numPr>
              <w:spacing w:before="120" w:after="200" w:line="276" w:lineRule="auto"/>
              <w:jc w:val="both"/>
              <w:rPr>
                <w:noProof/>
              </w:rPr>
            </w:pPr>
            <w:r>
              <w:rPr>
                <w:noProof/>
              </w:rPr>
              <w:t xml:space="preserve">Modernizarea centrului de date al sistemului de vânzări; și </w:t>
            </w:r>
          </w:p>
          <w:p w14:paraId="4C88C410" w14:textId="3CFB926E" w:rsidR="00FA7C11" w:rsidRDefault="00D84965">
            <w:pPr>
              <w:pStyle w:val="P68B1DB1-ListParagraph78"/>
              <w:numPr>
                <w:ilvl w:val="0"/>
                <w:numId w:val="51"/>
              </w:numPr>
              <w:spacing w:before="120" w:after="200" w:line="276" w:lineRule="auto"/>
              <w:jc w:val="both"/>
              <w:rPr>
                <w:noProof/>
              </w:rPr>
            </w:pPr>
            <w:r>
              <w:rPr>
                <w:noProof/>
              </w:rPr>
              <w:t>Achiziționarea de echipamente pentru platforma de virtualizare.</w:t>
            </w:r>
          </w:p>
        </w:tc>
      </w:tr>
      <w:tr w:rsidR="00FA7C11" w14:paraId="6A28977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FCEF773" w14:textId="77777777" w:rsidR="00FA7C11" w:rsidRDefault="00D84965">
            <w:pPr>
              <w:pStyle w:val="P68B1DB1-Normal66"/>
              <w:spacing w:after="200" w:line="276" w:lineRule="auto"/>
              <w:jc w:val="center"/>
              <w:rPr>
                <w:noProof/>
              </w:rPr>
            </w:pPr>
            <w:r>
              <w:rPr>
                <w:noProof/>
              </w:rPr>
              <w:t>109</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1F7E153" w14:textId="77777777" w:rsidR="00FA7C11" w:rsidRDefault="00D84965">
            <w:pPr>
              <w:pStyle w:val="P68B1DB1-Normal66"/>
              <w:spacing w:after="200" w:line="276" w:lineRule="auto"/>
              <w:jc w:val="center"/>
              <w:rPr>
                <w:noProof/>
              </w:rPr>
            </w:pPr>
            <w:r>
              <w:rPr>
                <w:noProof/>
              </w:rPr>
              <w:t>C1.4. R3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5D8C1261"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61A9FC49" w14:textId="77777777" w:rsidR="00FA7C11" w:rsidRDefault="00D84965">
            <w:pPr>
              <w:pStyle w:val="P68B1DB1-Normal66"/>
              <w:spacing w:after="200" w:line="276" w:lineRule="auto"/>
              <w:rPr>
                <w:noProof/>
              </w:rPr>
            </w:pPr>
            <w:r>
              <w:rPr>
                <w:noProof/>
              </w:rPr>
              <w:t xml:space="preserve">Noua Lege privind traficul costier regulat și sezonier </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1406FAF" w14:textId="77777777" w:rsidR="00FA7C11" w:rsidRDefault="00D84965">
            <w:pPr>
              <w:pStyle w:val="P68B1DB1-Normal66"/>
              <w:spacing w:after="200" w:line="276" w:lineRule="auto"/>
              <w:rPr>
                <w:noProof/>
              </w:rPr>
            </w:pPr>
            <w:r>
              <w:rPr>
                <w:noProof/>
              </w:rPr>
              <w:t xml:space="preserve">Intrarea în vigoare a noii Legi privind transportul costier regulat și sezonier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0096D62"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4B61626"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87CAFF0"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2762EAE" w14:textId="77777777" w:rsidR="00FA7C11" w:rsidRDefault="00D84965">
            <w:pPr>
              <w:pStyle w:val="P68B1DB1-Normal66"/>
              <w:spacing w:after="200" w:line="276" w:lineRule="auto"/>
              <w:jc w:val="center"/>
              <w:rPr>
                <w:noProof/>
              </w:rPr>
            </w:pPr>
            <w:r>
              <w:rPr>
                <w:noProof/>
              </w:rPr>
              <w:t>Î3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AE98E4B" w14:textId="77777777" w:rsidR="00FA7C11" w:rsidRDefault="00D84965">
            <w:pPr>
              <w:pStyle w:val="P68B1DB1-Normal66"/>
              <w:spacing w:after="200" w:line="276" w:lineRule="auto"/>
              <w:jc w:val="center"/>
              <w:rPr>
                <w:noProof/>
              </w:rPr>
            </w:pPr>
            <w:r>
              <w:rPr>
                <w:noProof/>
              </w:rPr>
              <w:t>2021</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6D04BF37" w14:textId="77777777" w:rsidR="00FA7C11" w:rsidRDefault="00D84965">
            <w:pPr>
              <w:pStyle w:val="P68B1DB1-Normal66"/>
              <w:spacing w:after="200" w:line="276" w:lineRule="auto"/>
              <w:rPr>
                <w:noProof/>
              </w:rPr>
            </w:pPr>
            <w:r>
              <w:rPr>
                <w:noProof/>
              </w:rPr>
              <w:t>Noua Lege privind transportul maritim costier regulat și sezonier va simplifica procedurile administrative actuale și va crea condiții prealabile mai bune pentru o funcționare mai eficientă a transportului maritim costier public, prin reglementarea dispozițiilor referitoare la activitatea Agenției pentru transportul maritim costier regulat, în special în secțiunea privind acordarea de licențe pentru rutele de stat, precum și o mai bună utilizare și control al sistemelor informatice de transport public (sistemul SEOP).</w:t>
            </w:r>
          </w:p>
        </w:tc>
      </w:tr>
      <w:tr w:rsidR="00FA7C11" w14:paraId="1E89B010"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246AAA2" w14:textId="77777777" w:rsidR="00FA7C11" w:rsidRDefault="00D84965">
            <w:pPr>
              <w:pStyle w:val="P68B1DB1-Normal66"/>
              <w:spacing w:after="200" w:line="276" w:lineRule="auto"/>
              <w:jc w:val="center"/>
              <w:rPr>
                <w:noProof/>
              </w:rPr>
            </w:pPr>
            <w:r>
              <w:rPr>
                <w:noProof/>
              </w:rPr>
              <w:t>110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C0CE7DC" w14:textId="77777777" w:rsidR="00FA7C11" w:rsidRDefault="00D84965">
            <w:pPr>
              <w:pStyle w:val="P68B1DB1-Normal66"/>
              <w:spacing w:after="200" w:line="276" w:lineRule="auto"/>
              <w:jc w:val="center"/>
              <w:rPr>
                <w:noProof/>
              </w:rPr>
            </w:pPr>
            <w:r>
              <w:rPr>
                <w:noProof/>
              </w:rPr>
              <w:t>C1.4. R3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7627C90C"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6F58C14D" w14:textId="77777777" w:rsidR="00FA7C11" w:rsidRDefault="00D84965">
            <w:pPr>
              <w:pStyle w:val="P68B1DB1-Normal66"/>
              <w:spacing w:after="200" w:line="276" w:lineRule="auto"/>
              <w:rPr>
                <w:noProof/>
              </w:rPr>
            </w:pPr>
            <w:r>
              <w:rPr>
                <w:noProof/>
              </w:rPr>
              <w:t>Noua Lege privind navigația interioară și porturile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3AFC8F33" w14:textId="77777777" w:rsidR="00FA7C11" w:rsidRDefault="00D84965">
            <w:pPr>
              <w:pStyle w:val="P68B1DB1-Normal66"/>
              <w:spacing w:after="200" w:line="276" w:lineRule="auto"/>
              <w:rPr>
                <w:noProof/>
              </w:rPr>
            </w:pPr>
            <w:r>
              <w:rPr>
                <w:noProof/>
              </w:rPr>
              <w:t>Intrarea în vigoare a noii Legi privind navigația interioară și porturile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60E647C"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1318B10"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14B0D07D"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E3AFFA2" w14:textId="77777777" w:rsidR="00FA7C11" w:rsidRDefault="00D84965">
            <w:pPr>
              <w:pStyle w:val="P68B1DB1-Normal66"/>
              <w:spacing w:after="200" w:line="276" w:lineRule="auto"/>
              <w:jc w:val="center"/>
              <w:rPr>
                <w:noProof/>
              </w:rPr>
            </w:pPr>
            <w:r>
              <w:rPr>
                <w:noProof/>
              </w:rPr>
              <w:t>Î3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86DDAD9" w14:textId="77777777" w:rsidR="00FA7C11" w:rsidRDefault="00D84965">
            <w:pPr>
              <w:pStyle w:val="P68B1DB1-Normal66"/>
              <w:spacing w:after="200" w:line="276" w:lineRule="auto"/>
              <w:jc w:val="center"/>
              <w:rPr>
                <w:noProof/>
              </w:rPr>
            </w:pPr>
            <w:r>
              <w:rPr>
                <w:noProof/>
              </w:rPr>
              <w:t>2021</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49716703" w14:textId="77777777" w:rsidR="00FA7C11" w:rsidRDefault="00D84965">
            <w:pPr>
              <w:pStyle w:val="P68B1DB1-Normal66"/>
              <w:spacing w:after="200" w:line="276" w:lineRule="auto"/>
              <w:rPr>
                <w:noProof/>
              </w:rPr>
            </w:pPr>
            <w:r>
              <w:rPr>
                <w:noProof/>
              </w:rPr>
              <w:t>Noua Lege privind navigația interioară și porturile permite, atunci când este necesar pentru a asigura siguranța navigației, identificarea riscurilor specifice în (anumite părți ale) sectoarelor căilor navigabile interioare din Croația.</w:t>
            </w:r>
          </w:p>
        </w:tc>
      </w:tr>
      <w:tr w:rsidR="00FA7C11" w14:paraId="3CE62172"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33424B7" w14:textId="77777777" w:rsidR="00FA7C11" w:rsidRDefault="00D84965">
            <w:pPr>
              <w:pStyle w:val="P68B1DB1-Normal66"/>
              <w:spacing w:after="200" w:line="276" w:lineRule="auto"/>
              <w:jc w:val="center"/>
              <w:rPr>
                <w:noProof/>
              </w:rPr>
            </w:pPr>
            <w:r>
              <w:rPr>
                <w:noProof/>
              </w:rPr>
              <w:t>111</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2713E39" w14:textId="77777777" w:rsidR="00FA7C11" w:rsidRDefault="00D84965">
            <w:pPr>
              <w:pStyle w:val="P68B1DB1-Normal66"/>
              <w:spacing w:after="200" w:line="276" w:lineRule="auto"/>
              <w:jc w:val="center"/>
              <w:rPr>
                <w:noProof/>
              </w:rPr>
            </w:pPr>
            <w:r>
              <w:rPr>
                <w:noProof/>
              </w:rPr>
              <w:t>C1.4. R3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6D6CDDF5"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048BE443" w14:textId="77777777" w:rsidR="00FA7C11" w:rsidRDefault="00D84965">
            <w:pPr>
              <w:pStyle w:val="P68B1DB1-Normal66"/>
              <w:spacing w:after="200" w:line="276" w:lineRule="auto"/>
              <w:rPr>
                <w:noProof/>
              </w:rPr>
            </w:pPr>
            <w:r>
              <w:rPr>
                <w:noProof/>
              </w:rPr>
              <w:t>Noua Lege privind domeniul maritim și porturile maritime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05C09351" w14:textId="77777777" w:rsidR="00FA7C11" w:rsidRDefault="00D84965">
            <w:pPr>
              <w:pStyle w:val="P68B1DB1-Normal66"/>
              <w:spacing w:after="200" w:line="276" w:lineRule="auto"/>
              <w:rPr>
                <w:noProof/>
              </w:rPr>
            </w:pPr>
            <w:r>
              <w:rPr>
                <w:noProof/>
              </w:rPr>
              <w:t>Intrarea în vigoare a noii Legi privind domeniul maritim și porturile maritime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7E04E03"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031D9CCA"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214A0BD"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C6744B6"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0C3C09F" w14:textId="77777777" w:rsidR="00FA7C11" w:rsidRDefault="00D84965">
            <w:pPr>
              <w:pStyle w:val="P68B1DB1-Normal66"/>
              <w:spacing w:after="200" w:line="276" w:lineRule="auto"/>
              <w:jc w:val="center"/>
              <w:rPr>
                <w:noProof/>
              </w:rPr>
            </w:pPr>
            <w:r>
              <w:rPr>
                <w:noProof/>
              </w:rPr>
              <w:t>2022</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20C1910B" w14:textId="77777777" w:rsidR="00FA7C11" w:rsidRDefault="00D84965">
            <w:pPr>
              <w:pStyle w:val="P68B1DB1-Normal66"/>
              <w:spacing w:after="200" w:line="276" w:lineRule="auto"/>
              <w:rPr>
                <w:noProof/>
              </w:rPr>
            </w:pPr>
            <w:r>
              <w:rPr>
                <w:noProof/>
              </w:rPr>
              <w:t>Noua Lege privind domeniul maritim și porturile maritime reorganizează structura sistemului portuar deschis traficului public, care urmărește să asigure uniformitatea punerii în aplicare a obligațiilor legale de exploatare a porturilor publice și să raționalizeze costurile de gestionare.</w:t>
            </w:r>
          </w:p>
        </w:tc>
      </w:tr>
      <w:tr w:rsidR="00FA7C11" w14:paraId="21D9AE7F"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639DF312" w14:textId="77777777" w:rsidR="00FA7C11" w:rsidRDefault="00D84965">
            <w:pPr>
              <w:pStyle w:val="P68B1DB1-Normal66"/>
              <w:spacing w:after="200" w:line="276" w:lineRule="auto"/>
              <w:jc w:val="center"/>
              <w:rPr>
                <w:noProof/>
              </w:rPr>
            </w:pPr>
            <w:r>
              <w:rPr>
                <w:noProof/>
              </w:rPr>
              <w:t>112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D82DF84" w14:textId="77777777" w:rsidR="00FA7C11" w:rsidRDefault="00D84965">
            <w:pPr>
              <w:pStyle w:val="P68B1DB1-Normal66"/>
              <w:spacing w:after="200" w:line="276" w:lineRule="auto"/>
              <w:jc w:val="center"/>
              <w:rPr>
                <w:noProof/>
              </w:rPr>
            </w:pPr>
            <w:r>
              <w:rPr>
                <w:noProof/>
              </w:rPr>
              <w:t>C1.4. R3-I1</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60C5ACF5" w14:textId="77777777" w:rsidR="00FA7C11" w:rsidRDefault="00D84965">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1A892353" w14:textId="1A2D5DEE" w:rsidR="00FA7C11" w:rsidRDefault="00D84965">
            <w:pPr>
              <w:pStyle w:val="P68B1DB1-Normal66"/>
              <w:spacing w:after="200" w:line="276" w:lineRule="auto"/>
              <w:rPr>
                <w:noProof/>
              </w:rPr>
            </w:pPr>
            <w:r>
              <w:rPr>
                <w:noProof/>
              </w:rPr>
              <w:t xml:space="preserve">Terminal nou pentru pasageri în Portul Municipal Split </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1A1CE558" w14:textId="77777777" w:rsidR="00FA7C11" w:rsidRDefault="00D84965">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19731AA" w14:textId="77777777" w:rsidR="00FA7C11" w:rsidRDefault="00D84965">
            <w:pPr>
              <w:pStyle w:val="P68B1DB1-Normal66"/>
              <w:spacing w:after="200" w:line="276" w:lineRule="auto"/>
              <w:jc w:val="center"/>
              <w:rPr>
                <w:noProof/>
              </w:rPr>
            </w:pPr>
            <w:r>
              <w:rPr>
                <w:noProof/>
              </w:rPr>
              <w:t>Număr</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005938A7"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79DF15BD" w14:textId="77777777" w:rsidR="00FA7C11" w:rsidRDefault="00D84965">
            <w:pPr>
              <w:pStyle w:val="P68B1DB1-Normal66"/>
              <w:spacing w:after="200" w:line="276" w:lineRule="auto"/>
              <w:jc w:val="center"/>
              <w:rPr>
                <w:noProof/>
              </w:rPr>
            </w:pPr>
            <w:r>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E51E0E7"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62E0611" w14:textId="77777777" w:rsidR="00FA7C11" w:rsidRDefault="00D84965">
            <w:pPr>
              <w:pStyle w:val="P68B1DB1-Normal66"/>
              <w:spacing w:after="200" w:line="276" w:lineRule="auto"/>
              <w:jc w:val="center"/>
              <w:rPr>
                <w:noProof/>
              </w:rPr>
            </w:pPr>
            <w:r>
              <w:rPr>
                <w:noProof/>
              </w:rPr>
              <w:t>2025</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4EAB6F4D" w14:textId="1941C691" w:rsidR="00FA7C11" w:rsidRDefault="00D84965">
            <w:pPr>
              <w:pStyle w:val="P68B1DB1-Normal66"/>
              <w:spacing w:after="200" w:line="276" w:lineRule="auto"/>
              <w:rPr>
                <w:noProof/>
              </w:rPr>
            </w:pPr>
            <w:r>
              <w:rPr>
                <w:noProof/>
              </w:rPr>
              <w:t xml:space="preserve">Se construiește un nou terminal pentru pasageri în Portul Municipal Split. </w:t>
            </w:r>
          </w:p>
        </w:tc>
      </w:tr>
      <w:tr w:rsidR="00FA7C11" w14:paraId="2D953B92"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7080997" w14:textId="77777777" w:rsidR="00FA7C11" w:rsidRDefault="00D84965">
            <w:pPr>
              <w:pStyle w:val="P68B1DB1-Normal66"/>
              <w:spacing w:after="200" w:line="276" w:lineRule="auto"/>
              <w:jc w:val="center"/>
              <w:rPr>
                <w:noProof/>
              </w:rPr>
            </w:pPr>
            <w:r>
              <w:rPr>
                <w:noProof/>
              </w:rPr>
              <w:t>114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A64BC53" w14:textId="77777777" w:rsidR="00FA7C11" w:rsidRDefault="00D84965">
            <w:pPr>
              <w:pStyle w:val="P68B1DB1-Normal66"/>
              <w:spacing w:after="200" w:line="276" w:lineRule="auto"/>
              <w:jc w:val="center"/>
              <w:rPr>
                <w:noProof/>
              </w:rPr>
            </w:pPr>
            <w:r>
              <w:rPr>
                <w:noProof/>
              </w:rPr>
              <w:t>C1.4. R3-I3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15998729" w14:textId="77777777" w:rsidR="00FA7C11" w:rsidRDefault="00D84965">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3DE2DC8D" w14:textId="77777777" w:rsidR="00FA7C11" w:rsidRDefault="00D84965">
            <w:pPr>
              <w:pStyle w:val="P68B1DB1-Normal66"/>
              <w:spacing w:after="200" w:line="276" w:lineRule="auto"/>
              <w:rPr>
                <w:noProof/>
              </w:rPr>
            </w:pPr>
            <w:r>
              <w:rPr>
                <w:noProof/>
              </w:rPr>
              <w:t>Nou feribot prin cablu „Križnica”, operațional pe râul Drava, în municipalitatea Pitomača</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333F0F4" w14:textId="77777777" w:rsidR="00FA7C11" w:rsidRDefault="00D84965">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AAF916A" w14:textId="77777777" w:rsidR="00FA7C11" w:rsidRDefault="00D84965">
            <w:pPr>
              <w:pStyle w:val="P68B1DB1-Normal66"/>
              <w:spacing w:after="200" w:line="276" w:lineRule="auto"/>
              <w:jc w:val="center"/>
              <w:rPr>
                <w:noProof/>
              </w:rPr>
            </w:pPr>
            <w:r>
              <w:rPr>
                <w:noProof/>
              </w:rPr>
              <w:t xml:space="preserve">Număr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C6A6200"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183E99AE" w14:textId="77777777" w:rsidR="00FA7C11" w:rsidRDefault="00D84965">
            <w:pPr>
              <w:pStyle w:val="P68B1DB1-Normal66"/>
              <w:spacing w:after="200" w:line="276" w:lineRule="auto"/>
              <w:jc w:val="center"/>
              <w:rPr>
                <w:noProof/>
              </w:rPr>
            </w:pPr>
            <w:r>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49A6F78"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3B31E78" w14:textId="77777777" w:rsidR="00FA7C11" w:rsidRDefault="00D84965">
            <w:pPr>
              <w:pStyle w:val="P68B1DB1-Normal66"/>
              <w:spacing w:after="200" w:line="276" w:lineRule="auto"/>
              <w:jc w:val="center"/>
              <w:rPr>
                <w:noProof/>
              </w:rPr>
            </w:pPr>
            <w:r>
              <w:rPr>
                <w:noProof/>
              </w:rPr>
              <w:t>2022</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29A4AD33" w14:textId="77777777" w:rsidR="00FA7C11" w:rsidRDefault="00D84965">
            <w:pPr>
              <w:pStyle w:val="P68B1DB1-Normal66"/>
              <w:spacing w:after="200" w:line="276" w:lineRule="auto"/>
              <w:rPr>
                <w:noProof/>
              </w:rPr>
            </w:pPr>
            <w:r>
              <w:rPr>
                <w:noProof/>
              </w:rPr>
              <w:t xml:space="preserve">Această investiție va avea ca rezultat construirea unui feribot electric alimentat cu energie solară care să conecteze continentul la insula Križnica și care să funcționeze cu aprobarea Registrului Naval Croat. </w:t>
            </w:r>
          </w:p>
        </w:tc>
      </w:tr>
      <w:tr w:rsidR="00FA7C11" w14:paraId="0AAB01F5"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B59E036" w14:textId="77777777" w:rsidR="00FA7C11" w:rsidRDefault="00D84965">
            <w:pPr>
              <w:pStyle w:val="P68B1DB1-Normal66"/>
              <w:spacing w:after="200" w:line="276" w:lineRule="auto"/>
              <w:jc w:val="center"/>
              <w:rPr>
                <w:noProof/>
              </w:rPr>
            </w:pPr>
            <w:r>
              <w:rPr>
                <w:noProof/>
              </w:rPr>
              <w:t>117</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1FB73D9" w14:textId="77777777" w:rsidR="00FA7C11" w:rsidRDefault="00D84965">
            <w:pPr>
              <w:pStyle w:val="P68B1DB1-Normal66"/>
              <w:spacing w:after="200" w:line="276" w:lineRule="auto"/>
              <w:jc w:val="center"/>
              <w:rPr>
                <w:noProof/>
              </w:rPr>
            </w:pPr>
            <w:r>
              <w:rPr>
                <w:noProof/>
              </w:rPr>
              <w:t>C1.4. R4-I2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66982BF7" w14:textId="77777777" w:rsidR="00FA7C11" w:rsidRDefault="00D84965">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76DB7E4A" w14:textId="77777777" w:rsidR="00FA7C11" w:rsidRDefault="00D84965">
            <w:pPr>
              <w:pStyle w:val="P68B1DB1-Normal66"/>
              <w:spacing w:after="200" w:line="276" w:lineRule="auto"/>
              <w:rPr>
                <w:noProof/>
              </w:rPr>
            </w:pPr>
            <w:r>
              <w:rPr>
                <w:noProof/>
              </w:rPr>
              <w:t>30 de tramvaie noi livrate pentru transportul public</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D88DBBC" w14:textId="77777777" w:rsidR="00FA7C11" w:rsidRDefault="00D84965">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662A911" w14:textId="77777777" w:rsidR="00FA7C11" w:rsidRDefault="00D84965">
            <w:pPr>
              <w:pStyle w:val="P68B1DB1-Normal66"/>
              <w:spacing w:after="200" w:line="276" w:lineRule="auto"/>
              <w:jc w:val="center"/>
              <w:rPr>
                <w:noProof/>
              </w:rPr>
            </w:pPr>
            <w:r>
              <w:rPr>
                <w:noProof/>
              </w:rPr>
              <w:t>Număr</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1FCCEFC"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A9D8346" w14:textId="77777777" w:rsidR="00FA7C11" w:rsidRDefault="00D84965">
            <w:pPr>
              <w:pStyle w:val="P68B1DB1-Normal66"/>
              <w:spacing w:after="200" w:line="276" w:lineRule="auto"/>
              <w:jc w:val="center"/>
              <w:rPr>
                <w:noProof/>
              </w:rPr>
            </w:pPr>
            <w:r>
              <w:rPr>
                <w:noProof/>
              </w:rPr>
              <w:t>30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7C1D34B"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1D3CD4C" w14:textId="77777777" w:rsidR="00FA7C11" w:rsidRDefault="00D84965">
            <w:pPr>
              <w:pStyle w:val="P68B1DB1-Normal66"/>
              <w:spacing w:after="200" w:line="276" w:lineRule="auto"/>
              <w:jc w:val="center"/>
              <w:rPr>
                <w:noProof/>
              </w:rPr>
            </w:pPr>
            <w:r>
              <w:rPr>
                <w:noProof/>
              </w:rPr>
              <w:t>2025</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7577A968" w14:textId="77777777" w:rsidR="00FA7C11" w:rsidRDefault="00D84965">
            <w:pPr>
              <w:pStyle w:val="P68B1DB1-Normal66"/>
              <w:spacing w:after="200" w:line="276" w:lineRule="auto"/>
              <w:rPr>
                <w:noProof/>
              </w:rPr>
            </w:pPr>
            <w:r>
              <w:rPr>
                <w:noProof/>
              </w:rPr>
              <w:t xml:space="preserve">Se livrează 30 de tramvaie noi. </w:t>
            </w:r>
          </w:p>
        </w:tc>
      </w:tr>
      <w:tr w:rsidR="00FA7C11" w14:paraId="6B001C63"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D76BB31" w14:textId="77777777" w:rsidR="00FA7C11" w:rsidRDefault="00D84965">
            <w:pPr>
              <w:pStyle w:val="P68B1DB1-Normal66"/>
              <w:spacing w:after="200" w:line="276" w:lineRule="auto"/>
              <w:jc w:val="center"/>
              <w:rPr>
                <w:noProof/>
              </w:rPr>
            </w:pPr>
            <w:r>
              <w:rPr>
                <w:noProof/>
              </w:rPr>
              <w:t>118</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EF82091" w14:textId="77777777" w:rsidR="00FA7C11" w:rsidRDefault="00D84965">
            <w:pPr>
              <w:pStyle w:val="P68B1DB1-Normal66"/>
              <w:spacing w:after="200" w:line="276" w:lineRule="auto"/>
              <w:jc w:val="center"/>
              <w:rPr>
                <w:noProof/>
              </w:rPr>
            </w:pPr>
            <w:r>
              <w:rPr>
                <w:noProof/>
              </w:rPr>
              <w:t>C1.4. R5-I1</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00062562" w14:textId="77777777" w:rsidR="00FA7C11" w:rsidRDefault="00D84965">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06D4D7C1" w14:textId="77777777" w:rsidR="00FA7C11" w:rsidRDefault="00D84965">
            <w:pPr>
              <w:pStyle w:val="P68B1DB1-Normal66"/>
              <w:spacing w:after="200" w:line="276" w:lineRule="auto"/>
              <w:rPr>
                <w:noProof/>
              </w:rPr>
            </w:pPr>
            <w:r>
              <w:rPr>
                <w:noProof/>
              </w:rPr>
              <w:t>Electrificarea și ecologizarea serviciilor de handling la sol pentru aeronave pe aeroportul din Zadar</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E65AE9A" w14:textId="77777777" w:rsidR="00FA7C11" w:rsidRDefault="00D84965">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DE826E1" w14:textId="77777777" w:rsidR="00FA7C11" w:rsidRDefault="00D84965">
            <w:pPr>
              <w:pStyle w:val="P68B1DB1-Normal66"/>
              <w:spacing w:after="200" w:line="276" w:lineRule="auto"/>
              <w:jc w:val="center"/>
              <w:rPr>
                <w:noProof/>
              </w:rPr>
            </w:pPr>
            <w:r>
              <w:rPr>
                <w:noProof/>
              </w:rPr>
              <w:t>Număr</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1E283A57"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852E2B7" w14:textId="77777777" w:rsidR="00FA7C11" w:rsidRDefault="00D84965">
            <w:pPr>
              <w:pStyle w:val="P68B1DB1-Normal66"/>
              <w:spacing w:after="200" w:line="276" w:lineRule="auto"/>
              <w:jc w:val="center"/>
              <w:rPr>
                <w:noProof/>
              </w:rPr>
            </w:pPr>
            <w:r>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ED0486A"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7704B7" w14:textId="77777777" w:rsidR="00FA7C11" w:rsidRDefault="00D84965">
            <w:pPr>
              <w:pStyle w:val="P68B1DB1-Normal66"/>
              <w:spacing w:after="200" w:line="276" w:lineRule="auto"/>
              <w:jc w:val="center"/>
              <w:rPr>
                <w:noProof/>
              </w:rPr>
            </w:pPr>
            <w:r>
              <w:rPr>
                <w:noProof/>
              </w:rPr>
              <w:t>2024</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3BFCC436" w14:textId="77777777" w:rsidR="00FA7C11" w:rsidRDefault="00D84965">
            <w:pPr>
              <w:pStyle w:val="P68B1DB1-Normal66"/>
              <w:spacing w:after="200" w:line="276" w:lineRule="auto"/>
              <w:rPr>
                <w:noProof/>
              </w:rPr>
            </w:pPr>
            <w:r>
              <w:rPr>
                <w:noProof/>
              </w:rPr>
              <w:t xml:space="preserve">Electrificarea și ecologizarea serviciilor de handling la sol ale aeronavelor, care includ: (I) instalarea de conexiuni fixe pentru alimentarea cu energie electrică a aeronavelor staționare, cu adaptările necesare în materie de proiectare și siguranță (fără creșterea capacității platformei); (II) înlocuirea echipamentelor mobile de handling la sol alimentate cu motorină cu unități alimentate cu energie electrică; și (iii) construirea unei centrale fotovoltaice de 610 kW și conectarea acesteia la sistemul fix de alimentare cu energie electrică și la stațiile de încărcare pentru echipamentele mobile de handling la sol alimentate cu energie electrică. </w:t>
            </w:r>
            <w:r>
              <w:rPr>
                <w:noProof/>
              </w:rPr>
              <w:br/>
              <w:t>Se preconizează că această măsură nu prejudiciază în mod semnificativ obiectivele de mediu în sensul articolul 17 din Regulamentul (UE) 2020/852, ținând seama de descrierea măsurii și de etapele de atenuare prevăzute în planul de redresare și reziliență în conformitate cu Orientările tehnice DNSH (2021/C58/01). În special, proiectul trebuie pus în aplicare fără creșterea capacității platformei, iar echipamentele mobile de handling la sol alimentate cu motorină trebuie înlocuite cu unități alimentate cu energie electrică. Se furnizează dovezi că proiectul nu are un efect semnificativ asupra integrității siturilor Natura 2 000 în cauză.</w:t>
            </w:r>
          </w:p>
        </w:tc>
      </w:tr>
      <w:tr w:rsidR="00FA7C11" w14:paraId="24560EEB"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E4DFAD2" w14:textId="77777777" w:rsidR="00FA7C11" w:rsidRDefault="00D84965">
            <w:pPr>
              <w:pStyle w:val="P68B1DB1-Normal66"/>
              <w:spacing w:after="200" w:line="276" w:lineRule="auto"/>
              <w:jc w:val="center"/>
              <w:rPr>
                <w:noProof/>
              </w:rPr>
            </w:pPr>
            <w:r>
              <w:rPr>
                <w:noProof/>
              </w:rPr>
              <w:t>119</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09C4A0C" w14:textId="77777777" w:rsidR="00FA7C11" w:rsidRDefault="00D84965">
            <w:pPr>
              <w:pStyle w:val="P68B1DB1-Normal66"/>
              <w:spacing w:after="200" w:line="276" w:lineRule="auto"/>
              <w:jc w:val="center"/>
              <w:rPr>
                <w:noProof/>
              </w:rPr>
            </w:pPr>
            <w:r>
              <w:rPr>
                <w:noProof/>
              </w:rPr>
              <w:t>C1.4. R5-I2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56D1564C" w14:textId="77777777" w:rsidR="00FA7C11" w:rsidRDefault="00D84965">
            <w:pPr>
              <w:pStyle w:val="P68B1DB1-Normal66"/>
              <w:spacing w:after="200" w:line="276" w:lineRule="auto"/>
              <w:jc w:val="center"/>
              <w:rPr>
                <w:noProof/>
              </w:rPr>
            </w:pPr>
            <w:r>
              <w:rPr>
                <w:noProof/>
              </w:rPr>
              <w:t>T</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37E87455" w14:textId="77777777" w:rsidR="00FA7C11" w:rsidRDefault="00D84965">
            <w:pPr>
              <w:pStyle w:val="P68B1DB1-Normal66"/>
              <w:spacing w:after="200" w:line="276" w:lineRule="auto"/>
              <w:rPr>
                <w:noProof/>
              </w:rPr>
            </w:pPr>
            <w:r>
              <w:rPr>
                <w:noProof/>
              </w:rPr>
              <w:t>Prototipuri de verificare a vehiculelor complet autonome și electrice și încercări relevante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6BC3A8BC" w14:textId="77777777" w:rsidR="00FA7C11" w:rsidRDefault="00D84965">
            <w:pPr>
              <w:pStyle w:val="P68B1DB1-Normal66"/>
              <w:spacing w:after="200" w:line="276" w:lineRule="auto"/>
              <w:rPr>
                <w:noProof/>
              </w:rPr>
            </w:pPr>
            <w:r>
              <w:rPr>
                <w:noProof/>
              </w:rPr>
              <w:t>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C2D158E" w14:textId="77777777" w:rsidR="00FA7C11" w:rsidRDefault="00D84965">
            <w:pPr>
              <w:pStyle w:val="P68B1DB1-Normal66"/>
              <w:spacing w:after="200" w:line="276" w:lineRule="auto"/>
              <w:jc w:val="center"/>
              <w:rPr>
                <w:noProof/>
              </w:rPr>
            </w:pPr>
            <w:r>
              <w:rPr>
                <w:noProof/>
              </w:rPr>
              <w:t>Număr</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78A0B9BB"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9023045" w14:textId="77777777" w:rsidR="00FA7C11" w:rsidRDefault="00D84965">
            <w:pPr>
              <w:pStyle w:val="P68B1DB1-Normal66"/>
              <w:spacing w:after="200" w:line="276" w:lineRule="auto"/>
              <w:jc w:val="center"/>
              <w:rPr>
                <w:noProof/>
              </w:rPr>
            </w:pPr>
            <w:r>
              <w:rPr>
                <w:noProof/>
              </w:rPr>
              <w:t>60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402B249" w14:textId="77777777" w:rsidR="00FA7C11" w:rsidRDefault="00D84965">
            <w:pPr>
              <w:pStyle w:val="P68B1DB1-Normal66"/>
              <w:spacing w:after="200" w:line="276" w:lineRule="auto"/>
              <w:jc w:val="center"/>
              <w:rPr>
                <w:noProof/>
              </w:rPr>
            </w:pPr>
            <w:r>
              <w:rPr>
                <w:noProof/>
              </w:rPr>
              <w:t>Î1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67E97F4" w14:textId="77777777" w:rsidR="00FA7C11" w:rsidRDefault="00D84965">
            <w:pPr>
              <w:pStyle w:val="P68B1DB1-Normal66"/>
              <w:spacing w:after="200" w:line="276" w:lineRule="auto"/>
              <w:jc w:val="center"/>
              <w:rPr>
                <w:noProof/>
              </w:rPr>
            </w:pPr>
            <w:r>
              <w:rPr>
                <w:noProof/>
              </w:rPr>
              <w:t>2025</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619821D0" w14:textId="77777777" w:rsidR="00FA7C11" w:rsidRDefault="00D84965">
            <w:pPr>
              <w:pStyle w:val="P68B1DB1-Normal66"/>
              <w:spacing w:after="200" w:line="276" w:lineRule="auto"/>
              <w:rPr>
                <w:noProof/>
              </w:rPr>
            </w:pPr>
            <w:r>
              <w:rPr>
                <w:noProof/>
              </w:rPr>
              <w:t>Se produc și se testează prototipuri de verificare și se testează sisteme de conducere autonomă.</w:t>
            </w:r>
          </w:p>
        </w:tc>
      </w:tr>
      <w:tr w:rsidR="00FA7C11" w14:paraId="168BAF63"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487057F" w14:textId="77777777" w:rsidR="00FA7C11" w:rsidRDefault="00D84965">
            <w:pPr>
              <w:pStyle w:val="P68B1DB1-Normal66"/>
              <w:spacing w:after="200" w:line="276" w:lineRule="auto"/>
              <w:jc w:val="center"/>
              <w:rPr>
                <w:noProof/>
              </w:rPr>
            </w:pPr>
            <w:r>
              <w:rPr>
                <w:noProof/>
              </w:rPr>
              <w:t>120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AEA8E7D" w14:textId="77777777" w:rsidR="00FA7C11" w:rsidRDefault="00D84965">
            <w:pPr>
              <w:pStyle w:val="P68B1DB1-Normal66"/>
              <w:spacing w:after="200" w:line="276" w:lineRule="auto"/>
              <w:jc w:val="center"/>
              <w:rPr>
                <w:noProof/>
              </w:rPr>
            </w:pPr>
            <w:r>
              <w:rPr>
                <w:noProof/>
              </w:rPr>
              <w:t>C1.4. R5-I2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3369117A"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60D03469" w14:textId="77777777" w:rsidR="00FA7C11" w:rsidRDefault="00D84965">
            <w:pPr>
              <w:pStyle w:val="P68B1DB1-Normal66"/>
              <w:spacing w:after="200" w:line="276" w:lineRule="auto"/>
              <w:rPr>
                <w:noProof/>
              </w:rPr>
            </w:pPr>
            <w:r>
              <w:rPr>
                <w:noProof/>
              </w:rPr>
              <w:t>Noua legislație privind conducerea autonomă</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E7777BD" w14:textId="77777777" w:rsidR="00FA7C11" w:rsidRDefault="00D84965">
            <w:pPr>
              <w:pStyle w:val="P68B1DB1-Normal66"/>
              <w:spacing w:after="200" w:line="276" w:lineRule="auto"/>
              <w:rPr>
                <w:noProof/>
              </w:rPr>
            </w:pPr>
            <w:r>
              <w:rPr>
                <w:noProof/>
              </w:rPr>
              <w:t>Intrarea în vigoare a noii legislații privind conducerea autonomă</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8394E19"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0975F704"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D921771"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89A0C5D" w14:textId="77777777" w:rsidR="00FA7C11" w:rsidRDefault="00D84965">
            <w:pPr>
              <w:pStyle w:val="P68B1DB1-Normal66"/>
              <w:spacing w:after="200" w:line="276" w:lineRule="auto"/>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8D91C1D" w14:textId="77777777" w:rsidR="00FA7C11" w:rsidRDefault="00D84965">
            <w:pPr>
              <w:pStyle w:val="P68B1DB1-Normal66"/>
              <w:spacing w:after="200" w:line="276" w:lineRule="auto"/>
              <w:jc w:val="center"/>
              <w:rPr>
                <w:noProof/>
              </w:rPr>
            </w:pPr>
            <w:r>
              <w:rPr>
                <w:noProof/>
              </w:rPr>
              <w:t>2024</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0C182D3A" w14:textId="77777777" w:rsidR="00FA7C11" w:rsidRDefault="00D84965">
            <w:pPr>
              <w:pStyle w:val="P68B1DB1-Normal66"/>
              <w:spacing w:after="200" w:line="276" w:lineRule="auto"/>
              <w:rPr>
                <w:noProof/>
              </w:rPr>
            </w:pPr>
            <w:r>
              <w:rPr>
                <w:noProof/>
              </w:rPr>
              <w:t xml:space="preserve">Noua legislație privind conducerea autonomă acoperă, printre altele, următoarele: </w:t>
            </w:r>
            <w:r>
              <w:rPr>
                <w:noProof/>
              </w:rPr>
              <w:br/>
              <w:t>Elaborarea unei proceduri naționale de testare pentru conducerea autonomă;</w:t>
            </w:r>
            <w:r>
              <w:rPr>
                <w:noProof/>
              </w:rPr>
              <w:br/>
              <w:t>Adaptarea legislației naționale privind siguranța rutieră pentru a permite circulația vehiculelor autonome;</w:t>
            </w:r>
            <w:r>
              <w:rPr>
                <w:noProof/>
              </w:rPr>
              <w:br/>
              <w:t>Adaptarea normelor naționale de omologare de tip a vehiculelor;</w:t>
            </w:r>
            <w:r>
              <w:rPr>
                <w:noProof/>
              </w:rPr>
              <w:br/>
              <w:t>Adaptarea normelor de siguranță a călătorilor din transportul rutier pentru a permite transportul pasagerilor cu vehicule autonome;</w:t>
            </w:r>
            <w:r>
              <w:rPr>
                <w:noProof/>
              </w:rPr>
              <w:br/>
              <w:t>Adaptarea legislației naționale în materie de asigurări pentru a permite asigurarea vehiculelor și a serviciilor autonome.</w:t>
            </w:r>
          </w:p>
        </w:tc>
      </w:tr>
      <w:tr w:rsidR="00FA7C11" w14:paraId="67EB6ED9"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7D42DFA" w14:textId="77777777" w:rsidR="00FA7C11" w:rsidRDefault="00D84965">
            <w:pPr>
              <w:pStyle w:val="P68B1DB1-Normal66"/>
              <w:spacing w:after="200" w:line="276" w:lineRule="auto"/>
              <w:jc w:val="center"/>
              <w:rPr>
                <w:noProof/>
              </w:rPr>
            </w:pPr>
            <w:r>
              <w:rPr>
                <w:noProof/>
              </w:rPr>
              <w:t>122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F48E75" w14:textId="77777777" w:rsidR="00FA7C11" w:rsidRDefault="00D84965">
            <w:pPr>
              <w:pStyle w:val="P68B1DB1-Normal66"/>
              <w:spacing w:after="200" w:line="276" w:lineRule="auto"/>
              <w:jc w:val="center"/>
              <w:rPr>
                <w:noProof/>
              </w:rPr>
            </w:pPr>
            <w:r>
              <w:rPr>
                <w:noProof/>
              </w:rPr>
              <w:t>C1.4. R5-I2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4E0A1903"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746E6154" w14:textId="77777777" w:rsidR="00FA7C11" w:rsidRDefault="00D84965">
            <w:pPr>
              <w:pStyle w:val="P68B1DB1-Normal66"/>
              <w:spacing w:after="200" w:line="276" w:lineRule="auto"/>
              <w:rPr>
                <w:noProof/>
              </w:rPr>
            </w:pPr>
            <w:r>
              <w:rPr>
                <w:noProof/>
              </w:rPr>
              <w:t xml:space="preserve">Un nou serviciu de transport urban al vehiculelor complet autonome și electrice, adaptat la nevoile pasagerilor cu handicap și o infrastructură specializată </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998BA2B" w14:textId="77777777" w:rsidR="00FA7C11" w:rsidRDefault="00D84965">
            <w:pPr>
              <w:pStyle w:val="P68B1DB1-Normal66"/>
              <w:spacing w:after="200" w:line="276" w:lineRule="auto"/>
              <w:rPr>
                <w:noProof/>
              </w:rPr>
            </w:pPr>
            <w:r>
              <w:rPr>
                <w:noProof/>
              </w:rPr>
              <w:t>Vehicule complet autonome și electrice adaptate nevoilor pasagerilor cu handicap produși și o infrastructură specializată care funcționează cu toate funcționalitățile instalate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32AD7C5" w14:textId="77777777" w:rsidR="00FA7C11" w:rsidRDefault="00D84965">
            <w:pPr>
              <w:pStyle w:val="P68B1DB1-Normal66"/>
              <w:spacing w:after="200" w:line="276" w:lineRule="auto"/>
              <w:jc w:val="center"/>
              <w:rPr>
                <w:noProof/>
              </w:rPr>
            </w:pPr>
            <w:r>
              <w:rPr>
                <w:noProof/>
              </w:rPr>
              <w:t> </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1DA4535F"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41F1CD6"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8A2067F" w14:textId="77777777" w:rsidR="00FA7C11" w:rsidRDefault="00D84965">
            <w:pPr>
              <w:pStyle w:val="P68B1DB1-Normal66"/>
              <w:spacing w:after="200" w:line="276" w:lineRule="auto"/>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AE01E49" w14:textId="77777777" w:rsidR="00FA7C11" w:rsidRDefault="00D84965">
            <w:pPr>
              <w:pStyle w:val="P68B1DB1-Normal66"/>
              <w:spacing w:after="200" w:line="276" w:lineRule="auto"/>
              <w:jc w:val="center"/>
              <w:rPr>
                <w:noProof/>
              </w:rPr>
            </w:pPr>
            <w:r>
              <w:rPr>
                <w:noProof/>
              </w:rPr>
              <w:t>2025</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02F6C2F2" w14:textId="77777777" w:rsidR="00FA7C11" w:rsidRDefault="00D84965">
            <w:pPr>
              <w:pStyle w:val="P68B1DB1-Normal66"/>
              <w:spacing w:after="0" w:line="276" w:lineRule="auto"/>
              <w:rPr>
                <w:noProof/>
              </w:rPr>
            </w:pPr>
            <w:r>
              <w:rPr>
                <w:noProof/>
              </w:rPr>
              <w:t xml:space="preserve">Un nou serviciu de transport urban care constă în: </w:t>
            </w:r>
          </w:p>
          <w:p w14:paraId="4FA16B18" w14:textId="77777777" w:rsidR="00FA7C11" w:rsidRDefault="00D84965">
            <w:pPr>
              <w:pStyle w:val="P68B1DB1-ListParagraph78"/>
              <w:numPr>
                <w:ilvl w:val="0"/>
                <w:numId w:val="52"/>
              </w:numPr>
              <w:spacing w:before="120" w:after="0" w:line="276" w:lineRule="auto"/>
              <w:rPr>
                <w:noProof/>
              </w:rPr>
            </w:pPr>
            <w:r>
              <w:rPr>
                <w:noProof/>
              </w:rPr>
              <w:t xml:space="preserve">un parc de vehicule electrice complet autonome, capabile să îndeplinească toate funcțiile de conducere dinamică fără asistență din partea conducătorului auto cu ajutorul inteligenței artificiale; </w:t>
            </w:r>
          </w:p>
          <w:p w14:paraId="7E9665DD" w14:textId="3229D8C9" w:rsidR="00FA7C11" w:rsidRDefault="00D84965">
            <w:pPr>
              <w:pStyle w:val="P68B1DB1-ListParagraph78"/>
              <w:numPr>
                <w:ilvl w:val="0"/>
                <w:numId w:val="52"/>
              </w:numPr>
              <w:spacing w:before="120" w:after="0" w:line="276" w:lineRule="auto"/>
              <w:rPr>
                <w:noProof/>
              </w:rPr>
            </w:pPr>
            <w:r>
              <w:rPr>
                <w:noProof/>
              </w:rPr>
              <w:t>dezvoltarea și construirea unei infrastructuri specializate pentru parcul de vehicule autonome și electrice integrate în transportul public urban și</w:t>
            </w:r>
          </w:p>
          <w:p w14:paraId="6ACEC093" w14:textId="77777777" w:rsidR="00FA7C11" w:rsidRDefault="00D84965">
            <w:pPr>
              <w:pStyle w:val="P68B1DB1-ListParagraph78"/>
              <w:numPr>
                <w:ilvl w:val="0"/>
                <w:numId w:val="52"/>
              </w:numPr>
              <w:spacing w:before="120" w:after="0" w:line="276" w:lineRule="auto"/>
              <w:rPr>
                <w:noProof/>
              </w:rPr>
            </w:pPr>
            <w:r>
              <w:rPr>
                <w:noProof/>
              </w:rPr>
              <w:t>dezvoltarea unei platforme software pentru operarea sistemului complet;</w:t>
            </w:r>
          </w:p>
          <w:p w14:paraId="18BEB9D2" w14:textId="77777777" w:rsidR="00FA7C11" w:rsidRDefault="00D84965">
            <w:pPr>
              <w:pStyle w:val="P68B1DB1-Normal66"/>
              <w:spacing w:after="0" w:line="276" w:lineRule="auto"/>
              <w:rPr>
                <w:noProof/>
              </w:rPr>
            </w:pPr>
            <w:r>
              <w:rPr>
                <w:noProof/>
              </w:rPr>
              <w:t>sunt funcționale, permițând funcționarea vehiculelor electrice noi complet autonome. Noul vehicul electric complet autonom trebuie adaptat la nevoile pasagerilor cu handicap prin existența unor uși glisante mari care să permită intrarea mai ușoară în vehicul și a unui compartiment de bagaje care să poată găzdui scaune cu rotile.</w:t>
            </w:r>
          </w:p>
        </w:tc>
      </w:tr>
      <w:tr w:rsidR="00FA7C11" w14:paraId="09D7FB2F"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E087890" w14:textId="77777777" w:rsidR="00FA7C11" w:rsidRDefault="00D84965">
            <w:pPr>
              <w:pStyle w:val="P68B1DB1-Normal66"/>
              <w:spacing w:after="200" w:line="276" w:lineRule="auto"/>
              <w:jc w:val="center"/>
              <w:rPr>
                <w:noProof/>
              </w:rPr>
            </w:pPr>
            <w:r>
              <w:rPr>
                <w:noProof/>
              </w:rPr>
              <w:t>123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605FE36" w14:textId="77777777" w:rsidR="00FA7C11" w:rsidRDefault="00D84965">
            <w:pPr>
              <w:pStyle w:val="P68B1DB1-Normal66"/>
              <w:spacing w:after="200" w:line="276" w:lineRule="auto"/>
              <w:jc w:val="center"/>
              <w:rPr>
                <w:noProof/>
              </w:rPr>
            </w:pPr>
            <w:r>
              <w:rPr>
                <w:noProof/>
              </w:rPr>
              <w:t>C1.4. R5-I2</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1EF6258D"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640B5415" w14:textId="77777777" w:rsidR="00FA7C11" w:rsidRDefault="00D84965">
            <w:pPr>
              <w:pStyle w:val="P68B1DB1-Normal66"/>
              <w:spacing w:after="200" w:line="276" w:lineRule="auto"/>
              <w:rPr>
                <w:noProof/>
              </w:rPr>
            </w:pPr>
            <w:r>
              <w:rPr>
                <w:noProof/>
              </w:rPr>
              <w:t xml:space="preserve">50 000 vouchere gratuite pentru călătoriile cu vehicule complet autonome pentru persoanele cu handicap și/sau care se confruntă cu dificultăți în utilizarea altor mijloace de transport public </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1A59CDF" w14:textId="52E43DEC" w:rsidR="00FA7C11" w:rsidRDefault="00D84965">
            <w:pPr>
              <w:pStyle w:val="P68B1DB1-Normal102"/>
              <w:spacing w:after="200" w:line="276" w:lineRule="auto"/>
              <w:rPr>
                <w:rFonts w:eastAsia="Calibri"/>
                <w:noProof/>
              </w:rPr>
            </w:pPr>
            <w:r>
              <w:rPr>
                <w:noProof/>
              </w:rPr>
              <w:t>Acord semnat cu orașul Zagreb și cu operatorul de transport public pentru emiterea a 50 000 vouchere de conducere gratuite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97FD86C" w14:textId="77777777" w:rsidR="00FA7C11" w:rsidRDefault="00FA7C11">
            <w:pPr>
              <w:spacing w:after="200" w:line="276" w:lineRule="auto"/>
              <w:jc w:val="center"/>
              <w:rPr>
                <w:rFonts w:ascii="Times New Roman" w:eastAsia="Calibri" w:hAnsi="Times New Roman" w:cs="Times New Roman"/>
                <w:noProof/>
                <w:sz w:val="20"/>
                <w:szCs w:val="20"/>
              </w:rPr>
            </w:pP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689E9706" w14:textId="77777777" w:rsidR="00FA7C11" w:rsidRDefault="00FA7C11">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714C1AF"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2571DC1" w14:textId="77777777" w:rsidR="00FA7C11" w:rsidRDefault="00D84965">
            <w:pPr>
              <w:pStyle w:val="P68B1DB1-Normal66"/>
              <w:spacing w:after="200" w:line="276" w:lineRule="auto"/>
              <w:jc w:val="center"/>
              <w:rPr>
                <w:noProof/>
              </w:rPr>
            </w:pPr>
            <w:r>
              <w:rPr>
                <w:noProof/>
              </w:rPr>
              <w:t>Î1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31D6462" w14:textId="77777777" w:rsidR="00FA7C11" w:rsidRDefault="00D84965">
            <w:pPr>
              <w:pStyle w:val="P68B1DB1-Normal66"/>
              <w:spacing w:after="200" w:line="276" w:lineRule="auto"/>
              <w:jc w:val="center"/>
              <w:rPr>
                <w:noProof/>
              </w:rPr>
            </w:pPr>
            <w:r>
              <w:rPr>
                <w:noProof/>
              </w:rPr>
              <w:t>2026</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59A0D353" w14:textId="77777777" w:rsidR="00FA7C11" w:rsidRDefault="00D84965">
            <w:pPr>
              <w:pStyle w:val="P68B1DB1-Normal66"/>
              <w:spacing w:after="200" w:line="276" w:lineRule="auto"/>
              <w:rPr>
                <w:noProof/>
              </w:rPr>
            </w:pPr>
            <w:r>
              <w:rPr>
                <w:noProof/>
              </w:rPr>
              <w:t xml:space="preserve">Se furnizează un acord semnat cu orașul Zagreb și cu operatorul de transport public pentru eliberarea a 50 000 vouchere de conducere gratuite, valabile timp de cel puțin 5 ani de la eliberare, pentru persoanele cu handicap și/sau care se confruntă cu dificultăți în utilizarea altor mijloace de transport public. </w:t>
            </w:r>
          </w:p>
        </w:tc>
      </w:tr>
      <w:tr w:rsidR="00FA7C11" w14:paraId="2F30AA8B"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DCC005B" w14:textId="77777777" w:rsidR="00FA7C11" w:rsidRDefault="00D84965">
            <w:pPr>
              <w:pStyle w:val="P68B1DB1-Normal66"/>
              <w:spacing w:after="200" w:line="276" w:lineRule="auto"/>
              <w:jc w:val="center"/>
              <w:rPr>
                <w:noProof/>
              </w:rPr>
            </w:pPr>
            <w:r>
              <w:rPr>
                <w:noProof/>
              </w:rPr>
              <w:t>124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6368B6F" w14:textId="77777777" w:rsidR="00FA7C11" w:rsidRDefault="00D84965">
            <w:pPr>
              <w:pStyle w:val="P68B1DB1-Normal66"/>
              <w:spacing w:after="200" w:line="276" w:lineRule="auto"/>
              <w:jc w:val="center"/>
              <w:rPr>
                <w:noProof/>
              </w:rPr>
            </w:pPr>
            <w:r>
              <w:rPr>
                <w:noProof/>
              </w:rPr>
              <w:t>C1.4. R5-I3</w:t>
            </w:r>
          </w:p>
        </w:tc>
        <w:tc>
          <w:tcPr>
            <w:tcW w:w="1102" w:type="dxa"/>
            <w:tcBorders>
              <w:top w:val="single" w:sz="4" w:space="0" w:color="auto"/>
              <w:left w:val="single" w:sz="4" w:space="0" w:color="auto"/>
              <w:bottom w:val="single" w:sz="4" w:space="0" w:color="auto"/>
              <w:right w:val="single" w:sz="4" w:space="0" w:color="auto"/>
            </w:tcBorders>
            <w:shd w:val="clear" w:color="auto" w:fill="C6EFCE"/>
            <w:noWrap/>
          </w:tcPr>
          <w:p w14:paraId="058FFC24" w14:textId="77777777" w:rsidR="00FA7C11" w:rsidRDefault="00D84965">
            <w:pPr>
              <w:pStyle w:val="P68B1DB1-Normal66"/>
              <w:spacing w:after="200" w:line="276" w:lineRule="auto"/>
              <w:jc w:val="center"/>
              <w:rPr>
                <w:noProof/>
              </w:rPr>
            </w:pPr>
            <w:r>
              <w:rPr>
                <w:noProof/>
              </w:rPr>
              <w:t>M</w:t>
            </w:r>
          </w:p>
        </w:tc>
        <w:tc>
          <w:tcPr>
            <w:tcW w:w="1733" w:type="dxa"/>
            <w:tcBorders>
              <w:top w:val="single" w:sz="4" w:space="0" w:color="auto"/>
              <w:left w:val="single" w:sz="4" w:space="0" w:color="auto"/>
              <w:bottom w:val="single" w:sz="4" w:space="0" w:color="auto"/>
              <w:right w:val="single" w:sz="4" w:space="0" w:color="auto"/>
            </w:tcBorders>
            <w:shd w:val="clear" w:color="auto" w:fill="C6EFCE"/>
            <w:noWrap/>
          </w:tcPr>
          <w:p w14:paraId="7FC8AA3F" w14:textId="77777777" w:rsidR="00FA7C11" w:rsidRDefault="00D84965">
            <w:pPr>
              <w:pStyle w:val="P68B1DB1-Normal66"/>
              <w:spacing w:after="200" w:line="276" w:lineRule="auto"/>
              <w:rPr>
                <w:noProof/>
              </w:rPr>
            </w:pPr>
            <w:r>
              <w:rPr>
                <w:noProof/>
              </w:rPr>
              <w:t>2 000 vehicule rutiere alimentate alternativ (electrice și/sau pe bază de hidrogen)</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038236E" w14:textId="0B6B6D8A" w:rsidR="00FA7C11" w:rsidRDefault="00D84965">
            <w:pPr>
              <w:pStyle w:val="P68B1DB1-Normal66"/>
              <w:spacing w:after="200" w:line="276" w:lineRule="auto"/>
              <w:rPr>
                <w:noProof/>
              </w:rPr>
            </w:pPr>
            <w:r>
              <w:rPr>
                <w:noProof/>
              </w:rPr>
              <w:t>2 000 vehicule rutiere cu propulsie alternativă achiziționate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14B40636" w14:textId="77777777" w:rsidR="00FA7C11" w:rsidRDefault="00FA7C11">
            <w:pPr>
              <w:spacing w:after="200" w:line="276" w:lineRule="auto"/>
              <w:jc w:val="center"/>
              <w:rPr>
                <w:rFonts w:ascii="Times New Roman" w:eastAsia="Calibri" w:hAnsi="Times New Roman" w:cs="Times New Roman"/>
                <w:noProof/>
                <w:sz w:val="20"/>
                <w:szCs w:val="20"/>
              </w:rPr>
            </w:pP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595EF186" w14:textId="77777777" w:rsidR="00FA7C11" w:rsidRDefault="00FA7C11">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A648C74"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E6D11C2" w14:textId="77777777" w:rsidR="00FA7C11" w:rsidRDefault="00D84965">
            <w:pPr>
              <w:pStyle w:val="P68B1DB1-Normal66"/>
              <w:spacing w:after="200" w:line="276" w:lineRule="auto"/>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94F3496" w14:textId="77777777" w:rsidR="00FA7C11" w:rsidRDefault="00D84965">
            <w:pPr>
              <w:pStyle w:val="P68B1DB1-Normal66"/>
              <w:spacing w:after="200" w:line="276" w:lineRule="auto"/>
              <w:jc w:val="center"/>
              <w:rPr>
                <w:noProof/>
              </w:rPr>
            </w:pPr>
            <w:r>
              <w:rPr>
                <w:noProof/>
              </w:rPr>
              <w:t>2026</w:t>
            </w:r>
          </w:p>
        </w:tc>
        <w:tc>
          <w:tcPr>
            <w:tcW w:w="5193" w:type="dxa"/>
            <w:tcBorders>
              <w:top w:val="single" w:sz="4" w:space="0" w:color="auto"/>
              <w:left w:val="single" w:sz="4" w:space="0" w:color="auto"/>
              <w:bottom w:val="single" w:sz="4" w:space="0" w:color="auto"/>
              <w:right w:val="single" w:sz="4" w:space="0" w:color="auto"/>
            </w:tcBorders>
            <w:shd w:val="clear" w:color="auto" w:fill="C6EFCE"/>
            <w:noWrap/>
          </w:tcPr>
          <w:p w14:paraId="1EA15B1A" w14:textId="0411A922" w:rsidR="00FA7C11" w:rsidRDefault="00D84965">
            <w:pPr>
              <w:pStyle w:val="P68B1DB1-Normal66"/>
              <w:spacing w:after="200" w:line="276" w:lineRule="auto"/>
              <w:rPr>
                <w:noProof/>
              </w:rPr>
            </w:pPr>
            <w:r>
              <w:rPr>
                <w:noProof/>
              </w:rPr>
              <w:t>Se furnizează dovada achiziționării a 2 000 de vehicule rutiere noi cu propulsie alternativă (electrice și/sau pe bază de hidrogen).</w:t>
            </w:r>
          </w:p>
        </w:tc>
      </w:tr>
    </w:tbl>
    <w:p w14:paraId="790B75E0" w14:textId="77777777" w:rsidR="00FA7C11" w:rsidRDefault="00FA7C11">
      <w:pPr>
        <w:spacing w:line="240" w:lineRule="auto"/>
        <w:ind w:left="709"/>
        <w:jc w:val="both"/>
        <w:rPr>
          <w:rFonts w:eastAsia="Calibri"/>
          <w:noProof/>
          <w:szCs w:val="24"/>
        </w:rPr>
      </w:pPr>
    </w:p>
    <w:p w14:paraId="47B61B58" w14:textId="77777777" w:rsidR="00FA7C11" w:rsidRDefault="00FA7C11">
      <w:pPr>
        <w:rPr>
          <w:noProof/>
        </w:rPr>
      </w:pPr>
    </w:p>
    <w:p w14:paraId="3043DA4F" w14:textId="77777777" w:rsidR="00FA7C11" w:rsidRDefault="00FA7C11">
      <w:pPr>
        <w:rPr>
          <w:noProof/>
        </w:rPr>
        <w:sectPr w:rsidR="00FA7C11" w:rsidSect="00FA29B2">
          <w:headerReference w:type="even" r:id="rId80"/>
          <w:headerReference w:type="default" r:id="rId81"/>
          <w:footerReference w:type="even" r:id="rId82"/>
          <w:footerReference w:type="default" r:id="rId83"/>
          <w:headerReference w:type="first" r:id="rId84"/>
          <w:footerReference w:type="first" r:id="rId85"/>
          <w:pgSz w:w="16839" w:h="11907" w:orient="landscape"/>
          <w:pgMar w:top="1134" w:right="1134" w:bottom="1134" w:left="1134" w:header="567" w:footer="567" w:gutter="0"/>
          <w:cols w:space="708"/>
          <w:docGrid w:linePitch="360"/>
        </w:sectPr>
      </w:pPr>
    </w:p>
    <w:p w14:paraId="361ACC49" w14:textId="493D217B" w:rsidR="00FA7C11" w:rsidRDefault="00D84965">
      <w:pPr>
        <w:pStyle w:val="paragraph"/>
        <w:spacing w:before="0" w:beforeAutospacing="0" w:after="0" w:afterAutospacing="0"/>
        <w:ind w:left="840"/>
        <w:jc w:val="both"/>
        <w:textAlignment w:val="baseline"/>
        <w:rPr>
          <w:noProof/>
          <w:szCs w:val="24"/>
          <w:u w:val="single"/>
        </w:rPr>
      </w:pPr>
      <w:r>
        <w:rPr>
          <w:rStyle w:val="normaltextrun"/>
          <w:b/>
          <w:noProof/>
          <w:szCs w:val="24"/>
          <w:u w:val="single"/>
        </w:rPr>
        <w:t xml:space="preserve">D.3. </w:t>
      </w:r>
      <w:r>
        <w:rPr>
          <w:rStyle w:val="tabchar"/>
          <w:noProof/>
          <w:szCs w:val="24"/>
          <w:u w:val="single"/>
        </w:rPr>
        <w:t xml:space="preserve"> </w:t>
      </w:r>
      <w:r>
        <w:rPr>
          <w:rStyle w:val="normaltextrun"/>
          <w:b/>
          <w:noProof/>
          <w:szCs w:val="24"/>
          <w:u w:val="single"/>
        </w:rPr>
        <w:t xml:space="preserve">Descrierea reformelor și a investițiilor pentru împrumut </w:t>
      </w:r>
    </w:p>
    <w:p w14:paraId="3D1BE037" w14:textId="77777777" w:rsidR="00FA7C11" w:rsidRDefault="00FA7C11">
      <w:pPr>
        <w:pStyle w:val="paragraph"/>
        <w:spacing w:before="0" w:beforeAutospacing="0" w:after="0" w:afterAutospacing="0"/>
        <w:ind w:left="840"/>
        <w:jc w:val="both"/>
        <w:textAlignment w:val="baseline"/>
        <w:rPr>
          <w:rStyle w:val="normaltextrun"/>
          <w:noProof/>
          <w:szCs w:val="24"/>
        </w:rPr>
      </w:pPr>
    </w:p>
    <w:p w14:paraId="717573B2" w14:textId="77777777" w:rsidR="00FA7C11" w:rsidRDefault="00D84965">
      <w:pPr>
        <w:pStyle w:val="P68B1DB1-Normal96"/>
        <w:keepNext/>
        <w:tabs>
          <w:tab w:val="num" w:pos="850"/>
        </w:tabs>
        <w:spacing w:after="200" w:line="240" w:lineRule="auto"/>
        <w:ind w:left="851"/>
        <w:jc w:val="both"/>
        <w:outlineLvl w:val="2"/>
        <w:rPr>
          <w:rFonts w:eastAsia="Calibri"/>
          <w:noProof/>
        </w:rPr>
      </w:pPr>
      <w:r>
        <w:rPr>
          <w:noProof/>
        </w:rPr>
        <w:t>Investiția C1.4 R1-I1 – Sistem de taxare rutieră electronică</w:t>
      </w:r>
    </w:p>
    <w:p w14:paraId="41E46C13" w14:textId="77777777" w:rsidR="00FA7C11" w:rsidRDefault="00D84965">
      <w:pPr>
        <w:pStyle w:val="P68B1DB1-Normal83"/>
        <w:spacing w:line="240" w:lineRule="auto"/>
        <w:jc w:val="both"/>
        <w:rPr>
          <w:noProof/>
        </w:rPr>
      </w:pPr>
      <w:r>
        <w:rPr>
          <w:noProof/>
        </w:rPr>
        <w:t>Obiectivul investiției este de a reduce congestionarea traficului rutier și de a spori protecția mediului și siguranța rutieră.</w:t>
      </w:r>
    </w:p>
    <w:p w14:paraId="7312EAD8" w14:textId="77777777" w:rsidR="00FA7C11" w:rsidRDefault="00D84965">
      <w:pPr>
        <w:pStyle w:val="P68B1DB1-Normal83"/>
        <w:spacing w:line="240" w:lineRule="auto"/>
        <w:jc w:val="both"/>
        <w:rPr>
          <w:noProof/>
        </w:rPr>
      </w:pPr>
      <w:r>
        <w:rPr>
          <w:noProof/>
        </w:rPr>
        <w:t>Investiția constă în furnizarea unui nou sistem de taxare rutieră electronică.</w:t>
      </w:r>
    </w:p>
    <w:p w14:paraId="37C8476C" w14:textId="77777777" w:rsidR="00FA7C11" w:rsidRDefault="00FA7C11">
      <w:pPr>
        <w:spacing w:line="240" w:lineRule="auto"/>
        <w:jc w:val="both"/>
        <w:rPr>
          <w:rFonts w:ascii="Times New Roman" w:eastAsia="Times New Roman" w:hAnsi="Times New Roman" w:cs="Times New Roman"/>
          <w:noProof/>
          <w:sz w:val="24"/>
          <w:szCs w:val="24"/>
        </w:rPr>
        <w:sectPr w:rsidR="00FA7C11" w:rsidSect="00FA29B2">
          <w:headerReference w:type="even" r:id="rId86"/>
          <w:headerReference w:type="default" r:id="rId87"/>
          <w:footerReference w:type="even" r:id="rId88"/>
          <w:footerReference w:type="default" r:id="rId89"/>
          <w:headerReference w:type="first" r:id="rId90"/>
          <w:footerReference w:type="first" r:id="rId91"/>
          <w:pgSz w:w="11906" w:h="16838"/>
          <w:pgMar w:top="1134" w:right="1134" w:bottom="1134" w:left="1134" w:header="567" w:footer="567" w:gutter="0"/>
          <w:cols w:space="708"/>
          <w:docGrid w:linePitch="360"/>
        </w:sectPr>
      </w:pPr>
    </w:p>
    <w:p w14:paraId="1968C3E4" w14:textId="5EA63387" w:rsidR="00FA7C11" w:rsidRDefault="00D84965">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D.4. Jaloane, ținte, indicatori și calendarul de monitorizare și implementare aplicabile împrumutului </w:t>
      </w:r>
    </w:p>
    <w:p w14:paraId="632FCA82" w14:textId="77777777" w:rsidR="00FA7C11" w:rsidRDefault="00FA7C11">
      <w:pPr>
        <w:pStyle w:val="paragraph"/>
        <w:spacing w:before="0" w:beforeAutospacing="0" w:after="0" w:afterAutospacing="0"/>
        <w:ind w:left="840"/>
        <w:jc w:val="both"/>
        <w:textAlignment w:val="baseline"/>
        <w:rPr>
          <w:rStyle w:val="normaltextrun"/>
          <w:i/>
          <w:iCs/>
          <w:noProof/>
          <w:color w:val="4F81BD"/>
        </w:rPr>
      </w:pPr>
    </w:p>
    <w:tbl>
      <w:tblPr>
        <w:tblW w:w="15525" w:type="dxa"/>
        <w:jc w:val="center"/>
        <w:tblCellMar>
          <w:top w:w="28" w:type="dxa"/>
          <w:left w:w="28" w:type="dxa"/>
          <w:bottom w:w="28" w:type="dxa"/>
          <w:right w:w="28" w:type="dxa"/>
        </w:tblCellMar>
        <w:tblLook w:val="04A0" w:firstRow="1" w:lastRow="0" w:firstColumn="1" w:lastColumn="0" w:noHBand="0" w:noVBand="1"/>
      </w:tblPr>
      <w:tblGrid>
        <w:gridCol w:w="1241"/>
        <w:gridCol w:w="850"/>
        <w:gridCol w:w="1345"/>
        <w:gridCol w:w="2125"/>
        <w:gridCol w:w="1717"/>
        <w:gridCol w:w="1168"/>
        <w:gridCol w:w="826"/>
        <w:gridCol w:w="1059"/>
        <w:gridCol w:w="919"/>
        <w:gridCol w:w="709"/>
        <w:gridCol w:w="4381"/>
      </w:tblGrid>
      <w:tr w:rsidR="00FA7C11" w14:paraId="36E5364E" w14:textId="77777777">
        <w:trPr>
          <w:tblHeader/>
          <w:jc w:val="center"/>
        </w:trPr>
        <w:tc>
          <w:tcPr>
            <w:tcW w:w="12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78BE69" w14:textId="77777777" w:rsidR="00FA7C11" w:rsidRDefault="00D84965">
            <w:pPr>
              <w:pStyle w:val="P68B1DB1-Normal58"/>
              <w:spacing w:after="0" w:line="276" w:lineRule="auto"/>
              <w:jc w:val="center"/>
              <w:rPr>
                <w:bCs/>
                <w:noProof/>
              </w:rPr>
            </w:pPr>
            <w:bookmarkStart w:id="6" w:name="_Hlk198760047"/>
            <w:r>
              <w:rPr>
                <w:noProof/>
              </w:rPr>
              <w:t>Număr</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22D8C2D" w14:textId="77777777" w:rsidR="00FA7C11" w:rsidRDefault="00D84965">
            <w:pPr>
              <w:pStyle w:val="P68B1DB1-Normal58"/>
              <w:spacing w:after="0" w:line="276" w:lineRule="auto"/>
              <w:jc w:val="center"/>
              <w:rPr>
                <w:bCs/>
                <w:noProof/>
              </w:rPr>
            </w:pPr>
            <w:r>
              <w:rPr>
                <w:noProof/>
              </w:rPr>
              <w:t>Măsură</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675F82" w14:textId="77777777" w:rsidR="00FA7C11" w:rsidRDefault="00D84965">
            <w:pPr>
              <w:pStyle w:val="P68B1DB1-Normal58"/>
              <w:spacing w:after="0" w:line="276" w:lineRule="auto"/>
              <w:jc w:val="center"/>
              <w:rPr>
                <w:bCs/>
                <w:noProof/>
              </w:rPr>
            </w:pPr>
            <w:r>
              <w:rPr>
                <w:noProof/>
              </w:rPr>
              <w:t>Etapă/Obiectiv</w:t>
            </w:r>
          </w:p>
        </w:tc>
        <w:tc>
          <w:tcPr>
            <w:tcW w:w="21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C7CACE" w14:textId="77777777" w:rsidR="00FA7C11" w:rsidRDefault="00D84965">
            <w:pPr>
              <w:pStyle w:val="P68B1DB1-Normal58"/>
              <w:spacing w:after="0" w:line="276" w:lineRule="auto"/>
              <w:jc w:val="center"/>
              <w:rPr>
                <w:bCs/>
                <w:noProof/>
              </w:rPr>
            </w:pPr>
            <w:r>
              <w:rPr>
                <w:noProof/>
              </w:rPr>
              <w:t>Nume</w:t>
            </w:r>
          </w:p>
        </w:tc>
        <w:tc>
          <w:tcPr>
            <w:tcW w:w="17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BC0CBD"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305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8418894"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134" w:type="dxa"/>
            <w:gridSpan w:val="2"/>
            <w:tcBorders>
              <w:top w:val="single" w:sz="4" w:space="0" w:color="auto"/>
              <w:left w:val="nil"/>
              <w:bottom w:val="single" w:sz="4" w:space="0" w:color="auto"/>
              <w:right w:val="single" w:sz="4" w:space="0" w:color="auto"/>
            </w:tcBorders>
            <w:shd w:val="clear" w:color="auto" w:fill="BDD7EE"/>
            <w:vAlign w:val="center"/>
            <w:hideMark/>
          </w:tcPr>
          <w:p w14:paraId="5521480B" w14:textId="77777777" w:rsidR="00FA7C11" w:rsidRDefault="00D84965">
            <w:pPr>
              <w:pStyle w:val="P68B1DB1-Normal58"/>
              <w:spacing w:after="0" w:line="276" w:lineRule="auto"/>
              <w:jc w:val="center"/>
              <w:rPr>
                <w:bCs/>
                <w:noProof/>
              </w:rPr>
            </w:pPr>
            <w:r>
              <w:rPr>
                <w:noProof/>
              </w:rPr>
              <w:t>Timp</w:t>
            </w:r>
          </w:p>
        </w:tc>
        <w:tc>
          <w:tcPr>
            <w:tcW w:w="438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D5A343"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45C154B0" w14:textId="77777777">
        <w:trPr>
          <w:tblHeader/>
          <w:jc w:val="center"/>
        </w:trPr>
        <w:tc>
          <w:tcPr>
            <w:tcW w:w="0" w:type="auto"/>
            <w:vMerge/>
            <w:tcBorders>
              <w:left w:val="single" w:sz="4" w:space="0" w:color="auto"/>
              <w:right w:val="single" w:sz="4" w:space="0" w:color="auto"/>
            </w:tcBorders>
            <w:hideMark/>
          </w:tcPr>
          <w:p w14:paraId="126116A5"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0" w:type="auto"/>
            <w:vMerge/>
            <w:tcBorders>
              <w:left w:val="single" w:sz="4" w:space="0" w:color="auto"/>
              <w:right w:val="single" w:sz="4" w:space="0" w:color="auto"/>
            </w:tcBorders>
            <w:hideMark/>
          </w:tcPr>
          <w:p w14:paraId="31AE7648"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24" w:type="dxa"/>
            <w:vMerge/>
            <w:tcBorders>
              <w:left w:val="single" w:sz="4" w:space="0" w:color="auto"/>
              <w:right w:val="single" w:sz="4" w:space="0" w:color="auto"/>
            </w:tcBorders>
            <w:hideMark/>
          </w:tcPr>
          <w:p w14:paraId="0CFC86CB"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125" w:type="dxa"/>
            <w:vMerge/>
            <w:tcBorders>
              <w:left w:val="single" w:sz="4" w:space="0" w:color="auto"/>
              <w:right w:val="single" w:sz="4" w:space="0" w:color="auto"/>
            </w:tcBorders>
            <w:hideMark/>
          </w:tcPr>
          <w:p w14:paraId="4ECBDD08" w14:textId="77777777" w:rsidR="00FA7C11" w:rsidRDefault="00FA7C11">
            <w:pPr>
              <w:spacing w:after="0" w:line="276" w:lineRule="auto"/>
              <w:rPr>
                <w:rFonts w:ascii="Times New Roman" w:eastAsia="Times New Roman" w:hAnsi="Times New Roman" w:cs="Times New Roman"/>
                <w:b/>
                <w:noProof/>
                <w:sz w:val="20"/>
                <w:szCs w:val="20"/>
              </w:rPr>
            </w:pPr>
          </w:p>
        </w:tc>
        <w:tc>
          <w:tcPr>
            <w:tcW w:w="0" w:type="auto"/>
            <w:vMerge/>
            <w:tcBorders>
              <w:left w:val="single" w:sz="4" w:space="0" w:color="auto"/>
            </w:tcBorders>
            <w:hideMark/>
          </w:tcPr>
          <w:p w14:paraId="7DEB5A16" w14:textId="77777777" w:rsidR="00FA7C11" w:rsidRDefault="00FA7C11">
            <w:pPr>
              <w:spacing w:after="0" w:line="276" w:lineRule="auto"/>
              <w:rPr>
                <w:rFonts w:ascii="Times New Roman" w:eastAsia="Times New Roman" w:hAnsi="Times New Roman" w:cs="Times New Roman"/>
                <w:b/>
                <w:noProof/>
                <w:sz w:val="20"/>
                <w:szCs w:val="20"/>
              </w:rPr>
            </w:pPr>
          </w:p>
        </w:tc>
        <w:tc>
          <w:tcPr>
            <w:tcW w:w="1168" w:type="dxa"/>
            <w:tcBorders>
              <w:top w:val="nil"/>
              <w:left w:val="single" w:sz="4" w:space="0" w:color="auto"/>
              <w:bottom w:val="single" w:sz="4" w:space="0" w:color="auto"/>
              <w:right w:val="single" w:sz="4" w:space="0" w:color="auto"/>
            </w:tcBorders>
            <w:shd w:val="clear" w:color="auto" w:fill="BDD7EE"/>
            <w:hideMark/>
          </w:tcPr>
          <w:p w14:paraId="48EC0A8F" w14:textId="77777777" w:rsidR="00FA7C11" w:rsidRDefault="00D84965">
            <w:pPr>
              <w:pStyle w:val="P68B1DB1-Normal58"/>
              <w:spacing w:after="0" w:line="276" w:lineRule="auto"/>
              <w:jc w:val="center"/>
              <w:rPr>
                <w:bCs/>
                <w:noProof/>
              </w:rPr>
            </w:pPr>
            <w:r>
              <w:rPr>
                <w:noProof/>
              </w:rPr>
              <w:t>Unitate</w:t>
            </w:r>
          </w:p>
        </w:tc>
        <w:tc>
          <w:tcPr>
            <w:tcW w:w="826" w:type="dxa"/>
            <w:tcBorders>
              <w:top w:val="nil"/>
              <w:left w:val="nil"/>
              <w:bottom w:val="single" w:sz="4" w:space="0" w:color="auto"/>
              <w:right w:val="single" w:sz="4" w:space="0" w:color="auto"/>
            </w:tcBorders>
            <w:shd w:val="clear" w:color="auto" w:fill="BDD7EE"/>
            <w:hideMark/>
          </w:tcPr>
          <w:p w14:paraId="225DE080" w14:textId="77777777" w:rsidR="00FA7C11" w:rsidRDefault="00D84965">
            <w:pPr>
              <w:pStyle w:val="P68B1DB1-Normal58"/>
              <w:spacing w:after="0" w:line="276" w:lineRule="auto"/>
              <w:jc w:val="center"/>
              <w:rPr>
                <w:bCs/>
                <w:noProof/>
              </w:rPr>
            </w:pPr>
            <w:r>
              <w:rPr>
                <w:noProof/>
              </w:rPr>
              <w:t>Situația de referință</w:t>
            </w:r>
          </w:p>
        </w:tc>
        <w:tc>
          <w:tcPr>
            <w:tcW w:w="1059" w:type="dxa"/>
            <w:tcBorders>
              <w:top w:val="nil"/>
              <w:left w:val="nil"/>
              <w:bottom w:val="single" w:sz="4" w:space="0" w:color="auto"/>
              <w:right w:val="single" w:sz="4" w:space="0" w:color="auto"/>
            </w:tcBorders>
            <w:shd w:val="clear" w:color="auto" w:fill="BDD7EE"/>
            <w:hideMark/>
          </w:tcPr>
          <w:p w14:paraId="067A4C18" w14:textId="77777777" w:rsidR="00FA7C11" w:rsidRDefault="00D84965">
            <w:pPr>
              <w:pStyle w:val="P68B1DB1-Normal58"/>
              <w:spacing w:after="0" w:line="276" w:lineRule="auto"/>
              <w:jc w:val="center"/>
              <w:rPr>
                <w:bCs/>
                <w:noProof/>
              </w:rPr>
            </w:pPr>
            <w:r>
              <w:rPr>
                <w:noProof/>
              </w:rPr>
              <w:t>Obiectiv</w:t>
            </w:r>
          </w:p>
        </w:tc>
        <w:tc>
          <w:tcPr>
            <w:tcW w:w="425" w:type="dxa"/>
            <w:tcBorders>
              <w:top w:val="nil"/>
              <w:left w:val="nil"/>
              <w:bottom w:val="single" w:sz="4" w:space="0" w:color="auto"/>
              <w:right w:val="single" w:sz="4" w:space="0" w:color="auto"/>
            </w:tcBorders>
            <w:shd w:val="clear" w:color="auto" w:fill="BDD7EE"/>
            <w:hideMark/>
          </w:tcPr>
          <w:p w14:paraId="1CC5F409" w14:textId="77777777" w:rsidR="00FA7C11" w:rsidRDefault="00D84965">
            <w:pPr>
              <w:pStyle w:val="P68B1DB1-Normal58"/>
              <w:spacing w:after="0" w:line="276" w:lineRule="auto"/>
              <w:jc w:val="center"/>
              <w:rPr>
                <w:bCs/>
                <w:noProof/>
              </w:rPr>
            </w:pPr>
            <w:r>
              <w:rPr>
                <w:noProof/>
              </w:rPr>
              <w:t>Trimestru</w:t>
            </w:r>
          </w:p>
        </w:tc>
        <w:tc>
          <w:tcPr>
            <w:tcW w:w="709" w:type="dxa"/>
            <w:tcBorders>
              <w:top w:val="nil"/>
              <w:left w:val="nil"/>
              <w:bottom w:val="single" w:sz="4" w:space="0" w:color="auto"/>
              <w:right w:val="single" w:sz="4" w:space="0" w:color="auto"/>
            </w:tcBorders>
            <w:shd w:val="clear" w:color="auto" w:fill="BDD7EE"/>
            <w:hideMark/>
          </w:tcPr>
          <w:p w14:paraId="712FC366" w14:textId="77777777" w:rsidR="00FA7C11" w:rsidRDefault="00D84965">
            <w:pPr>
              <w:pStyle w:val="P68B1DB1-Normal58"/>
              <w:spacing w:after="0" w:line="276" w:lineRule="auto"/>
              <w:jc w:val="center"/>
              <w:rPr>
                <w:bCs/>
                <w:noProof/>
              </w:rPr>
            </w:pPr>
            <w:r>
              <w:rPr>
                <w:noProof/>
              </w:rPr>
              <w:t>Anul</w:t>
            </w:r>
          </w:p>
        </w:tc>
        <w:tc>
          <w:tcPr>
            <w:tcW w:w="4381" w:type="dxa"/>
            <w:vMerge/>
            <w:tcBorders>
              <w:right w:val="single" w:sz="4" w:space="0" w:color="auto"/>
            </w:tcBorders>
            <w:hideMark/>
          </w:tcPr>
          <w:p w14:paraId="506820DB"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4F4CD78F" w14:textId="77777777">
        <w:trPr>
          <w:jc w:val="center"/>
        </w:trPr>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24DAC9B1" w14:textId="77777777" w:rsidR="00FA7C11" w:rsidRDefault="00D84965">
            <w:pPr>
              <w:pStyle w:val="P68B1DB1-Normal66"/>
              <w:spacing w:after="200" w:line="276" w:lineRule="auto"/>
              <w:jc w:val="center"/>
              <w:rPr>
                <w:noProof/>
              </w:rPr>
            </w:pPr>
            <w:r>
              <w:rPr>
                <w:noProof/>
              </w:rPr>
              <w:t>93</w:t>
            </w:r>
          </w:p>
        </w:tc>
        <w:tc>
          <w:tcPr>
            <w:tcW w:w="850" w:type="dxa"/>
            <w:tcBorders>
              <w:top w:val="single" w:sz="4" w:space="0" w:color="auto"/>
              <w:left w:val="nil"/>
              <w:bottom w:val="single" w:sz="4" w:space="0" w:color="auto"/>
              <w:right w:val="single" w:sz="4" w:space="0" w:color="auto"/>
            </w:tcBorders>
            <w:shd w:val="clear" w:color="auto" w:fill="C6EFCE"/>
            <w:noWrap/>
          </w:tcPr>
          <w:p w14:paraId="78785866" w14:textId="77777777" w:rsidR="00FA7C11" w:rsidRDefault="00D84965">
            <w:pPr>
              <w:pStyle w:val="P68B1DB1-Normal66"/>
              <w:spacing w:after="200" w:line="276" w:lineRule="auto"/>
              <w:jc w:val="center"/>
              <w:rPr>
                <w:noProof/>
              </w:rPr>
            </w:pPr>
            <w:r>
              <w:rPr>
                <w:noProof/>
              </w:rPr>
              <w:t>C1.4. R1-I1</w:t>
            </w:r>
          </w:p>
        </w:tc>
        <w:tc>
          <w:tcPr>
            <w:tcW w:w="1024" w:type="dxa"/>
            <w:tcBorders>
              <w:top w:val="single" w:sz="4" w:space="0" w:color="auto"/>
              <w:left w:val="nil"/>
              <w:bottom w:val="single" w:sz="4" w:space="0" w:color="auto"/>
              <w:right w:val="single" w:sz="4" w:space="0" w:color="auto"/>
            </w:tcBorders>
            <w:shd w:val="clear" w:color="auto" w:fill="C6EFCE"/>
            <w:noWrap/>
          </w:tcPr>
          <w:p w14:paraId="3BE43DBC" w14:textId="77777777" w:rsidR="00FA7C11" w:rsidRDefault="00D84965">
            <w:pPr>
              <w:pStyle w:val="P68B1DB1-Normal66"/>
              <w:spacing w:after="200" w:line="276" w:lineRule="auto"/>
              <w:jc w:val="center"/>
              <w:rPr>
                <w:noProof/>
              </w:rPr>
            </w:pPr>
            <w:r>
              <w:rPr>
                <w:noProof/>
              </w:rPr>
              <w:t>M</w:t>
            </w:r>
          </w:p>
        </w:tc>
        <w:tc>
          <w:tcPr>
            <w:tcW w:w="2125" w:type="dxa"/>
            <w:tcBorders>
              <w:top w:val="single" w:sz="4" w:space="0" w:color="auto"/>
              <w:left w:val="nil"/>
              <w:bottom w:val="single" w:sz="4" w:space="0" w:color="auto"/>
              <w:right w:val="single" w:sz="4" w:space="0" w:color="auto"/>
            </w:tcBorders>
            <w:shd w:val="clear" w:color="auto" w:fill="C6EFCE"/>
            <w:noWrap/>
          </w:tcPr>
          <w:p w14:paraId="3E2138BA" w14:textId="77777777" w:rsidR="00FA7C11" w:rsidRDefault="00D84965">
            <w:pPr>
              <w:pStyle w:val="P68B1DB1-Normal66"/>
              <w:spacing w:after="200" w:line="276" w:lineRule="auto"/>
              <w:rPr>
                <w:noProof/>
              </w:rPr>
            </w:pPr>
            <w:r>
              <w:rPr>
                <w:noProof/>
              </w:rPr>
              <w:t>Noul sistem de taxare rutieră electronică</w:t>
            </w:r>
          </w:p>
        </w:tc>
        <w:tc>
          <w:tcPr>
            <w:tcW w:w="1717" w:type="dxa"/>
            <w:tcBorders>
              <w:top w:val="single" w:sz="4" w:space="0" w:color="auto"/>
              <w:left w:val="nil"/>
              <w:bottom w:val="single" w:sz="4" w:space="0" w:color="auto"/>
              <w:right w:val="single" w:sz="4" w:space="0" w:color="auto"/>
            </w:tcBorders>
            <w:shd w:val="clear" w:color="auto" w:fill="C6EFCE"/>
            <w:noWrap/>
          </w:tcPr>
          <w:p w14:paraId="1B8A12D6" w14:textId="77777777" w:rsidR="00FA7C11" w:rsidRDefault="00D84965">
            <w:pPr>
              <w:pStyle w:val="P68B1DB1-Normal66"/>
              <w:spacing w:after="200" w:line="276" w:lineRule="auto"/>
              <w:rPr>
                <w:noProof/>
              </w:rPr>
            </w:pPr>
            <w:r>
              <w:rPr>
                <w:noProof/>
              </w:rPr>
              <w:t xml:space="preserve">Livrarea unui nou sistem de taxare rutieră electronică </w:t>
            </w:r>
          </w:p>
        </w:tc>
        <w:tc>
          <w:tcPr>
            <w:tcW w:w="1168" w:type="dxa"/>
            <w:tcBorders>
              <w:top w:val="single" w:sz="4" w:space="0" w:color="auto"/>
              <w:left w:val="nil"/>
              <w:bottom w:val="single" w:sz="4" w:space="0" w:color="auto"/>
              <w:right w:val="single" w:sz="4" w:space="0" w:color="auto"/>
            </w:tcBorders>
            <w:shd w:val="clear" w:color="auto" w:fill="C6EFCE"/>
            <w:noWrap/>
          </w:tcPr>
          <w:p w14:paraId="1B01585D" w14:textId="77777777" w:rsidR="00FA7C11" w:rsidRDefault="00FA7C11">
            <w:pPr>
              <w:spacing w:after="200" w:line="276" w:lineRule="auto"/>
              <w:jc w:val="center"/>
              <w:rPr>
                <w:rFonts w:ascii="Times New Roman" w:eastAsia="Calibri" w:hAnsi="Times New Roman" w:cs="Times New Roman"/>
                <w:noProof/>
                <w:sz w:val="20"/>
                <w:szCs w:val="20"/>
              </w:rPr>
            </w:pPr>
          </w:p>
        </w:tc>
        <w:tc>
          <w:tcPr>
            <w:tcW w:w="826" w:type="dxa"/>
            <w:tcBorders>
              <w:top w:val="single" w:sz="4" w:space="0" w:color="auto"/>
              <w:left w:val="nil"/>
              <w:bottom w:val="single" w:sz="4" w:space="0" w:color="auto"/>
              <w:right w:val="single" w:sz="4" w:space="0" w:color="auto"/>
            </w:tcBorders>
            <w:shd w:val="clear" w:color="auto" w:fill="C6EFCE"/>
            <w:noWrap/>
          </w:tcPr>
          <w:p w14:paraId="1DA7993E" w14:textId="77777777" w:rsidR="00FA7C11" w:rsidRDefault="00FA7C11">
            <w:pPr>
              <w:spacing w:after="200" w:line="276" w:lineRule="auto"/>
              <w:jc w:val="center"/>
              <w:rPr>
                <w:rFonts w:ascii="Times New Roman" w:eastAsia="Calibri" w:hAnsi="Times New Roman" w:cs="Times New Roman"/>
                <w:noProof/>
                <w:sz w:val="20"/>
                <w:szCs w:val="20"/>
              </w:rPr>
            </w:pPr>
          </w:p>
        </w:tc>
        <w:tc>
          <w:tcPr>
            <w:tcW w:w="1059" w:type="dxa"/>
            <w:tcBorders>
              <w:top w:val="single" w:sz="4" w:space="0" w:color="auto"/>
              <w:left w:val="nil"/>
              <w:bottom w:val="single" w:sz="4" w:space="0" w:color="auto"/>
              <w:right w:val="single" w:sz="4" w:space="0" w:color="auto"/>
            </w:tcBorders>
            <w:shd w:val="clear" w:color="auto" w:fill="C6EFCE"/>
            <w:noWrap/>
          </w:tcPr>
          <w:p w14:paraId="41AE8E81" w14:textId="77777777" w:rsidR="00FA7C11" w:rsidRDefault="00FA7C11">
            <w:pPr>
              <w:spacing w:after="200" w:line="276" w:lineRule="auto"/>
              <w:jc w:val="center"/>
              <w:rPr>
                <w:rFonts w:ascii="Times New Roman" w:eastAsia="Calibri" w:hAnsi="Times New Roman" w:cs="Times New Roman"/>
                <w:noProof/>
                <w:sz w:val="20"/>
                <w:szCs w:val="20"/>
              </w:rPr>
            </w:pPr>
          </w:p>
        </w:tc>
        <w:tc>
          <w:tcPr>
            <w:tcW w:w="425" w:type="dxa"/>
            <w:tcBorders>
              <w:top w:val="single" w:sz="4" w:space="0" w:color="auto"/>
              <w:left w:val="nil"/>
              <w:bottom w:val="single" w:sz="4" w:space="0" w:color="auto"/>
              <w:right w:val="single" w:sz="4" w:space="0" w:color="auto"/>
            </w:tcBorders>
            <w:shd w:val="clear" w:color="auto" w:fill="C6EFCE"/>
            <w:noWrap/>
          </w:tcPr>
          <w:p w14:paraId="609DC06E" w14:textId="77777777" w:rsidR="00FA7C11" w:rsidRDefault="00D84965">
            <w:pPr>
              <w:pStyle w:val="P68B1DB1-Normal66"/>
              <w:spacing w:after="200" w:line="276"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noWrap/>
          </w:tcPr>
          <w:p w14:paraId="1EEC2670" w14:textId="77777777" w:rsidR="00FA7C11" w:rsidRDefault="00D84965">
            <w:pPr>
              <w:pStyle w:val="P68B1DB1-Normal66"/>
              <w:spacing w:after="200" w:line="276" w:lineRule="auto"/>
              <w:jc w:val="center"/>
              <w:rPr>
                <w:noProof/>
              </w:rPr>
            </w:pPr>
            <w:r>
              <w:rPr>
                <w:noProof/>
              </w:rPr>
              <w:t>2026</w:t>
            </w:r>
          </w:p>
        </w:tc>
        <w:tc>
          <w:tcPr>
            <w:tcW w:w="4381" w:type="dxa"/>
            <w:tcBorders>
              <w:top w:val="single" w:sz="4" w:space="0" w:color="auto"/>
              <w:left w:val="nil"/>
              <w:bottom w:val="single" w:sz="4" w:space="0" w:color="auto"/>
              <w:right w:val="single" w:sz="4" w:space="0" w:color="auto"/>
            </w:tcBorders>
            <w:shd w:val="clear" w:color="auto" w:fill="C6EFCE"/>
            <w:noWrap/>
          </w:tcPr>
          <w:p w14:paraId="648B4E6F" w14:textId="77777777" w:rsidR="00FA7C11" w:rsidRDefault="00D84965">
            <w:pPr>
              <w:pStyle w:val="P68B1DB1-Normal66"/>
              <w:spacing w:after="200" w:line="276" w:lineRule="auto"/>
              <w:rPr>
                <w:noProof/>
              </w:rPr>
            </w:pPr>
            <w:r>
              <w:rPr>
                <w:noProof/>
              </w:rPr>
              <w:t xml:space="preserve">Se livrează software (cum ar fi sistemul informatic central) și hardware (cum ar fi noi portaluri de taxare rutieră cu camere de luat vederi) ale unui nou sistem electronic de taxare rutieră bazat pe o soluție de flux fără benzi multiple (MLFF) fără oprirea vehiculelor cu metode de plată fără contact pentru autostrăzile exploatate de Croatian Motorways Ltd, Highway Zagreb-Macelj (AZM) și BINA Istra. Se efectuează prima încercare de instalare pe amplasament a unui nou sistem de taxare rutieră electronică. </w:t>
            </w:r>
          </w:p>
        </w:tc>
      </w:tr>
      <w:bookmarkEnd w:id="6"/>
    </w:tbl>
    <w:p w14:paraId="51F65D9E" w14:textId="77777777" w:rsidR="00FA7C11" w:rsidRDefault="00FA7C11">
      <w:pPr>
        <w:pStyle w:val="paragraph"/>
        <w:spacing w:before="0" w:beforeAutospacing="0" w:after="0" w:afterAutospacing="0"/>
        <w:ind w:left="840"/>
        <w:jc w:val="both"/>
        <w:textAlignment w:val="baseline"/>
        <w:rPr>
          <w:rStyle w:val="normaltextrun"/>
          <w:i/>
          <w:iCs/>
          <w:noProof/>
          <w:color w:val="4F81BD"/>
        </w:rPr>
      </w:pPr>
    </w:p>
    <w:p w14:paraId="737259FA" w14:textId="77777777" w:rsidR="00FA7C11" w:rsidRDefault="00FA7C11">
      <w:pPr>
        <w:pStyle w:val="paragraph"/>
        <w:spacing w:before="0" w:beforeAutospacing="0" w:after="0" w:afterAutospacing="0"/>
        <w:ind w:left="840"/>
        <w:jc w:val="both"/>
        <w:textAlignment w:val="baseline"/>
        <w:rPr>
          <w:rFonts w:ascii="Segoe UI" w:hAnsi="Segoe UI" w:cs="Segoe UI"/>
          <w:noProof/>
          <w:sz w:val="18"/>
          <w:szCs w:val="18"/>
        </w:rPr>
      </w:pPr>
    </w:p>
    <w:p w14:paraId="04F2B506" w14:textId="77777777" w:rsidR="00FA7C11" w:rsidRDefault="00FA7C11">
      <w:pPr>
        <w:spacing w:after="200" w:line="240" w:lineRule="auto"/>
        <w:jc w:val="both"/>
        <w:rPr>
          <w:rFonts w:ascii="Calibri" w:eastAsia="Calibri" w:hAnsi="Calibri" w:cs="Arial"/>
          <w:noProof/>
        </w:rPr>
      </w:pPr>
    </w:p>
    <w:p w14:paraId="6E175B8D" w14:textId="77777777" w:rsidR="00FA7C11" w:rsidRDefault="00FA7C11">
      <w:pPr>
        <w:spacing w:line="240" w:lineRule="auto"/>
        <w:ind w:left="709"/>
        <w:jc w:val="both"/>
        <w:rPr>
          <w:rFonts w:ascii="Times New Roman" w:eastAsia="Calibri" w:hAnsi="Times New Roman" w:cs="Times New Roman"/>
          <w:b/>
          <w:bCs/>
          <w:smallCaps/>
          <w:noProof/>
          <w:szCs w:val="24"/>
        </w:rPr>
        <w:sectPr w:rsidR="00FA7C11" w:rsidSect="00FA29B2">
          <w:headerReference w:type="even" r:id="rId92"/>
          <w:headerReference w:type="default" r:id="rId93"/>
          <w:footerReference w:type="even" r:id="rId94"/>
          <w:footerReference w:type="default" r:id="rId95"/>
          <w:headerReference w:type="first" r:id="rId96"/>
          <w:footerReference w:type="first" r:id="rId97"/>
          <w:pgSz w:w="16838" w:h="11906" w:orient="landscape"/>
          <w:pgMar w:top="1134" w:right="1134" w:bottom="1134" w:left="1134" w:header="567" w:footer="567" w:gutter="0"/>
          <w:cols w:space="708"/>
          <w:docGrid w:linePitch="360"/>
        </w:sectPr>
      </w:pPr>
    </w:p>
    <w:p w14:paraId="11202F28" w14:textId="77777777" w:rsidR="00FA7C11" w:rsidRDefault="00D84965">
      <w:pPr>
        <w:pStyle w:val="P68B1DB1-Normal32"/>
        <w:spacing w:line="240" w:lineRule="auto"/>
        <w:ind w:left="709"/>
        <w:jc w:val="both"/>
        <w:rPr>
          <w:bCs/>
          <w:noProof/>
        </w:rPr>
      </w:pPr>
      <w:r>
        <w:rPr>
          <w:noProof/>
        </w:rPr>
        <w:t>E. COMPONENTA 1.5: ÎMBUNĂTĂȚIREA UTILIZĂRII RESURSELOR NATURALE ȘI CONSOLIDAREA LANȚULUI DE APROVIZIONARE CU ALIMENTE</w:t>
      </w:r>
    </w:p>
    <w:p w14:paraId="1ABDB99F" w14:textId="77777777" w:rsidR="00FA7C11" w:rsidRDefault="00D84965">
      <w:pPr>
        <w:pStyle w:val="P68B1DB1-Normal83"/>
        <w:spacing w:line="240" w:lineRule="auto"/>
        <w:jc w:val="both"/>
        <w:rPr>
          <w:noProof/>
        </w:rPr>
      </w:pPr>
      <w:r>
        <w:rPr>
          <w:noProof/>
        </w:rPr>
        <w:t>Această componentă a planului croat de redresare și reziliență vizează creșterea securității alimentare și a competitivității sectorului agroalimentar croat.</w:t>
      </w:r>
    </w:p>
    <w:p w14:paraId="7B86C30D" w14:textId="77777777" w:rsidR="00FA7C11" w:rsidRDefault="00D84965">
      <w:pPr>
        <w:pStyle w:val="P68B1DB1-Normal83"/>
        <w:spacing w:line="240" w:lineRule="auto"/>
        <w:jc w:val="both"/>
        <w:rPr>
          <w:noProof/>
        </w:rPr>
      </w:pPr>
      <w:r>
        <w:rPr>
          <w:noProof/>
        </w:rPr>
        <w:t xml:space="preserve">Componenta cuprinde: (I) crearea unei rețele de infrastructură logistică pentru a consolida lanțul de producție de pe piață în sectorul fructelor și legumelor; (II) instituirea unui sistem de restructurare și consolidare a terenurilor agricole; (III) dezvoltarea de soluții digitale în sectorul agricol; și (iv) îmbunătățirea sistemelor de donare a alimentelor. </w:t>
      </w:r>
    </w:p>
    <w:p w14:paraId="7BF5D60F" w14:textId="77777777" w:rsidR="00FA7C11" w:rsidRDefault="00D84965">
      <w:pPr>
        <w:pStyle w:val="P68B1DB1-Normal46"/>
        <w:spacing w:line="240" w:lineRule="auto"/>
        <w:jc w:val="both"/>
        <w:rPr>
          <w:rFonts w:eastAsia="Calibri"/>
          <w:noProof/>
        </w:rPr>
      </w:pPr>
      <w:r>
        <w:rPr>
          <w:noProof/>
        </w:rPr>
        <w:t>Componenta contribuie la punerea în aplicare a recomandării specifice fiecărei țări privind „necesitatea de a lua toate măsurile necesare și de a răspunde în mod eficace pandemiei, de a susține economia și de a sprijini redresarea” (recomandarea specifică fiecărei țări 1, 2020); „privind necesitatea de a spori accesul la serviciile digitale” (recomandările specifice fiecărei țări 2 și 2020) și „privind acordarea de prioritate punerii în aplicare și finanțării proiectelor de investiții publice și potențial public-privat pentru a sprijini redresarea economiei” (recomandările specifice fiecărei țări 3 și 2020).</w:t>
      </w:r>
    </w:p>
    <w:p w14:paraId="212205E5" w14:textId="77777777" w:rsidR="00FA7C11" w:rsidRDefault="00D84965">
      <w:pPr>
        <w:pStyle w:val="P68B1DB1-Normal57"/>
        <w:keepNext/>
        <w:spacing w:after="200" w:line="276" w:lineRule="auto"/>
        <w:ind w:left="851"/>
        <w:jc w:val="both"/>
        <w:outlineLvl w:val="1"/>
        <w:rPr>
          <w:rFonts w:eastAsia="Calibri"/>
          <w:noProof/>
        </w:rPr>
      </w:pPr>
      <w:r>
        <w:rPr>
          <w:noProof/>
        </w:rPr>
        <w:t xml:space="preserve">E.1. </w:t>
      </w:r>
      <w:r>
        <w:rPr>
          <w:noProof/>
        </w:rPr>
        <w:tab/>
        <w:t>Descrierea reformelor și a investițiilor pentru sprijinul financiar nerambursabil</w:t>
      </w:r>
    </w:p>
    <w:p w14:paraId="3148F331" w14:textId="77777777" w:rsidR="00FA7C11" w:rsidRDefault="00D84965">
      <w:pPr>
        <w:pStyle w:val="P68B1DB1-Normal82"/>
        <w:keepNext/>
        <w:numPr>
          <w:ilvl w:val="2"/>
          <w:numId w:val="0"/>
        </w:numPr>
        <w:spacing w:line="240" w:lineRule="auto"/>
        <w:ind w:left="851"/>
        <w:jc w:val="both"/>
        <w:outlineLvl w:val="2"/>
        <w:rPr>
          <w:rFonts w:eastAsia="SimSun"/>
          <w:bCs/>
          <w:i/>
          <w:noProof/>
        </w:rPr>
      </w:pPr>
      <w:r>
        <w:rPr>
          <w:noProof/>
        </w:rPr>
        <w:t>Reforma C1.5 R1 – Crearea unei rețele de infrastructuri logistice pentru consolidarea lanțului de producție de pe piața fructelor și legumelor</w:t>
      </w:r>
    </w:p>
    <w:p w14:paraId="56A65FD6" w14:textId="77777777" w:rsidR="00FA7C11" w:rsidRDefault="00D84965">
      <w:pPr>
        <w:pStyle w:val="P68B1DB1-Normal33"/>
        <w:spacing w:line="240" w:lineRule="auto"/>
        <w:jc w:val="both"/>
        <w:rPr>
          <w:noProof/>
        </w:rPr>
      </w:pPr>
      <w:r>
        <w:rPr>
          <w:noProof/>
        </w:rPr>
        <w:t>Obiectivul reformei este de a organiza și de a corela oferta fermelor mici prin intermediul organizațiilor de producători, pentru a încuraja punerea în comun, cooperarea, schimbul de experiență și de cunoștințe. Se preconizează că reforma va îmbunătăți poziția fermierilor în lanțurile de aprovizionare, în special în sectorul fructelor și legumelor, și va contribui la dezvoltarea de produse cu o valoare adăugată mai mare. Reforma include adoptarea de către guvernul croat a Programului operațional pentru consolidarea capacității de piață a sectorului fructelor și legumelor pentru perioada 2021-2026.</w:t>
      </w:r>
    </w:p>
    <w:p w14:paraId="47B7880F" w14:textId="77777777" w:rsidR="00FA7C11" w:rsidRDefault="00D84965">
      <w:pPr>
        <w:pStyle w:val="P68B1DB1-Normal33"/>
        <w:spacing w:line="240" w:lineRule="auto"/>
        <w:jc w:val="both"/>
        <w:rPr>
          <w:noProof/>
        </w:rPr>
      </w:pPr>
      <w:r>
        <w:rPr>
          <w:noProof/>
        </w:rPr>
        <w:t>Reforma se finalizează până la 30 iunie 2026.</w:t>
      </w:r>
    </w:p>
    <w:p w14:paraId="66EB6FD4" w14:textId="6D9B8B67" w:rsidR="00FA7C11" w:rsidRDefault="00D84965">
      <w:pPr>
        <w:pStyle w:val="P68B1DB1-Normal82"/>
        <w:keepNext/>
        <w:numPr>
          <w:ilvl w:val="2"/>
          <w:numId w:val="0"/>
        </w:numPr>
        <w:spacing w:line="240" w:lineRule="auto"/>
        <w:ind w:left="851"/>
        <w:jc w:val="both"/>
        <w:outlineLvl w:val="2"/>
        <w:rPr>
          <w:rFonts w:eastAsia="SimSun"/>
          <w:bCs/>
          <w:i/>
          <w:noProof/>
        </w:rPr>
      </w:pPr>
      <w:r>
        <w:rPr>
          <w:noProof/>
        </w:rPr>
        <w:t>Investiția C1.5 R1-I1 – Construirea de centre logistice și de distribuție pentru fructe și legume</w:t>
      </w:r>
    </w:p>
    <w:p w14:paraId="712E03AF" w14:textId="77777777" w:rsidR="00FA7C11" w:rsidRDefault="00D84965">
      <w:pPr>
        <w:pStyle w:val="P68B1DB1-Normal33"/>
        <w:spacing w:line="240" w:lineRule="auto"/>
        <w:jc w:val="both"/>
        <w:rPr>
          <w:noProof/>
        </w:rPr>
      </w:pPr>
      <w:r>
        <w:rPr>
          <w:noProof/>
        </w:rPr>
        <w:t>Obiectivul investiției este de a îmbunătăți concurența în sectorul fructelor și legumelor.</w:t>
      </w:r>
    </w:p>
    <w:p w14:paraId="0D505174" w14:textId="43E37BD7" w:rsidR="00FA7C11" w:rsidRDefault="00D84965">
      <w:pPr>
        <w:pStyle w:val="P68B1DB1-Normal33"/>
        <w:spacing w:line="240" w:lineRule="auto"/>
        <w:jc w:val="both"/>
        <w:rPr>
          <w:noProof/>
        </w:rPr>
      </w:pPr>
      <w:r>
        <w:rPr>
          <w:noProof/>
        </w:rPr>
        <w:t>Această măsură constă în construirea de centre logistice de distribuție pentru fructe și/sau legume.</w:t>
      </w:r>
    </w:p>
    <w:p w14:paraId="5D5192CD" w14:textId="77777777" w:rsidR="00FA7C11" w:rsidRDefault="00D84965">
      <w:pPr>
        <w:pStyle w:val="P68B1DB1-Normal82"/>
        <w:keepNext/>
        <w:numPr>
          <w:ilvl w:val="2"/>
          <w:numId w:val="0"/>
        </w:numPr>
        <w:spacing w:line="240" w:lineRule="auto"/>
        <w:ind w:left="850"/>
        <w:jc w:val="both"/>
        <w:outlineLvl w:val="2"/>
        <w:rPr>
          <w:rFonts w:eastAsia="SimSun"/>
          <w:bCs/>
          <w:i/>
          <w:noProof/>
        </w:rPr>
      </w:pPr>
      <w:r>
        <w:rPr>
          <w:noProof/>
        </w:rPr>
        <w:t>Investiția C1.5 R1-I2 Consolidarea poziției și vizibilității producătorilor în cadrul lanțului de aprovizionare cu alimente</w:t>
      </w:r>
    </w:p>
    <w:p w14:paraId="1D799D23" w14:textId="77777777" w:rsidR="00FA7C11" w:rsidRDefault="00D84965">
      <w:pPr>
        <w:pStyle w:val="P68B1DB1-Normal33"/>
        <w:spacing w:line="240" w:lineRule="auto"/>
        <w:jc w:val="both"/>
        <w:rPr>
          <w:noProof/>
        </w:rPr>
      </w:pPr>
      <w:r>
        <w:rPr>
          <w:noProof/>
        </w:rPr>
        <w:t xml:space="preserve">Investiția urmărește să permită producătorilor să joace un rol mai important în guvernanța și structura de proprietate a centrelor logistice și de distribuție. </w:t>
      </w:r>
    </w:p>
    <w:p w14:paraId="5D8E194F" w14:textId="77777777" w:rsidR="00FA7C11" w:rsidRDefault="00D84965">
      <w:pPr>
        <w:pStyle w:val="P68B1DB1-Normal33"/>
        <w:spacing w:line="240" w:lineRule="auto"/>
        <w:jc w:val="both"/>
        <w:rPr>
          <w:noProof/>
        </w:rPr>
      </w:pPr>
      <w:r>
        <w:rPr>
          <w:noProof/>
        </w:rPr>
        <w:t>Această măsură constă în cursuri de formare pentru organizațiile de producători și în instituirea unui sistem recognoscibil de etichetare a fructelor și legumelor.</w:t>
      </w:r>
    </w:p>
    <w:p w14:paraId="2F6DE47C" w14:textId="77777777" w:rsidR="00FA7C11" w:rsidRDefault="00D84965">
      <w:pPr>
        <w:pStyle w:val="P68B1DB1-Normal82"/>
        <w:keepNext/>
        <w:numPr>
          <w:ilvl w:val="2"/>
          <w:numId w:val="0"/>
        </w:numPr>
        <w:spacing w:line="240" w:lineRule="auto"/>
        <w:ind w:left="851"/>
        <w:jc w:val="both"/>
        <w:outlineLvl w:val="2"/>
        <w:rPr>
          <w:rFonts w:eastAsia="SimSun"/>
          <w:bCs/>
          <w:i/>
          <w:noProof/>
        </w:rPr>
      </w:pPr>
      <w:r>
        <w:rPr>
          <w:noProof/>
        </w:rPr>
        <w:t>Reforma C1.5 R2 – Îmbunătățirea sistemelor de restructurare și consolidare a terenurilor agricole</w:t>
      </w:r>
    </w:p>
    <w:p w14:paraId="25E33B65" w14:textId="77777777" w:rsidR="00FA7C11" w:rsidRDefault="00D84965">
      <w:pPr>
        <w:pStyle w:val="P68B1DB1-Normal33"/>
        <w:spacing w:line="240" w:lineRule="auto"/>
        <w:jc w:val="both"/>
        <w:rPr>
          <w:noProof/>
        </w:rPr>
      </w:pPr>
      <w:r>
        <w:rPr>
          <w:noProof/>
        </w:rPr>
        <w:t xml:space="preserve">Obiectivul reformei este de a facilita procedurile de consolidare și monitorizarea continuă a terenurilor agricole, ceea ce va crea condiții prealabile pentru aplicarea metodelor agricole moderne, pentru construirea infrastructurii (cum ar fi rețeaua de drumuri de teren și canale de meliorare) și pentru gestionarea relațiilor juridice în materie de proprietate pe terenurile agricole. Reforma contribuie la o utilizare mai eficientă a terenurilor agricole în agricultură, sporind productivitatea și sustenabilitatea producției agricole, cu accent pe conservarea mediului și îmbunătățirea vieții în zonele rurale. Ca parte a reformei, intră în vigoare noua Lege privind consolidarea terenurilor agricole. </w:t>
      </w:r>
    </w:p>
    <w:p w14:paraId="196A5D12" w14:textId="77777777" w:rsidR="00FA7C11" w:rsidRDefault="00D84965">
      <w:pPr>
        <w:pStyle w:val="P68B1DB1-Normal33"/>
        <w:spacing w:line="240" w:lineRule="auto"/>
        <w:jc w:val="both"/>
        <w:rPr>
          <w:noProof/>
        </w:rPr>
      </w:pPr>
      <w:r>
        <w:rPr>
          <w:noProof/>
        </w:rPr>
        <w:t>Reforma se finalizează până la 31 martie 2026.</w:t>
      </w:r>
    </w:p>
    <w:p w14:paraId="20814B0A" w14:textId="77777777" w:rsidR="00FA7C11" w:rsidRDefault="00D84965">
      <w:pPr>
        <w:pStyle w:val="P68B1DB1-Normal82"/>
        <w:keepNext/>
        <w:numPr>
          <w:ilvl w:val="2"/>
          <w:numId w:val="0"/>
        </w:numPr>
        <w:spacing w:line="240" w:lineRule="auto"/>
        <w:ind w:left="851"/>
        <w:jc w:val="both"/>
        <w:outlineLvl w:val="2"/>
        <w:rPr>
          <w:rFonts w:eastAsia="SimSun"/>
          <w:bCs/>
          <w:i/>
          <w:noProof/>
        </w:rPr>
      </w:pPr>
      <w:r>
        <w:rPr>
          <w:noProof/>
        </w:rPr>
        <w:t>Investiția C1.5 R2-I2 – Programul de monitorizare a terenurilor agricole</w:t>
      </w:r>
    </w:p>
    <w:p w14:paraId="1B288DC2" w14:textId="77777777" w:rsidR="00FA7C11" w:rsidRDefault="00D84965">
      <w:pPr>
        <w:pStyle w:val="P68B1DB1-Normal33"/>
        <w:spacing w:line="240" w:lineRule="auto"/>
        <w:jc w:val="both"/>
        <w:rPr>
          <w:noProof/>
        </w:rPr>
      </w:pPr>
      <w:r>
        <w:rPr>
          <w:noProof/>
        </w:rPr>
        <w:t xml:space="preserve">Scopul acestei investiții este de a asigura condițiile pentru protecția eficace a terenurilor agricole, disponibilitatea continuă a datelor necesare pentru evaluarea stării solului și punerea în aplicare a politicii de gestionare durabilă. </w:t>
      </w:r>
    </w:p>
    <w:p w14:paraId="7DD31E1E" w14:textId="77777777" w:rsidR="00FA7C11" w:rsidRDefault="00D84965">
      <w:pPr>
        <w:pStyle w:val="P68B1DB1-Normal46"/>
        <w:spacing w:line="240" w:lineRule="auto"/>
        <w:jc w:val="both"/>
        <w:rPr>
          <w:rFonts w:eastAsia="Calibri"/>
          <w:noProof/>
        </w:rPr>
      </w:pPr>
      <w:r>
        <w:rPr>
          <w:noProof/>
        </w:rPr>
        <w:t xml:space="preserve">Această măsură constă în modernizarea sistemului de informații operaționale pentru monitorizarea terenurilor agricole și înființarea a 90 stații permanente de monitorizare a terenurilor. </w:t>
      </w:r>
    </w:p>
    <w:p w14:paraId="27377284" w14:textId="77777777" w:rsidR="00FA7C11" w:rsidRDefault="00D84965">
      <w:pPr>
        <w:pStyle w:val="P68B1DB1-Normal82"/>
        <w:keepNext/>
        <w:numPr>
          <w:ilvl w:val="2"/>
          <w:numId w:val="0"/>
        </w:numPr>
        <w:spacing w:line="240" w:lineRule="auto"/>
        <w:ind w:left="851"/>
        <w:jc w:val="both"/>
        <w:outlineLvl w:val="2"/>
        <w:rPr>
          <w:rFonts w:eastAsia="SimSun"/>
          <w:bCs/>
          <w:i/>
          <w:noProof/>
        </w:rPr>
      </w:pPr>
      <w:r>
        <w:rPr>
          <w:noProof/>
        </w:rPr>
        <w:t>Reforma C1.5 R3 – Transformarea digitală a agriculturii</w:t>
      </w:r>
    </w:p>
    <w:p w14:paraId="1530F11F" w14:textId="77777777" w:rsidR="00FA7C11" w:rsidRDefault="00D84965">
      <w:pPr>
        <w:pStyle w:val="P68B1DB1-Normal33"/>
        <w:spacing w:line="240" w:lineRule="auto"/>
        <w:jc w:val="both"/>
        <w:rPr>
          <w:noProof/>
        </w:rPr>
      </w:pPr>
      <w:r>
        <w:rPr>
          <w:noProof/>
        </w:rPr>
        <w:t>Obiectivul reformei este de a face serviciile publice din sectorul agricol mai accesibile fermierilor prin digitalizarea acestor servicii, reducând în același timp sarcina administrativă. Reforma include înființarea unei unități de coordonare care să planifice și să monitorizeze punerea în aplicare a tuturor investițiilor și să asigure realizarea obiectivelor definite: servicii publice digitalizate, platforma operațională privind agricultura inteligentă și sistemul de informații privind trasabilitatea accesibil publicului.</w:t>
      </w:r>
    </w:p>
    <w:p w14:paraId="119EEA76" w14:textId="77777777" w:rsidR="00FA7C11" w:rsidRDefault="00D84965">
      <w:pPr>
        <w:pStyle w:val="P68B1DB1-Normal33"/>
        <w:spacing w:line="240" w:lineRule="auto"/>
        <w:jc w:val="both"/>
        <w:rPr>
          <w:noProof/>
        </w:rPr>
      </w:pPr>
      <w:r>
        <w:rPr>
          <w:noProof/>
        </w:rPr>
        <w:t>Se preconizează că reforma va contribui la creșterea producției agricole, la asigurarea calității și a trasabilității produselor agricole și la asigurarea aplicării unor practici agronomice sustenabile pe termen lung pentru climă și mediu.</w:t>
      </w:r>
    </w:p>
    <w:p w14:paraId="18956D30" w14:textId="77777777" w:rsidR="00FA7C11" w:rsidRDefault="00D84965">
      <w:pPr>
        <w:pStyle w:val="P68B1DB1-Normal33"/>
        <w:spacing w:line="240" w:lineRule="auto"/>
        <w:jc w:val="both"/>
        <w:rPr>
          <w:noProof/>
        </w:rPr>
      </w:pPr>
      <w:r>
        <w:rPr>
          <w:noProof/>
        </w:rPr>
        <w:t>Reforma se finalizează până la 31 decembrie 2025.</w:t>
      </w:r>
    </w:p>
    <w:p w14:paraId="378A8662" w14:textId="77777777" w:rsidR="00FA7C11" w:rsidRDefault="00D84965">
      <w:pPr>
        <w:pStyle w:val="P68B1DB1-Normal82"/>
        <w:keepNext/>
        <w:numPr>
          <w:ilvl w:val="2"/>
          <w:numId w:val="0"/>
        </w:numPr>
        <w:spacing w:line="240" w:lineRule="auto"/>
        <w:ind w:left="851"/>
        <w:jc w:val="both"/>
        <w:outlineLvl w:val="2"/>
        <w:rPr>
          <w:rFonts w:eastAsia="SimSun"/>
          <w:bCs/>
          <w:i/>
          <w:noProof/>
        </w:rPr>
      </w:pPr>
      <w:r>
        <w:rPr>
          <w:noProof/>
        </w:rPr>
        <w:t>Investiția C1.5 R3-I1 – Implementarea serviciilor publice digitale</w:t>
      </w:r>
    </w:p>
    <w:p w14:paraId="58521D11" w14:textId="77777777" w:rsidR="00FA7C11" w:rsidRDefault="00D84965">
      <w:pPr>
        <w:pStyle w:val="P68B1DB1-Normal33"/>
        <w:spacing w:line="240" w:lineRule="auto"/>
        <w:jc w:val="both"/>
        <w:rPr>
          <w:noProof/>
        </w:rPr>
      </w:pPr>
      <w:r>
        <w:rPr>
          <w:noProof/>
        </w:rPr>
        <w:t>Obiectivul acestei investiții este transformarea digitală a cel puțin 30 de servicii publice agricole. Investiția include, printre altele, pregătirea Planului de acțiune privind transformarea digitală, care va constitui baza pentru înregistrarea tuturor serviciilor agricole care urmează să fie digitalizate. Cel puțin 30 servicii publice care sunt înregistrate în planul de acțiune sunt digitalizate și puse la dispoziția beneficiarilor. Investiția reduce nevoia de servicii cu prezență fizică și contribuie la crearea de servicii publice digitale pentru fermieri.</w:t>
      </w:r>
    </w:p>
    <w:p w14:paraId="6131E93E" w14:textId="77777777" w:rsidR="00FA7C11" w:rsidRDefault="00D84965">
      <w:pPr>
        <w:pStyle w:val="P68B1DB1-Normal33"/>
        <w:spacing w:line="240" w:lineRule="auto"/>
        <w:jc w:val="both"/>
        <w:rPr>
          <w:noProof/>
        </w:rPr>
      </w:pPr>
      <w:r>
        <w:rPr>
          <w:noProof/>
        </w:rPr>
        <w:t>Investiția se finalizează până la 31 decembrie 2024.</w:t>
      </w:r>
    </w:p>
    <w:p w14:paraId="52CDE815" w14:textId="77777777" w:rsidR="00FA7C11" w:rsidRDefault="00D84965">
      <w:pPr>
        <w:pStyle w:val="P68B1DB1-Normal82"/>
        <w:keepNext/>
        <w:numPr>
          <w:ilvl w:val="2"/>
          <w:numId w:val="0"/>
        </w:numPr>
        <w:spacing w:line="240" w:lineRule="auto"/>
        <w:ind w:left="851"/>
        <w:jc w:val="both"/>
        <w:outlineLvl w:val="2"/>
        <w:rPr>
          <w:rFonts w:eastAsia="SimSun"/>
          <w:bCs/>
          <w:i/>
          <w:noProof/>
        </w:rPr>
      </w:pPr>
      <w:r>
        <w:rPr>
          <w:noProof/>
        </w:rPr>
        <w:t>Investiția C1.5 R3-I2 – Agricultura inteligentă</w:t>
      </w:r>
    </w:p>
    <w:p w14:paraId="404D516F" w14:textId="77777777" w:rsidR="00FA7C11" w:rsidRDefault="00D84965">
      <w:pPr>
        <w:pStyle w:val="P68B1DB1-Normal33"/>
        <w:spacing w:line="240" w:lineRule="auto"/>
        <w:jc w:val="both"/>
        <w:rPr>
          <w:noProof/>
        </w:rPr>
      </w:pPr>
      <w:r>
        <w:rPr>
          <w:noProof/>
        </w:rPr>
        <w:t xml:space="preserve">Scopul acestei investiții este de a sprijini transformarea digitală a sectorului agricol din Croația. </w:t>
      </w:r>
    </w:p>
    <w:p w14:paraId="7139E710" w14:textId="77777777" w:rsidR="00FA7C11" w:rsidRDefault="00D84965">
      <w:pPr>
        <w:pStyle w:val="P68B1DB1-Normal33"/>
        <w:spacing w:line="240" w:lineRule="auto"/>
        <w:jc w:val="both"/>
        <w:rPr>
          <w:noProof/>
        </w:rPr>
      </w:pPr>
      <w:r>
        <w:rPr>
          <w:noProof/>
        </w:rPr>
        <w:t>Această măsură constă în crearea unei platforme pentru agricultura inteligentă.</w:t>
      </w:r>
    </w:p>
    <w:p w14:paraId="5562458D" w14:textId="77777777" w:rsidR="00FA7C11" w:rsidRDefault="00D84965">
      <w:pPr>
        <w:pStyle w:val="P68B1DB1-Normal82"/>
        <w:keepNext/>
        <w:numPr>
          <w:ilvl w:val="2"/>
          <w:numId w:val="0"/>
        </w:numPr>
        <w:spacing w:line="240" w:lineRule="auto"/>
        <w:ind w:left="851"/>
        <w:jc w:val="both"/>
        <w:outlineLvl w:val="2"/>
        <w:rPr>
          <w:rFonts w:eastAsia="SimSun"/>
          <w:bCs/>
          <w:i/>
          <w:noProof/>
        </w:rPr>
      </w:pPr>
      <w:r>
        <w:rPr>
          <w:noProof/>
        </w:rPr>
        <w:t>Investiția C1.5 R3-I3 – Sistem de trasabilitate</w:t>
      </w:r>
    </w:p>
    <w:p w14:paraId="36130C10" w14:textId="77777777" w:rsidR="00FA7C11" w:rsidRDefault="00D84965">
      <w:pPr>
        <w:pStyle w:val="P68B1DB1-Normal33"/>
        <w:spacing w:line="240" w:lineRule="auto"/>
        <w:jc w:val="both"/>
        <w:rPr>
          <w:noProof/>
        </w:rPr>
      </w:pPr>
      <w:r>
        <w:rPr>
          <w:noProof/>
        </w:rPr>
        <w:t xml:space="preserve">Obiectivele investiției sunt de a promova în continuare agricultura durabilă, în special de către micii producători locali, și de a informa în continuare consumatorii cu privire la importanța și disponibilitatea produselor obținute într-un mod durabil, la nivel local, pe întreg teritoriul Croației. Se preconizează că investiția va avea un impact pozitiv asupra dezvoltării rurale într-o serie de comunități locale și va contribui la creșterea încrederii consumatorilor în produsele alimentare durabile și produse la nivel local. Investiția include instituirea unui sistem național de informații privind trasabilitatea care să fie accesibil publicului. </w:t>
      </w:r>
    </w:p>
    <w:p w14:paraId="13C2937D" w14:textId="77777777" w:rsidR="00FA7C11" w:rsidRDefault="00D84965">
      <w:pPr>
        <w:pStyle w:val="P68B1DB1-Normal33"/>
        <w:spacing w:line="240" w:lineRule="auto"/>
        <w:jc w:val="both"/>
        <w:rPr>
          <w:noProof/>
        </w:rPr>
      </w:pPr>
      <w:r>
        <w:rPr>
          <w:noProof/>
        </w:rPr>
        <w:t>Investiția se finalizează până la 31 decembrie 2024.</w:t>
      </w:r>
    </w:p>
    <w:p w14:paraId="2AA0D570" w14:textId="77777777" w:rsidR="00FA7C11" w:rsidRDefault="00D84965">
      <w:pPr>
        <w:pStyle w:val="P68B1DB1-Normal82"/>
        <w:keepNext/>
        <w:numPr>
          <w:ilvl w:val="2"/>
          <w:numId w:val="0"/>
        </w:numPr>
        <w:spacing w:line="240" w:lineRule="auto"/>
        <w:ind w:left="851"/>
        <w:jc w:val="both"/>
        <w:outlineLvl w:val="2"/>
        <w:rPr>
          <w:rFonts w:eastAsia="SimSun"/>
          <w:bCs/>
          <w:i/>
          <w:noProof/>
        </w:rPr>
      </w:pPr>
      <w:r>
        <w:rPr>
          <w:noProof/>
        </w:rPr>
        <w:t>Reforma C1.5 R4 – Îmbunătățirea sistemelor de donare de alimente</w:t>
      </w:r>
    </w:p>
    <w:p w14:paraId="7728F7E9" w14:textId="77777777" w:rsidR="00FA7C11" w:rsidRDefault="00D84965">
      <w:pPr>
        <w:pStyle w:val="P68B1DB1-Normal33"/>
        <w:spacing w:line="240" w:lineRule="auto"/>
        <w:jc w:val="both"/>
        <w:rPr>
          <w:noProof/>
        </w:rPr>
      </w:pPr>
      <w:r>
        <w:rPr>
          <w:noProof/>
        </w:rPr>
        <w:t>Obiectivul reformei este de a promova economia circulară în sectorul agroalimentar, de a reduce risipa de alimente și de a spori securitatea alimentară pentru persoanele mai sărace prin îmbunătățirea sistemului de donații de alimente. Reforma include înființarea unei bănci de alimente, consolidarea capacității de infrastructură a intermediarilor din lanțul donării de alimente, lansarea unei platforme online pentru prevenirea risipei de alimente, modernizarea sistemului informatic privind donarea de alimente, încheierea de acorduri voluntare de prevenire a risipei de alimente între autoritățile relevante și părțile interesate din lanțul de aprovizionare cu alimente, mediul academic, comunitatea științifică și organizațiile societății civile, precum și punerea în aplicare a unei campanii de informare și educare privind prevenirea risipei de alimente și donarea de alimente.</w:t>
      </w:r>
    </w:p>
    <w:p w14:paraId="79BB97C2" w14:textId="77777777" w:rsidR="00FA7C11" w:rsidRDefault="00D84965">
      <w:pPr>
        <w:pStyle w:val="P68B1DB1-Normal33"/>
        <w:spacing w:line="240" w:lineRule="auto"/>
        <w:jc w:val="both"/>
        <w:rPr>
          <w:noProof/>
        </w:rPr>
      </w:pPr>
      <w:r>
        <w:rPr>
          <w:noProof/>
        </w:rPr>
        <w:t>Reforma se finalizează până la 31 decembrie 2023.</w:t>
      </w:r>
    </w:p>
    <w:p w14:paraId="2CB9DFE5" w14:textId="77777777" w:rsidR="00FA7C11" w:rsidRDefault="00D84965">
      <w:pPr>
        <w:pStyle w:val="P68B1DB1-Normal82"/>
        <w:keepNext/>
        <w:numPr>
          <w:ilvl w:val="2"/>
          <w:numId w:val="0"/>
        </w:numPr>
        <w:spacing w:line="240" w:lineRule="auto"/>
        <w:ind w:left="851"/>
        <w:jc w:val="both"/>
        <w:outlineLvl w:val="2"/>
        <w:rPr>
          <w:rFonts w:eastAsia="SimSun"/>
          <w:bCs/>
          <w:i/>
          <w:noProof/>
        </w:rPr>
      </w:pPr>
      <w:r>
        <w:rPr>
          <w:noProof/>
        </w:rPr>
        <w:t>Investiția C1.5 R4-I1 – Echiparea de infrastructură a băncilor de alimente și a intermediarilor din lanțul donării de alimente</w:t>
      </w:r>
    </w:p>
    <w:p w14:paraId="71CF15C0" w14:textId="77777777" w:rsidR="00FA7C11" w:rsidRDefault="00D84965">
      <w:pPr>
        <w:pStyle w:val="P68B1DB1-Normal33"/>
        <w:spacing w:line="240" w:lineRule="auto"/>
        <w:jc w:val="both"/>
        <w:rPr>
          <w:noProof/>
        </w:rPr>
      </w:pPr>
      <w:r>
        <w:rPr>
          <w:noProof/>
        </w:rPr>
        <w:t>Obiectivul investiției este de a consolida capacitatea de infrastructură a intermediarilor din lanțul donării de alimente și a băncii de alimente pentru a crea condițiile prealabile de bază pentru creșterea cantităților de alimente donate, contribuind astfel la reducerea risipei de alimente și la creșterea securității alimentare pentru grupurile de populație mai sărace. Investiția include punerea în aplicare a unor scheme de sprijin pentru echiparea infrastructurii băncilor de alimente și a intermediarilor din lanțul donării de alimente, elaborate de Ministerul Agriculturii și adoptate de guvernul croat.</w:t>
      </w:r>
    </w:p>
    <w:p w14:paraId="3082647B" w14:textId="77777777" w:rsidR="00FA7C11" w:rsidRDefault="00D84965">
      <w:pPr>
        <w:pStyle w:val="P68B1DB1-Normal33"/>
        <w:spacing w:line="240" w:lineRule="auto"/>
        <w:jc w:val="both"/>
        <w:rPr>
          <w:noProof/>
        </w:rPr>
      </w:pPr>
      <w:r>
        <w:rPr>
          <w:noProof/>
        </w:rPr>
        <w:t>Investiția se finalizează până la 31 decembrie 2023.</w:t>
      </w:r>
    </w:p>
    <w:p w14:paraId="155594BC" w14:textId="77777777" w:rsidR="00FA7C11" w:rsidRDefault="00FA7C11">
      <w:pPr>
        <w:rPr>
          <w:noProof/>
        </w:rPr>
        <w:sectPr w:rsidR="00FA7C11" w:rsidSect="00FA29B2">
          <w:headerReference w:type="even" r:id="rId98"/>
          <w:headerReference w:type="default" r:id="rId99"/>
          <w:footerReference w:type="even" r:id="rId100"/>
          <w:footerReference w:type="default" r:id="rId101"/>
          <w:headerReference w:type="first" r:id="rId102"/>
          <w:footerReference w:type="first" r:id="rId103"/>
          <w:pgSz w:w="11906" w:h="16838"/>
          <w:pgMar w:top="1134" w:right="1134" w:bottom="1134" w:left="1134" w:header="567" w:footer="567" w:gutter="0"/>
          <w:cols w:space="708"/>
          <w:docGrid w:linePitch="360"/>
        </w:sectPr>
      </w:pPr>
    </w:p>
    <w:p w14:paraId="0F379FCE" w14:textId="77777777" w:rsidR="00FA7C11" w:rsidRDefault="00D84965">
      <w:pPr>
        <w:pStyle w:val="P68B1DB1-Normal92"/>
        <w:keepNext/>
        <w:tabs>
          <w:tab w:val="num" w:pos="850"/>
        </w:tabs>
        <w:spacing w:after="200" w:line="276" w:lineRule="auto"/>
        <w:ind w:left="851"/>
        <w:jc w:val="both"/>
        <w:outlineLvl w:val="1"/>
        <w:rPr>
          <w:rFonts w:eastAsia="Calibri"/>
          <w:noProof/>
          <w:szCs w:val="24"/>
        </w:rPr>
      </w:pPr>
      <w:r>
        <w:rPr>
          <w:noProof/>
        </w:rPr>
        <w:t xml:space="preserve">E.2. </w:t>
      </w:r>
      <w:r>
        <w:rPr>
          <w:noProof/>
        </w:rPr>
        <w:tab/>
        <w:t>Jaloane, ținte, indicatori și calendarul de monitorizare și implementare aplicabile sprijinului financiar nerambursabil</w:t>
      </w:r>
    </w:p>
    <w:tbl>
      <w:tblPr>
        <w:tblW w:w="16190" w:type="dxa"/>
        <w:tblInd w:w="-823" w:type="dxa"/>
        <w:tblCellMar>
          <w:top w:w="28" w:type="dxa"/>
          <w:left w:w="28" w:type="dxa"/>
          <w:bottom w:w="28" w:type="dxa"/>
          <w:right w:w="28" w:type="dxa"/>
        </w:tblCellMar>
        <w:tblLook w:val="04A0" w:firstRow="1" w:lastRow="0" w:firstColumn="1" w:lastColumn="0" w:noHBand="0" w:noVBand="1"/>
      </w:tblPr>
      <w:tblGrid>
        <w:gridCol w:w="872"/>
        <w:gridCol w:w="1080"/>
        <w:gridCol w:w="1345"/>
        <w:gridCol w:w="2289"/>
        <w:gridCol w:w="1942"/>
        <w:gridCol w:w="712"/>
        <w:gridCol w:w="835"/>
        <w:gridCol w:w="779"/>
        <w:gridCol w:w="919"/>
        <w:gridCol w:w="797"/>
        <w:gridCol w:w="5172"/>
      </w:tblGrid>
      <w:tr w:rsidR="00FA7C11" w14:paraId="3053D75D" w14:textId="77777777">
        <w:trPr>
          <w:tblHeader/>
        </w:trPr>
        <w:tc>
          <w:tcPr>
            <w:tcW w:w="8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FA5B74" w14:textId="77777777" w:rsidR="00FA7C11" w:rsidRDefault="00D84965">
            <w:pPr>
              <w:pStyle w:val="P68B1DB1-Normal58"/>
              <w:spacing w:after="0" w:line="276" w:lineRule="auto"/>
              <w:jc w:val="center"/>
              <w:rPr>
                <w:bCs/>
                <w:noProof/>
              </w:rPr>
            </w:pPr>
            <w:r>
              <w:rPr>
                <w:noProof/>
              </w:rPr>
              <w:t>Număr</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936522" w14:textId="77777777" w:rsidR="00FA7C11" w:rsidRDefault="00D84965">
            <w:pPr>
              <w:pStyle w:val="P68B1DB1-Normal58"/>
              <w:spacing w:after="0" w:line="276" w:lineRule="auto"/>
              <w:jc w:val="center"/>
              <w:rPr>
                <w:bCs/>
                <w:noProof/>
              </w:rPr>
            </w:pPr>
            <w:r>
              <w:rPr>
                <w:noProof/>
              </w:rPr>
              <w:t>Măsură</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F9B83B9" w14:textId="77777777" w:rsidR="00FA7C11" w:rsidRDefault="00D84965">
            <w:pPr>
              <w:pStyle w:val="P68B1DB1-Normal58"/>
              <w:spacing w:after="0" w:line="276" w:lineRule="auto"/>
              <w:jc w:val="center"/>
              <w:rPr>
                <w:bCs/>
                <w:noProof/>
              </w:rPr>
            </w:pPr>
            <w:r>
              <w:rPr>
                <w:noProof/>
              </w:rPr>
              <w:t>Etapă/Obiectiv</w:t>
            </w:r>
          </w:p>
        </w:tc>
        <w:tc>
          <w:tcPr>
            <w:tcW w:w="22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1916C9" w14:textId="77777777" w:rsidR="00FA7C11" w:rsidRDefault="00D84965">
            <w:pPr>
              <w:pStyle w:val="P68B1DB1-Normal58"/>
              <w:spacing w:after="0" w:line="276" w:lineRule="auto"/>
              <w:jc w:val="center"/>
              <w:rPr>
                <w:bCs/>
                <w:noProof/>
              </w:rPr>
            </w:pPr>
            <w:r>
              <w:rPr>
                <w:noProof/>
              </w:rPr>
              <w:t>Nume</w:t>
            </w:r>
          </w:p>
        </w:tc>
        <w:tc>
          <w:tcPr>
            <w:tcW w:w="19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8C2144"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25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FE51E78"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553" w:type="dxa"/>
            <w:gridSpan w:val="2"/>
            <w:tcBorders>
              <w:top w:val="single" w:sz="4" w:space="0" w:color="auto"/>
              <w:left w:val="nil"/>
              <w:bottom w:val="single" w:sz="4" w:space="0" w:color="auto"/>
              <w:right w:val="single" w:sz="4" w:space="0" w:color="auto"/>
            </w:tcBorders>
            <w:shd w:val="clear" w:color="auto" w:fill="BDD7EE"/>
            <w:vAlign w:val="center"/>
            <w:hideMark/>
          </w:tcPr>
          <w:p w14:paraId="53CEC998" w14:textId="77777777" w:rsidR="00FA7C11" w:rsidRDefault="00D84965">
            <w:pPr>
              <w:pStyle w:val="P68B1DB1-Normal58"/>
              <w:spacing w:after="0" w:line="276" w:lineRule="auto"/>
              <w:jc w:val="center"/>
              <w:rPr>
                <w:bCs/>
                <w:noProof/>
              </w:rPr>
            </w:pPr>
            <w:r>
              <w:rPr>
                <w:noProof/>
              </w:rPr>
              <w:t>Timp</w:t>
            </w:r>
          </w:p>
        </w:tc>
        <w:tc>
          <w:tcPr>
            <w:tcW w:w="51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18AA8E"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3A7FEA3C" w14:textId="77777777">
        <w:trPr>
          <w:tblHeader/>
        </w:trPr>
        <w:tc>
          <w:tcPr>
            <w:tcW w:w="872" w:type="dxa"/>
            <w:vMerge/>
            <w:tcBorders>
              <w:top w:val="single" w:sz="4" w:space="0" w:color="auto"/>
              <w:left w:val="single" w:sz="4" w:space="0" w:color="auto"/>
              <w:bottom w:val="single" w:sz="4" w:space="0" w:color="auto"/>
              <w:right w:val="single" w:sz="4" w:space="0" w:color="auto"/>
            </w:tcBorders>
            <w:hideMark/>
          </w:tcPr>
          <w:p w14:paraId="1B79D318"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80" w:type="dxa"/>
            <w:vMerge/>
            <w:tcBorders>
              <w:top w:val="single" w:sz="4" w:space="0" w:color="auto"/>
              <w:left w:val="single" w:sz="4" w:space="0" w:color="auto"/>
              <w:bottom w:val="single" w:sz="4" w:space="0" w:color="auto"/>
              <w:right w:val="single" w:sz="4" w:space="0" w:color="auto"/>
            </w:tcBorders>
            <w:hideMark/>
          </w:tcPr>
          <w:p w14:paraId="2BA3FE10"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26" w:type="dxa"/>
            <w:vMerge/>
            <w:tcBorders>
              <w:top w:val="single" w:sz="4" w:space="0" w:color="auto"/>
              <w:left w:val="single" w:sz="4" w:space="0" w:color="auto"/>
              <w:bottom w:val="single" w:sz="4" w:space="0" w:color="auto"/>
              <w:right w:val="single" w:sz="4" w:space="0" w:color="auto"/>
            </w:tcBorders>
            <w:hideMark/>
          </w:tcPr>
          <w:p w14:paraId="4D566415"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289" w:type="dxa"/>
            <w:vMerge/>
            <w:tcBorders>
              <w:top w:val="single" w:sz="4" w:space="0" w:color="auto"/>
              <w:left w:val="single" w:sz="4" w:space="0" w:color="auto"/>
              <w:bottom w:val="single" w:sz="4" w:space="0" w:color="auto"/>
              <w:right w:val="single" w:sz="4" w:space="0" w:color="auto"/>
            </w:tcBorders>
            <w:hideMark/>
          </w:tcPr>
          <w:p w14:paraId="064A6348" w14:textId="77777777" w:rsidR="00FA7C11" w:rsidRDefault="00FA7C11">
            <w:pPr>
              <w:spacing w:after="0" w:line="276" w:lineRule="auto"/>
              <w:rPr>
                <w:rFonts w:ascii="Times New Roman" w:eastAsia="Times New Roman" w:hAnsi="Times New Roman" w:cs="Times New Roman"/>
                <w:b/>
                <w:noProof/>
                <w:sz w:val="20"/>
                <w:szCs w:val="20"/>
              </w:rPr>
            </w:pPr>
          </w:p>
        </w:tc>
        <w:tc>
          <w:tcPr>
            <w:tcW w:w="1942" w:type="dxa"/>
            <w:vMerge/>
            <w:tcBorders>
              <w:top w:val="single" w:sz="4" w:space="0" w:color="auto"/>
              <w:left w:val="single" w:sz="4" w:space="0" w:color="auto"/>
              <w:bottom w:val="single" w:sz="4" w:space="0" w:color="auto"/>
            </w:tcBorders>
            <w:hideMark/>
          </w:tcPr>
          <w:p w14:paraId="6ECF78FA" w14:textId="77777777" w:rsidR="00FA7C11" w:rsidRDefault="00FA7C11">
            <w:pPr>
              <w:spacing w:after="0" w:line="276" w:lineRule="auto"/>
              <w:rPr>
                <w:rFonts w:ascii="Times New Roman" w:eastAsia="Times New Roman" w:hAnsi="Times New Roman" w:cs="Times New Roman"/>
                <w:b/>
                <w:noProof/>
                <w:sz w:val="20"/>
                <w:szCs w:val="20"/>
              </w:rPr>
            </w:pPr>
          </w:p>
        </w:tc>
        <w:tc>
          <w:tcPr>
            <w:tcW w:w="712" w:type="dxa"/>
            <w:tcBorders>
              <w:top w:val="single" w:sz="4" w:space="0" w:color="auto"/>
              <w:left w:val="single" w:sz="4" w:space="0" w:color="auto"/>
              <w:bottom w:val="single" w:sz="4" w:space="0" w:color="auto"/>
              <w:right w:val="single" w:sz="4" w:space="0" w:color="auto"/>
            </w:tcBorders>
            <w:shd w:val="clear" w:color="auto" w:fill="BDD7EE"/>
            <w:hideMark/>
          </w:tcPr>
          <w:p w14:paraId="2860F506" w14:textId="77777777" w:rsidR="00FA7C11" w:rsidRDefault="00D84965">
            <w:pPr>
              <w:pStyle w:val="P68B1DB1-Normal58"/>
              <w:spacing w:after="0" w:line="276" w:lineRule="auto"/>
              <w:jc w:val="center"/>
              <w:rPr>
                <w:bCs/>
                <w:noProof/>
              </w:rPr>
            </w:pPr>
            <w:r>
              <w:rPr>
                <w:noProof/>
              </w:rPr>
              <w:t>Unitate</w:t>
            </w:r>
          </w:p>
        </w:tc>
        <w:tc>
          <w:tcPr>
            <w:tcW w:w="835" w:type="dxa"/>
            <w:tcBorders>
              <w:top w:val="single" w:sz="4" w:space="0" w:color="auto"/>
              <w:left w:val="nil"/>
              <w:bottom w:val="single" w:sz="4" w:space="0" w:color="auto"/>
              <w:right w:val="single" w:sz="4" w:space="0" w:color="auto"/>
            </w:tcBorders>
            <w:shd w:val="clear" w:color="auto" w:fill="BDD7EE"/>
            <w:hideMark/>
          </w:tcPr>
          <w:p w14:paraId="2AA4B7BB" w14:textId="77777777" w:rsidR="00FA7C11" w:rsidRDefault="00D84965">
            <w:pPr>
              <w:pStyle w:val="P68B1DB1-Normal58"/>
              <w:spacing w:after="0" w:line="276" w:lineRule="auto"/>
              <w:jc w:val="center"/>
              <w:rPr>
                <w:bCs/>
                <w:noProof/>
              </w:rPr>
            </w:pPr>
            <w:r>
              <w:rPr>
                <w:noProof/>
              </w:rPr>
              <w:t>Situația de referință</w:t>
            </w:r>
          </w:p>
        </w:tc>
        <w:tc>
          <w:tcPr>
            <w:tcW w:w="709" w:type="dxa"/>
            <w:tcBorders>
              <w:top w:val="single" w:sz="4" w:space="0" w:color="auto"/>
              <w:left w:val="nil"/>
              <w:bottom w:val="single" w:sz="4" w:space="0" w:color="auto"/>
              <w:right w:val="single" w:sz="4" w:space="0" w:color="auto"/>
            </w:tcBorders>
            <w:shd w:val="clear" w:color="auto" w:fill="BDD7EE"/>
            <w:hideMark/>
          </w:tcPr>
          <w:p w14:paraId="0C293E87" w14:textId="77777777" w:rsidR="00FA7C11" w:rsidRDefault="00D84965">
            <w:pPr>
              <w:pStyle w:val="P68B1DB1-Normal58"/>
              <w:spacing w:after="0" w:line="276" w:lineRule="auto"/>
              <w:jc w:val="center"/>
              <w:rPr>
                <w:bCs/>
                <w:noProof/>
              </w:rPr>
            </w:pPr>
            <w:r>
              <w:rPr>
                <w:noProof/>
              </w:rPr>
              <w:t>Obiectiv</w:t>
            </w:r>
          </w:p>
        </w:tc>
        <w:tc>
          <w:tcPr>
            <w:tcW w:w="756" w:type="dxa"/>
            <w:tcBorders>
              <w:top w:val="single" w:sz="4" w:space="0" w:color="auto"/>
              <w:left w:val="nil"/>
              <w:bottom w:val="single" w:sz="4" w:space="0" w:color="auto"/>
              <w:right w:val="single" w:sz="4" w:space="0" w:color="auto"/>
            </w:tcBorders>
            <w:shd w:val="clear" w:color="auto" w:fill="BDD7EE"/>
            <w:hideMark/>
          </w:tcPr>
          <w:p w14:paraId="2550805C" w14:textId="77777777" w:rsidR="00FA7C11" w:rsidRDefault="00D84965">
            <w:pPr>
              <w:pStyle w:val="P68B1DB1-Normal58"/>
              <w:spacing w:after="0" w:line="276" w:lineRule="auto"/>
              <w:jc w:val="center"/>
              <w:rPr>
                <w:bCs/>
                <w:noProof/>
              </w:rPr>
            </w:pPr>
            <w:r>
              <w:rPr>
                <w:noProof/>
              </w:rPr>
              <w:t>Trimestru</w:t>
            </w:r>
          </w:p>
        </w:tc>
        <w:tc>
          <w:tcPr>
            <w:tcW w:w="797" w:type="dxa"/>
            <w:tcBorders>
              <w:top w:val="single" w:sz="4" w:space="0" w:color="auto"/>
              <w:left w:val="nil"/>
              <w:bottom w:val="single" w:sz="4" w:space="0" w:color="auto"/>
              <w:right w:val="single" w:sz="4" w:space="0" w:color="auto"/>
            </w:tcBorders>
            <w:shd w:val="clear" w:color="auto" w:fill="BDD7EE"/>
            <w:hideMark/>
          </w:tcPr>
          <w:p w14:paraId="1C590F8F" w14:textId="77777777" w:rsidR="00FA7C11" w:rsidRDefault="00D84965">
            <w:pPr>
              <w:pStyle w:val="P68B1DB1-Normal58"/>
              <w:spacing w:after="0" w:line="276" w:lineRule="auto"/>
              <w:jc w:val="center"/>
              <w:rPr>
                <w:bCs/>
                <w:noProof/>
              </w:rPr>
            </w:pPr>
            <w:r>
              <w:rPr>
                <w:noProof/>
              </w:rPr>
              <w:t>Anul</w:t>
            </w:r>
          </w:p>
        </w:tc>
        <w:tc>
          <w:tcPr>
            <w:tcW w:w="5172" w:type="dxa"/>
            <w:vMerge/>
            <w:tcBorders>
              <w:top w:val="single" w:sz="4" w:space="0" w:color="auto"/>
              <w:bottom w:val="single" w:sz="4" w:space="0" w:color="auto"/>
              <w:right w:val="single" w:sz="4" w:space="0" w:color="auto"/>
            </w:tcBorders>
            <w:hideMark/>
          </w:tcPr>
          <w:p w14:paraId="1FB69507"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5CC807FF"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5849DE94" w14:textId="77777777" w:rsidR="00FA7C11" w:rsidRDefault="00D84965">
            <w:pPr>
              <w:pStyle w:val="P68B1DB1-Normal66"/>
              <w:spacing w:after="0" w:line="276" w:lineRule="auto"/>
              <w:jc w:val="center"/>
              <w:rPr>
                <w:noProof/>
              </w:rPr>
            </w:pPr>
            <w:r>
              <w:rPr>
                <w:noProof/>
              </w:rPr>
              <w:t>126</w:t>
            </w:r>
          </w:p>
        </w:tc>
        <w:tc>
          <w:tcPr>
            <w:tcW w:w="1080" w:type="dxa"/>
            <w:tcBorders>
              <w:top w:val="single" w:sz="4" w:space="0" w:color="auto"/>
              <w:left w:val="nil"/>
              <w:bottom w:val="single" w:sz="4" w:space="0" w:color="auto"/>
              <w:right w:val="single" w:sz="4" w:space="0" w:color="auto"/>
            </w:tcBorders>
            <w:shd w:val="clear" w:color="auto" w:fill="C6EFCE"/>
            <w:noWrap/>
          </w:tcPr>
          <w:p w14:paraId="24ECCB5A" w14:textId="77777777" w:rsidR="00FA7C11" w:rsidRDefault="00D84965">
            <w:pPr>
              <w:pStyle w:val="P68B1DB1-Normal66"/>
              <w:spacing w:after="200" w:line="276" w:lineRule="auto"/>
              <w:jc w:val="center"/>
              <w:rPr>
                <w:noProof/>
              </w:rPr>
            </w:pPr>
            <w:r>
              <w:rPr>
                <w:noProof/>
              </w:rPr>
              <w:t>C1.5. R1</w:t>
            </w:r>
          </w:p>
        </w:tc>
        <w:tc>
          <w:tcPr>
            <w:tcW w:w="1026" w:type="dxa"/>
            <w:tcBorders>
              <w:top w:val="single" w:sz="4" w:space="0" w:color="auto"/>
              <w:left w:val="nil"/>
              <w:bottom w:val="single" w:sz="4" w:space="0" w:color="auto"/>
              <w:right w:val="single" w:sz="4" w:space="0" w:color="auto"/>
            </w:tcBorders>
            <w:shd w:val="clear" w:color="auto" w:fill="C6EFCE"/>
            <w:noWrap/>
          </w:tcPr>
          <w:p w14:paraId="2B4211A4" w14:textId="77777777" w:rsidR="00FA7C11" w:rsidRDefault="00D84965">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20AB812B" w14:textId="77777777" w:rsidR="00FA7C11" w:rsidRDefault="00D84965">
            <w:pPr>
              <w:pStyle w:val="P68B1DB1-Normal66"/>
              <w:spacing w:after="200" w:line="276" w:lineRule="auto"/>
              <w:rPr>
                <w:noProof/>
              </w:rPr>
            </w:pPr>
            <w:r>
              <w:rPr>
                <w:noProof/>
              </w:rPr>
              <w:t>Programul operațional pentru consolidarea capacității de piață a sectorului fructelor și legumelor pentru perioada 2021-2026</w:t>
            </w:r>
          </w:p>
        </w:tc>
        <w:tc>
          <w:tcPr>
            <w:tcW w:w="1942" w:type="dxa"/>
            <w:tcBorders>
              <w:top w:val="single" w:sz="4" w:space="0" w:color="auto"/>
              <w:left w:val="nil"/>
              <w:bottom w:val="single" w:sz="4" w:space="0" w:color="auto"/>
              <w:right w:val="single" w:sz="4" w:space="0" w:color="auto"/>
            </w:tcBorders>
            <w:shd w:val="clear" w:color="auto" w:fill="C6EFCE"/>
            <w:noWrap/>
          </w:tcPr>
          <w:p w14:paraId="6E871820" w14:textId="77777777" w:rsidR="00FA7C11" w:rsidRDefault="00D84965">
            <w:pPr>
              <w:pStyle w:val="P68B1DB1-Normal66"/>
              <w:spacing w:after="200" w:line="276" w:lineRule="auto"/>
              <w:rPr>
                <w:noProof/>
              </w:rPr>
            </w:pPr>
            <w:r>
              <w:rPr>
                <w:noProof/>
              </w:rPr>
              <w:t>Intrarea în vigoare a deciziei guvernului croat privind adoptarea Programului operațional de consolidare a capacității de piață a sectorului fructelor și legumelor pentru perioada 2021-2026</w:t>
            </w:r>
          </w:p>
        </w:tc>
        <w:tc>
          <w:tcPr>
            <w:tcW w:w="712" w:type="dxa"/>
            <w:tcBorders>
              <w:top w:val="single" w:sz="4" w:space="0" w:color="auto"/>
              <w:left w:val="nil"/>
              <w:bottom w:val="single" w:sz="4" w:space="0" w:color="auto"/>
              <w:right w:val="single" w:sz="4" w:space="0" w:color="auto"/>
            </w:tcBorders>
            <w:shd w:val="clear" w:color="auto" w:fill="C6EFCE"/>
            <w:noWrap/>
          </w:tcPr>
          <w:p w14:paraId="4FB564BB" w14:textId="77777777" w:rsidR="00FA7C11" w:rsidRDefault="00D84965">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7CE6435B"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28B2E9B4"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2BC6ABD" w14:textId="77777777" w:rsidR="00FA7C11" w:rsidRDefault="00D84965">
            <w:pPr>
              <w:pStyle w:val="P68B1DB1-Normal66"/>
              <w:spacing w:after="200" w:line="276" w:lineRule="auto"/>
              <w:jc w:val="center"/>
              <w:rPr>
                <w:noProof/>
              </w:rPr>
            </w:pPr>
            <w:r>
              <w:rPr>
                <w:noProof/>
              </w:rPr>
              <w:t>Î4</w:t>
            </w:r>
          </w:p>
        </w:tc>
        <w:tc>
          <w:tcPr>
            <w:tcW w:w="797" w:type="dxa"/>
            <w:tcBorders>
              <w:top w:val="single" w:sz="4" w:space="0" w:color="auto"/>
              <w:left w:val="nil"/>
              <w:bottom w:val="single" w:sz="4" w:space="0" w:color="auto"/>
              <w:right w:val="single" w:sz="4" w:space="0" w:color="auto"/>
            </w:tcBorders>
            <w:shd w:val="clear" w:color="auto" w:fill="C6EFCE"/>
            <w:noWrap/>
          </w:tcPr>
          <w:p w14:paraId="4157D862" w14:textId="77777777" w:rsidR="00FA7C11" w:rsidRDefault="00D84965">
            <w:pPr>
              <w:pStyle w:val="P68B1DB1-Normal66"/>
              <w:spacing w:after="200" w:line="276" w:lineRule="auto"/>
              <w:jc w:val="center"/>
              <w:rPr>
                <w:noProof/>
              </w:rPr>
            </w:pPr>
            <w:r>
              <w:rPr>
                <w:noProof/>
              </w:rPr>
              <w:t>2021</w:t>
            </w:r>
          </w:p>
        </w:tc>
        <w:tc>
          <w:tcPr>
            <w:tcW w:w="5172" w:type="dxa"/>
            <w:tcBorders>
              <w:top w:val="single" w:sz="4" w:space="0" w:color="auto"/>
              <w:left w:val="nil"/>
              <w:bottom w:val="single" w:sz="4" w:space="0" w:color="auto"/>
              <w:right w:val="single" w:sz="4" w:space="0" w:color="auto"/>
            </w:tcBorders>
            <w:shd w:val="clear" w:color="auto" w:fill="C6EFCE"/>
            <w:noWrap/>
          </w:tcPr>
          <w:p w14:paraId="62150E07" w14:textId="77777777" w:rsidR="00FA7C11" w:rsidRDefault="00D84965">
            <w:pPr>
              <w:pStyle w:val="P68B1DB1-Normal66"/>
              <w:spacing w:after="200" w:line="276" w:lineRule="auto"/>
              <w:rPr>
                <w:noProof/>
              </w:rPr>
            </w:pPr>
            <w:r>
              <w:rPr>
                <w:noProof/>
              </w:rPr>
              <w:t>Pentru a pune în aplicare măsura care vizează în primul rând consolidarea rolului și a capacității de gestionare a organizațiilor de producători (OP) în cadrul lanțului de producție și comercializare a fructelor și legumelor, guvernul croat adoptă Programul operațional pentru consolidarea capacității de piață a sectorului fructelor și legumelor pentru perioada 2021-2026. Aceasta include punerea în aplicare a următoarelor măsuri: (I) construirea și echiparea centrelor logistice de distribuție a fructelor și legumelor și (ii) consolidarea poziției și a recunoașterii producătorilor în cadrul lanțului de aprovizionare cu fructe și legume.</w:t>
            </w:r>
          </w:p>
        </w:tc>
      </w:tr>
      <w:tr w:rsidR="00FA7C11" w14:paraId="0738B676"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00E7993B" w14:textId="77777777" w:rsidR="00FA7C11" w:rsidRDefault="00D84965">
            <w:pPr>
              <w:pStyle w:val="P68B1DB1-Normal66"/>
              <w:spacing w:after="200" w:line="276" w:lineRule="auto"/>
              <w:jc w:val="center"/>
              <w:rPr>
                <w:noProof/>
              </w:rPr>
            </w:pPr>
            <w:r>
              <w:rPr>
                <w:noProof/>
              </w:rPr>
              <w:t>127</w:t>
            </w:r>
          </w:p>
        </w:tc>
        <w:tc>
          <w:tcPr>
            <w:tcW w:w="1080" w:type="dxa"/>
            <w:tcBorders>
              <w:top w:val="single" w:sz="4" w:space="0" w:color="auto"/>
              <w:left w:val="nil"/>
              <w:bottom w:val="single" w:sz="4" w:space="0" w:color="auto"/>
              <w:right w:val="single" w:sz="4" w:space="0" w:color="auto"/>
            </w:tcBorders>
            <w:shd w:val="clear" w:color="auto" w:fill="C6EFCE"/>
            <w:noWrap/>
          </w:tcPr>
          <w:p w14:paraId="4FEE2CDF" w14:textId="77777777" w:rsidR="00FA7C11" w:rsidRDefault="00D84965">
            <w:pPr>
              <w:pStyle w:val="P68B1DB1-Normal66"/>
              <w:spacing w:after="200" w:line="276" w:lineRule="auto"/>
              <w:jc w:val="center"/>
              <w:rPr>
                <w:noProof/>
              </w:rPr>
            </w:pPr>
            <w:r>
              <w:rPr>
                <w:noProof/>
              </w:rPr>
              <w:t>C1.5. R1-I1</w:t>
            </w:r>
          </w:p>
        </w:tc>
        <w:tc>
          <w:tcPr>
            <w:tcW w:w="1026" w:type="dxa"/>
            <w:tcBorders>
              <w:top w:val="single" w:sz="4" w:space="0" w:color="auto"/>
              <w:left w:val="nil"/>
              <w:bottom w:val="single" w:sz="4" w:space="0" w:color="auto"/>
              <w:right w:val="single" w:sz="4" w:space="0" w:color="auto"/>
            </w:tcBorders>
            <w:shd w:val="clear" w:color="auto" w:fill="C6EFCE"/>
            <w:noWrap/>
          </w:tcPr>
          <w:p w14:paraId="7F3C48F1" w14:textId="77777777" w:rsidR="00FA7C11" w:rsidRDefault="00D84965">
            <w:pPr>
              <w:pStyle w:val="P68B1DB1-Normal66"/>
              <w:spacing w:after="200" w:line="276" w:lineRule="auto"/>
              <w:jc w:val="center"/>
              <w:rPr>
                <w:noProof/>
              </w:rPr>
            </w:pPr>
            <w:r>
              <w:rPr>
                <w:noProof/>
              </w:rPr>
              <w:t>T</w:t>
            </w:r>
          </w:p>
        </w:tc>
        <w:tc>
          <w:tcPr>
            <w:tcW w:w="2289" w:type="dxa"/>
            <w:tcBorders>
              <w:top w:val="single" w:sz="4" w:space="0" w:color="auto"/>
              <w:left w:val="nil"/>
              <w:bottom w:val="single" w:sz="4" w:space="0" w:color="auto"/>
              <w:right w:val="single" w:sz="4" w:space="0" w:color="auto"/>
            </w:tcBorders>
            <w:shd w:val="clear" w:color="auto" w:fill="C6EFCE"/>
            <w:noWrap/>
          </w:tcPr>
          <w:p w14:paraId="46C73A5D" w14:textId="71A60F62" w:rsidR="00FA7C11" w:rsidRDefault="00D84965">
            <w:pPr>
              <w:pStyle w:val="P68B1DB1-Normal66"/>
              <w:spacing w:after="200" w:line="276" w:lineRule="auto"/>
              <w:rPr>
                <w:noProof/>
              </w:rPr>
            </w:pPr>
            <w:r>
              <w:rPr>
                <w:noProof/>
              </w:rPr>
              <w:t xml:space="preserve">Construirea și funcționarea unui centru de distribuție logistică (LDC) </w:t>
            </w:r>
          </w:p>
        </w:tc>
        <w:tc>
          <w:tcPr>
            <w:tcW w:w="1942" w:type="dxa"/>
            <w:tcBorders>
              <w:top w:val="single" w:sz="4" w:space="0" w:color="auto"/>
              <w:left w:val="nil"/>
              <w:bottom w:val="single" w:sz="4" w:space="0" w:color="auto"/>
              <w:right w:val="single" w:sz="4" w:space="0" w:color="auto"/>
            </w:tcBorders>
            <w:shd w:val="clear" w:color="auto" w:fill="C6EFCE"/>
            <w:noWrap/>
          </w:tcPr>
          <w:p w14:paraId="6416E284" w14:textId="77777777" w:rsidR="00FA7C11" w:rsidRDefault="00D84965">
            <w:pPr>
              <w:pStyle w:val="P68B1DB1-Normal66"/>
              <w:spacing w:after="200" w:line="276" w:lineRule="auto"/>
              <w:rPr>
                <w:noProof/>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5CFCCEE6" w14:textId="77777777" w:rsidR="00FA7C11" w:rsidRDefault="00D84965">
            <w:pPr>
              <w:pStyle w:val="P68B1DB1-Normal66"/>
              <w:spacing w:after="200" w:line="276" w:lineRule="auto"/>
              <w:jc w:val="center"/>
              <w:rPr>
                <w:noProof/>
              </w:rPr>
            </w:pPr>
            <w:r>
              <w:rPr>
                <w:noProof/>
              </w:rPr>
              <w:t>Număr</w:t>
            </w:r>
          </w:p>
        </w:tc>
        <w:tc>
          <w:tcPr>
            <w:tcW w:w="835" w:type="dxa"/>
            <w:tcBorders>
              <w:top w:val="single" w:sz="4" w:space="0" w:color="auto"/>
              <w:left w:val="nil"/>
              <w:bottom w:val="single" w:sz="4" w:space="0" w:color="auto"/>
              <w:right w:val="single" w:sz="4" w:space="0" w:color="auto"/>
            </w:tcBorders>
            <w:shd w:val="clear" w:color="auto" w:fill="C6EFCE"/>
            <w:noWrap/>
          </w:tcPr>
          <w:p w14:paraId="699A2B70"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A815861" w14:textId="77777777" w:rsidR="00FA7C11" w:rsidRDefault="00D84965">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2F286246" w14:textId="77777777" w:rsidR="00FA7C11" w:rsidRDefault="00D84965">
            <w:pPr>
              <w:pStyle w:val="P68B1DB1-Normal66"/>
              <w:spacing w:after="200" w:line="276" w:lineRule="auto"/>
              <w:jc w:val="center"/>
              <w:rPr>
                <w:noProof/>
              </w:rPr>
            </w:pPr>
            <w:r>
              <w:rPr>
                <w:noProof/>
              </w:rPr>
              <w:t>Î4</w:t>
            </w:r>
          </w:p>
        </w:tc>
        <w:tc>
          <w:tcPr>
            <w:tcW w:w="797" w:type="dxa"/>
            <w:tcBorders>
              <w:top w:val="single" w:sz="4" w:space="0" w:color="auto"/>
              <w:left w:val="nil"/>
              <w:bottom w:val="single" w:sz="4" w:space="0" w:color="auto"/>
              <w:right w:val="single" w:sz="4" w:space="0" w:color="auto"/>
            </w:tcBorders>
            <w:shd w:val="clear" w:color="auto" w:fill="C6EFCE"/>
            <w:noWrap/>
          </w:tcPr>
          <w:p w14:paraId="3B4ED386" w14:textId="77777777" w:rsidR="00FA7C11" w:rsidRDefault="00D84965">
            <w:pPr>
              <w:pStyle w:val="P68B1DB1-Normal66"/>
              <w:spacing w:after="200" w:line="276" w:lineRule="auto"/>
              <w:jc w:val="center"/>
              <w:rPr>
                <w:noProof/>
              </w:rPr>
            </w:pPr>
            <w:r>
              <w:rPr>
                <w:noProof/>
              </w:rPr>
              <w:t>2023</w:t>
            </w:r>
          </w:p>
        </w:tc>
        <w:tc>
          <w:tcPr>
            <w:tcW w:w="5172" w:type="dxa"/>
            <w:tcBorders>
              <w:top w:val="single" w:sz="4" w:space="0" w:color="auto"/>
              <w:left w:val="nil"/>
              <w:bottom w:val="single" w:sz="4" w:space="0" w:color="auto"/>
              <w:right w:val="single" w:sz="4" w:space="0" w:color="auto"/>
            </w:tcBorders>
            <w:shd w:val="clear" w:color="auto" w:fill="C6EFCE"/>
            <w:noWrap/>
          </w:tcPr>
          <w:p w14:paraId="5A158914" w14:textId="77777777" w:rsidR="00FA7C11" w:rsidRDefault="00D84965">
            <w:pPr>
              <w:pStyle w:val="P68B1DB1-Normal66"/>
              <w:spacing w:after="200" w:line="276" w:lineRule="auto"/>
              <w:rPr>
                <w:noProof/>
              </w:rPr>
            </w:pPr>
            <w:r>
              <w:rPr>
                <w:noProof/>
              </w:rPr>
              <w:t>Centrul de distribuție logistică (LDC) construit include o parte de recondiționare destinată recepției produsului, curățării, spălării, sortării și ambalării, precum și o parte de depozitare cu o capacitate adecvată de primire și depozitare în condiții de refrigerare și depozitare pe termen lung și un anumit nivel de prelucrare a produsului. Prelucrarea primară a fructelor și legumelor este planificată pentru a utiliza produse de calitate nestandardizată și, astfel, pentru a evita risipa (risipa) de alimente. Capacitatea de stocare a țărilor cel mai puțin dezvoltate este de cel puțin 3 000 și de cel mult 12 000 de tone. Măsura se referă la construirea unei clădiri noi, cu o cerere de energie primară (PED) care este cu cel puțin 20 % mai mică decât clădirea al cărei consum de energie este aproape egal cu zero (NZEB).</w:t>
            </w:r>
          </w:p>
        </w:tc>
      </w:tr>
      <w:tr w:rsidR="00FA7C11" w14:paraId="16CA2EE3" w14:textId="77777777">
        <w:tc>
          <w:tcPr>
            <w:tcW w:w="872" w:type="dxa"/>
            <w:tcBorders>
              <w:top w:val="nil"/>
              <w:left w:val="single" w:sz="4" w:space="0" w:color="auto"/>
              <w:bottom w:val="single" w:sz="4" w:space="0" w:color="auto"/>
              <w:right w:val="single" w:sz="4" w:space="0" w:color="auto"/>
            </w:tcBorders>
            <w:shd w:val="clear" w:color="auto" w:fill="C6EFCE"/>
            <w:noWrap/>
          </w:tcPr>
          <w:p w14:paraId="25BC7974" w14:textId="77777777" w:rsidR="00FA7C11" w:rsidRDefault="00D84965">
            <w:pPr>
              <w:pStyle w:val="P68B1DB1-Normal66"/>
              <w:spacing w:after="200" w:line="276" w:lineRule="auto"/>
              <w:jc w:val="center"/>
              <w:rPr>
                <w:noProof/>
              </w:rPr>
            </w:pPr>
            <w:r>
              <w:rPr>
                <w:noProof/>
              </w:rPr>
              <w:t>128</w:t>
            </w:r>
          </w:p>
        </w:tc>
        <w:tc>
          <w:tcPr>
            <w:tcW w:w="1080" w:type="dxa"/>
            <w:tcBorders>
              <w:top w:val="nil"/>
              <w:left w:val="nil"/>
              <w:bottom w:val="single" w:sz="4" w:space="0" w:color="auto"/>
              <w:right w:val="single" w:sz="4" w:space="0" w:color="auto"/>
            </w:tcBorders>
            <w:shd w:val="clear" w:color="auto" w:fill="C6EFCE"/>
            <w:noWrap/>
          </w:tcPr>
          <w:p w14:paraId="4A8C0D8A" w14:textId="77777777" w:rsidR="00FA7C11" w:rsidRDefault="00D84965">
            <w:pPr>
              <w:pStyle w:val="P68B1DB1-Normal66"/>
              <w:spacing w:after="200" w:line="276" w:lineRule="auto"/>
              <w:jc w:val="center"/>
              <w:rPr>
                <w:noProof/>
              </w:rPr>
            </w:pPr>
            <w:r>
              <w:rPr>
                <w:noProof/>
              </w:rPr>
              <w:t>C1.5. R1-I1</w:t>
            </w:r>
          </w:p>
        </w:tc>
        <w:tc>
          <w:tcPr>
            <w:tcW w:w="1026" w:type="dxa"/>
            <w:tcBorders>
              <w:top w:val="nil"/>
              <w:left w:val="nil"/>
              <w:bottom w:val="single" w:sz="4" w:space="0" w:color="auto"/>
              <w:right w:val="single" w:sz="4" w:space="0" w:color="auto"/>
            </w:tcBorders>
            <w:shd w:val="clear" w:color="auto" w:fill="C6EFCE"/>
            <w:noWrap/>
          </w:tcPr>
          <w:p w14:paraId="79F03C06" w14:textId="77777777" w:rsidR="00FA7C11" w:rsidRDefault="00D84965">
            <w:pPr>
              <w:pStyle w:val="P68B1DB1-Normal66"/>
              <w:spacing w:after="200" w:line="276" w:lineRule="auto"/>
              <w:jc w:val="center"/>
              <w:rPr>
                <w:noProof/>
              </w:rPr>
            </w:pPr>
            <w:r>
              <w:rPr>
                <w:noProof/>
              </w:rPr>
              <w:t>T</w:t>
            </w:r>
          </w:p>
        </w:tc>
        <w:tc>
          <w:tcPr>
            <w:tcW w:w="2289" w:type="dxa"/>
            <w:tcBorders>
              <w:top w:val="nil"/>
              <w:left w:val="nil"/>
              <w:bottom w:val="single" w:sz="4" w:space="0" w:color="auto"/>
              <w:right w:val="single" w:sz="4" w:space="0" w:color="auto"/>
            </w:tcBorders>
            <w:shd w:val="clear" w:color="auto" w:fill="C6EFCE"/>
            <w:noWrap/>
          </w:tcPr>
          <w:p w14:paraId="103BAAAB" w14:textId="3327BF0D" w:rsidR="00FA7C11" w:rsidRDefault="00D84965">
            <w:pPr>
              <w:pStyle w:val="P68B1DB1-Normal66"/>
              <w:spacing w:after="200" w:line="276" w:lineRule="auto"/>
              <w:rPr>
                <w:noProof/>
              </w:rPr>
            </w:pPr>
            <w:r>
              <w:rPr>
                <w:noProof/>
              </w:rPr>
              <w:t xml:space="preserve">Cel puțin două centre logistice de distribuție construite </w:t>
            </w:r>
          </w:p>
        </w:tc>
        <w:tc>
          <w:tcPr>
            <w:tcW w:w="1942" w:type="dxa"/>
            <w:tcBorders>
              <w:top w:val="nil"/>
              <w:left w:val="nil"/>
              <w:bottom w:val="single" w:sz="4" w:space="0" w:color="auto"/>
              <w:right w:val="single" w:sz="4" w:space="0" w:color="auto"/>
            </w:tcBorders>
            <w:shd w:val="clear" w:color="auto" w:fill="C6EFCE"/>
            <w:noWrap/>
          </w:tcPr>
          <w:p w14:paraId="5C0F1898" w14:textId="77777777" w:rsidR="00FA7C11" w:rsidRDefault="00D84965">
            <w:pPr>
              <w:pStyle w:val="P68B1DB1-Normal66"/>
              <w:spacing w:after="200" w:line="276" w:lineRule="auto"/>
              <w:rPr>
                <w:noProof/>
              </w:rPr>
            </w:pPr>
            <w:r>
              <w:rPr>
                <w:noProof/>
              </w:rPr>
              <w:t xml:space="preserve"> </w:t>
            </w:r>
          </w:p>
        </w:tc>
        <w:tc>
          <w:tcPr>
            <w:tcW w:w="712" w:type="dxa"/>
            <w:tcBorders>
              <w:top w:val="nil"/>
              <w:left w:val="nil"/>
              <w:bottom w:val="single" w:sz="4" w:space="0" w:color="auto"/>
              <w:right w:val="single" w:sz="4" w:space="0" w:color="auto"/>
            </w:tcBorders>
            <w:shd w:val="clear" w:color="auto" w:fill="C6EFCE"/>
            <w:noWrap/>
          </w:tcPr>
          <w:p w14:paraId="4A2F5B15" w14:textId="77777777" w:rsidR="00FA7C11" w:rsidRDefault="00D84965">
            <w:pPr>
              <w:pStyle w:val="P68B1DB1-Normal66"/>
              <w:spacing w:after="200" w:line="276" w:lineRule="auto"/>
              <w:jc w:val="center"/>
              <w:rPr>
                <w:noProof/>
              </w:rPr>
            </w:pPr>
            <w:r>
              <w:rPr>
                <w:noProof/>
              </w:rPr>
              <w:t>Număr</w:t>
            </w:r>
          </w:p>
        </w:tc>
        <w:tc>
          <w:tcPr>
            <w:tcW w:w="835" w:type="dxa"/>
            <w:tcBorders>
              <w:top w:val="nil"/>
              <w:left w:val="nil"/>
              <w:bottom w:val="single" w:sz="4" w:space="0" w:color="auto"/>
              <w:right w:val="single" w:sz="4" w:space="0" w:color="auto"/>
            </w:tcBorders>
            <w:shd w:val="clear" w:color="auto" w:fill="C6EFCE"/>
            <w:noWrap/>
          </w:tcPr>
          <w:p w14:paraId="15C602A2" w14:textId="77777777" w:rsidR="00FA7C11" w:rsidRDefault="00D84965">
            <w:pPr>
              <w:pStyle w:val="P68B1DB1-Normal66"/>
              <w:spacing w:after="200" w:line="276" w:lineRule="auto"/>
              <w:jc w:val="center"/>
              <w:rPr>
                <w:noProof/>
              </w:rPr>
            </w:pPr>
            <w:r>
              <w:rPr>
                <w:noProof/>
              </w:rPr>
              <w:t>1</w:t>
            </w:r>
          </w:p>
        </w:tc>
        <w:tc>
          <w:tcPr>
            <w:tcW w:w="709" w:type="dxa"/>
            <w:tcBorders>
              <w:top w:val="nil"/>
              <w:left w:val="nil"/>
              <w:bottom w:val="single" w:sz="4" w:space="0" w:color="auto"/>
              <w:right w:val="single" w:sz="4" w:space="0" w:color="auto"/>
            </w:tcBorders>
            <w:shd w:val="clear" w:color="auto" w:fill="C6EFCE"/>
            <w:noWrap/>
          </w:tcPr>
          <w:p w14:paraId="685FB7B2" w14:textId="77777777" w:rsidR="00FA7C11" w:rsidRDefault="00D84965">
            <w:pPr>
              <w:pStyle w:val="P68B1DB1-Normal66"/>
              <w:spacing w:after="200" w:line="276" w:lineRule="auto"/>
              <w:jc w:val="center"/>
              <w:rPr>
                <w:noProof/>
              </w:rPr>
            </w:pPr>
            <w:r>
              <w:rPr>
                <w:noProof/>
              </w:rPr>
              <w:t>3</w:t>
            </w:r>
          </w:p>
        </w:tc>
        <w:tc>
          <w:tcPr>
            <w:tcW w:w="756" w:type="dxa"/>
            <w:tcBorders>
              <w:top w:val="nil"/>
              <w:left w:val="nil"/>
              <w:bottom w:val="single" w:sz="4" w:space="0" w:color="auto"/>
              <w:right w:val="single" w:sz="4" w:space="0" w:color="auto"/>
            </w:tcBorders>
            <w:shd w:val="clear" w:color="auto" w:fill="C6EFCE"/>
            <w:noWrap/>
          </w:tcPr>
          <w:p w14:paraId="3B17265E" w14:textId="77777777" w:rsidR="00FA7C11" w:rsidRDefault="00D84965">
            <w:pPr>
              <w:pStyle w:val="P68B1DB1-Normal66"/>
              <w:spacing w:after="200" w:line="276" w:lineRule="auto"/>
              <w:jc w:val="center"/>
              <w:rPr>
                <w:noProof/>
              </w:rPr>
            </w:pPr>
            <w:r>
              <w:rPr>
                <w:noProof/>
              </w:rPr>
              <w:t>Î1</w:t>
            </w:r>
          </w:p>
        </w:tc>
        <w:tc>
          <w:tcPr>
            <w:tcW w:w="797" w:type="dxa"/>
            <w:tcBorders>
              <w:top w:val="nil"/>
              <w:left w:val="nil"/>
              <w:bottom w:val="single" w:sz="4" w:space="0" w:color="auto"/>
              <w:right w:val="single" w:sz="4" w:space="0" w:color="auto"/>
            </w:tcBorders>
            <w:shd w:val="clear" w:color="auto" w:fill="C6EFCE"/>
            <w:noWrap/>
          </w:tcPr>
          <w:p w14:paraId="0227C3E9" w14:textId="77777777" w:rsidR="00FA7C11" w:rsidRDefault="00D84965">
            <w:pPr>
              <w:pStyle w:val="P68B1DB1-Normal66"/>
              <w:spacing w:after="200" w:line="276" w:lineRule="auto"/>
              <w:jc w:val="center"/>
              <w:rPr>
                <w:noProof/>
              </w:rPr>
            </w:pPr>
            <w:r>
              <w:rPr>
                <w:noProof/>
              </w:rPr>
              <w:t>2026</w:t>
            </w:r>
          </w:p>
        </w:tc>
        <w:tc>
          <w:tcPr>
            <w:tcW w:w="5172" w:type="dxa"/>
            <w:tcBorders>
              <w:top w:val="nil"/>
              <w:left w:val="nil"/>
              <w:bottom w:val="single" w:sz="4" w:space="0" w:color="auto"/>
              <w:right w:val="single" w:sz="4" w:space="0" w:color="auto"/>
            </w:tcBorders>
            <w:shd w:val="clear" w:color="auto" w:fill="C6EFCE"/>
            <w:noWrap/>
          </w:tcPr>
          <w:p w14:paraId="4A937A5D" w14:textId="4CF016CB" w:rsidR="00FA7C11" w:rsidRDefault="00D84965">
            <w:pPr>
              <w:spacing w:after="200" w:line="276" w:lineRule="auto"/>
              <w:rPr>
                <w:rFonts w:ascii="Times New Roman" w:eastAsia="Calibri" w:hAnsi="Times New Roman" w:cs="Times New Roman"/>
                <w:noProof/>
                <w:sz w:val="20"/>
                <w:szCs w:val="20"/>
              </w:rPr>
            </w:pPr>
            <w:r>
              <w:rPr>
                <w:rFonts w:ascii="Times New Roman" w:eastAsia="Calibri" w:hAnsi="Times New Roman" w:cs="Times New Roman"/>
                <w:noProof/>
                <w:color w:val="000000"/>
                <w:sz w:val="20"/>
                <w:szCs w:val="20"/>
              </w:rPr>
              <w:t>Se construiesc cel puțin două centre de distribuție logistică (LDC), fiecare cu o capacitate de stocare de cel puțin 3 000 de tone.</w:t>
            </w:r>
            <w:r>
              <w:rPr>
                <w:rFonts w:ascii="Times New Roman" w:hAnsi="Times New Roman" w:cs="Times New Roman"/>
                <w:noProof/>
              </w:rPr>
              <w:t xml:space="preserve"> </w:t>
            </w:r>
            <w:r>
              <w:rPr>
                <w:rFonts w:ascii="Times New Roman" w:eastAsia="Calibri" w:hAnsi="Times New Roman" w:cs="Times New Roman"/>
                <w:noProof/>
                <w:color w:val="000000"/>
                <w:sz w:val="20"/>
                <w:szCs w:val="20"/>
              </w:rPr>
              <w:t>Măsura se referă la construirea de clădiri noi care au o cerere de energie primară cu cel puțin 20 % mai mică decât media pragurilor pentru clădirile al căror consum de energie este aproape egal cu zero (NZEB) în cazul clădirilor nerezidențiale și care utilizează surse regenerabile de energie.</w:t>
            </w:r>
          </w:p>
        </w:tc>
      </w:tr>
      <w:tr w:rsidR="00FA7C11" w14:paraId="0D1AA321"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65757090" w14:textId="77777777" w:rsidR="00FA7C11" w:rsidRDefault="00D84965">
            <w:pPr>
              <w:pStyle w:val="P68B1DB1-Normal66"/>
              <w:spacing w:after="200" w:line="276" w:lineRule="auto"/>
              <w:jc w:val="center"/>
              <w:rPr>
                <w:noProof/>
              </w:rPr>
            </w:pPr>
            <w:r>
              <w:rPr>
                <w:noProof/>
              </w:rPr>
              <w:t>129</w:t>
            </w:r>
          </w:p>
        </w:tc>
        <w:tc>
          <w:tcPr>
            <w:tcW w:w="1080" w:type="dxa"/>
            <w:tcBorders>
              <w:top w:val="single" w:sz="4" w:space="0" w:color="auto"/>
              <w:left w:val="nil"/>
              <w:bottom w:val="single" w:sz="4" w:space="0" w:color="auto"/>
              <w:right w:val="single" w:sz="4" w:space="0" w:color="auto"/>
            </w:tcBorders>
            <w:shd w:val="clear" w:color="auto" w:fill="C6EFCE"/>
            <w:noWrap/>
          </w:tcPr>
          <w:p w14:paraId="656C23B2" w14:textId="77777777" w:rsidR="00FA7C11" w:rsidRDefault="00D84965">
            <w:pPr>
              <w:pStyle w:val="P68B1DB1-Normal66"/>
              <w:spacing w:after="200" w:line="276" w:lineRule="auto"/>
              <w:jc w:val="center"/>
              <w:rPr>
                <w:noProof/>
              </w:rPr>
            </w:pPr>
            <w:r>
              <w:rPr>
                <w:noProof/>
              </w:rPr>
              <w:t>C1.5. R1-I2</w:t>
            </w:r>
          </w:p>
        </w:tc>
        <w:tc>
          <w:tcPr>
            <w:tcW w:w="1026" w:type="dxa"/>
            <w:tcBorders>
              <w:top w:val="single" w:sz="4" w:space="0" w:color="auto"/>
              <w:left w:val="nil"/>
              <w:bottom w:val="single" w:sz="4" w:space="0" w:color="auto"/>
              <w:right w:val="single" w:sz="4" w:space="0" w:color="auto"/>
            </w:tcBorders>
            <w:shd w:val="clear" w:color="auto" w:fill="C6EFCE"/>
            <w:noWrap/>
          </w:tcPr>
          <w:p w14:paraId="00A24646" w14:textId="77777777" w:rsidR="00FA7C11" w:rsidRDefault="00D84965">
            <w:pPr>
              <w:pStyle w:val="P68B1DB1-Normal66"/>
              <w:spacing w:after="200" w:line="276" w:lineRule="auto"/>
              <w:jc w:val="center"/>
              <w:rPr>
                <w:noProof/>
              </w:rPr>
            </w:pPr>
            <w:r>
              <w:rPr>
                <w:noProof/>
              </w:rPr>
              <w:t>T</w:t>
            </w:r>
          </w:p>
        </w:tc>
        <w:tc>
          <w:tcPr>
            <w:tcW w:w="2289" w:type="dxa"/>
            <w:tcBorders>
              <w:top w:val="single" w:sz="4" w:space="0" w:color="auto"/>
              <w:left w:val="nil"/>
              <w:bottom w:val="single" w:sz="4" w:space="0" w:color="auto"/>
              <w:right w:val="single" w:sz="4" w:space="0" w:color="auto"/>
            </w:tcBorders>
            <w:shd w:val="clear" w:color="auto" w:fill="C6EFCE"/>
            <w:noWrap/>
          </w:tcPr>
          <w:p w14:paraId="6C6EA067" w14:textId="77777777" w:rsidR="00FA7C11" w:rsidRDefault="00D84965">
            <w:pPr>
              <w:pStyle w:val="P68B1DB1-Normal66"/>
              <w:spacing w:after="200" w:line="276" w:lineRule="auto"/>
              <w:rPr>
                <w:noProof/>
              </w:rPr>
            </w:pPr>
            <w:r>
              <w:rPr>
                <w:noProof/>
              </w:rPr>
              <w:t>Formare pentru organizațiile de producători</w:t>
            </w:r>
          </w:p>
        </w:tc>
        <w:tc>
          <w:tcPr>
            <w:tcW w:w="1942" w:type="dxa"/>
            <w:tcBorders>
              <w:top w:val="single" w:sz="4" w:space="0" w:color="auto"/>
              <w:left w:val="nil"/>
              <w:bottom w:val="single" w:sz="4" w:space="0" w:color="auto"/>
              <w:right w:val="single" w:sz="4" w:space="0" w:color="auto"/>
            </w:tcBorders>
            <w:shd w:val="clear" w:color="auto" w:fill="C6EFCE"/>
            <w:noWrap/>
          </w:tcPr>
          <w:p w14:paraId="6B0C795E" w14:textId="77777777" w:rsidR="00FA7C11" w:rsidRDefault="00D84965">
            <w:pPr>
              <w:pStyle w:val="P68B1DB1-Normal66"/>
              <w:spacing w:after="200" w:line="276" w:lineRule="auto"/>
              <w:rPr>
                <w:noProof/>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5898EA62" w14:textId="77777777" w:rsidR="00FA7C11" w:rsidRDefault="00D84965">
            <w:pPr>
              <w:pStyle w:val="P68B1DB1-Normal66"/>
              <w:spacing w:after="200" w:line="276" w:lineRule="auto"/>
              <w:jc w:val="center"/>
              <w:rPr>
                <w:noProof/>
              </w:rPr>
            </w:pPr>
            <w:r>
              <w:rPr>
                <w:noProof/>
              </w:rPr>
              <w:t>Număr</w:t>
            </w:r>
          </w:p>
        </w:tc>
        <w:tc>
          <w:tcPr>
            <w:tcW w:w="835" w:type="dxa"/>
            <w:tcBorders>
              <w:top w:val="single" w:sz="4" w:space="0" w:color="auto"/>
              <w:left w:val="nil"/>
              <w:bottom w:val="single" w:sz="4" w:space="0" w:color="auto"/>
              <w:right w:val="single" w:sz="4" w:space="0" w:color="auto"/>
            </w:tcBorders>
            <w:shd w:val="clear" w:color="auto" w:fill="C6EFCE"/>
            <w:noWrap/>
          </w:tcPr>
          <w:p w14:paraId="7D648658"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1482C885" w14:textId="77777777" w:rsidR="00FA7C11" w:rsidRDefault="00D84965">
            <w:pPr>
              <w:pStyle w:val="P68B1DB1-Normal66"/>
              <w:spacing w:after="200" w:line="276" w:lineRule="auto"/>
              <w:jc w:val="center"/>
              <w:rPr>
                <w:noProof/>
              </w:rPr>
            </w:pPr>
            <w:r>
              <w:rPr>
                <w:noProof/>
              </w:rPr>
              <w:t>3</w:t>
            </w:r>
          </w:p>
        </w:tc>
        <w:tc>
          <w:tcPr>
            <w:tcW w:w="756" w:type="dxa"/>
            <w:tcBorders>
              <w:top w:val="single" w:sz="4" w:space="0" w:color="auto"/>
              <w:left w:val="nil"/>
              <w:bottom w:val="single" w:sz="4" w:space="0" w:color="auto"/>
              <w:right w:val="single" w:sz="4" w:space="0" w:color="auto"/>
            </w:tcBorders>
            <w:shd w:val="clear" w:color="auto" w:fill="C6EFCE"/>
            <w:noWrap/>
          </w:tcPr>
          <w:p w14:paraId="7853552E" w14:textId="77777777" w:rsidR="00FA7C11" w:rsidRDefault="00D84965">
            <w:pPr>
              <w:pStyle w:val="P68B1DB1-Normal66"/>
              <w:spacing w:after="200" w:line="276" w:lineRule="auto"/>
              <w:jc w:val="center"/>
              <w:rPr>
                <w:noProof/>
              </w:rPr>
            </w:pPr>
            <w:r>
              <w:rPr>
                <w:noProof/>
              </w:rPr>
              <w:t>Î2</w:t>
            </w:r>
          </w:p>
        </w:tc>
        <w:tc>
          <w:tcPr>
            <w:tcW w:w="797" w:type="dxa"/>
            <w:tcBorders>
              <w:top w:val="single" w:sz="4" w:space="0" w:color="auto"/>
              <w:left w:val="nil"/>
              <w:bottom w:val="single" w:sz="4" w:space="0" w:color="auto"/>
              <w:right w:val="single" w:sz="4" w:space="0" w:color="auto"/>
            </w:tcBorders>
            <w:shd w:val="clear" w:color="auto" w:fill="C6EFCE"/>
            <w:noWrap/>
          </w:tcPr>
          <w:p w14:paraId="2FF7AEC3" w14:textId="77777777" w:rsidR="00FA7C11" w:rsidRDefault="00D84965">
            <w:pPr>
              <w:pStyle w:val="P68B1DB1-Normal66"/>
              <w:spacing w:after="200" w:line="276" w:lineRule="auto"/>
              <w:jc w:val="center"/>
              <w:rPr>
                <w:noProof/>
              </w:rPr>
            </w:pPr>
            <w:r>
              <w:rPr>
                <w:noProof/>
              </w:rPr>
              <w:t>2026</w:t>
            </w:r>
          </w:p>
        </w:tc>
        <w:tc>
          <w:tcPr>
            <w:tcW w:w="5172" w:type="dxa"/>
            <w:tcBorders>
              <w:top w:val="single" w:sz="4" w:space="0" w:color="auto"/>
              <w:left w:val="nil"/>
              <w:bottom w:val="single" w:sz="4" w:space="0" w:color="auto"/>
              <w:right w:val="single" w:sz="4" w:space="0" w:color="auto"/>
            </w:tcBorders>
            <w:shd w:val="clear" w:color="auto" w:fill="C6EFCE"/>
            <w:noWrap/>
          </w:tcPr>
          <w:p w14:paraId="4BF83BCA" w14:textId="29B1070F" w:rsidR="00FA7C11" w:rsidRDefault="00D84965">
            <w:pPr>
              <w:pStyle w:val="P68B1DB1-Normal66"/>
              <w:spacing w:after="200" w:line="276" w:lineRule="auto"/>
              <w:rPr>
                <w:noProof/>
              </w:rPr>
            </w:pPr>
            <w:r>
              <w:rPr>
                <w:noProof/>
              </w:rPr>
              <w:t xml:space="preserve">Cel puțin 3 organizații de producători (OP) legate de centrele de distribuție logistică trebuie să fi participat la cursuri de formare legate de domeniul gestionării și finanțării organizațiilor de producători, la care să participe cel puțin 15 persoane. </w:t>
            </w:r>
          </w:p>
        </w:tc>
      </w:tr>
      <w:tr w:rsidR="00FA7C11" w14:paraId="2FAFEF37" w14:textId="77777777">
        <w:tc>
          <w:tcPr>
            <w:tcW w:w="872" w:type="dxa"/>
            <w:tcBorders>
              <w:top w:val="nil"/>
              <w:left w:val="single" w:sz="4" w:space="0" w:color="auto"/>
              <w:bottom w:val="single" w:sz="4" w:space="0" w:color="auto"/>
              <w:right w:val="single" w:sz="4" w:space="0" w:color="auto"/>
            </w:tcBorders>
            <w:shd w:val="clear" w:color="auto" w:fill="C6EFCE"/>
            <w:noWrap/>
          </w:tcPr>
          <w:p w14:paraId="51F0EE4C" w14:textId="77777777" w:rsidR="00FA7C11" w:rsidRDefault="00D84965">
            <w:pPr>
              <w:pStyle w:val="P68B1DB1-Normal66"/>
              <w:spacing w:after="200" w:line="276" w:lineRule="auto"/>
              <w:jc w:val="center"/>
              <w:rPr>
                <w:noProof/>
              </w:rPr>
            </w:pPr>
            <w:r>
              <w:rPr>
                <w:noProof/>
              </w:rPr>
              <w:t>130</w:t>
            </w:r>
          </w:p>
        </w:tc>
        <w:tc>
          <w:tcPr>
            <w:tcW w:w="1080" w:type="dxa"/>
            <w:tcBorders>
              <w:top w:val="nil"/>
              <w:left w:val="nil"/>
              <w:bottom w:val="single" w:sz="4" w:space="0" w:color="auto"/>
              <w:right w:val="single" w:sz="4" w:space="0" w:color="auto"/>
            </w:tcBorders>
            <w:shd w:val="clear" w:color="auto" w:fill="C6EFCE"/>
            <w:noWrap/>
          </w:tcPr>
          <w:p w14:paraId="22F2B420" w14:textId="77777777" w:rsidR="00FA7C11" w:rsidRDefault="00D84965">
            <w:pPr>
              <w:pStyle w:val="P68B1DB1-Normal66"/>
              <w:spacing w:after="200" w:line="276" w:lineRule="auto"/>
              <w:jc w:val="center"/>
              <w:rPr>
                <w:noProof/>
              </w:rPr>
            </w:pPr>
            <w:r>
              <w:rPr>
                <w:noProof/>
              </w:rPr>
              <w:t>C1.5. R1-I2</w:t>
            </w:r>
          </w:p>
        </w:tc>
        <w:tc>
          <w:tcPr>
            <w:tcW w:w="1026" w:type="dxa"/>
            <w:tcBorders>
              <w:top w:val="nil"/>
              <w:left w:val="nil"/>
              <w:bottom w:val="single" w:sz="4" w:space="0" w:color="auto"/>
              <w:right w:val="single" w:sz="4" w:space="0" w:color="auto"/>
            </w:tcBorders>
            <w:shd w:val="clear" w:color="auto" w:fill="C6EFCE"/>
            <w:noWrap/>
          </w:tcPr>
          <w:p w14:paraId="53F4F349" w14:textId="77777777" w:rsidR="00FA7C11" w:rsidRDefault="00D84965">
            <w:pPr>
              <w:pStyle w:val="P68B1DB1-Normal66"/>
              <w:spacing w:after="200" w:line="276" w:lineRule="auto"/>
              <w:jc w:val="center"/>
              <w:rPr>
                <w:noProof/>
              </w:rPr>
            </w:pPr>
            <w:r>
              <w:rPr>
                <w:noProof/>
              </w:rPr>
              <w:t>M</w:t>
            </w:r>
          </w:p>
        </w:tc>
        <w:tc>
          <w:tcPr>
            <w:tcW w:w="2289" w:type="dxa"/>
            <w:tcBorders>
              <w:top w:val="nil"/>
              <w:left w:val="nil"/>
              <w:bottom w:val="single" w:sz="4" w:space="0" w:color="auto"/>
              <w:right w:val="single" w:sz="4" w:space="0" w:color="auto"/>
            </w:tcBorders>
            <w:shd w:val="clear" w:color="auto" w:fill="C6EFCE"/>
            <w:noWrap/>
          </w:tcPr>
          <w:p w14:paraId="7726122E" w14:textId="77777777" w:rsidR="00FA7C11" w:rsidRDefault="00D84965">
            <w:pPr>
              <w:pStyle w:val="P68B1DB1-Normal66"/>
              <w:spacing w:after="200" w:line="276" w:lineRule="auto"/>
              <w:rPr>
                <w:noProof/>
              </w:rPr>
            </w:pPr>
            <w:r>
              <w:rPr>
                <w:noProof/>
              </w:rPr>
              <w:t>Sistemul de etichetare a fructelor și legumelor</w:t>
            </w:r>
          </w:p>
        </w:tc>
        <w:tc>
          <w:tcPr>
            <w:tcW w:w="1942" w:type="dxa"/>
            <w:tcBorders>
              <w:top w:val="nil"/>
              <w:left w:val="nil"/>
              <w:bottom w:val="single" w:sz="4" w:space="0" w:color="auto"/>
              <w:right w:val="single" w:sz="4" w:space="0" w:color="auto"/>
            </w:tcBorders>
            <w:shd w:val="clear" w:color="auto" w:fill="C6EFCE"/>
            <w:noWrap/>
          </w:tcPr>
          <w:p w14:paraId="0A9466AD" w14:textId="7AA1AE99" w:rsidR="00FA7C11" w:rsidRDefault="00D84965">
            <w:pPr>
              <w:pStyle w:val="P68B1DB1-Normal66"/>
              <w:spacing w:after="200" w:line="276" w:lineRule="auto"/>
              <w:rPr>
                <w:noProof/>
              </w:rPr>
            </w:pPr>
            <w:r>
              <w:rPr>
                <w:noProof/>
              </w:rPr>
              <w:t>Document emis care confirmă conformitatea noilor sisteme de calitate cu cerințele de etichetare ale sistemelor de calitate</w:t>
            </w:r>
          </w:p>
        </w:tc>
        <w:tc>
          <w:tcPr>
            <w:tcW w:w="712" w:type="dxa"/>
            <w:tcBorders>
              <w:top w:val="nil"/>
              <w:left w:val="nil"/>
              <w:bottom w:val="single" w:sz="4" w:space="0" w:color="auto"/>
              <w:right w:val="single" w:sz="4" w:space="0" w:color="auto"/>
            </w:tcBorders>
            <w:shd w:val="clear" w:color="auto" w:fill="C6EFCE"/>
            <w:noWrap/>
          </w:tcPr>
          <w:p w14:paraId="7A33A6FA" w14:textId="07688A11" w:rsidR="00FA7C11" w:rsidRDefault="00FA7C11">
            <w:pPr>
              <w:spacing w:after="200" w:line="276" w:lineRule="auto"/>
              <w:jc w:val="center"/>
              <w:rPr>
                <w:rFonts w:ascii="Times New Roman" w:eastAsia="Calibri" w:hAnsi="Times New Roman" w:cs="Times New Roman"/>
                <w:noProof/>
                <w:sz w:val="20"/>
                <w:szCs w:val="20"/>
              </w:rPr>
            </w:pPr>
          </w:p>
        </w:tc>
        <w:tc>
          <w:tcPr>
            <w:tcW w:w="835" w:type="dxa"/>
            <w:tcBorders>
              <w:top w:val="nil"/>
              <w:left w:val="nil"/>
              <w:bottom w:val="single" w:sz="4" w:space="0" w:color="auto"/>
              <w:right w:val="single" w:sz="4" w:space="0" w:color="auto"/>
            </w:tcBorders>
            <w:shd w:val="clear" w:color="auto" w:fill="C6EFCE"/>
            <w:noWrap/>
          </w:tcPr>
          <w:p w14:paraId="2A99C480" w14:textId="508569D1" w:rsidR="00FA7C11" w:rsidRDefault="00FA7C11">
            <w:pPr>
              <w:spacing w:after="200" w:line="276" w:lineRule="auto"/>
              <w:jc w:val="center"/>
              <w:rPr>
                <w:rFonts w:ascii="Times New Roman" w:eastAsia="Calibri" w:hAnsi="Times New Roman" w:cs="Times New Roman"/>
                <w:noProof/>
                <w:sz w:val="20"/>
                <w:szCs w:val="20"/>
              </w:rPr>
            </w:pPr>
          </w:p>
        </w:tc>
        <w:tc>
          <w:tcPr>
            <w:tcW w:w="709" w:type="dxa"/>
            <w:tcBorders>
              <w:top w:val="nil"/>
              <w:left w:val="nil"/>
              <w:bottom w:val="single" w:sz="4" w:space="0" w:color="auto"/>
              <w:right w:val="single" w:sz="4" w:space="0" w:color="auto"/>
            </w:tcBorders>
            <w:shd w:val="clear" w:color="auto" w:fill="C6EFCE"/>
            <w:noWrap/>
          </w:tcPr>
          <w:p w14:paraId="681429C1" w14:textId="2939673F" w:rsidR="00FA7C11" w:rsidRDefault="00FA7C11">
            <w:pPr>
              <w:spacing w:after="200" w:line="276" w:lineRule="auto"/>
              <w:jc w:val="center"/>
              <w:rPr>
                <w:rFonts w:ascii="Times New Roman" w:eastAsia="Calibri" w:hAnsi="Times New Roman" w:cs="Times New Roman"/>
                <w:noProof/>
                <w:sz w:val="20"/>
                <w:szCs w:val="20"/>
              </w:rPr>
            </w:pPr>
          </w:p>
        </w:tc>
        <w:tc>
          <w:tcPr>
            <w:tcW w:w="756" w:type="dxa"/>
            <w:tcBorders>
              <w:top w:val="nil"/>
              <w:left w:val="nil"/>
              <w:bottom w:val="single" w:sz="4" w:space="0" w:color="auto"/>
              <w:right w:val="single" w:sz="4" w:space="0" w:color="auto"/>
            </w:tcBorders>
            <w:shd w:val="clear" w:color="auto" w:fill="C6EFCE"/>
            <w:noWrap/>
          </w:tcPr>
          <w:p w14:paraId="6892C759" w14:textId="77777777" w:rsidR="00FA7C11" w:rsidRDefault="00D84965">
            <w:pPr>
              <w:pStyle w:val="P68B1DB1-Normal66"/>
              <w:spacing w:after="200" w:line="276" w:lineRule="auto"/>
              <w:jc w:val="center"/>
              <w:rPr>
                <w:noProof/>
              </w:rPr>
            </w:pPr>
            <w:r>
              <w:rPr>
                <w:noProof/>
              </w:rPr>
              <w:t>Î2</w:t>
            </w:r>
          </w:p>
        </w:tc>
        <w:tc>
          <w:tcPr>
            <w:tcW w:w="797" w:type="dxa"/>
            <w:tcBorders>
              <w:top w:val="nil"/>
              <w:left w:val="nil"/>
              <w:bottom w:val="single" w:sz="4" w:space="0" w:color="auto"/>
              <w:right w:val="single" w:sz="4" w:space="0" w:color="auto"/>
            </w:tcBorders>
            <w:shd w:val="clear" w:color="auto" w:fill="C6EFCE"/>
            <w:noWrap/>
          </w:tcPr>
          <w:p w14:paraId="61F6934C" w14:textId="77777777" w:rsidR="00FA7C11" w:rsidRDefault="00D84965">
            <w:pPr>
              <w:pStyle w:val="P68B1DB1-Normal66"/>
              <w:spacing w:after="200" w:line="276" w:lineRule="auto"/>
              <w:jc w:val="center"/>
              <w:rPr>
                <w:noProof/>
              </w:rPr>
            </w:pPr>
            <w:r>
              <w:rPr>
                <w:noProof/>
              </w:rPr>
              <w:t>2026</w:t>
            </w:r>
          </w:p>
        </w:tc>
        <w:tc>
          <w:tcPr>
            <w:tcW w:w="5172" w:type="dxa"/>
            <w:tcBorders>
              <w:top w:val="nil"/>
              <w:left w:val="nil"/>
              <w:bottom w:val="single" w:sz="4" w:space="0" w:color="auto"/>
              <w:right w:val="single" w:sz="4" w:space="0" w:color="auto"/>
            </w:tcBorders>
            <w:shd w:val="clear" w:color="auto" w:fill="C6EFCE"/>
            <w:noWrap/>
          </w:tcPr>
          <w:p w14:paraId="4B7DAF03" w14:textId="77777777" w:rsidR="00FA7C11" w:rsidRDefault="00D84965">
            <w:pPr>
              <w:pStyle w:val="P68B1DB1-Normal66"/>
              <w:spacing w:after="200" w:line="276" w:lineRule="auto"/>
              <w:rPr>
                <w:noProof/>
              </w:rPr>
            </w:pPr>
            <w:r>
              <w:rPr>
                <w:noProof/>
              </w:rPr>
              <w:t xml:space="preserve">Se aprobă un sistem de creare a unor etichete ușor de recunoscut pe piața fructelor și legumelor. Sistemul este voluntar și complementar cu sistemul de calitate deja existent, elaborat de Ministerul Agriculturii. </w:t>
            </w:r>
          </w:p>
        </w:tc>
      </w:tr>
      <w:tr w:rsidR="00FA7C11" w14:paraId="6B0A41A6"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0B78E4C1" w14:textId="77777777" w:rsidR="00FA7C11" w:rsidRDefault="00D84965">
            <w:pPr>
              <w:pStyle w:val="P68B1DB1-Normal66"/>
              <w:spacing w:after="200" w:line="276" w:lineRule="auto"/>
              <w:jc w:val="center"/>
              <w:rPr>
                <w:noProof/>
              </w:rPr>
            </w:pPr>
            <w:r>
              <w:rPr>
                <w:noProof/>
              </w:rPr>
              <w:t>131</w:t>
            </w:r>
          </w:p>
        </w:tc>
        <w:tc>
          <w:tcPr>
            <w:tcW w:w="1080" w:type="dxa"/>
            <w:tcBorders>
              <w:top w:val="single" w:sz="4" w:space="0" w:color="auto"/>
              <w:left w:val="nil"/>
              <w:bottom w:val="single" w:sz="4" w:space="0" w:color="auto"/>
              <w:right w:val="single" w:sz="4" w:space="0" w:color="auto"/>
            </w:tcBorders>
            <w:shd w:val="clear" w:color="auto" w:fill="C6EFCE"/>
            <w:noWrap/>
          </w:tcPr>
          <w:p w14:paraId="37EC7670" w14:textId="77777777" w:rsidR="00FA7C11" w:rsidRDefault="00D84965">
            <w:pPr>
              <w:pStyle w:val="P68B1DB1-Normal66"/>
              <w:spacing w:after="200" w:line="276" w:lineRule="auto"/>
              <w:jc w:val="center"/>
              <w:rPr>
                <w:noProof/>
              </w:rPr>
            </w:pPr>
            <w:r>
              <w:rPr>
                <w:noProof/>
              </w:rPr>
              <w:t>C1.5. R2</w:t>
            </w:r>
          </w:p>
        </w:tc>
        <w:tc>
          <w:tcPr>
            <w:tcW w:w="1026" w:type="dxa"/>
            <w:tcBorders>
              <w:top w:val="single" w:sz="4" w:space="0" w:color="auto"/>
              <w:left w:val="nil"/>
              <w:bottom w:val="single" w:sz="4" w:space="0" w:color="auto"/>
              <w:right w:val="single" w:sz="4" w:space="0" w:color="auto"/>
            </w:tcBorders>
            <w:shd w:val="clear" w:color="auto" w:fill="C6EFCE"/>
            <w:noWrap/>
          </w:tcPr>
          <w:p w14:paraId="0588749E" w14:textId="77777777" w:rsidR="00FA7C11" w:rsidRDefault="00D84965">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5EEE8147" w14:textId="77777777" w:rsidR="00FA7C11" w:rsidRDefault="00D84965">
            <w:pPr>
              <w:pStyle w:val="P68B1DB1-Normal66"/>
              <w:spacing w:after="200" w:line="276" w:lineRule="auto"/>
              <w:rPr>
                <w:noProof/>
              </w:rPr>
            </w:pPr>
            <w:r>
              <w:rPr>
                <w:noProof/>
              </w:rPr>
              <w:t>Noua lege privind consolidarea terenurilor agricole</w:t>
            </w:r>
          </w:p>
        </w:tc>
        <w:tc>
          <w:tcPr>
            <w:tcW w:w="1942" w:type="dxa"/>
            <w:tcBorders>
              <w:top w:val="single" w:sz="4" w:space="0" w:color="auto"/>
              <w:left w:val="nil"/>
              <w:bottom w:val="single" w:sz="4" w:space="0" w:color="auto"/>
              <w:right w:val="single" w:sz="4" w:space="0" w:color="auto"/>
            </w:tcBorders>
            <w:shd w:val="clear" w:color="auto" w:fill="C6EFCE"/>
            <w:noWrap/>
          </w:tcPr>
          <w:p w14:paraId="7EE25D40" w14:textId="77777777" w:rsidR="00FA7C11" w:rsidRDefault="00D84965">
            <w:pPr>
              <w:pStyle w:val="P68B1DB1-Normal66"/>
              <w:spacing w:after="200" w:line="276" w:lineRule="auto"/>
              <w:rPr>
                <w:noProof/>
              </w:rPr>
            </w:pPr>
            <w:r>
              <w:rPr>
                <w:noProof/>
              </w:rPr>
              <w:t xml:space="preserve">Intrarea în vigoare a noii Legi privind consolidarea terenurilor agricole </w:t>
            </w:r>
          </w:p>
        </w:tc>
        <w:tc>
          <w:tcPr>
            <w:tcW w:w="712" w:type="dxa"/>
            <w:tcBorders>
              <w:top w:val="single" w:sz="4" w:space="0" w:color="auto"/>
              <w:left w:val="nil"/>
              <w:bottom w:val="single" w:sz="4" w:space="0" w:color="auto"/>
              <w:right w:val="single" w:sz="4" w:space="0" w:color="auto"/>
            </w:tcBorders>
            <w:shd w:val="clear" w:color="auto" w:fill="C6EFCE"/>
            <w:noWrap/>
          </w:tcPr>
          <w:p w14:paraId="4D2065FF" w14:textId="77777777" w:rsidR="00FA7C11" w:rsidRDefault="00D84965">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6EF5CA51"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665F67BB"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51B56C2" w14:textId="77777777" w:rsidR="00FA7C11" w:rsidRDefault="00D84965">
            <w:pPr>
              <w:pStyle w:val="P68B1DB1-Normal66"/>
              <w:spacing w:after="200" w:line="276" w:lineRule="auto"/>
              <w:jc w:val="center"/>
              <w:rPr>
                <w:noProof/>
              </w:rPr>
            </w:pPr>
            <w:r>
              <w:rPr>
                <w:noProof/>
              </w:rPr>
              <w:t>Î1</w:t>
            </w:r>
          </w:p>
        </w:tc>
        <w:tc>
          <w:tcPr>
            <w:tcW w:w="797" w:type="dxa"/>
            <w:tcBorders>
              <w:top w:val="single" w:sz="4" w:space="0" w:color="auto"/>
              <w:left w:val="nil"/>
              <w:bottom w:val="single" w:sz="4" w:space="0" w:color="auto"/>
              <w:right w:val="single" w:sz="4" w:space="0" w:color="auto"/>
            </w:tcBorders>
            <w:shd w:val="clear" w:color="auto" w:fill="C6EFCE"/>
            <w:noWrap/>
          </w:tcPr>
          <w:p w14:paraId="34DC4AE9" w14:textId="77777777" w:rsidR="00FA7C11" w:rsidRDefault="00D84965">
            <w:pPr>
              <w:pStyle w:val="P68B1DB1-Normal66"/>
              <w:spacing w:after="200" w:line="276" w:lineRule="auto"/>
              <w:jc w:val="center"/>
              <w:rPr>
                <w:noProof/>
              </w:rPr>
            </w:pPr>
            <w:r>
              <w:rPr>
                <w:noProof/>
              </w:rPr>
              <w:t>2022</w:t>
            </w:r>
          </w:p>
        </w:tc>
        <w:tc>
          <w:tcPr>
            <w:tcW w:w="5172" w:type="dxa"/>
            <w:tcBorders>
              <w:top w:val="single" w:sz="4" w:space="0" w:color="auto"/>
              <w:left w:val="nil"/>
              <w:bottom w:val="single" w:sz="4" w:space="0" w:color="auto"/>
              <w:right w:val="single" w:sz="4" w:space="0" w:color="auto"/>
            </w:tcBorders>
            <w:shd w:val="clear" w:color="auto" w:fill="C6EFCE"/>
            <w:noWrap/>
          </w:tcPr>
          <w:p w14:paraId="02329EFF" w14:textId="77777777" w:rsidR="00FA7C11" w:rsidRDefault="00D84965">
            <w:pPr>
              <w:pStyle w:val="P68B1DB1-Normal66"/>
              <w:spacing w:after="200" w:line="276" w:lineRule="auto"/>
              <w:rPr>
                <w:noProof/>
              </w:rPr>
            </w:pPr>
            <w:r>
              <w:rPr>
                <w:noProof/>
              </w:rPr>
              <w:t>Noua lege avută în vedere privind consolidarea terenurilor agricole trebuie, printre altele:</w:t>
            </w:r>
            <w:r>
              <w:rPr>
                <w:noProof/>
              </w:rPr>
              <w:br/>
              <w:t xml:space="preserve">• Să introducă condiții pentru simplificarea procesului de consolidare; </w:t>
            </w:r>
            <w:r>
              <w:rPr>
                <w:noProof/>
              </w:rPr>
              <w:br/>
              <w:t xml:space="preserve">• Reducerea numărului de organisme participante; </w:t>
            </w:r>
            <w:r>
              <w:rPr>
                <w:noProof/>
              </w:rPr>
              <w:br/>
              <w:t xml:space="preserve">• Să scurteze timpul necesar pentru desfășurarea activităților în cadrul alocării; </w:t>
            </w:r>
            <w:r>
              <w:rPr>
                <w:noProof/>
              </w:rPr>
              <w:br/>
              <w:t>• Aplicarea tehnologiilor informației și conectarea la bazele de date existente și noi ale diferitelor părți interesate, creând în același timp o bază de date privind calitatea solului.</w:t>
            </w:r>
          </w:p>
        </w:tc>
      </w:tr>
      <w:tr w:rsidR="00FA7C11" w14:paraId="15C5E43F"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0385732C" w14:textId="77777777" w:rsidR="00FA7C11" w:rsidRDefault="00D84965">
            <w:pPr>
              <w:pStyle w:val="P68B1DB1-Normal66"/>
              <w:spacing w:after="200" w:line="276" w:lineRule="auto"/>
              <w:jc w:val="center"/>
              <w:rPr>
                <w:noProof/>
              </w:rPr>
            </w:pPr>
            <w:r>
              <w:rPr>
                <w:noProof/>
              </w:rPr>
              <w:t>133</w:t>
            </w:r>
          </w:p>
        </w:tc>
        <w:tc>
          <w:tcPr>
            <w:tcW w:w="1080" w:type="dxa"/>
            <w:tcBorders>
              <w:top w:val="single" w:sz="4" w:space="0" w:color="auto"/>
              <w:left w:val="nil"/>
              <w:bottom w:val="single" w:sz="4" w:space="0" w:color="auto"/>
              <w:right w:val="single" w:sz="4" w:space="0" w:color="auto"/>
            </w:tcBorders>
            <w:shd w:val="clear" w:color="auto" w:fill="C6EFCE"/>
            <w:noWrap/>
          </w:tcPr>
          <w:p w14:paraId="31A01EC0" w14:textId="77777777" w:rsidR="00FA7C11" w:rsidRDefault="00D84965">
            <w:pPr>
              <w:pStyle w:val="P68B1DB1-Normal66"/>
              <w:spacing w:after="200" w:line="276" w:lineRule="auto"/>
              <w:jc w:val="center"/>
              <w:rPr>
                <w:noProof/>
              </w:rPr>
            </w:pPr>
            <w:r>
              <w:rPr>
                <w:noProof/>
              </w:rPr>
              <w:t>C1.5. R2-I2</w:t>
            </w:r>
          </w:p>
        </w:tc>
        <w:tc>
          <w:tcPr>
            <w:tcW w:w="1026" w:type="dxa"/>
            <w:tcBorders>
              <w:top w:val="single" w:sz="4" w:space="0" w:color="auto"/>
              <w:left w:val="nil"/>
              <w:bottom w:val="single" w:sz="4" w:space="0" w:color="auto"/>
              <w:right w:val="single" w:sz="4" w:space="0" w:color="auto"/>
            </w:tcBorders>
            <w:shd w:val="clear" w:color="auto" w:fill="C6EFCE"/>
            <w:noWrap/>
          </w:tcPr>
          <w:p w14:paraId="66C87554" w14:textId="77777777" w:rsidR="00FA7C11" w:rsidRDefault="00D84965">
            <w:pPr>
              <w:pStyle w:val="P68B1DB1-Normal66"/>
              <w:spacing w:after="200" w:line="276" w:lineRule="auto"/>
              <w:jc w:val="center"/>
              <w:rPr>
                <w:noProof/>
              </w:rPr>
            </w:pPr>
            <w:r>
              <w:rPr>
                <w:noProof/>
              </w:rPr>
              <w:t>T</w:t>
            </w:r>
          </w:p>
        </w:tc>
        <w:tc>
          <w:tcPr>
            <w:tcW w:w="2289" w:type="dxa"/>
            <w:tcBorders>
              <w:top w:val="single" w:sz="4" w:space="0" w:color="auto"/>
              <w:left w:val="nil"/>
              <w:bottom w:val="single" w:sz="4" w:space="0" w:color="auto"/>
              <w:right w:val="single" w:sz="4" w:space="0" w:color="auto"/>
            </w:tcBorders>
            <w:shd w:val="clear" w:color="auto" w:fill="C6EFCE"/>
            <w:noWrap/>
          </w:tcPr>
          <w:p w14:paraId="3349FF98" w14:textId="77777777" w:rsidR="00FA7C11" w:rsidRDefault="00D84965">
            <w:pPr>
              <w:pStyle w:val="P68B1DB1-Normal66"/>
              <w:spacing w:after="200" w:line="276" w:lineRule="auto"/>
              <w:rPr>
                <w:noProof/>
              </w:rPr>
            </w:pPr>
            <w:r>
              <w:rPr>
                <w:noProof/>
              </w:rPr>
              <w:t>Modernizarea sistemului de informații operaționale pentru monitorizarea terenurilor agricole și înființarea a 90 stații permanente pentru monitorizarea stării terenurilor agricole</w:t>
            </w:r>
          </w:p>
        </w:tc>
        <w:tc>
          <w:tcPr>
            <w:tcW w:w="1942" w:type="dxa"/>
            <w:tcBorders>
              <w:top w:val="single" w:sz="4" w:space="0" w:color="auto"/>
              <w:left w:val="nil"/>
              <w:bottom w:val="single" w:sz="4" w:space="0" w:color="auto"/>
              <w:right w:val="single" w:sz="4" w:space="0" w:color="auto"/>
            </w:tcBorders>
            <w:shd w:val="clear" w:color="auto" w:fill="C6EFCE"/>
            <w:noWrap/>
          </w:tcPr>
          <w:p w14:paraId="38DF2929" w14:textId="77777777" w:rsidR="00FA7C11" w:rsidRDefault="00D84965">
            <w:pPr>
              <w:pStyle w:val="P68B1DB1-Normal66"/>
              <w:spacing w:after="200" w:line="276" w:lineRule="auto"/>
              <w:rPr>
                <w:noProof/>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643AD38C" w14:textId="77777777" w:rsidR="00FA7C11" w:rsidRDefault="00D84965">
            <w:pPr>
              <w:pStyle w:val="P68B1DB1-Normal66"/>
              <w:spacing w:after="200" w:line="276" w:lineRule="auto"/>
              <w:jc w:val="center"/>
              <w:rPr>
                <w:noProof/>
              </w:rPr>
            </w:pPr>
            <w:r>
              <w:rPr>
                <w:noProof/>
              </w:rPr>
              <w:t>Număr</w:t>
            </w:r>
          </w:p>
        </w:tc>
        <w:tc>
          <w:tcPr>
            <w:tcW w:w="835" w:type="dxa"/>
            <w:tcBorders>
              <w:top w:val="single" w:sz="4" w:space="0" w:color="auto"/>
              <w:left w:val="nil"/>
              <w:bottom w:val="single" w:sz="4" w:space="0" w:color="auto"/>
              <w:right w:val="single" w:sz="4" w:space="0" w:color="auto"/>
            </w:tcBorders>
            <w:shd w:val="clear" w:color="auto" w:fill="C6EFCE"/>
            <w:noWrap/>
          </w:tcPr>
          <w:p w14:paraId="3FD290E7"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C0DCF1A" w14:textId="77777777" w:rsidR="00FA7C11" w:rsidRDefault="00D84965">
            <w:pPr>
              <w:pStyle w:val="P68B1DB1-Normal66"/>
              <w:spacing w:after="200" w:line="276" w:lineRule="auto"/>
              <w:jc w:val="center"/>
              <w:rPr>
                <w:noProof/>
              </w:rPr>
            </w:pPr>
            <w:r>
              <w:rPr>
                <w:noProof/>
              </w:rPr>
              <w:t>90</w:t>
            </w:r>
          </w:p>
        </w:tc>
        <w:tc>
          <w:tcPr>
            <w:tcW w:w="756" w:type="dxa"/>
            <w:tcBorders>
              <w:top w:val="single" w:sz="4" w:space="0" w:color="auto"/>
              <w:left w:val="nil"/>
              <w:bottom w:val="single" w:sz="4" w:space="0" w:color="auto"/>
              <w:right w:val="single" w:sz="4" w:space="0" w:color="auto"/>
            </w:tcBorders>
            <w:shd w:val="clear" w:color="auto" w:fill="C6EFCE"/>
            <w:noWrap/>
          </w:tcPr>
          <w:p w14:paraId="08CEE27A" w14:textId="77777777" w:rsidR="00FA7C11" w:rsidRDefault="00D84965">
            <w:pPr>
              <w:pStyle w:val="P68B1DB1-Normal66"/>
              <w:spacing w:after="200" w:line="276" w:lineRule="auto"/>
              <w:jc w:val="center"/>
              <w:rPr>
                <w:noProof/>
              </w:rPr>
            </w:pPr>
            <w:r>
              <w:rPr>
                <w:noProof/>
              </w:rPr>
              <w:t>Î2</w:t>
            </w:r>
          </w:p>
        </w:tc>
        <w:tc>
          <w:tcPr>
            <w:tcW w:w="797" w:type="dxa"/>
            <w:tcBorders>
              <w:top w:val="single" w:sz="4" w:space="0" w:color="auto"/>
              <w:left w:val="nil"/>
              <w:bottom w:val="single" w:sz="4" w:space="0" w:color="auto"/>
              <w:right w:val="single" w:sz="4" w:space="0" w:color="auto"/>
            </w:tcBorders>
            <w:shd w:val="clear" w:color="auto" w:fill="C6EFCE"/>
            <w:noWrap/>
          </w:tcPr>
          <w:p w14:paraId="03D3277C" w14:textId="77777777" w:rsidR="00FA7C11" w:rsidRDefault="00D84965">
            <w:pPr>
              <w:pStyle w:val="P68B1DB1-Normal66"/>
              <w:spacing w:after="200" w:line="276" w:lineRule="auto"/>
              <w:jc w:val="center"/>
              <w:rPr>
                <w:noProof/>
              </w:rPr>
            </w:pPr>
            <w:r>
              <w:rPr>
                <w:noProof/>
              </w:rPr>
              <w:t>2025</w:t>
            </w:r>
          </w:p>
        </w:tc>
        <w:tc>
          <w:tcPr>
            <w:tcW w:w="5172" w:type="dxa"/>
            <w:tcBorders>
              <w:top w:val="single" w:sz="4" w:space="0" w:color="auto"/>
              <w:left w:val="nil"/>
              <w:bottom w:val="single" w:sz="4" w:space="0" w:color="auto"/>
              <w:right w:val="single" w:sz="4" w:space="0" w:color="auto"/>
            </w:tcBorders>
            <w:shd w:val="clear" w:color="auto" w:fill="C6EFCE"/>
            <w:noWrap/>
          </w:tcPr>
          <w:p w14:paraId="569E6642" w14:textId="77777777" w:rsidR="00FA7C11" w:rsidRDefault="00D84965">
            <w:pPr>
              <w:pStyle w:val="P68B1DB1-Normal66"/>
              <w:spacing w:after="200" w:line="276" w:lineRule="auto"/>
              <w:rPr>
                <w:noProof/>
              </w:rPr>
            </w:pPr>
            <w:r>
              <w:rPr>
                <w:noProof/>
              </w:rPr>
              <w:t>Se instituie programul de monitorizare permanentă a stării terenurilor agricole. Rezultatele programului indică zonele de criză în care solurile sunt expuse amenințărilor. Modernizarea sistemului de informații pentru monitorizarea terenurilor agricole permite obținerea unor parametri comparabili.</w:t>
            </w:r>
            <w:r>
              <w:rPr>
                <w:noProof/>
              </w:rPr>
              <w:br/>
              <w:t>Cel puțin 90 de stații sunt instalate ca parte a sistemului modernizat de monitorizare a stării terenurilor agricole și acoperă toate subregiunile agricole.</w:t>
            </w:r>
          </w:p>
        </w:tc>
      </w:tr>
      <w:tr w:rsidR="00FA7C11" w14:paraId="7E44611B"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63D1F86F" w14:textId="77777777" w:rsidR="00FA7C11" w:rsidRDefault="00D84965">
            <w:pPr>
              <w:pStyle w:val="P68B1DB1-Normal66"/>
              <w:spacing w:after="200" w:line="276" w:lineRule="auto"/>
              <w:jc w:val="center"/>
              <w:rPr>
                <w:noProof/>
              </w:rPr>
            </w:pPr>
            <w:r>
              <w:rPr>
                <w:noProof/>
              </w:rPr>
              <w:t>134</w:t>
            </w:r>
          </w:p>
        </w:tc>
        <w:tc>
          <w:tcPr>
            <w:tcW w:w="1080" w:type="dxa"/>
            <w:tcBorders>
              <w:top w:val="single" w:sz="4" w:space="0" w:color="auto"/>
              <w:left w:val="nil"/>
              <w:bottom w:val="single" w:sz="4" w:space="0" w:color="auto"/>
              <w:right w:val="single" w:sz="4" w:space="0" w:color="auto"/>
            </w:tcBorders>
            <w:shd w:val="clear" w:color="auto" w:fill="C6EFCE"/>
            <w:noWrap/>
          </w:tcPr>
          <w:p w14:paraId="0934B955" w14:textId="77777777" w:rsidR="00FA7C11" w:rsidRDefault="00D84965">
            <w:pPr>
              <w:pStyle w:val="P68B1DB1-Normal66"/>
              <w:spacing w:after="200" w:line="276" w:lineRule="auto"/>
              <w:jc w:val="center"/>
              <w:rPr>
                <w:noProof/>
              </w:rPr>
            </w:pPr>
            <w:r>
              <w:rPr>
                <w:noProof/>
              </w:rPr>
              <w:t>C1.5. R3</w:t>
            </w:r>
          </w:p>
        </w:tc>
        <w:tc>
          <w:tcPr>
            <w:tcW w:w="1026" w:type="dxa"/>
            <w:tcBorders>
              <w:top w:val="single" w:sz="4" w:space="0" w:color="auto"/>
              <w:left w:val="nil"/>
              <w:bottom w:val="single" w:sz="4" w:space="0" w:color="auto"/>
              <w:right w:val="single" w:sz="4" w:space="0" w:color="auto"/>
            </w:tcBorders>
            <w:shd w:val="clear" w:color="auto" w:fill="C6EFCE"/>
            <w:noWrap/>
          </w:tcPr>
          <w:p w14:paraId="46B6A0C9" w14:textId="77777777" w:rsidR="00FA7C11" w:rsidRDefault="00D84965">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67430D9E" w14:textId="77777777" w:rsidR="00FA7C11" w:rsidRDefault="00D84965">
            <w:pPr>
              <w:pStyle w:val="P68B1DB1-Normal66"/>
              <w:spacing w:after="200" w:line="276" w:lineRule="auto"/>
              <w:rPr>
                <w:noProof/>
              </w:rPr>
            </w:pPr>
            <w:r>
              <w:rPr>
                <w:noProof/>
              </w:rPr>
              <w:t xml:space="preserve">Înființarea unei unități pentru punerea în aplicare și gestionarea proiectelor de transformare digitală în cadrul Ministerului Agriculturii </w:t>
            </w:r>
          </w:p>
        </w:tc>
        <w:tc>
          <w:tcPr>
            <w:tcW w:w="1942" w:type="dxa"/>
            <w:tcBorders>
              <w:top w:val="single" w:sz="4" w:space="0" w:color="auto"/>
              <w:left w:val="nil"/>
              <w:bottom w:val="single" w:sz="4" w:space="0" w:color="auto"/>
              <w:right w:val="single" w:sz="4" w:space="0" w:color="auto"/>
            </w:tcBorders>
            <w:shd w:val="clear" w:color="auto" w:fill="C6EFCE"/>
            <w:noWrap/>
          </w:tcPr>
          <w:p w14:paraId="126E54FF" w14:textId="77777777" w:rsidR="00FA7C11" w:rsidRDefault="00D84965">
            <w:pPr>
              <w:pStyle w:val="P68B1DB1-Normal66"/>
              <w:spacing w:after="200" w:line="276" w:lineRule="auto"/>
              <w:rPr>
                <w:noProof/>
              </w:rPr>
            </w:pPr>
            <w:r>
              <w:rPr>
                <w:noProof/>
              </w:rPr>
              <w:t>Decizia ministrului agriculturii de a înființa o unitate pentru punerea în aplicare și gestionarea proiectelor de transformare digitală în cadrul Ministerului Agriculturii</w:t>
            </w:r>
          </w:p>
        </w:tc>
        <w:tc>
          <w:tcPr>
            <w:tcW w:w="712" w:type="dxa"/>
            <w:tcBorders>
              <w:top w:val="single" w:sz="4" w:space="0" w:color="auto"/>
              <w:left w:val="nil"/>
              <w:bottom w:val="single" w:sz="4" w:space="0" w:color="auto"/>
              <w:right w:val="single" w:sz="4" w:space="0" w:color="auto"/>
            </w:tcBorders>
            <w:shd w:val="clear" w:color="auto" w:fill="C6EFCE"/>
            <w:noWrap/>
          </w:tcPr>
          <w:p w14:paraId="2DBF7203" w14:textId="77777777" w:rsidR="00FA7C11" w:rsidRDefault="00D84965">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2485997C"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345DECF5"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25854B7" w14:textId="77777777" w:rsidR="00FA7C11" w:rsidRDefault="00D84965">
            <w:pPr>
              <w:pStyle w:val="P68B1DB1-Normal66"/>
              <w:spacing w:after="200" w:line="276" w:lineRule="auto"/>
              <w:jc w:val="center"/>
              <w:rPr>
                <w:noProof/>
              </w:rPr>
            </w:pPr>
            <w:r>
              <w:rPr>
                <w:noProof/>
              </w:rPr>
              <w:t>Î4</w:t>
            </w:r>
          </w:p>
        </w:tc>
        <w:tc>
          <w:tcPr>
            <w:tcW w:w="797" w:type="dxa"/>
            <w:tcBorders>
              <w:top w:val="single" w:sz="4" w:space="0" w:color="auto"/>
              <w:left w:val="nil"/>
              <w:bottom w:val="single" w:sz="4" w:space="0" w:color="auto"/>
              <w:right w:val="single" w:sz="4" w:space="0" w:color="auto"/>
            </w:tcBorders>
            <w:shd w:val="clear" w:color="auto" w:fill="C6EFCE"/>
            <w:noWrap/>
          </w:tcPr>
          <w:p w14:paraId="61B69E8F" w14:textId="77777777" w:rsidR="00FA7C11" w:rsidRDefault="00D84965">
            <w:pPr>
              <w:pStyle w:val="P68B1DB1-Normal66"/>
              <w:spacing w:after="200" w:line="276" w:lineRule="auto"/>
              <w:jc w:val="center"/>
              <w:rPr>
                <w:noProof/>
              </w:rPr>
            </w:pPr>
            <w:r>
              <w:rPr>
                <w:noProof/>
              </w:rPr>
              <w:t>2021</w:t>
            </w:r>
          </w:p>
        </w:tc>
        <w:tc>
          <w:tcPr>
            <w:tcW w:w="5172" w:type="dxa"/>
            <w:tcBorders>
              <w:top w:val="single" w:sz="4" w:space="0" w:color="auto"/>
              <w:left w:val="nil"/>
              <w:bottom w:val="single" w:sz="4" w:space="0" w:color="auto"/>
              <w:right w:val="single" w:sz="4" w:space="0" w:color="auto"/>
            </w:tcBorders>
            <w:shd w:val="clear" w:color="auto" w:fill="C6EFCE"/>
            <w:noWrap/>
          </w:tcPr>
          <w:p w14:paraId="35EDC8FD" w14:textId="77777777" w:rsidR="00FA7C11" w:rsidRDefault="00D84965">
            <w:pPr>
              <w:pStyle w:val="P68B1DB1-Normal66"/>
              <w:spacing w:after="200" w:line="276" w:lineRule="auto"/>
              <w:rPr>
                <w:noProof/>
              </w:rPr>
            </w:pPr>
            <w:r>
              <w:rPr>
                <w:noProof/>
              </w:rPr>
              <w:t>Unitatea înființată, în cooperare cu autoritățile relevante (Agenția de plăți, Agenția Croată pentru Agricultură și Alimentație și Oficiul Central de Stat pentru Dezvoltarea Societății Digitale), planifică și monitorizează punerea în aplicare a tuturor investițiilor, pentru a asigura realizarea: cel puțin 30 servicii publice digitalizate, platforma operațională privind agricultura inteligentă și sistemul de informații privind trasabilitatea accesibil publicului.</w:t>
            </w:r>
          </w:p>
        </w:tc>
      </w:tr>
      <w:tr w:rsidR="00FA7C11" w14:paraId="25DD816E"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204E48CA" w14:textId="77777777" w:rsidR="00FA7C11" w:rsidRDefault="00D84965">
            <w:pPr>
              <w:pStyle w:val="P68B1DB1-Normal66"/>
              <w:spacing w:after="200" w:line="276" w:lineRule="auto"/>
              <w:jc w:val="center"/>
              <w:rPr>
                <w:noProof/>
              </w:rPr>
            </w:pPr>
            <w:r>
              <w:rPr>
                <w:noProof/>
              </w:rPr>
              <w:t>135</w:t>
            </w:r>
          </w:p>
        </w:tc>
        <w:tc>
          <w:tcPr>
            <w:tcW w:w="1080" w:type="dxa"/>
            <w:tcBorders>
              <w:top w:val="single" w:sz="4" w:space="0" w:color="auto"/>
              <w:left w:val="nil"/>
              <w:bottom w:val="single" w:sz="4" w:space="0" w:color="auto"/>
              <w:right w:val="single" w:sz="4" w:space="0" w:color="auto"/>
            </w:tcBorders>
            <w:shd w:val="clear" w:color="auto" w:fill="C6EFCE"/>
            <w:noWrap/>
          </w:tcPr>
          <w:p w14:paraId="764B2A26" w14:textId="77777777" w:rsidR="00FA7C11" w:rsidRDefault="00D84965">
            <w:pPr>
              <w:pStyle w:val="P68B1DB1-Normal66"/>
              <w:spacing w:after="200" w:line="276" w:lineRule="auto"/>
              <w:jc w:val="center"/>
              <w:rPr>
                <w:noProof/>
              </w:rPr>
            </w:pPr>
            <w:r>
              <w:rPr>
                <w:noProof/>
              </w:rPr>
              <w:t>C1.5. R3-I1</w:t>
            </w:r>
          </w:p>
        </w:tc>
        <w:tc>
          <w:tcPr>
            <w:tcW w:w="1026" w:type="dxa"/>
            <w:tcBorders>
              <w:top w:val="single" w:sz="4" w:space="0" w:color="auto"/>
              <w:left w:val="nil"/>
              <w:bottom w:val="single" w:sz="4" w:space="0" w:color="auto"/>
              <w:right w:val="single" w:sz="4" w:space="0" w:color="auto"/>
            </w:tcBorders>
            <w:shd w:val="clear" w:color="auto" w:fill="C6EFCE"/>
            <w:noWrap/>
          </w:tcPr>
          <w:p w14:paraId="3C9CD98F" w14:textId="77777777" w:rsidR="00FA7C11" w:rsidRDefault="00D84965">
            <w:pPr>
              <w:pStyle w:val="P68B1DB1-Normal66"/>
              <w:spacing w:after="200" w:line="276" w:lineRule="auto"/>
              <w:jc w:val="center"/>
              <w:rPr>
                <w:noProof/>
              </w:rPr>
            </w:pPr>
            <w:r>
              <w:rPr>
                <w:noProof/>
              </w:rPr>
              <w:t>T</w:t>
            </w:r>
          </w:p>
        </w:tc>
        <w:tc>
          <w:tcPr>
            <w:tcW w:w="2289" w:type="dxa"/>
            <w:tcBorders>
              <w:top w:val="single" w:sz="4" w:space="0" w:color="auto"/>
              <w:left w:val="nil"/>
              <w:bottom w:val="single" w:sz="4" w:space="0" w:color="auto"/>
              <w:right w:val="single" w:sz="4" w:space="0" w:color="auto"/>
            </w:tcBorders>
            <w:shd w:val="clear" w:color="auto" w:fill="C6EFCE"/>
            <w:noWrap/>
          </w:tcPr>
          <w:p w14:paraId="68531033" w14:textId="77777777" w:rsidR="00FA7C11" w:rsidRDefault="00D84965">
            <w:pPr>
              <w:pStyle w:val="P68B1DB1-Normal66"/>
              <w:spacing w:after="200" w:line="276" w:lineRule="auto"/>
              <w:rPr>
                <w:noProof/>
              </w:rPr>
            </w:pPr>
            <w:r>
              <w:rPr>
                <w:noProof/>
              </w:rPr>
              <w:t xml:space="preserve">Digitalizarea a cel puțin 30 servicii publice în agricultură enumerate în Planul de acțiune pentru transformarea digitală a serviciilor publice agricole </w:t>
            </w:r>
          </w:p>
        </w:tc>
        <w:tc>
          <w:tcPr>
            <w:tcW w:w="1942" w:type="dxa"/>
            <w:tcBorders>
              <w:top w:val="single" w:sz="4" w:space="0" w:color="auto"/>
              <w:left w:val="nil"/>
              <w:bottom w:val="single" w:sz="4" w:space="0" w:color="auto"/>
              <w:right w:val="single" w:sz="4" w:space="0" w:color="auto"/>
            </w:tcBorders>
            <w:shd w:val="clear" w:color="auto" w:fill="C6EFCE"/>
            <w:noWrap/>
          </w:tcPr>
          <w:p w14:paraId="55A158C8" w14:textId="77777777" w:rsidR="00FA7C11" w:rsidRDefault="00D84965">
            <w:pPr>
              <w:pStyle w:val="P68B1DB1-Normal66"/>
              <w:spacing w:after="200" w:line="276" w:lineRule="auto"/>
              <w:rPr>
                <w:noProof/>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29D7CBD8" w14:textId="77777777" w:rsidR="00FA7C11" w:rsidRDefault="00D84965">
            <w:pPr>
              <w:pStyle w:val="P68B1DB1-Normal66"/>
              <w:spacing w:after="200" w:line="276" w:lineRule="auto"/>
              <w:jc w:val="center"/>
              <w:rPr>
                <w:noProof/>
              </w:rPr>
            </w:pPr>
            <w:r>
              <w:rPr>
                <w:noProof/>
              </w:rPr>
              <w:t>Număr</w:t>
            </w:r>
          </w:p>
        </w:tc>
        <w:tc>
          <w:tcPr>
            <w:tcW w:w="835" w:type="dxa"/>
            <w:tcBorders>
              <w:top w:val="single" w:sz="4" w:space="0" w:color="auto"/>
              <w:left w:val="nil"/>
              <w:bottom w:val="single" w:sz="4" w:space="0" w:color="auto"/>
              <w:right w:val="single" w:sz="4" w:space="0" w:color="auto"/>
            </w:tcBorders>
            <w:shd w:val="clear" w:color="auto" w:fill="C6EFCE"/>
            <w:noWrap/>
          </w:tcPr>
          <w:p w14:paraId="56B3F97B"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176BF9F" w14:textId="77777777" w:rsidR="00FA7C11" w:rsidRDefault="00D84965">
            <w:pPr>
              <w:pStyle w:val="P68B1DB1-Normal66"/>
              <w:spacing w:after="200" w:line="276" w:lineRule="auto"/>
              <w:jc w:val="center"/>
              <w:rPr>
                <w:noProof/>
              </w:rPr>
            </w:pPr>
            <w:r>
              <w:rPr>
                <w:noProof/>
              </w:rPr>
              <w:t>30</w:t>
            </w:r>
          </w:p>
        </w:tc>
        <w:tc>
          <w:tcPr>
            <w:tcW w:w="756" w:type="dxa"/>
            <w:tcBorders>
              <w:top w:val="single" w:sz="4" w:space="0" w:color="auto"/>
              <w:left w:val="nil"/>
              <w:bottom w:val="single" w:sz="4" w:space="0" w:color="auto"/>
              <w:right w:val="single" w:sz="4" w:space="0" w:color="auto"/>
            </w:tcBorders>
            <w:shd w:val="clear" w:color="auto" w:fill="C6EFCE"/>
            <w:noWrap/>
          </w:tcPr>
          <w:p w14:paraId="53A20BBB" w14:textId="77777777" w:rsidR="00FA7C11" w:rsidRDefault="00D84965">
            <w:pPr>
              <w:pStyle w:val="P68B1DB1-Normal66"/>
              <w:spacing w:after="200" w:line="276" w:lineRule="auto"/>
              <w:jc w:val="center"/>
              <w:rPr>
                <w:noProof/>
              </w:rPr>
            </w:pPr>
            <w:r>
              <w:rPr>
                <w:noProof/>
              </w:rPr>
              <w:t>Î4</w:t>
            </w:r>
          </w:p>
        </w:tc>
        <w:tc>
          <w:tcPr>
            <w:tcW w:w="797" w:type="dxa"/>
            <w:tcBorders>
              <w:top w:val="single" w:sz="4" w:space="0" w:color="auto"/>
              <w:left w:val="nil"/>
              <w:bottom w:val="single" w:sz="4" w:space="0" w:color="auto"/>
              <w:right w:val="single" w:sz="4" w:space="0" w:color="auto"/>
            </w:tcBorders>
            <w:shd w:val="clear" w:color="auto" w:fill="C6EFCE"/>
            <w:noWrap/>
          </w:tcPr>
          <w:p w14:paraId="0AA8DE07" w14:textId="77777777" w:rsidR="00FA7C11" w:rsidRDefault="00D84965">
            <w:pPr>
              <w:pStyle w:val="P68B1DB1-Normal66"/>
              <w:spacing w:after="200" w:line="276" w:lineRule="auto"/>
              <w:jc w:val="center"/>
              <w:rPr>
                <w:noProof/>
              </w:rPr>
            </w:pPr>
            <w:r>
              <w:rPr>
                <w:noProof/>
              </w:rPr>
              <w:t>2024</w:t>
            </w:r>
          </w:p>
        </w:tc>
        <w:tc>
          <w:tcPr>
            <w:tcW w:w="5172" w:type="dxa"/>
            <w:tcBorders>
              <w:top w:val="single" w:sz="4" w:space="0" w:color="auto"/>
              <w:left w:val="nil"/>
              <w:bottom w:val="single" w:sz="4" w:space="0" w:color="auto"/>
              <w:right w:val="single" w:sz="4" w:space="0" w:color="auto"/>
            </w:tcBorders>
            <w:shd w:val="clear" w:color="auto" w:fill="C6EFCE"/>
            <w:noWrap/>
          </w:tcPr>
          <w:p w14:paraId="0B5A64E6" w14:textId="77777777" w:rsidR="00FA7C11" w:rsidRDefault="00D84965">
            <w:pPr>
              <w:pStyle w:val="P68B1DB1-Normal66"/>
              <w:spacing w:after="200" w:line="276" w:lineRule="auto"/>
              <w:rPr>
                <w:noProof/>
              </w:rPr>
            </w:pPr>
            <w:r>
              <w:rPr>
                <w:noProof/>
              </w:rPr>
              <w:t>Planul de acțiune pentru transformarea digitală va sta la baza înregistrării tuturor serviciilor agricole care urmează să fie digitalizate. Planul de acțiune include un model și un proces de transformare pentru fiecare serviciu public înregistrat. Cel puțin 30 servicii publice care sunt înregistrate în planul de acțiune și sprijinite în cadrul planului de redresare și reziliență al Croației sunt digitalizate și puse la dispoziția beneficiarilor. Planul de acțiune definește serviciile publice individuale care urmează să fie digitalizate prin punerea în aplicare a proiectului. Cel puțin 30 servicii sunt digitalizate și puse la dispoziția beneficiarilor.</w:t>
            </w:r>
          </w:p>
        </w:tc>
      </w:tr>
      <w:tr w:rsidR="00FA7C11" w14:paraId="7EA1CF62"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3DBB2371" w14:textId="77777777" w:rsidR="00FA7C11" w:rsidRDefault="00D84965">
            <w:pPr>
              <w:pStyle w:val="P68B1DB1-Normal66"/>
              <w:spacing w:after="200" w:line="276" w:lineRule="auto"/>
              <w:jc w:val="center"/>
              <w:rPr>
                <w:noProof/>
              </w:rPr>
            </w:pPr>
            <w:r>
              <w:rPr>
                <w:noProof/>
              </w:rPr>
              <w:t>136</w:t>
            </w:r>
          </w:p>
        </w:tc>
        <w:tc>
          <w:tcPr>
            <w:tcW w:w="1080" w:type="dxa"/>
            <w:tcBorders>
              <w:top w:val="single" w:sz="4" w:space="0" w:color="auto"/>
              <w:left w:val="nil"/>
              <w:bottom w:val="single" w:sz="4" w:space="0" w:color="auto"/>
              <w:right w:val="single" w:sz="4" w:space="0" w:color="auto"/>
            </w:tcBorders>
            <w:shd w:val="clear" w:color="auto" w:fill="C6EFCE"/>
            <w:noWrap/>
          </w:tcPr>
          <w:p w14:paraId="4F4B6EA8" w14:textId="77777777" w:rsidR="00FA7C11" w:rsidRDefault="00D84965">
            <w:pPr>
              <w:pStyle w:val="P68B1DB1-Normal66"/>
              <w:spacing w:after="200" w:line="276" w:lineRule="auto"/>
              <w:jc w:val="center"/>
              <w:rPr>
                <w:noProof/>
              </w:rPr>
            </w:pPr>
            <w:r>
              <w:rPr>
                <w:noProof/>
              </w:rPr>
              <w:t>C1.5. R3-I2</w:t>
            </w:r>
          </w:p>
        </w:tc>
        <w:tc>
          <w:tcPr>
            <w:tcW w:w="1026" w:type="dxa"/>
            <w:tcBorders>
              <w:top w:val="single" w:sz="4" w:space="0" w:color="auto"/>
              <w:left w:val="nil"/>
              <w:bottom w:val="single" w:sz="4" w:space="0" w:color="auto"/>
              <w:right w:val="single" w:sz="4" w:space="0" w:color="auto"/>
            </w:tcBorders>
            <w:shd w:val="clear" w:color="auto" w:fill="C6EFCE"/>
            <w:noWrap/>
          </w:tcPr>
          <w:p w14:paraId="1BE0FD3F" w14:textId="77777777" w:rsidR="00FA7C11" w:rsidRDefault="00D84965">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2160280A" w14:textId="77777777" w:rsidR="00FA7C11" w:rsidRDefault="00D84965">
            <w:pPr>
              <w:pStyle w:val="P68B1DB1-Normal66"/>
              <w:spacing w:after="200" w:line="276" w:lineRule="auto"/>
              <w:rPr>
                <w:noProof/>
              </w:rPr>
            </w:pPr>
            <w:r>
              <w:rPr>
                <w:noProof/>
              </w:rPr>
              <w:t xml:space="preserve">Crearea unei platforme pentru agricultura inteligentă </w:t>
            </w:r>
          </w:p>
        </w:tc>
        <w:tc>
          <w:tcPr>
            <w:tcW w:w="1942" w:type="dxa"/>
            <w:tcBorders>
              <w:top w:val="single" w:sz="4" w:space="0" w:color="auto"/>
              <w:left w:val="nil"/>
              <w:bottom w:val="single" w:sz="4" w:space="0" w:color="auto"/>
              <w:right w:val="single" w:sz="4" w:space="0" w:color="auto"/>
            </w:tcBorders>
            <w:shd w:val="clear" w:color="auto" w:fill="C6EFCE"/>
            <w:noWrap/>
          </w:tcPr>
          <w:p w14:paraId="00ECCC6C" w14:textId="1A3A9A14" w:rsidR="00FA7C11" w:rsidRDefault="00D84965">
            <w:pPr>
              <w:pStyle w:val="P68B1DB1-Normal66"/>
              <w:spacing w:after="200" w:line="276" w:lineRule="auto"/>
              <w:rPr>
                <w:noProof/>
              </w:rPr>
            </w:pPr>
            <w:r>
              <w:rPr>
                <w:noProof/>
              </w:rPr>
              <w:t>Platforma pentru o agricultură inteligentă este disponibilă</w:t>
            </w:r>
          </w:p>
        </w:tc>
        <w:tc>
          <w:tcPr>
            <w:tcW w:w="712" w:type="dxa"/>
            <w:tcBorders>
              <w:top w:val="single" w:sz="4" w:space="0" w:color="auto"/>
              <w:left w:val="nil"/>
              <w:bottom w:val="single" w:sz="4" w:space="0" w:color="auto"/>
              <w:right w:val="single" w:sz="4" w:space="0" w:color="auto"/>
            </w:tcBorders>
            <w:shd w:val="clear" w:color="auto" w:fill="C6EFCE"/>
            <w:noWrap/>
          </w:tcPr>
          <w:p w14:paraId="176AF4F9" w14:textId="77777777" w:rsidR="00FA7C11" w:rsidRDefault="00D84965">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7D44AE99"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4EEB2D7D"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2F3CE70F" w14:textId="77777777" w:rsidR="00FA7C11" w:rsidRDefault="00D84965">
            <w:pPr>
              <w:pStyle w:val="P68B1DB1-Normal66"/>
              <w:spacing w:after="200" w:line="276" w:lineRule="auto"/>
              <w:jc w:val="center"/>
              <w:rPr>
                <w:noProof/>
              </w:rPr>
            </w:pPr>
            <w:r>
              <w:rPr>
                <w:noProof/>
              </w:rPr>
              <w:t>Î4</w:t>
            </w:r>
          </w:p>
        </w:tc>
        <w:tc>
          <w:tcPr>
            <w:tcW w:w="797" w:type="dxa"/>
            <w:tcBorders>
              <w:top w:val="single" w:sz="4" w:space="0" w:color="auto"/>
              <w:left w:val="nil"/>
              <w:bottom w:val="single" w:sz="4" w:space="0" w:color="auto"/>
              <w:right w:val="single" w:sz="4" w:space="0" w:color="auto"/>
            </w:tcBorders>
            <w:shd w:val="clear" w:color="auto" w:fill="C6EFCE"/>
            <w:noWrap/>
          </w:tcPr>
          <w:p w14:paraId="4E78EB56" w14:textId="77777777" w:rsidR="00FA7C11" w:rsidRDefault="00D84965">
            <w:pPr>
              <w:pStyle w:val="P68B1DB1-Normal66"/>
              <w:spacing w:after="200" w:line="276" w:lineRule="auto"/>
              <w:jc w:val="center"/>
              <w:rPr>
                <w:noProof/>
              </w:rPr>
            </w:pPr>
            <w:r>
              <w:rPr>
                <w:noProof/>
              </w:rPr>
              <w:t>2025</w:t>
            </w:r>
          </w:p>
        </w:tc>
        <w:tc>
          <w:tcPr>
            <w:tcW w:w="5172" w:type="dxa"/>
            <w:tcBorders>
              <w:top w:val="single" w:sz="4" w:space="0" w:color="auto"/>
              <w:left w:val="nil"/>
              <w:bottom w:val="single" w:sz="4" w:space="0" w:color="auto"/>
              <w:right w:val="single" w:sz="4" w:space="0" w:color="auto"/>
            </w:tcBorders>
            <w:shd w:val="clear" w:color="auto" w:fill="C6EFCE"/>
            <w:noWrap/>
          </w:tcPr>
          <w:p w14:paraId="0FE927A0" w14:textId="5535C1F6" w:rsidR="00FA7C11" w:rsidRDefault="00D84965">
            <w:pPr>
              <w:pStyle w:val="P68B1DB1-Normal66"/>
              <w:spacing w:after="200" w:line="276" w:lineRule="auto"/>
              <w:rPr>
                <w:noProof/>
              </w:rPr>
            </w:pPr>
            <w:r>
              <w:rPr>
                <w:noProof/>
              </w:rPr>
              <w:t xml:space="preserve">Beneficiarilor li se pune la dispoziție o platformă pentru agricultura inteligentă. Platforma pentru agricultură inteligentă oferă informații actualizate, structurate și în timp util direct de pe câmpuri și de la ferme. </w:t>
            </w:r>
          </w:p>
        </w:tc>
      </w:tr>
      <w:tr w:rsidR="00FA7C11" w14:paraId="33AE7345"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209DCD87" w14:textId="77777777" w:rsidR="00FA7C11" w:rsidRDefault="00D84965">
            <w:pPr>
              <w:pStyle w:val="P68B1DB1-Normal66"/>
              <w:spacing w:after="200" w:line="276" w:lineRule="auto"/>
              <w:jc w:val="center"/>
              <w:rPr>
                <w:noProof/>
              </w:rPr>
            </w:pPr>
            <w:r>
              <w:rPr>
                <w:noProof/>
              </w:rPr>
              <w:t>137</w:t>
            </w:r>
          </w:p>
        </w:tc>
        <w:tc>
          <w:tcPr>
            <w:tcW w:w="1080" w:type="dxa"/>
            <w:tcBorders>
              <w:top w:val="single" w:sz="4" w:space="0" w:color="auto"/>
              <w:left w:val="nil"/>
              <w:bottom w:val="single" w:sz="4" w:space="0" w:color="auto"/>
              <w:right w:val="single" w:sz="4" w:space="0" w:color="auto"/>
            </w:tcBorders>
            <w:shd w:val="clear" w:color="auto" w:fill="C6EFCE"/>
            <w:noWrap/>
          </w:tcPr>
          <w:p w14:paraId="60E26F4F" w14:textId="77777777" w:rsidR="00FA7C11" w:rsidRDefault="00D84965">
            <w:pPr>
              <w:pStyle w:val="P68B1DB1-Normal66"/>
              <w:spacing w:after="200" w:line="276" w:lineRule="auto"/>
              <w:jc w:val="center"/>
              <w:rPr>
                <w:noProof/>
              </w:rPr>
            </w:pPr>
            <w:r>
              <w:rPr>
                <w:noProof/>
              </w:rPr>
              <w:t>C1.5. R3-I3</w:t>
            </w:r>
          </w:p>
        </w:tc>
        <w:tc>
          <w:tcPr>
            <w:tcW w:w="1026" w:type="dxa"/>
            <w:tcBorders>
              <w:top w:val="single" w:sz="4" w:space="0" w:color="auto"/>
              <w:left w:val="nil"/>
              <w:bottom w:val="single" w:sz="4" w:space="0" w:color="auto"/>
              <w:right w:val="single" w:sz="4" w:space="0" w:color="auto"/>
            </w:tcBorders>
            <w:shd w:val="clear" w:color="auto" w:fill="C6EFCE"/>
            <w:noWrap/>
          </w:tcPr>
          <w:p w14:paraId="69D51D89" w14:textId="77777777" w:rsidR="00FA7C11" w:rsidRDefault="00D84965">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2FDB09EE" w14:textId="77777777" w:rsidR="00FA7C11" w:rsidRDefault="00D84965">
            <w:pPr>
              <w:pStyle w:val="P68B1DB1-Normal66"/>
              <w:spacing w:after="200" w:line="276" w:lineRule="auto"/>
              <w:rPr>
                <w:noProof/>
              </w:rPr>
            </w:pPr>
            <w:r>
              <w:rPr>
                <w:noProof/>
              </w:rPr>
              <w:t xml:space="preserve">Instituirea unui sistem de informații privind trasabilitatea </w:t>
            </w:r>
          </w:p>
        </w:tc>
        <w:tc>
          <w:tcPr>
            <w:tcW w:w="1942" w:type="dxa"/>
            <w:tcBorders>
              <w:top w:val="single" w:sz="4" w:space="0" w:color="auto"/>
              <w:left w:val="nil"/>
              <w:bottom w:val="single" w:sz="4" w:space="0" w:color="auto"/>
              <w:right w:val="single" w:sz="4" w:space="0" w:color="auto"/>
            </w:tcBorders>
            <w:shd w:val="clear" w:color="auto" w:fill="C6EFCE"/>
            <w:noWrap/>
          </w:tcPr>
          <w:p w14:paraId="0118BE4A" w14:textId="77777777" w:rsidR="00FA7C11" w:rsidRDefault="00D84965">
            <w:pPr>
              <w:pStyle w:val="P68B1DB1-Normal66"/>
              <w:spacing w:after="200" w:line="276" w:lineRule="auto"/>
              <w:rPr>
                <w:noProof/>
              </w:rPr>
            </w:pPr>
            <w:r>
              <w:rPr>
                <w:noProof/>
              </w:rPr>
              <w:t>Sistemul de informații privind trasabilitatea este operațional și accesibil publicului</w:t>
            </w:r>
          </w:p>
        </w:tc>
        <w:tc>
          <w:tcPr>
            <w:tcW w:w="712" w:type="dxa"/>
            <w:tcBorders>
              <w:top w:val="single" w:sz="4" w:space="0" w:color="auto"/>
              <w:left w:val="nil"/>
              <w:bottom w:val="single" w:sz="4" w:space="0" w:color="auto"/>
              <w:right w:val="single" w:sz="4" w:space="0" w:color="auto"/>
            </w:tcBorders>
            <w:shd w:val="clear" w:color="auto" w:fill="C6EFCE"/>
            <w:noWrap/>
          </w:tcPr>
          <w:p w14:paraId="2D48D3A8" w14:textId="77777777" w:rsidR="00FA7C11" w:rsidRDefault="00D84965">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5DECA567"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5A924FCC"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3A0C3281" w14:textId="77777777" w:rsidR="00FA7C11" w:rsidRDefault="00D84965">
            <w:pPr>
              <w:pStyle w:val="P68B1DB1-Normal66"/>
              <w:spacing w:after="200" w:line="276" w:lineRule="auto"/>
              <w:jc w:val="center"/>
              <w:rPr>
                <w:noProof/>
              </w:rPr>
            </w:pPr>
            <w:r>
              <w:rPr>
                <w:noProof/>
              </w:rPr>
              <w:t xml:space="preserve">Î4 </w:t>
            </w:r>
          </w:p>
        </w:tc>
        <w:tc>
          <w:tcPr>
            <w:tcW w:w="797" w:type="dxa"/>
            <w:tcBorders>
              <w:top w:val="single" w:sz="4" w:space="0" w:color="auto"/>
              <w:left w:val="nil"/>
              <w:bottom w:val="single" w:sz="4" w:space="0" w:color="auto"/>
              <w:right w:val="single" w:sz="4" w:space="0" w:color="auto"/>
            </w:tcBorders>
            <w:shd w:val="clear" w:color="auto" w:fill="C6EFCE"/>
            <w:noWrap/>
          </w:tcPr>
          <w:p w14:paraId="00FA6033" w14:textId="77777777" w:rsidR="00FA7C11" w:rsidRDefault="00D84965">
            <w:pPr>
              <w:pStyle w:val="P68B1DB1-Normal66"/>
              <w:spacing w:after="200" w:line="276" w:lineRule="auto"/>
              <w:jc w:val="center"/>
              <w:rPr>
                <w:noProof/>
              </w:rPr>
            </w:pPr>
            <w:r>
              <w:rPr>
                <w:noProof/>
              </w:rPr>
              <w:t>2024</w:t>
            </w:r>
          </w:p>
        </w:tc>
        <w:tc>
          <w:tcPr>
            <w:tcW w:w="5172" w:type="dxa"/>
            <w:tcBorders>
              <w:top w:val="single" w:sz="4" w:space="0" w:color="auto"/>
              <w:left w:val="nil"/>
              <w:bottom w:val="single" w:sz="4" w:space="0" w:color="auto"/>
              <w:right w:val="single" w:sz="4" w:space="0" w:color="auto"/>
            </w:tcBorders>
            <w:shd w:val="clear" w:color="auto" w:fill="C6EFCE"/>
            <w:noWrap/>
          </w:tcPr>
          <w:p w14:paraId="20493622" w14:textId="77777777" w:rsidR="00FA7C11" w:rsidRDefault="00D84965">
            <w:pPr>
              <w:pStyle w:val="P68B1DB1-Normal66"/>
              <w:spacing w:after="200" w:line="276" w:lineRule="auto"/>
              <w:rPr>
                <w:noProof/>
              </w:rPr>
            </w:pPr>
            <w:r>
              <w:rPr>
                <w:noProof/>
              </w:rPr>
              <w:t>Sistemul de informații privind trasabilitatea planificat permite o mai bună informare a consumatorilor sub forma monitorizării trasabilității produselor agricole și alimentare. Sistemul este voluntar și este utilizat pentru unificarea și facilitarea urmăririi informațiilor, facilitarea activității economice și furnizarea de informații consumatorilor prin intermediul codului QR. Sistemul este proiectat astfel încât să se conecteze la alte sisteme electronice și să actualizeze în permanență informațiile privind trasabilitatea. Sistemul are, de asemenea, potențialul de a înregistra informații privind comercianții și intermediarii care ar putea să nu intre niciodată în contact fizic cu produsul.</w:t>
            </w:r>
          </w:p>
        </w:tc>
      </w:tr>
      <w:tr w:rsidR="00FA7C11" w14:paraId="70FC1E27"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4688F6E5" w14:textId="77777777" w:rsidR="00FA7C11" w:rsidRDefault="00D84965">
            <w:pPr>
              <w:pStyle w:val="P68B1DB1-Normal66"/>
              <w:spacing w:after="200" w:line="276" w:lineRule="auto"/>
              <w:jc w:val="center"/>
              <w:rPr>
                <w:noProof/>
              </w:rPr>
            </w:pPr>
            <w:r>
              <w:rPr>
                <w:noProof/>
              </w:rPr>
              <w:t>138</w:t>
            </w:r>
          </w:p>
        </w:tc>
        <w:tc>
          <w:tcPr>
            <w:tcW w:w="1080" w:type="dxa"/>
            <w:tcBorders>
              <w:top w:val="single" w:sz="4" w:space="0" w:color="auto"/>
              <w:left w:val="nil"/>
              <w:bottom w:val="single" w:sz="4" w:space="0" w:color="auto"/>
              <w:right w:val="single" w:sz="4" w:space="0" w:color="auto"/>
            </w:tcBorders>
            <w:shd w:val="clear" w:color="auto" w:fill="C6EFCE"/>
            <w:noWrap/>
          </w:tcPr>
          <w:p w14:paraId="0F7482B4" w14:textId="77777777" w:rsidR="00FA7C11" w:rsidRDefault="00D84965">
            <w:pPr>
              <w:pStyle w:val="P68B1DB1-Normal66"/>
              <w:spacing w:after="200" w:line="276" w:lineRule="auto"/>
              <w:jc w:val="center"/>
              <w:rPr>
                <w:noProof/>
              </w:rPr>
            </w:pPr>
            <w:r>
              <w:rPr>
                <w:noProof/>
              </w:rPr>
              <w:t>C1.5. R4</w:t>
            </w:r>
          </w:p>
        </w:tc>
        <w:tc>
          <w:tcPr>
            <w:tcW w:w="1026" w:type="dxa"/>
            <w:tcBorders>
              <w:top w:val="single" w:sz="4" w:space="0" w:color="auto"/>
              <w:left w:val="nil"/>
              <w:bottom w:val="single" w:sz="4" w:space="0" w:color="auto"/>
              <w:right w:val="single" w:sz="4" w:space="0" w:color="auto"/>
            </w:tcBorders>
            <w:shd w:val="clear" w:color="auto" w:fill="C6EFCE"/>
            <w:noWrap/>
          </w:tcPr>
          <w:p w14:paraId="03C6E48C" w14:textId="77777777" w:rsidR="00FA7C11" w:rsidRDefault="00D84965">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003A8855" w14:textId="77777777" w:rsidR="00FA7C11" w:rsidRDefault="00D84965">
            <w:pPr>
              <w:pStyle w:val="P68B1DB1-Normal66"/>
              <w:spacing w:after="200" w:line="276" w:lineRule="auto"/>
              <w:rPr>
                <w:noProof/>
              </w:rPr>
            </w:pPr>
            <w:r>
              <w:rPr>
                <w:noProof/>
              </w:rPr>
              <w:t xml:space="preserve">Platforma online pentru prevenirea risipei de alimente și modernizarea sistemului informatic privind donarea de alimente </w:t>
            </w:r>
          </w:p>
        </w:tc>
        <w:tc>
          <w:tcPr>
            <w:tcW w:w="1942" w:type="dxa"/>
            <w:tcBorders>
              <w:top w:val="single" w:sz="4" w:space="0" w:color="auto"/>
              <w:left w:val="nil"/>
              <w:bottom w:val="single" w:sz="4" w:space="0" w:color="auto"/>
              <w:right w:val="single" w:sz="4" w:space="0" w:color="auto"/>
            </w:tcBorders>
            <w:shd w:val="clear" w:color="auto" w:fill="C6EFCE"/>
            <w:noWrap/>
          </w:tcPr>
          <w:p w14:paraId="608CE491" w14:textId="77777777" w:rsidR="00FA7C11" w:rsidRDefault="00D84965">
            <w:pPr>
              <w:pStyle w:val="P68B1DB1-Normal66"/>
              <w:spacing w:after="200" w:line="276" w:lineRule="auto"/>
              <w:rPr>
                <w:noProof/>
              </w:rPr>
            </w:pPr>
            <w:r>
              <w:rPr>
                <w:noProof/>
              </w:rPr>
              <w:t>Platforma online pentru prevenirea risipei de alimente și modernizarea soluției tehnice pentru sistemul informatic pentru donarea de alimente sunt operaționale și disponibile publicului</w:t>
            </w:r>
          </w:p>
        </w:tc>
        <w:tc>
          <w:tcPr>
            <w:tcW w:w="712" w:type="dxa"/>
            <w:tcBorders>
              <w:top w:val="single" w:sz="4" w:space="0" w:color="auto"/>
              <w:left w:val="nil"/>
              <w:bottom w:val="single" w:sz="4" w:space="0" w:color="auto"/>
              <w:right w:val="single" w:sz="4" w:space="0" w:color="auto"/>
            </w:tcBorders>
            <w:shd w:val="clear" w:color="auto" w:fill="C6EFCE"/>
            <w:noWrap/>
          </w:tcPr>
          <w:p w14:paraId="182977A8" w14:textId="77777777" w:rsidR="00FA7C11" w:rsidRDefault="00D84965">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09E015E4"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74B48598"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4C761A25" w14:textId="77777777" w:rsidR="00FA7C11" w:rsidRDefault="00D84965">
            <w:pPr>
              <w:pStyle w:val="P68B1DB1-Normal66"/>
              <w:spacing w:after="200" w:line="276" w:lineRule="auto"/>
              <w:jc w:val="center"/>
              <w:rPr>
                <w:noProof/>
              </w:rPr>
            </w:pPr>
            <w:r>
              <w:rPr>
                <w:noProof/>
              </w:rPr>
              <w:t>Î2</w:t>
            </w:r>
          </w:p>
        </w:tc>
        <w:tc>
          <w:tcPr>
            <w:tcW w:w="797" w:type="dxa"/>
            <w:tcBorders>
              <w:top w:val="single" w:sz="4" w:space="0" w:color="auto"/>
              <w:left w:val="nil"/>
              <w:bottom w:val="single" w:sz="4" w:space="0" w:color="auto"/>
              <w:right w:val="single" w:sz="4" w:space="0" w:color="auto"/>
            </w:tcBorders>
            <w:shd w:val="clear" w:color="auto" w:fill="C6EFCE"/>
            <w:noWrap/>
          </w:tcPr>
          <w:p w14:paraId="69D5D614" w14:textId="77777777" w:rsidR="00FA7C11" w:rsidRDefault="00D84965">
            <w:pPr>
              <w:pStyle w:val="P68B1DB1-Normal66"/>
              <w:spacing w:after="200" w:line="276" w:lineRule="auto"/>
              <w:jc w:val="center"/>
              <w:rPr>
                <w:noProof/>
              </w:rPr>
            </w:pPr>
            <w:r>
              <w:rPr>
                <w:noProof/>
              </w:rPr>
              <w:t>2022</w:t>
            </w:r>
          </w:p>
        </w:tc>
        <w:tc>
          <w:tcPr>
            <w:tcW w:w="5172" w:type="dxa"/>
            <w:tcBorders>
              <w:top w:val="single" w:sz="4" w:space="0" w:color="auto"/>
              <w:left w:val="nil"/>
              <w:bottom w:val="single" w:sz="4" w:space="0" w:color="auto"/>
              <w:right w:val="single" w:sz="4" w:space="0" w:color="auto"/>
            </w:tcBorders>
            <w:shd w:val="clear" w:color="auto" w:fill="C6EFCE"/>
            <w:noWrap/>
          </w:tcPr>
          <w:p w14:paraId="4B82B8E6" w14:textId="77777777" w:rsidR="00FA7C11" w:rsidRDefault="00D84965">
            <w:pPr>
              <w:pStyle w:val="P68B1DB1-Normal66"/>
              <w:spacing w:after="200" w:line="276" w:lineRule="auto"/>
              <w:rPr>
                <w:noProof/>
              </w:rPr>
            </w:pPr>
            <w:r>
              <w:rPr>
                <w:noProof/>
              </w:rPr>
              <w:t xml:space="preserve">Platforma online privind prevenirea și reducerea risipei de alimente va fi lansată pentru a disemina cele mai bune practici, a sensibiliza și a educa cu privire la problema risipei de alimente și a donării de alimente. Sistemul informatic privind donațiile de alimente, care este deja operațional, este modernizat cu noi funcționalități, dintre care sunt evidențiate posibilitatea guvernanței regionale a sistemului și reprezentarea statistică a datelor. </w:t>
            </w:r>
          </w:p>
        </w:tc>
      </w:tr>
      <w:tr w:rsidR="00FA7C11" w14:paraId="06991E5F" w14:textId="77777777">
        <w:tc>
          <w:tcPr>
            <w:tcW w:w="872" w:type="dxa"/>
            <w:tcBorders>
              <w:top w:val="single" w:sz="4" w:space="0" w:color="auto"/>
              <w:left w:val="single" w:sz="4" w:space="0" w:color="auto"/>
              <w:bottom w:val="single" w:sz="4" w:space="0" w:color="auto"/>
              <w:right w:val="single" w:sz="4" w:space="0" w:color="auto"/>
            </w:tcBorders>
            <w:shd w:val="clear" w:color="auto" w:fill="C6EFCE"/>
            <w:noWrap/>
          </w:tcPr>
          <w:p w14:paraId="131DACC4" w14:textId="77777777" w:rsidR="00FA7C11" w:rsidRDefault="00D84965">
            <w:pPr>
              <w:pStyle w:val="P68B1DB1-Normal66"/>
              <w:spacing w:after="200" w:line="276" w:lineRule="auto"/>
              <w:jc w:val="center"/>
              <w:rPr>
                <w:noProof/>
              </w:rPr>
            </w:pPr>
            <w:r>
              <w:rPr>
                <w:noProof/>
              </w:rPr>
              <w:t>139</w:t>
            </w:r>
          </w:p>
        </w:tc>
        <w:tc>
          <w:tcPr>
            <w:tcW w:w="1080" w:type="dxa"/>
            <w:tcBorders>
              <w:top w:val="single" w:sz="4" w:space="0" w:color="auto"/>
              <w:left w:val="nil"/>
              <w:bottom w:val="single" w:sz="4" w:space="0" w:color="auto"/>
              <w:right w:val="single" w:sz="4" w:space="0" w:color="auto"/>
            </w:tcBorders>
            <w:shd w:val="clear" w:color="auto" w:fill="C6EFCE"/>
            <w:noWrap/>
          </w:tcPr>
          <w:p w14:paraId="74799292" w14:textId="77777777" w:rsidR="00FA7C11" w:rsidRDefault="00D84965">
            <w:pPr>
              <w:pStyle w:val="P68B1DB1-Normal66"/>
              <w:spacing w:after="200" w:line="276" w:lineRule="auto"/>
              <w:jc w:val="center"/>
              <w:rPr>
                <w:noProof/>
              </w:rPr>
            </w:pPr>
            <w:r>
              <w:rPr>
                <w:noProof/>
              </w:rPr>
              <w:t>C1.5. R4-I1</w:t>
            </w:r>
          </w:p>
        </w:tc>
        <w:tc>
          <w:tcPr>
            <w:tcW w:w="1026" w:type="dxa"/>
            <w:tcBorders>
              <w:top w:val="single" w:sz="4" w:space="0" w:color="auto"/>
              <w:left w:val="nil"/>
              <w:bottom w:val="single" w:sz="4" w:space="0" w:color="auto"/>
              <w:right w:val="single" w:sz="4" w:space="0" w:color="auto"/>
            </w:tcBorders>
            <w:shd w:val="clear" w:color="auto" w:fill="C6EFCE"/>
            <w:noWrap/>
          </w:tcPr>
          <w:p w14:paraId="76F8F428" w14:textId="77777777" w:rsidR="00FA7C11" w:rsidRDefault="00D84965">
            <w:pPr>
              <w:pStyle w:val="P68B1DB1-Normal66"/>
              <w:spacing w:after="200" w:line="276" w:lineRule="auto"/>
              <w:jc w:val="center"/>
              <w:rPr>
                <w:noProof/>
              </w:rPr>
            </w:pPr>
            <w:r>
              <w:rPr>
                <w:noProof/>
              </w:rPr>
              <w:t>M</w:t>
            </w:r>
          </w:p>
        </w:tc>
        <w:tc>
          <w:tcPr>
            <w:tcW w:w="2289" w:type="dxa"/>
            <w:tcBorders>
              <w:top w:val="single" w:sz="4" w:space="0" w:color="auto"/>
              <w:left w:val="nil"/>
              <w:bottom w:val="single" w:sz="4" w:space="0" w:color="auto"/>
              <w:right w:val="single" w:sz="4" w:space="0" w:color="auto"/>
            </w:tcBorders>
            <w:shd w:val="clear" w:color="auto" w:fill="C6EFCE"/>
            <w:noWrap/>
          </w:tcPr>
          <w:p w14:paraId="47BB8BF5" w14:textId="77777777" w:rsidR="00FA7C11" w:rsidRDefault="00D84965">
            <w:pPr>
              <w:pStyle w:val="P68B1DB1-Normal66"/>
              <w:spacing w:after="200" w:line="276" w:lineRule="auto"/>
              <w:rPr>
                <w:noProof/>
              </w:rPr>
            </w:pPr>
            <w:r>
              <w:rPr>
                <w:noProof/>
              </w:rPr>
              <w:t xml:space="preserve">Schemă de sprijin pentru dotarea cu infrastructură a băncilor de alimente și a intermediarilor din lanțul donațiilor de alimente </w:t>
            </w:r>
          </w:p>
        </w:tc>
        <w:tc>
          <w:tcPr>
            <w:tcW w:w="1942" w:type="dxa"/>
            <w:tcBorders>
              <w:top w:val="single" w:sz="4" w:space="0" w:color="auto"/>
              <w:left w:val="nil"/>
              <w:bottom w:val="single" w:sz="4" w:space="0" w:color="auto"/>
              <w:right w:val="single" w:sz="4" w:space="0" w:color="auto"/>
            </w:tcBorders>
            <w:shd w:val="clear" w:color="auto" w:fill="C6EFCE"/>
            <w:noWrap/>
          </w:tcPr>
          <w:p w14:paraId="00F4FF5D" w14:textId="77777777" w:rsidR="00FA7C11" w:rsidRDefault="00D84965">
            <w:pPr>
              <w:pStyle w:val="P68B1DB1-Normal66"/>
              <w:spacing w:after="200" w:line="276" w:lineRule="auto"/>
              <w:rPr>
                <w:noProof/>
              </w:rPr>
            </w:pPr>
            <w:r>
              <w:rPr>
                <w:noProof/>
              </w:rPr>
              <w:t>Punerea în aplicare a schemei de sprijin pentru dotarea infrastructurii băncilor de alimente și a intermediarilor din lanțul donațiilor de alimente și plata fondurilor</w:t>
            </w:r>
          </w:p>
        </w:tc>
        <w:tc>
          <w:tcPr>
            <w:tcW w:w="712" w:type="dxa"/>
            <w:tcBorders>
              <w:top w:val="single" w:sz="4" w:space="0" w:color="auto"/>
              <w:left w:val="nil"/>
              <w:bottom w:val="single" w:sz="4" w:space="0" w:color="auto"/>
              <w:right w:val="single" w:sz="4" w:space="0" w:color="auto"/>
            </w:tcBorders>
            <w:shd w:val="clear" w:color="auto" w:fill="C6EFCE"/>
            <w:noWrap/>
          </w:tcPr>
          <w:p w14:paraId="51F53F97" w14:textId="77777777" w:rsidR="00FA7C11" w:rsidRDefault="00D84965">
            <w:pPr>
              <w:pStyle w:val="P68B1DB1-Normal66"/>
              <w:spacing w:after="200" w:line="276" w:lineRule="auto"/>
              <w:jc w:val="center"/>
              <w:rPr>
                <w:noProof/>
              </w:rPr>
            </w:pPr>
            <w:r>
              <w:rPr>
                <w:noProof/>
              </w:rPr>
              <w:t> </w:t>
            </w:r>
          </w:p>
        </w:tc>
        <w:tc>
          <w:tcPr>
            <w:tcW w:w="835" w:type="dxa"/>
            <w:tcBorders>
              <w:top w:val="single" w:sz="4" w:space="0" w:color="auto"/>
              <w:left w:val="nil"/>
              <w:bottom w:val="single" w:sz="4" w:space="0" w:color="auto"/>
              <w:right w:val="single" w:sz="4" w:space="0" w:color="auto"/>
            </w:tcBorders>
            <w:shd w:val="clear" w:color="auto" w:fill="C6EFCE"/>
            <w:noWrap/>
          </w:tcPr>
          <w:p w14:paraId="48957586"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28CA69AD"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844DD13" w14:textId="77777777" w:rsidR="00FA7C11" w:rsidRDefault="00D84965">
            <w:pPr>
              <w:pStyle w:val="P68B1DB1-Normal66"/>
              <w:spacing w:after="200" w:line="276" w:lineRule="auto"/>
              <w:jc w:val="center"/>
              <w:rPr>
                <w:noProof/>
              </w:rPr>
            </w:pPr>
            <w:r>
              <w:rPr>
                <w:noProof/>
              </w:rPr>
              <w:t>Î4</w:t>
            </w:r>
          </w:p>
        </w:tc>
        <w:tc>
          <w:tcPr>
            <w:tcW w:w="797" w:type="dxa"/>
            <w:tcBorders>
              <w:top w:val="single" w:sz="4" w:space="0" w:color="auto"/>
              <w:left w:val="nil"/>
              <w:bottom w:val="single" w:sz="4" w:space="0" w:color="auto"/>
              <w:right w:val="single" w:sz="4" w:space="0" w:color="auto"/>
            </w:tcBorders>
            <w:shd w:val="clear" w:color="auto" w:fill="C6EFCE"/>
            <w:noWrap/>
          </w:tcPr>
          <w:p w14:paraId="04E209D5" w14:textId="77777777" w:rsidR="00FA7C11" w:rsidRDefault="00D84965">
            <w:pPr>
              <w:pStyle w:val="P68B1DB1-Normal66"/>
              <w:spacing w:after="200" w:line="276" w:lineRule="auto"/>
              <w:jc w:val="center"/>
              <w:rPr>
                <w:noProof/>
              </w:rPr>
            </w:pPr>
            <w:r>
              <w:rPr>
                <w:noProof/>
              </w:rPr>
              <w:t>2023</w:t>
            </w:r>
          </w:p>
        </w:tc>
        <w:tc>
          <w:tcPr>
            <w:tcW w:w="5172" w:type="dxa"/>
            <w:tcBorders>
              <w:top w:val="single" w:sz="4" w:space="0" w:color="auto"/>
              <w:left w:val="nil"/>
              <w:bottom w:val="single" w:sz="4" w:space="0" w:color="auto"/>
              <w:right w:val="single" w:sz="4" w:space="0" w:color="auto"/>
            </w:tcBorders>
            <w:shd w:val="clear" w:color="auto" w:fill="C6EFCE"/>
            <w:noWrap/>
          </w:tcPr>
          <w:p w14:paraId="6E9FE174" w14:textId="77777777" w:rsidR="00FA7C11" w:rsidRDefault="00D84965">
            <w:pPr>
              <w:pStyle w:val="P68B1DB1-Normal66"/>
              <w:spacing w:after="200" w:line="276" w:lineRule="auto"/>
              <w:rPr>
                <w:noProof/>
              </w:rPr>
            </w:pPr>
            <w:r>
              <w:rPr>
                <w:noProof/>
              </w:rPr>
              <w:t>Schema de sprijin este pusă în funcțiune în urma unei cereri publice și a unor contracte încheiate, prin plata fondurilor, care se utilizează pentru construirea și renovarea instalațiilor de depozitare, a echipamentelor și a mobilierului de depozitare, a echipamentelor de răcire și de depozitare a alimentelor, a motostivuitoarelor, a vehiculelor frigorifice, a vehiculelor și a echipamentelor informatice.</w:t>
            </w:r>
          </w:p>
        </w:tc>
      </w:tr>
    </w:tbl>
    <w:p w14:paraId="3B2EE679" w14:textId="77777777" w:rsidR="00FA7C11" w:rsidRDefault="00FA7C11">
      <w:pPr>
        <w:rPr>
          <w:rFonts w:eastAsia="Calibri"/>
          <w:noProof/>
          <w:szCs w:val="24"/>
        </w:rPr>
        <w:sectPr w:rsidR="00FA7C11" w:rsidSect="00FA29B2">
          <w:headerReference w:type="even" r:id="rId104"/>
          <w:headerReference w:type="default" r:id="rId105"/>
          <w:footerReference w:type="even" r:id="rId106"/>
          <w:footerReference w:type="default" r:id="rId107"/>
          <w:headerReference w:type="first" r:id="rId108"/>
          <w:footerReference w:type="first" r:id="rId109"/>
          <w:pgSz w:w="16839" w:h="11907" w:orient="landscape"/>
          <w:pgMar w:top="1134" w:right="1134" w:bottom="1134" w:left="1134" w:header="567" w:footer="567" w:gutter="0"/>
          <w:cols w:space="708"/>
          <w:docGrid w:linePitch="360"/>
        </w:sectPr>
      </w:pPr>
    </w:p>
    <w:p w14:paraId="114C8022" w14:textId="77777777" w:rsidR="00FA7C11" w:rsidRDefault="00FA7C11">
      <w:pPr>
        <w:rPr>
          <w:noProof/>
        </w:rPr>
      </w:pPr>
    </w:p>
    <w:p w14:paraId="3EDC5977" w14:textId="77777777" w:rsidR="00FA7C11" w:rsidRDefault="00D84965">
      <w:pPr>
        <w:pStyle w:val="P68B1DB1-Normal103"/>
        <w:keepNext/>
        <w:tabs>
          <w:tab w:val="left" w:pos="850"/>
        </w:tabs>
        <w:spacing w:after="200" w:line="276" w:lineRule="auto"/>
        <w:ind w:left="850" w:hanging="850"/>
        <w:jc w:val="both"/>
        <w:outlineLvl w:val="0"/>
        <w:rPr>
          <w:noProof/>
          <w:szCs w:val="24"/>
        </w:rPr>
      </w:pPr>
      <w:r>
        <w:rPr>
          <w:noProof/>
        </w:rPr>
        <w:t>F. COMPONENTA 1.6: DEZVOLTAREA TURISMULUI DURABIL, INOVATOR ȘI REZILIENT</w:t>
      </w:r>
    </w:p>
    <w:p w14:paraId="2660FE27" w14:textId="77777777" w:rsidR="00FA7C11" w:rsidRDefault="00D84965">
      <w:pPr>
        <w:pStyle w:val="P68B1DB1-Normal104"/>
        <w:spacing w:after="200" w:line="276" w:lineRule="auto"/>
        <w:jc w:val="both"/>
        <w:rPr>
          <w:noProof/>
        </w:rPr>
      </w:pPr>
      <w:r>
        <w:rPr>
          <w:noProof/>
        </w:rPr>
        <w:t>Pandemia de COVID-19 a avut un impact foarte negativ asupra sectorului turismului, atât la nivel mondial, cât și în Croația. Ca activitate strategică în Croația, turismul reprezintă o cotă directă de 11,4 % din PIB și a înregistrat o scădere cu 55 % a numărului de nopți în 2020 comparativ cu anul precedent. Având în vedere aceste efecte ale crizei și evoluția așteptărilor în materie de cerere, scopul acestei componente a planului croat de redresare și reziliență este de a transforma și moderniza sectorul turismului, sporind în același timp competitivitatea, sustenabilitatea și reziliența acestuia prin atingerea următoarelor obiective generale:</w:t>
      </w:r>
    </w:p>
    <w:p w14:paraId="7202E26D" w14:textId="77777777" w:rsidR="00FA7C11" w:rsidRDefault="00D84965">
      <w:pPr>
        <w:pStyle w:val="P68B1DB1-Normal105"/>
        <w:numPr>
          <w:ilvl w:val="0"/>
          <w:numId w:val="53"/>
        </w:numPr>
        <w:spacing w:before="120" w:after="120" w:line="240" w:lineRule="auto"/>
        <w:jc w:val="both"/>
        <w:rPr>
          <w:noProof/>
        </w:rPr>
      </w:pPr>
      <w:r>
        <w:rPr>
          <w:noProof/>
        </w:rPr>
        <w:t>Să sporească reziliența și sustenabilitatea sectorului turismului prin sprijinirea tranziției verzi și a celei digitale.</w:t>
      </w:r>
    </w:p>
    <w:p w14:paraId="73B55BA4" w14:textId="77777777" w:rsidR="00FA7C11" w:rsidRDefault="00D84965">
      <w:pPr>
        <w:pStyle w:val="P68B1DB1-Normal105"/>
        <w:numPr>
          <w:ilvl w:val="0"/>
          <w:numId w:val="53"/>
        </w:numPr>
        <w:spacing w:before="120" w:after="120" w:line="240" w:lineRule="auto"/>
        <w:jc w:val="both"/>
        <w:rPr>
          <w:noProof/>
        </w:rPr>
      </w:pPr>
      <w:r>
        <w:rPr>
          <w:noProof/>
        </w:rPr>
        <w:t>Să contribuie la redresarea sectorului turismului în urma crizei provocate de pandemia de COVID-19 prin îmbunătățirea capacității de cazare și a coeziunii sociale și teritoriale.</w:t>
      </w:r>
    </w:p>
    <w:p w14:paraId="0F89A016" w14:textId="77777777" w:rsidR="00FA7C11" w:rsidRDefault="00D84965">
      <w:pPr>
        <w:pStyle w:val="P68B1DB1-Normal105"/>
        <w:numPr>
          <w:ilvl w:val="0"/>
          <w:numId w:val="53"/>
        </w:numPr>
        <w:spacing w:before="120" w:after="120" w:line="240" w:lineRule="auto"/>
        <w:jc w:val="both"/>
        <w:rPr>
          <w:noProof/>
        </w:rPr>
      </w:pPr>
      <w:r>
        <w:rPr>
          <w:noProof/>
        </w:rPr>
        <w:t>Creșterea economiei circulare în turism și promovarea consumului responsabil și creșterea efectelor indirecte ale turismului asupra activităților conexe.</w:t>
      </w:r>
    </w:p>
    <w:p w14:paraId="2DCF290F" w14:textId="77777777" w:rsidR="00FA7C11" w:rsidRDefault="00D84965">
      <w:pPr>
        <w:pStyle w:val="P68B1DB1-Normal97"/>
        <w:spacing w:after="200" w:line="276" w:lineRule="auto"/>
        <w:jc w:val="both"/>
        <w:rPr>
          <w:rFonts w:ascii="Times New Roman" w:eastAsia="Calibri" w:hAnsi="Times New Roman" w:cs="Times New Roman"/>
          <w:noProof/>
          <w:color w:val="000000" w:themeColor="text1"/>
          <w:szCs w:val="24"/>
        </w:rPr>
      </w:pPr>
      <w:r>
        <w:rPr>
          <w:rFonts w:ascii="Times New Roman" w:eastAsia="Calibri" w:hAnsi="Times New Roman" w:cs="Times New Roman"/>
          <w:noProof/>
          <w:color w:val="000000" w:themeColor="text1"/>
          <w:szCs w:val="28"/>
        </w:rPr>
        <w:t xml:space="preserve">Componenta sprijină abordarea </w:t>
      </w:r>
      <w:r>
        <w:rPr>
          <w:rFonts w:ascii="Times New Roman" w:hAnsi="Times New Roman" w:cs="Times New Roman"/>
          <w:noProof/>
          <w:szCs w:val="24"/>
        </w:rPr>
        <w:t xml:space="preserve"> </w:t>
      </w:r>
      <w:r>
        <w:rPr>
          <w:rFonts w:ascii="Times New Roman" w:eastAsia="Calibri" w:hAnsi="Times New Roman" w:cs="Times New Roman"/>
          <w:noProof/>
          <w:color w:val="000000" w:themeColor="text1"/>
          <w:szCs w:val="28"/>
        </w:rPr>
        <w:t>recomandarea specifică fiecărei țări de a reduce cele mai împovărătoare taxe parafiscale (recomandările specifice fiecărei țări 4 și 2019), de a lua toate măsurile necesare pentru a combate în mod eficace pandemia (recomandările specifice fiecărei țări 1 și 2020) și de a concentra la începutul perioadei proiectele de investiții publice mature și de a promova investițiile private pentru a stimula redresarea economică (recomandările specifice fiecărei țări 3 și 2020).</w:t>
      </w:r>
    </w:p>
    <w:p w14:paraId="7F66FFB5" w14:textId="77777777" w:rsidR="00FA7C11" w:rsidRDefault="00D84965">
      <w:pPr>
        <w:pStyle w:val="P68B1DB1-Normal105"/>
        <w:spacing w:after="200" w:line="276" w:lineRule="auto"/>
        <w:jc w:val="both"/>
        <w:rPr>
          <w:noProof/>
          <w:szCs w:val="24"/>
        </w:rPr>
      </w:pPr>
      <w:r>
        <w:rPr>
          <w:noProof/>
        </w:rPr>
        <w:t>Această componentă contribuie, de asemenea, la obiectivele stabilite în celelalte subcomponente ale acestui plan, în special C1.5. Îmbunătățirea utilizării resurselor naturale și consolidarea lanțului de aprovizionare cu alimente și C2.3. Transformarea digitală a societății și a administrației publice.</w:t>
      </w:r>
    </w:p>
    <w:p w14:paraId="2D6CCC19" w14:textId="77777777" w:rsidR="00FA7C11" w:rsidRDefault="00D84965">
      <w:pPr>
        <w:pStyle w:val="P68B1DB1-Normal106"/>
        <w:keepNext/>
        <w:tabs>
          <w:tab w:val="num" w:pos="850"/>
        </w:tabs>
        <w:spacing w:after="200" w:line="276" w:lineRule="auto"/>
        <w:ind w:left="851"/>
        <w:jc w:val="both"/>
        <w:outlineLvl w:val="1"/>
        <w:rPr>
          <w:rFonts w:ascii="Times New Roman" w:eastAsia="Calibri" w:hAnsi="Times New Roman" w:cs="Times New Roman"/>
          <w:noProof/>
          <w:color w:val="000000" w:themeColor="text1"/>
          <w:szCs w:val="24"/>
        </w:rPr>
      </w:pPr>
      <w:r>
        <w:rPr>
          <w:rFonts w:ascii="Times New Roman" w:eastAsia="SimSun" w:hAnsi="Times New Roman" w:cs="Times New Roman"/>
          <w:b/>
          <w:noProof/>
          <w:color w:val="000000" w:themeColor="text1"/>
          <w:szCs w:val="28"/>
        </w:rPr>
        <w:t xml:space="preserve">F.1. </w:t>
      </w:r>
      <w:r>
        <w:rPr>
          <w:rFonts w:ascii="Times New Roman" w:hAnsi="Times New Roman" w:cs="Times New Roman"/>
          <w:noProof/>
          <w:szCs w:val="24"/>
        </w:rPr>
        <w:t xml:space="preserve"> </w:t>
      </w:r>
      <w:r>
        <w:rPr>
          <w:rFonts w:ascii="Times New Roman" w:eastAsia="Calibri" w:hAnsi="Times New Roman" w:cs="Times New Roman"/>
          <w:b/>
          <w:noProof/>
          <w:color w:val="000000" w:themeColor="text1"/>
          <w:szCs w:val="28"/>
        </w:rPr>
        <w:t>Descrierea reformelor și a investițiilor pentru sprijinul financiar nerambursabil</w:t>
      </w:r>
    </w:p>
    <w:p w14:paraId="41DEB2F9" w14:textId="77777777" w:rsidR="00FA7C11" w:rsidRDefault="00D84965">
      <w:pPr>
        <w:pStyle w:val="P68B1DB1-Normal107"/>
        <w:keepNext/>
        <w:spacing w:after="200" w:line="276" w:lineRule="auto"/>
        <w:ind w:left="850"/>
        <w:jc w:val="both"/>
        <w:rPr>
          <w:noProof/>
          <w:szCs w:val="24"/>
        </w:rPr>
      </w:pPr>
      <w:r>
        <w:rPr>
          <w:noProof/>
        </w:rPr>
        <w:t>Reforma C1.6 R1 – Consolidarea rezilienței și a durabilității sectorului turismului</w:t>
      </w:r>
    </w:p>
    <w:p w14:paraId="1784D6C5" w14:textId="77777777" w:rsidR="00FA7C11" w:rsidRDefault="00D84965">
      <w:pPr>
        <w:pStyle w:val="P68B1DB1-Normal105"/>
        <w:spacing w:line="240" w:lineRule="auto"/>
        <w:jc w:val="both"/>
        <w:rPr>
          <w:noProof/>
          <w:szCs w:val="24"/>
        </w:rPr>
      </w:pPr>
      <w:r>
        <w:rPr>
          <w:noProof/>
        </w:rPr>
        <w:t>Reforma urmărește să stabilească un cadru organizațional și juridic eficace pentru gestionarea dezvoltării turismului durabil prin elaborarea Legii turismului, a Strategiei din 2030 pentru dezvoltarea durabilă a turismului, a Planului național pentru dezvoltarea durabilă a turismului până în 2027 și a evaluării strategice de mediu.</w:t>
      </w:r>
    </w:p>
    <w:p w14:paraId="5E301503" w14:textId="77777777" w:rsidR="00FA7C11" w:rsidRDefault="00D84965">
      <w:pPr>
        <w:pStyle w:val="P68B1DB1-Normal105"/>
        <w:spacing w:line="240" w:lineRule="auto"/>
        <w:jc w:val="both"/>
        <w:rPr>
          <w:noProof/>
          <w:szCs w:val="24"/>
        </w:rPr>
      </w:pPr>
      <w:r>
        <w:rPr>
          <w:noProof/>
        </w:rPr>
        <w:t>Reforma include:</w:t>
      </w:r>
    </w:p>
    <w:p w14:paraId="75A2FEEF" w14:textId="77777777" w:rsidR="00FA7C11" w:rsidRDefault="00D84965">
      <w:pPr>
        <w:pStyle w:val="P68B1DB1-Normal105"/>
        <w:numPr>
          <w:ilvl w:val="0"/>
          <w:numId w:val="53"/>
        </w:numPr>
        <w:spacing w:after="120" w:line="240" w:lineRule="auto"/>
        <w:jc w:val="both"/>
        <w:rPr>
          <w:noProof/>
          <w:szCs w:val="24"/>
        </w:rPr>
      </w:pPr>
      <w:r>
        <w:rPr>
          <w:noProof/>
        </w:rPr>
        <w:t>Alte ajutoare administrative și parafiscale pentru sectorul turismului;</w:t>
      </w:r>
    </w:p>
    <w:p w14:paraId="091B17C8" w14:textId="77777777" w:rsidR="00FA7C11" w:rsidRDefault="00D84965">
      <w:pPr>
        <w:pStyle w:val="P68B1DB1-Normal105"/>
        <w:numPr>
          <w:ilvl w:val="0"/>
          <w:numId w:val="53"/>
        </w:numPr>
        <w:spacing w:after="120" w:line="240" w:lineRule="auto"/>
        <w:jc w:val="both"/>
        <w:rPr>
          <w:noProof/>
          <w:szCs w:val="24"/>
        </w:rPr>
      </w:pPr>
      <w:r>
        <w:rPr>
          <w:noProof/>
        </w:rPr>
        <w:t>Modificarea în continuare a cadrului legislativ care va permite o mai bună gestionare a dezvoltării turismului, încurajând în același timp investițiile întreprinderilor în inovare;</w:t>
      </w:r>
    </w:p>
    <w:p w14:paraId="6F6BF7FE" w14:textId="77777777" w:rsidR="00FA7C11" w:rsidRDefault="00D84965">
      <w:pPr>
        <w:pStyle w:val="P68B1DB1-Normal105"/>
        <w:numPr>
          <w:ilvl w:val="0"/>
          <w:numId w:val="53"/>
        </w:numPr>
        <w:spacing w:after="120" w:line="240" w:lineRule="auto"/>
        <w:jc w:val="both"/>
        <w:rPr>
          <w:noProof/>
        </w:rPr>
      </w:pPr>
      <w:r>
        <w:rPr>
          <w:noProof/>
        </w:rPr>
        <w:t>Dezvoltarea unui nou model de turism care să ofere produse turistice mai diversificate, să contribuie la tranziția verde și digitală a antreprenorilor din domeniul turismului și să asigure respectarea principiilor economiei circulare;</w:t>
      </w:r>
    </w:p>
    <w:p w14:paraId="1C15CF26" w14:textId="77777777" w:rsidR="00FA7C11" w:rsidRDefault="00D84965">
      <w:pPr>
        <w:pStyle w:val="P68B1DB1-Normal105"/>
        <w:numPr>
          <w:ilvl w:val="0"/>
          <w:numId w:val="53"/>
        </w:numPr>
        <w:spacing w:after="120" w:line="240" w:lineRule="auto"/>
        <w:jc w:val="both"/>
        <w:rPr>
          <w:noProof/>
        </w:rPr>
      </w:pPr>
      <w:r>
        <w:rPr>
          <w:noProof/>
        </w:rPr>
        <w:t>Reducerea procedurilor operaționale care vor contribui la înființarea mai ușoară, mai rapidă și mai ieftină a unei întreprinderi turistice.</w:t>
      </w:r>
    </w:p>
    <w:p w14:paraId="0BB8B2A9" w14:textId="77777777" w:rsidR="00FA7C11" w:rsidRDefault="00D84965">
      <w:pPr>
        <w:pStyle w:val="P68B1DB1-Normal105"/>
        <w:spacing w:line="240" w:lineRule="auto"/>
        <w:jc w:val="both"/>
        <w:rPr>
          <w:noProof/>
        </w:rPr>
      </w:pPr>
      <w:r>
        <w:rPr>
          <w:noProof/>
        </w:rPr>
        <w:t>Operaționalizarea reformei sistemului de gestionare a turismului este avută în vedere, de asemenea, prin investiția C.2.3 R3-I15 – Stabilirea de soluții pentru aplicațiile turistice, cu scopul de a degreva din punct de vedere administrativ antreprenorii și de a transforma modelul turistic în direcția durabilității. Reforma va fi pusă în aplicare în conformitate cu principiul consultării publice, implicând o gamă largă de părți interesate din ecosistemul turistic general, inclusiv antreprenori, asociații industriale și cadre universitare.</w:t>
      </w:r>
    </w:p>
    <w:p w14:paraId="47AAA64E" w14:textId="77777777" w:rsidR="00FA7C11" w:rsidRDefault="00D84965">
      <w:pPr>
        <w:pStyle w:val="P68B1DB1-Normal105"/>
        <w:spacing w:after="200" w:line="276" w:lineRule="auto"/>
        <w:jc w:val="both"/>
        <w:rPr>
          <w:noProof/>
        </w:rPr>
      </w:pPr>
      <w:r>
        <w:rPr>
          <w:noProof/>
        </w:rPr>
        <w:t>Reforma se finalizează până la 31 decembrie 2023.</w:t>
      </w:r>
    </w:p>
    <w:p w14:paraId="78BADEEA" w14:textId="77777777" w:rsidR="00FA7C11" w:rsidRDefault="00D84965">
      <w:pPr>
        <w:pStyle w:val="P68B1DB1-Normal107"/>
        <w:keepNext/>
        <w:spacing w:after="200" w:line="276" w:lineRule="auto"/>
        <w:ind w:left="850"/>
        <w:jc w:val="both"/>
        <w:rPr>
          <w:noProof/>
        </w:rPr>
      </w:pPr>
      <w:r>
        <w:rPr>
          <w:noProof/>
        </w:rPr>
        <w:t>Investiția C1.6 R1-I1 – Diversificarea regională și specializarea turismului croat prin investiții în dezvoltarea de produse turistice cu valoare adăugată ridicată</w:t>
      </w:r>
    </w:p>
    <w:p w14:paraId="3406BC62" w14:textId="44468DC5" w:rsidR="00FA7C11" w:rsidRDefault="00D84965">
      <w:pPr>
        <w:pStyle w:val="P68B1DB1-Normal105"/>
        <w:spacing w:after="200" w:line="276" w:lineRule="auto"/>
        <w:jc w:val="both"/>
        <w:rPr>
          <w:noProof/>
        </w:rPr>
      </w:pPr>
      <w:r>
        <w:rPr>
          <w:noProof/>
        </w:rPr>
        <w:t xml:space="preserve">Această investiție urmărește să ofere sprijin financiar sub formă de granturi pentru dezvoltarea, adaptarea și modernizarea infrastructurii turistice publice pe întreg teritoriul Croației. </w:t>
      </w:r>
    </w:p>
    <w:p w14:paraId="0175BB5F" w14:textId="77777777" w:rsidR="00FA7C11" w:rsidRDefault="00D84965">
      <w:pPr>
        <w:pStyle w:val="P68B1DB1-Normal105"/>
        <w:spacing w:after="200" w:line="276" w:lineRule="auto"/>
        <w:jc w:val="both"/>
        <w:rPr>
          <w:noProof/>
        </w:rPr>
      </w:pPr>
      <w:r>
        <w:rPr>
          <w:noProof/>
        </w:rPr>
        <w:t>Măsura constă în investiții care dezvoltă în continuare infrastructura turistică, sporesc eficiența energetică și promovează produsele de turism în destinațiile turistice mai puțin dezvoltate.</w:t>
      </w:r>
    </w:p>
    <w:p w14:paraId="1CA1CEBB" w14:textId="77777777" w:rsidR="00FA7C11" w:rsidRDefault="00D84965">
      <w:pPr>
        <w:pStyle w:val="P68B1DB1-Normal105"/>
        <w:spacing w:after="200" w:line="276" w:lineRule="auto"/>
        <w:jc w:val="both"/>
        <w:rPr>
          <w:noProof/>
        </w:rPr>
      </w:pPr>
      <w:r>
        <w:rPr>
          <w:noProof/>
        </w:rPr>
        <w:t>Investiția se finalizează până la 30 iunie 2026.</w:t>
      </w:r>
    </w:p>
    <w:p w14:paraId="06849DA7" w14:textId="77777777" w:rsidR="00FA7C11" w:rsidRDefault="00D84965">
      <w:pPr>
        <w:pStyle w:val="P68B1DB1-Normal107"/>
        <w:keepNext/>
        <w:spacing w:after="200" w:line="276" w:lineRule="auto"/>
        <w:ind w:left="850"/>
        <w:jc w:val="both"/>
        <w:rPr>
          <w:noProof/>
        </w:rPr>
      </w:pPr>
      <w:r>
        <w:rPr>
          <w:noProof/>
        </w:rPr>
        <w:t>Investiția C1.6 R1-I2 – Consolidarea competitivității antreprenorilor și promovarea tranziției verzi și digitale a sectorului turismului</w:t>
      </w:r>
    </w:p>
    <w:p w14:paraId="28A0B3BF" w14:textId="77777777" w:rsidR="00FA7C11" w:rsidRDefault="00D84965">
      <w:pPr>
        <w:pStyle w:val="P68B1DB1-Normal105"/>
        <w:spacing w:after="200" w:line="276" w:lineRule="auto"/>
        <w:jc w:val="both"/>
        <w:rPr>
          <w:noProof/>
        </w:rPr>
      </w:pPr>
      <w:r>
        <w:rPr>
          <w:noProof/>
        </w:rPr>
        <w:t>Investiția urmărește să ofere sprijin financiar pentru tranziția verde și digitală a sectorului turismului.</w:t>
      </w:r>
    </w:p>
    <w:p w14:paraId="381C7EB1" w14:textId="77777777" w:rsidR="00FA7C11" w:rsidRDefault="00D84965">
      <w:pPr>
        <w:pStyle w:val="P68B1DB1-Normal104"/>
        <w:spacing w:after="200" w:line="276" w:lineRule="auto"/>
        <w:jc w:val="both"/>
        <w:rPr>
          <w:noProof/>
        </w:rPr>
      </w:pPr>
      <w:r>
        <w:rPr>
          <w:noProof/>
        </w:rPr>
        <w:t xml:space="preserve">Obiectivul acestei investiții este de a pune în aplicare proiecte verzi, cum ar fi creșterea eficienței energetice, utilizarea surselor regenerabile și a economiei circulare, adoptarea inovării și a tehnologiilor digitale și dezvoltarea de produse turistice ecologice și utilizarea eficientă a resurselor. </w:t>
      </w:r>
    </w:p>
    <w:p w14:paraId="38351565" w14:textId="77777777" w:rsidR="00FA7C11" w:rsidRDefault="00D84965">
      <w:pPr>
        <w:pStyle w:val="P68B1DB1-Normal105"/>
        <w:spacing w:after="200" w:line="276" w:lineRule="auto"/>
        <w:jc w:val="both"/>
        <w:rPr>
          <w:noProof/>
        </w:rPr>
      </w:pPr>
      <w:r>
        <w:rPr>
          <w:noProof/>
        </w:rPr>
        <w:t>Investiția va fi finalizată până la 30 iunie 2026.</w:t>
      </w:r>
    </w:p>
    <w:p w14:paraId="6782919D" w14:textId="77777777" w:rsidR="00FA7C11" w:rsidRDefault="00D84965">
      <w:pPr>
        <w:pStyle w:val="P68B1DB1-Normal107"/>
        <w:keepNext/>
        <w:spacing w:after="200" w:line="276" w:lineRule="auto"/>
        <w:ind w:left="850"/>
        <w:jc w:val="both"/>
        <w:rPr>
          <w:noProof/>
        </w:rPr>
      </w:pPr>
      <w:r>
        <w:rPr>
          <w:noProof/>
        </w:rPr>
        <w:t>Investiția C1.6 R1-I3 – Consolidarea capacității sistemului pentru un turism rezilient și durabil</w:t>
      </w:r>
    </w:p>
    <w:p w14:paraId="171930A5" w14:textId="77777777" w:rsidR="00FA7C11" w:rsidRDefault="00D84965">
      <w:pPr>
        <w:pStyle w:val="P68B1DB1-Normal105"/>
        <w:spacing w:after="200" w:line="276" w:lineRule="auto"/>
        <w:jc w:val="both"/>
        <w:rPr>
          <w:noProof/>
        </w:rPr>
      </w:pPr>
      <w:r>
        <w:rPr>
          <w:noProof/>
        </w:rPr>
        <w:t xml:space="preserve">Obiectivul investiției este de a consolida reziliența capitalului uman în întregul sector al turismului, prin programe educaționale concepute special pentru nevoile pieței forței de muncă. </w:t>
      </w:r>
    </w:p>
    <w:p w14:paraId="3C6BE00A" w14:textId="77777777" w:rsidR="00FA7C11" w:rsidRDefault="00D84965">
      <w:pPr>
        <w:pStyle w:val="P68B1DB1-Normal105"/>
        <w:spacing w:after="200" w:line="276" w:lineRule="auto"/>
        <w:jc w:val="both"/>
        <w:rPr>
          <w:noProof/>
        </w:rPr>
      </w:pPr>
      <w:r>
        <w:rPr>
          <w:noProof/>
        </w:rPr>
        <w:t>Principalele activități de investiții includ conceperea de programe educaționale care să răspundă nevoilor pieței forței de muncă și formarea persoanelor în cadrul acestor programe educaționale.</w:t>
      </w:r>
    </w:p>
    <w:p w14:paraId="117EBF05" w14:textId="77777777" w:rsidR="00FA7C11" w:rsidRDefault="00D84965">
      <w:pPr>
        <w:pStyle w:val="P68B1DB1-Normal105"/>
        <w:rPr>
          <w:noProof/>
        </w:rPr>
        <w:sectPr w:rsidR="00FA7C11" w:rsidSect="00FA29B2">
          <w:headerReference w:type="even" r:id="rId110"/>
          <w:headerReference w:type="default" r:id="rId111"/>
          <w:footerReference w:type="even" r:id="rId112"/>
          <w:footerReference w:type="default" r:id="rId113"/>
          <w:headerReference w:type="first" r:id="rId114"/>
          <w:footerReference w:type="first" r:id="rId115"/>
          <w:pgSz w:w="11906" w:h="16838"/>
          <w:pgMar w:top="1134" w:right="1134" w:bottom="1134" w:left="1134" w:header="567" w:footer="567" w:gutter="0"/>
          <w:cols w:space="708"/>
          <w:docGrid w:linePitch="360"/>
        </w:sectPr>
      </w:pPr>
      <w:r>
        <w:rPr>
          <w:noProof/>
        </w:rPr>
        <w:t xml:space="preserve">Investiția se finalizează până la 31 decembrie 2025. </w:t>
      </w:r>
    </w:p>
    <w:p w14:paraId="4672DF0F" w14:textId="77777777" w:rsidR="00FA7C11" w:rsidRDefault="00D84965">
      <w:pPr>
        <w:pStyle w:val="P68B1DB1-Normal108"/>
        <w:keepNext/>
        <w:tabs>
          <w:tab w:val="num" w:pos="850"/>
        </w:tabs>
        <w:spacing w:after="200" w:line="276" w:lineRule="auto"/>
        <w:ind w:left="851"/>
        <w:jc w:val="both"/>
        <w:outlineLvl w:val="1"/>
        <w:rPr>
          <w:bCs/>
          <w:noProof/>
        </w:rPr>
      </w:pPr>
      <w:r>
        <w:rPr>
          <w:noProof/>
        </w:rPr>
        <w:t xml:space="preserve">F.2. </w:t>
      </w:r>
      <w:r>
        <w:rPr>
          <w:noProof/>
        </w:rPr>
        <w:tab/>
        <w:t>Jaloane, ținte, indicatori și calendarul de monitorizare și implementare aplicabile sprijinului financiar nerambursabil</w:t>
      </w:r>
    </w:p>
    <w:tbl>
      <w:tblPr>
        <w:tblW w:w="15784" w:type="dxa"/>
        <w:jc w:val="center"/>
        <w:tblCellMar>
          <w:top w:w="28" w:type="dxa"/>
          <w:left w:w="28" w:type="dxa"/>
          <w:bottom w:w="28" w:type="dxa"/>
          <w:right w:w="28" w:type="dxa"/>
        </w:tblCellMar>
        <w:tblLook w:val="04A0" w:firstRow="1" w:lastRow="0" w:firstColumn="1" w:lastColumn="0" w:noHBand="0" w:noVBand="1"/>
      </w:tblPr>
      <w:tblGrid>
        <w:gridCol w:w="768"/>
        <w:gridCol w:w="1076"/>
        <w:gridCol w:w="1345"/>
        <w:gridCol w:w="1766"/>
        <w:gridCol w:w="1984"/>
        <w:gridCol w:w="712"/>
        <w:gridCol w:w="850"/>
        <w:gridCol w:w="992"/>
        <w:gridCol w:w="919"/>
        <w:gridCol w:w="708"/>
        <w:gridCol w:w="5103"/>
      </w:tblGrid>
      <w:tr w:rsidR="00FA7C11" w14:paraId="475AF2EB" w14:textId="77777777">
        <w:trPr>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E41DCA" w14:textId="77777777" w:rsidR="00FA7C11" w:rsidRDefault="00D84965">
            <w:pPr>
              <w:pStyle w:val="P68B1DB1-Normal109"/>
              <w:spacing w:after="0" w:line="276" w:lineRule="auto"/>
              <w:jc w:val="center"/>
              <w:rPr>
                <w:bCs/>
                <w:noProof/>
              </w:rPr>
            </w:pPr>
            <w:r>
              <w:rPr>
                <w:noProof/>
              </w:rPr>
              <w:t>Număr</w:t>
            </w:r>
          </w:p>
        </w:tc>
        <w:tc>
          <w:tcPr>
            <w:tcW w:w="10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5791F8" w14:textId="77777777" w:rsidR="00FA7C11" w:rsidRDefault="00D84965">
            <w:pPr>
              <w:pStyle w:val="P68B1DB1-Normal109"/>
              <w:spacing w:after="0" w:line="276" w:lineRule="auto"/>
              <w:jc w:val="center"/>
              <w:rPr>
                <w:bCs/>
                <w:noProof/>
              </w:rPr>
            </w:pPr>
            <w:r>
              <w:rPr>
                <w:noProof/>
              </w:rPr>
              <w:t>Măsură</w:t>
            </w:r>
          </w:p>
        </w:tc>
        <w:tc>
          <w:tcPr>
            <w:tcW w:w="10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87AACB" w14:textId="77777777" w:rsidR="00FA7C11" w:rsidRDefault="00D84965">
            <w:pPr>
              <w:pStyle w:val="P68B1DB1-Normal109"/>
              <w:spacing w:after="0" w:line="276" w:lineRule="auto"/>
              <w:jc w:val="center"/>
              <w:rPr>
                <w:bCs/>
                <w:noProof/>
              </w:rPr>
            </w:pPr>
            <w:r>
              <w:rPr>
                <w:noProof/>
              </w:rPr>
              <w:t>Etapă/Obiectiv</w:t>
            </w:r>
          </w:p>
        </w:tc>
        <w:tc>
          <w:tcPr>
            <w:tcW w:w="17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AFDD1A" w14:textId="77777777" w:rsidR="00FA7C11" w:rsidRDefault="00D84965">
            <w:pPr>
              <w:pStyle w:val="P68B1DB1-Normal109"/>
              <w:spacing w:after="0" w:line="276" w:lineRule="auto"/>
              <w:jc w:val="center"/>
              <w:rPr>
                <w:bCs/>
                <w:noProof/>
              </w:rPr>
            </w:pPr>
            <w:r>
              <w:rPr>
                <w:noProof/>
              </w:rPr>
              <w:t>Nume</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C2007E" w14:textId="77777777" w:rsidR="00FA7C11" w:rsidRDefault="00D84965">
            <w:pPr>
              <w:pStyle w:val="P68B1DB1-Normal109"/>
              <w:spacing w:after="0" w:line="276" w:lineRule="auto"/>
              <w:jc w:val="center"/>
              <w:rPr>
                <w:bCs/>
                <w:noProof/>
              </w:rPr>
            </w:pPr>
            <w:r>
              <w:rPr>
                <w:noProof/>
              </w:rPr>
              <w:t xml:space="preserve">Indicatori calitativi </w:t>
            </w:r>
            <w:r>
              <w:rPr>
                <w:noProof/>
              </w:rPr>
              <w:br/>
              <w:t>(pentru jaloane)</w:t>
            </w:r>
          </w:p>
        </w:tc>
        <w:tc>
          <w:tcPr>
            <w:tcW w:w="2554" w:type="dxa"/>
            <w:gridSpan w:val="3"/>
            <w:tcBorders>
              <w:top w:val="single" w:sz="4" w:space="0" w:color="auto"/>
              <w:left w:val="nil"/>
              <w:bottom w:val="single" w:sz="4" w:space="0" w:color="auto"/>
              <w:right w:val="single" w:sz="4" w:space="0" w:color="auto"/>
            </w:tcBorders>
            <w:shd w:val="clear" w:color="auto" w:fill="BDD7EE"/>
            <w:vAlign w:val="center"/>
            <w:hideMark/>
          </w:tcPr>
          <w:p w14:paraId="3499B7A4" w14:textId="77777777" w:rsidR="00FA7C11" w:rsidRDefault="00D84965">
            <w:pPr>
              <w:pStyle w:val="P68B1DB1-Normal109"/>
              <w:spacing w:after="0" w:line="276" w:lineRule="auto"/>
              <w:jc w:val="center"/>
              <w:rPr>
                <w:bCs/>
                <w:noProof/>
              </w:rPr>
            </w:pPr>
            <w:r>
              <w:rPr>
                <w:noProof/>
              </w:rPr>
              <w:t xml:space="preserve">Indicatori cantitativi </w:t>
            </w:r>
            <w:r>
              <w:rPr>
                <w:noProof/>
              </w:rPr>
              <w:br/>
              <w:t>(pentru obiective)</w:t>
            </w:r>
          </w:p>
        </w:tc>
        <w:tc>
          <w:tcPr>
            <w:tcW w:w="1464" w:type="dxa"/>
            <w:gridSpan w:val="2"/>
            <w:tcBorders>
              <w:top w:val="single" w:sz="4" w:space="0" w:color="auto"/>
              <w:left w:val="nil"/>
              <w:bottom w:val="single" w:sz="4" w:space="0" w:color="auto"/>
              <w:right w:val="single" w:sz="4" w:space="0" w:color="auto"/>
            </w:tcBorders>
            <w:shd w:val="clear" w:color="auto" w:fill="BDD7EE"/>
            <w:vAlign w:val="center"/>
            <w:hideMark/>
          </w:tcPr>
          <w:p w14:paraId="0826EE91" w14:textId="77777777" w:rsidR="00FA7C11" w:rsidRDefault="00D84965">
            <w:pPr>
              <w:pStyle w:val="P68B1DB1-Normal109"/>
              <w:spacing w:after="0" w:line="276" w:lineRule="auto"/>
              <w:jc w:val="center"/>
              <w:rPr>
                <w:bCs/>
                <w:noProof/>
              </w:rPr>
            </w:pPr>
            <w:r>
              <w:rPr>
                <w:noProof/>
              </w:rPr>
              <w:t>Timp</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9AD7F0" w14:textId="77777777" w:rsidR="00FA7C11" w:rsidRDefault="00D84965">
            <w:pPr>
              <w:pStyle w:val="P68B1DB1-Normal109"/>
              <w:spacing w:after="0" w:line="276" w:lineRule="auto"/>
              <w:jc w:val="center"/>
              <w:rPr>
                <w:bCs/>
                <w:noProof/>
              </w:rPr>
            </w:pPr>
            <w:r>
              <w:rPr>
                <w:noProof/>
              </w:rPr>
              <w:t>Descrierea fiecărui jalon și a fiecărei ținte</w:t>
            </w:r>
          </w:p>
        </w:tc>
      </w:tr>
      <w:tr w:rsidR="00FA7C11" w14:paraId="2A29840F" w14:textId="77777777">
        <w:trPr>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07260E52" w14:textId="77777777" w:rsidR="00FA7C11" w:rsidRDefault="00FA7C11">
            <w:pPr>
              <w:spacing w:after="0" w:line="276" w:lineRule="auto"/>
              <w:jc w:val="center"/>
              <w:rPr>
                <w:rFonts w:ascii="Times New Roman" w:eastAsia="Times New Roman" w:hAnsi="Times New Roman" w:cs="Times New Roman"/>
                <w:b/>
                <w:noProof/>
                <w:color w:val="000000" w:themeColor="text1"/>
                <w:sz w:val="20"/>
                <w:szCs w:val="20"/>
              </w:rPr>
            </w:pPr>
          </w:p>
        </w:tc>
        <w:tc>
          <w:tcPr>
            <w:tcW w:w="1076" w:type="dxa"/>
            <w:vMerge/>
            <w:tcBorders>
              <w:top w:val="single" w:sz="4" w:space="0" w:color="auto"/>
              <w:left w:val="single" w:sz="4" w:space="0" w:color="auto"/>
              <w:bottom w:val="single" w:sz="4" w:space="0" w:color="auto"/>
              <w:right w:val="single" w:sz="4" w:space="0" w:color="auto"/>
            </w:tcBorders>
            <w:hideMark/>
          </w:tcPr>
          <w:p w14:paraId="5A00174F" w14:textId="77777777" w:rsidR="00FA7C11" w:rsidRDefault="00FA7C11">
            <w:pPr>
              <w:spacing w:after="0" w:line="276" w:lineRule="auto"/>
              <w:jc w:val="center"/>
              <w:rPr>
                <w:rFonts w:ascii="Times New Roman" w:eastAsia="Times New Roman" w:hAnsi="Times New Roman" w:cs="Times New Roman"/>
                <w:b/>
                <w:noProof/>
                <w:color w:val="000000" w:themeColor="text1"/>
                <w:sz w:val="20"/>
                <w:szCs w:val="20"/>
              </w:rPr>
            </w:pPr>
          </w:p>
        </w:tc>
        <w:tc>
          <w:tcPr>
            <w:tcW w:w="1069" w:type="dxa"/>
            <w:vMerge/>
            <w:tcBorders>
              <w:top w:val="single" w:sz="4" w:space="0" w:color="auto"/>
              <w:left w:val="single" w:sz="4" w:space="0" w:color="auto"/>
              <w:bottom w:val="single" w:sz="4" w:space="0" w:color="auto"/>
              <w:right w:val="single" w:sz="4" w:space="0" w:color="auto"/>
            </w:tcBorders>
            <w:hideMark/>
          </w:tcPr>
          <w:p w14:paraId="508B2264" w14:textId="77777777" w:rsidR="00FA7C11" w:rsidRDefault="00FA7C11">
            <w:pPr>
              <w:spacing w:after="0" w:line="276" w:lineRule="auto"/>
              <w:jc w:val="center"/>
              <w:rPr>
                <w:rFonts w:ascii="Times New Roman" w:eastAsia="Times New Roman" w:hAnsi="Times New Roman" w:cs="Times New Roman"/>
                <w:b/>
                <w:noProof/>
                <w:color w:val="000000" w:themeColor="text1"/>
                <w:sz w:val="20"/>
                <w:szCs w:val="20"/>
              </w:rPr>
            </w:pPr>
          </w:p>
        </w:tc>
        <w:tc>
          <w:tcPr>
            <w:tcW w:w="1766" w:type="dxa"/>
            <w:vMerge/>
            <w:tcBorders>
              <w:top w:val="single" w:sz="4" w:space="0" w:color="auto"/>
              <w:left w:val="single" w:sz="4" w:space="0" w:color="auto"/>
              <w:bottom w:val="single" w:sz="4" w:space="0" w:color="auto"/>
              <w:right w:val="single" w:sz="4" w:space="0" w:color="auto"/>
            </w:tcBorders>
            <w:hideMark/>
          </w:tcPr>
          <w:p w14:paraId="04B3375D" w14:textId="77777777" w:rsidR="00FA7C11" w:rsidRDefault="00FA7C11">
            <w:pPr>
              <w:spacing w:after="0" w:line="276" w:lineRule="auto"/>
              <w:rPr>
                <w:rFonts w:ascii="Times New Roman" w:eastAsia="Times New Roman" w:hAnsi="Times New Roman" w:cs="Times New Roman"/>
                <w:b/>
                <w:noProof/>
                <w:color w:val="000000" w:themeColor="text1"/>
                <w:sz w:val="20"/>
                <w:szCs w:val="20"/>
              </w:rPr>
            </w:pPr>
          </w:p>
        </w:tc>
        <w:tc>
          <w:tcPr>
            <w:tcW w:w="1984" w:type="dxa"/>
            <w:vMerge/>
            <w:tcBorders>
              <w:top w:val="single" w:sz="4" w:space="0" w:color="auto"/>
              <w:left w:val="single" w:sz="4" w:space="0" w:color="auto"/>
              <w:bottom w:val="single" w:sz="4" w:space="0" w:color="auto"/>
              <w:right w:val="single" w:sz="4" w:space="0" w:color="auto"/>
            </w:tcBorders>
            <w:hideMark/>
          </w:tcPr>
          <w:p w14:paraId="6A5FA6E0" w14:textId="77777777" w:rsidR="00FA7C11" w:rsidRDefault="00FA7C11">
            <w:pPr>
              <w:spacing w:after="0" w:line="276" w:lineRule="auto"/>
              <w:rPr>
                <w:rFonts w:ascii="Times New Roman" w:eastAsia="Times New Roman" w:hAnsi="Times New Roman" w:cs="Times New Roman"/>
                <w:b/>
                <w:noProof/>
                <w:color w:val="000000" w:themeColor="text1"/>
                <w:sz w:val="20"/>
                <w:szCs w:val="20"/>
              </w:rPr>
            </w:pPr>
          </w:p>
        </w:tc>
        <w:tc>
          <w:tcPr>
            <w:tcW w:w="712" w:type="dxa"/>
            <w:tcBorders>
              <w:top w:val="single" w:sz="4" w:space="0" w:color="auto"/>
              <w:left w:val="single" w:sz="4" w:space="0" w:color="auto"/>
              <w:bottom w:val="single" w:sz="4" w:space="0" w:color="auto"/>
              <w:right w:val="single" w:sz="4" w:space="0" w:color="auto"/>
            </w:tcBorders>
            <w:shd w:val="clear" w:color="auto" w:fill="BDD7EE"/>
            <w:hideMark/>
          </w:tcPr>
          <w:p w14:paraId="7291D323" w14:textId="77777777" w:rsidR="00FA7C11" w:rsidRDefault="00D84965">
            <w:pPr>
              <w:pStyle w:val="P68B1DB1-Normal109"/>
              <w:spacing w:after="0" w:line="276" w:lineRule="auto"/>
              <w:jc w:val="center"/>
              <w:rPr>
                <w:bCs/>
                <w:noProof/>
              </w:rPr>
            </w:pPr>
            <w:r>
              <w:rPr>
                <w:noProof/>
              </w:rPr>
              <w:t>Unitate</w:t>
            </w:r>
          </w:p>
        </w:tc>
        <w:tc>
          <w:tcPr>
            <w:tcW w:w="850" w:type="dxa"/>
            <w:tcBorders>
              <w:top w:val="single" w:sz="4" w:space="0" w:color="auto"/>
              <w:left w:val="single" w:sz="4" w:space="0" w:color="auto"/>
              <w:bottom w:val="single" w:sz="4" w:space="0" w:color="auto"/>
              <w:right w:val="single" w:sz="4" w:space="0" w:color="auto"/>
            </w:tcBorders>
            <w:shd w:val="clear" w:color="auto" w:fill="BDD7EE"/>
            <w:hideMark/>
          </w:tcPr>
          <w:p w14:paraId="5F5DD7E7" w14:textId="77777777" w:rsidR="00FA7C11" w:rsidRDefault="00D84965">
            <w:pPr>
              <w:pStyle w:val="P68B1DB1-Normal109"/>
              <w:spacing w:after="0" w:line="276" w:lineRule="auto"/>
              <w:jc w:val="center"/>
              <w:rPr>
                <w:bCs/>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7EE"/>
            <w:hideMark/>
          </w:tcPr>
          <w:p w14:paraId="2E30B23A" w14:textId="77777777" w:rsidR="00FA7C11" w:rsidRDefault="00D84965">
            <w:pPr>
              <w:pStyle w:val="P68B1DB1-Normal109"/>
              <w:spacing w:after="0" w:line="276" w:lineRule="auto"/>
              <w:jc w:val="center"/>
              <w:rPr>
                <w:bCs/>
                <w:noProof/>
              </w:rPr>
            </w:pPr>
            <w:r>
              <w:rPr>
                <w:noProof/>
              </w:rPr>
              <w:t>Obiectiv</w:t>
            </w:r>
          </w:p>
        </w:tc>
        <w:tc>
          <w:tcPr>
            <w:tcW w:w="756" w:type="dxa"/>
            <w:tcBorders>
              <w:top w:val="single" w:sz="4" w:space="0" w:color="auto"/>
              <w:left w:val="single" w:sz="4" w:space="0" w:color="auto"/>
              <w:bottom w:val="single" w:sz="4" w:space="0" w:color="auto"/>
              <w:right w:val="single" w:sz="4" w:space="0" w:color="auto"/>
            </w:tcBorders>
            <w:shd w:val="clear" w:color="auto" w:fill="BDD7EE"/>
            <w:hideMark/>
          </w:tcPr>
          <w:p w14:paraId="1D3237D6" w14:textId="77777777" w:rsidR="00FA7C11" w:rsidRDefault="00D84965">
            <w:pPr>
              <w:pStyle w:val="P68B1DB1-Normal109"/>
              <w:spacing w:after="0" w:line="276" w:lineRule="auto"/>
              <w:jc w:val="center"/>
              <w:rPr>
                <w:bCs/>
                <w:noProof/>
              </w:rPr>
            </w:pPr>
            <w:r>
              <w:rPr>
                <w:noProof/>
              </w:rPr>
              <w:t>Trimestru</w:t>
            </w:r>
          </w:p>
        </w:tc>
        <w:tc>
          <w:tcPr>
            <w:tcW w:w="708" w:type="dxa"/>
            <w:tcBorders>
              <w:top w:val="single" w:sz="4" w:space="0" w:color="auto"/>
              <w:left w:val="single" w:sz="4" w:space="0" w:color="auto"/>
              <w:bottom w:val="single" w:sz="4" w:space="0" w:color="auto"/>
              <w:right w:val="single" w:sz="4" w:space="0" w:color="auto"/>
            </w:tcBorders>
            <w:shd w:val="clear" w:color="auto" w:fill="BDD7EE"/>
            <w:hideMark/>
          </w:tcPr>
          <w:p w14:paraId="2A94BB46" w14:textId="77777777" w:rsidR="00FA7C11" w:rsidRDefault="00D84965">
            <w:pPr>
              <w:pStyle w:val="P68B1DB1-Normal109"/>
              <w:spacing w:after="0" w:line="276" w:lineRule="auto"/>
              <w:jc w:val="center"/>
              <w:rPr>
                <w:bCs/>
                <w:noProof/>
              </w:rPr>
            </w:pPr>
            <w:r>
              <w:rPr>
                <w:noProof/>
              </w:rPr>
              <w:t>Anul</w:t>
            </w:r>
          </w:p>
        </w:tc>
        <w:tc>
          <w:tcPr>
            <w:tcW w:w="5103" w:type="dxa"/>
            <w:vMerge/>
            <w:tcBorders>
              <w:top w:val="single" w:sz="4" w:space="0" w:color="auto"/>
              <w:left w:val="single" w:sz="4" w:space="0" w:color="auto"/>
              <w:bottom w:val="single" w:sz="4" w:space="0" w:color="auto"/>
              <w:right w:val="single" w:sz="4" w:space="0" w:color="auto"/>
            </w:tcBorders>
            <w:hideMark/>
          </w:tcPr>
          <w:p w14:paraId="26E13E8E" w14:textId="77777777" w:rsidR="00FA7C11" w:rsidRDefault="00FA7C11">
            <w:pPr>
              <w:spacing w:after="0" w:line="276" w:lineRule="auto"/>
              <w:rPr>
                <w:rFonts w:ascii="Times New Roman" w:eastAsia="Calibri" w:hAnsi="Times New Roman" w:cs="Times New Roman"/>
                <w:b/>
                <w:bCs/>
                <w:noProof/>
                <w:color w:val="000000" w:themeColor="text1"/>
                <w:sz w:val="20"/>
                <w:szCs w:val="20"/>
              </w:rPr>
            </w:pPr>
          </w:p>
        </w:tc>
      </w:tr>
      <w:tr w:rsidR="00FA7C11" w14:paraId="1011BE21"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5BC0F50" w14:textId="77777777" w:rsidR="00FA7C11" w:rsidRDefault="00D84965">
            <w:pPr>
              <w:pStyle w:val="P68B1DB1-Normal66"/>
              <w:spacing w:after="200" w:line="276" w:lineRule="auto"/>
              <w:jc w:val="center"/>
              <w:rPr>
                <w:noProof/>
                <w:color w:val="000000" w:themeColor="text1"/>
              </w:rPr>
            </w:pPr>
            <w:r>
              <w:rPr>
                <w:noProof/>
              </w:rPr>
              <w:t>140</w:t>
            </w:r>
          </w:p>
        </w:tc>
        <w:tc>
          <w:tcPr>
            <w:tcW w:w="1076" w:type="dxa"/>
            <w:tcBorders>
              <w:top w:val="single" w:sz="4" w:space="0" w:color="auto"/>
              <w:left w:val="nil"/>
              <w:bottom w:val="single" w:sz="4" w:space="0" w:color="auto"/>
              <w:right w:val="single" w:sz="4" w:space="0" w:color="auto"/>
            </w:tcBorders>
            <w:shd w:val="clear" w:color="auto" w:fill="C6EFCE"/>
            <w:noWrap/>
          </w:tcPr>
          <w:p w14:paraId="6AA43E10" w14:textId="77777777" w:rsidR="00FA7C11" w:rsidRDefault="00D84965">
            <w:pPr>
              <w:pStyle w:val="P68B1DB1-Normal66"/>
              <w:spacing w:after="200" w:line="276" w:lineRule="auto"/>
              <w:jc w:val="center"/>
              <w:rPr>
                <w:noProof/>
                <w:color w:val="000000" w:themeColor="text1"/>
              </w:rPr>
            </w:pPr>
            <w:r>
              <w:rPr>
                <w:noProof/>
              </w:rPr>
              <w:t>C1.6. R1</w:t>
            </w:r>
          </w:p>
        </w:tc>
        <w:tc>
          <w:tcPr>
            <w:tcW w:w="1069" w:type="dxa"/>
            <w:tcBorders>
              <w:top w:val="single" w:sz="4" w:space="0" w:color="auto"/>
              <w:left w:val="nil"/>
              <w:bottom w:val="single" w:sz="4" w:space="0" w:color="auto"/>
              <w:right w:val="single" w:sz="4" w:space="0" w:color="auto"/>
            </w:tcBorders>
            <w:shd w:val="clear" w:color="auto" w:fill="C6EFCE"/>
            <w:noWrap/>
          </w:tcPr>
          <w:p w14:paraId="39EDC906" w14:textId="77777777" w:rsidR="00FA7C11" w:rsidRDefault="00D84965">
            <w:pPr>
              <w:pStyle w:val="P68B1DB1-Normal66"/>
              <w:spacing w:after="20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7245C384" w14:textId="77777777" w:rsidR="00FA7C11" w:rsidRDefault="00D84965">
            <w:pPr>
              <w:pStyle w:val="P68B1DB1-Normal66"/>
              <w:spacing w:after="200" w:line="276" w:lineRule="auto"/>
              <w:rPr>
                <w:noProof/>
                <w:color w:val="000000" w:themeColor="text1"/>
              </w:rPr>
            </w:pPr>
            <w:r>
              <w:rPr>
                <w:noProof/>
              </w:rPr>
              <w:t>Analiza scenariilor ca parte a Strategiei de dezvoltare a turismului durabil pentru 2030</w:t>
            </w:r>
          </w:p>
        </w:tc>
        <w:tc>
          <w:tcPr>
            <w:tcW w:w="1984" w:type="dxa"/>
            <w:tcBorders>
              <w:top w:val="single" w:sz="4" w:space="0" w:color="auto"/>
              <w:left w:val="nil"/>
              <w:bottom w:val="single" w:sz="4" w:space="0" w:color="auto"/>
              <w:right w:val="single" w:sz="4" w:space="0" w:color="auto"/>
            </w:tcBorders>
            <w:shd w:val="clear" w:color="auto" w:fill="C6EFCE"/>
            <w:noWrap/>
          </w:tcPr>
          <w:p w14:paraId="796AA512" w14:textId="77777777" w:rsidR="00FA7C11" w:rsidRDefault="00D84965">
            <w:pPr>
              <w:pStyle w:val="P68B1DB1-Normal66"/>
              <w:spacing w:after="200" w:line="276" w:lineRule="auto"/>
              <w:rPr>
                <w:noProof/>
                <w:color w:val="000000" w:themeColor="text1"/>
              </w:rPr>
            </w:pPr>
            <w:r>
              <w:rPr>
                <w:noProof/>
              </w:rPr>
              <w:t>Elaborarea analizei scenariului</w:t>
            </w:r>
          </w:p>
        </w:tc>
        <w:tc>
          <w:tcPr>
            <w:tcW w:w="712" w:type="dxa"/>
            <w:tcBorders>
              <w:top w:val="single" w:sz="4" w:space="0" w:color="auto"/>
              <w:left w:val="nil"/>
              <w:bottom w:val="single" w:sz="4" w:space="0" w:color="auto"/>
              <w:right w:val="single" w:sz="4" w:space="0" w:color="auto"/>
            </w:tcBorders>
            <w:shd w:val="clear" w:color="auto" w:fill="C6EFCE"/>
            <w:noWrap/>
          </w:tcPr>
          <w:p w14:paraId="0B4BA924" w14:textId="77777777" w:rsidR="00FA7C11" w:rsidRDefault="00D84965">
            <w:pPr>
              <w:pStyle w:val="P68B1DB1-Normal66"/>
              <w:spacing w:after="200" w:line="276" w:lineRule="auto"/>
              <w:jc w:val="center"/>
              <w:rPr>
                <w:noProof/>
                <w:color w:val="000000" w:themeColor="text1"/>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0A47875" w14:textId="77777777" w:rsidR="00FA7C11" w:rsidRDefault="00D84965">
            <w:pPr>
              <w:pStyle w:val="P68B1DB1-Normal66"/>
              <w:spacing w:after="200" w:line="276" w:lineRule="auto"/>
              <w:jc w:val="center"/>
              <w:rPr>
                <w:noProof/>
                <w:color w:val="000000" w:themeColor="text1"/>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70AE0B0D" w14:textId="77777777" w:rsidR="00FA7C11" w:rsidRDefault="00D84965">
            <w:pPr>
              <w:pStyle w:val="P68B1DB1-Normal66"/>
              <w:spacing w:after="200" w:line="276" w:lineRule="auto"/>
              <w:jc w:val="center"/>
              <w:rPr>
                <w:noProof/>
                <w:color w:val="000000" w:themeColor="text1"/>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FEAD6F3" w14:textId="77777777" w:rsidR="00FA7C11" w:rsidRDefault="00D84965">
            <w:pPr>
              <w:pStyle w:val="P68B1DB1-Normal66"/>
              <w:spacing w:after="200" w:line="276" w:lineRule="auto"/>
              <w:jc w:val="center"/>
              <w:rPr>
                <w:noProof/>
                <w:color w:val="000000" w:themeColor="text1"/>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4F451167" w14:textId="77777777" w:rsidR="00FA7C11" w:rsidRDefault="00D84965">
            <w:pPr>
              <w:pStyle w:val="P68B1DB1-Normal66"/>
              <w:spacing w:after="200" w:line="276" w:lineRule="auto"/>
              <w:jc w:val="center"/>
              <w:rPr>
                <w:noProof/>
                <w:color w:val="000000" w:themeColor="text1"/>
              </w:rPr>
            </w:pPr>
            <w:r>
              <w:rPr>
                <w:noProof/>
              </w:rPr>
              <w:t>2021</w:t>
            </w:r>
          </w:p>
        </w:tc>
        <w:tc>
          <w:tcPr>
            <w:tcW w:w="5103" w:type="dxa"/>
            <w:tcBorders>
              <w:top w:val="single" w:sz="4" w:space="0" w:color="auto"/>
              <w:left w:val="nil"/>
              <w:bottom w:val="single" w:sz="4" w:space="0" w:color="auto"/>
              <w:right w:val="single" w:sz="4" w:space="0" w:color="auto"/>
            </w:tcBorders>
            <w:shd w:val="clear" w:color="auto" w:fill="C6EFCE"/>
            <w:noWrap/>
          </w:tcPr>
          <w:p w14:paraId="27B97031" w14:textId="77777777" w:rsidR="00FA7C11" w:rsidRDefault="00D84965">
            <w:pPr>
              <w:pStyle w:val="P68B1DB1-Normal66"/>
              <w:spacing w:after="240" w:line="276" w:lineRule="auto"/>
              <w:rPr>
                <w:noProof/>
                <w:color w:val="000000" w:themeColor="text1"/>
              </w:rPr>
            </w:pPr>
            <w:r>
              <w:rPr>
                <w:noProof/>
              </w:rPr>
              <w:t>Analiza pe bază de scenarii realizată în cadrul procesului de elaborare a strategiei constituie baza pentru mobilizarea investițiilor menționate în cadrul acestei subcomponente. Analiza pe bază de scenarii dezvoltă proiecția direcției de dezvoltare la nivel național și teritorial, în consultare cu principalele părți interesate din sector.</w:t>
            </w:r>
          </w:p>
        </w:tc>
      </w:tr>
      <w:tr w:rsidR="00FA7C11" w14:paraId="7529BF1A" w14:textId="77777777">
        <w:trPr>
          <w:jc w:val="center"/>
        </w:trPr>
        <w:tc>
          <w:tcPr>
            <w:tcW w:w="768" w:type="dxa"/>
            <w:tcBorders>
              <w:top w:val="nil"/>
              <w:left w:val="single" w:sz="4" w:space="0" w:color="auto"/>
              <w:bottom w:val="single" w:sz="4" w:space="0" w:color="auto"/>
              <w:right w:val="single" w:sz="4" w:space="0" w:color="auto"/>
            </w:tcBorders>
            <w:shd w:val="clear" w:color="auto" w:fill="C6EFCE"/>
            <w:noWrap/>
          </w:tcPr>
          <w:p w14:paraId="13B79F8E" w14:textId="77777777" w:rsidR="00FA7C11" w:rsidRDefault="00D84965">
            <w:pPr>
              <w:pStyle w:val="P68B1DB1-Normal66"/>
              <w:spacing w:after="200" w:line="276" w:lineRule="auto"/>
              <w:jc w:val="center"/>
              <w:rPr>
                <w:noProof/>
                <w:color w:val="000000" w:themeColor="text1"/>
              </w:rPr>
            </w:pPr>
            <w:r>
              <w:rPr>
                <w:noProof/>
              </w:rPr>
              <w:t>141</w:t>
            </w:r>
          </w:p>
        </w:tc>
        <w:tc>
          <w:tcPr>
            <w:tcW w:w="1076" w:type="dxa"/>
            <w:tcBorders>
              <w:top w:val="nil"/>
              <w:left w:val="nil"/>
              <w:bottom w:val="single" w:sz="4" w:space="0" w:color="auto"/>
              <w:right w:val="single" w:sz="4" w:space="0" w:color="auto"/>
            </w:tcBorders>
            <w:shd w:val="clear" w:color="auto" w:fill="C6EFCE"/>
            <w:noWrap/>
          </w:tcPr>
          <w:p w14:paraId="0670BA78" w14:textId="77777777" w:rsidR="00FA7C11" w:rsidRDefault="00D84965">
            <w:pPr>
              <w:pStyle w:val="P68B1DB1-Normal66"/>
              <w:spacing w:after="200" w:line="276" w:lineRule="auto"/>
              <w:jc w:val="center"/>
              <w:rPr>
                <w:noProof/>
                <w:color w:val="000000" w:themeColor="text1"/>
              </w:rPr>
            </w:pPr>
            <w:r>
              <w:rPr>
                <w:noProof/>
              </w:rPr>
              <w:t>C1.6. R1</w:t>
            </w:r>
          </w:p>
        </w:tc>
        <w:tc>
          <w:tcPr>
            <w:tcW w:w="1069" w:type="dxa"/>
            <w:tcBorders>
              <w:top w:val="nil"/>
              <w:left w:val="nil"/>
              <w:bottom w:val="single" w:sz="4" w:space="0" w:color="auto"/>
              <w:right w:val="single" w:sz="4" w:space="0" w:color="auto"/>
            </w:tcBorders>
            <w:shd w:val="clear" w:color="auto" w:fill="C6EFCE"/>
            <w:noWrap/>
          </w:tcPr>
          <w:p w14:paraId="2DAE43B2" w14:textId="77777777" w:rsidR="00FA7C11" w:rsidRDefault="00D84965">
            <w:pPr>
              <w:pStyle w:val="P68B1DB1-Normal66"/>
              <w:spacing w:after="200" w:line="276" w:lineRule="auto"/>
              <w:jc w:val="center"/>
              <w:rPr>
                <w:noProof/>
                <w:color w:val="000000" w:themeColor="text1"/>
              </w:rPr>
            </w:pPr>
            <w:r>
              <w:rPr>
                <w:noProof/>
              </w:rPr>
              <w:t>M</w:t>
            </w:r>
          </w:p>
        </w:tc>
        <w:tc>
          <w:tcPr>
            <w:tcW w:w="1766" w:type="dxa"/>
            <w:tcBorders>
              <w:top w:val="nil"/>
              <w:left w:val="nil"/>
              <w:bottom w:val="single" w:sz="4" w:space="0" w:color="auto"/>
              <w:right w:val="single" w:sz="4" w:space="0" w:color="auto"/>
            </w:tcBorders>
            <w:shd w:val="clear" w:color="auto" w:fill="C6EFCE"/>
            <w:noWrap/>
          </w:tcPr>
          <w:p w14:paraId="1167BCB0" w14:textId="284F3CFF" w:rsidR="00FA7C11" w:rsidRDefault="00D84965">
            <w:pPr>
              <w:pStyle w:val="P68B1DB1-Normal66"/>
              <w:spacing w:after="200" w:line="276" w:lineRule="auto"/>
              <w:rPr>
                <w:noProof/>
                <w:color w:val="000000" w:themeColor="text1"/>
              </w:rPr>
            </w:pPr>
            <w:r>
              <w:rPr>
                <w:noProof/>
              </w:rPr>
              <w:t xml:space="preserve">Adoptarea Strategiei pentru dezvoltarea turismului durabil până în 2030 a Guvernului Republicii Croația </w:t>
            </w:r>
          </w:p>
        </w:tc>
        <w:tc>
          <w:tcPr>
            <w:tcW w:w="1984" w:type="dxa"/>
            <w:tcBorders>
              <w:top w:val="nil"/>
              <w:left w:val="nil"/>
              <w:bottom w:val="single" w:sz="4" w:space="0" w:color="auto"/>
              <w:right w:val="single" w:sz="4" w:space="0" w:color="auto"/>
            </w:tcBorders>
            <w:shd w:val="clear" w:color="auto" w:fill="C6EFCE"/>
            <w:noWrap/>
          </w:tcPr>
          <w:p w14:paraId="53BE682E" w14:textId="77777777" w:rsidR="00FA7C11" w:rsidRDefault="00D84965">
            <w:pPr>
              <w:pStyle w:val="P68B1DB1-Normal66"/>
              <w:spacing w:after="200" w:line="276" w:lineRule="auto"/>
              <w:rPr>
                <w:noProof/>
                <w:color w:val="000000" w:themeColor="text1"/>
              </w:rPr>
            </w:pPr>
            <w:r>
              <w:rPr>
                <w:noProof/>
              </w:rPr>
              <w:t>Dispoziție privind intrarea în vigoare a Strategiei pentru dezvoltarea turismului durabil până în 2030</w:t>
            </w:r>
          </w:p>
        </w:tc>
        <w:tc>
          <w:tcPr>
            <w:tcW w:w="712" w:type="dxa"/>
            <w:tcBorders>
              <w:top w:val="nil"/>
              <w:left w:val="nil"/>
              <w:bottom w:val="single" w:sz="4" w:space="0" w:color="auto"/>
              <w:right w:val="single" w:sz="4" w:space="0" w:color="auto"/>
            </w:tcBorders>
            <w:shd w:val="clear" w:color="auto" w:fill="C6EFCE"/>
            <w:noWrap/>
          </w:tcPr>
          <w:p w14:paraId="4AAF880C" w14:textId="77777777" w:rsidR="00FA7C11" w:rsidRDefault="00D84965">
            <w:pPr>
              <w:pStyle w:val="P68B1DB1-Normal66"/>
              <w:spacing w:after="200" w:line="276" w:lineRule="auto"/>
              <w:jc w:val="center"/>
              <w:rPr>
                <w:noProof/>
                <w:color w:val="000000" w:themeColor="text1"/>
              </w:rPr>
            </w:pPr>
            <w:r>
              <w:rPr>
                <w:noProof/>
              </w:rPr>
              <w:t> </w:t>
            </w:r>
          </w:p>
        </w:tc>
        <w:tc>
          <w:tcPr>
            <w:tcW w:w="850" w:type="dxa"/>
            <w:tcBorders>
              <w:top w:val="nil"/>
              <w:left w:val="nil"/>
              <w:bottom w:val="single" w:sz="4" w:space="0" w:color="auto"/>
              <w:right w:val="single" w:sz="4" w:space="0" w:color="auto"/>
            </w:tcBorders>
            <w:shd w:val="clear" w:color="auto" w:fill="C6EFCE"/>
            <w:noWrap/>
          </w:tcPr>
          <w:p w14:paraId="4B031E4F" w14:textId="77777777" w:rsidR="00FA7C11" w:rsidRDefault="00D84965">
            <w:pPr>
              <w:pStyle w:val="P68B1DB1-Normal66"/>
              <w:spacing w:after="200" w:line="276" w:lineRule="auto"/>
              <w:jc w:val="center"/>
              <w:rPr>
                <w:noProof/>
                <w:color w:val="000000" w:themeColor="text1"/>
              </w:rPr>
            </w:pPr>
            <w:r>
              <w:rPr>
                <w:noProof/>
              </w:rPr>
              <w:t> </w:t>
            </w:r>
          </w:p>
        </w:tc>
        <w:tc>
          <w:tcPr>
            <w:tcW w:w="992" w:type="dxa"/>
            <w:tcBorders>
              <w:top w:val="nil"/>
              <w:left w:val="nil"/>
              <w:bottom w:val="single" w:sz="4" w:space="0" w:color="auto"/>
              <w:right w:val="single" w:sz="4" w:space="0" w:color="auto"/>
            </w:tcBorders>
            <w:shd w:val="clear" w:color="auto" w:fill="C6EFCE"/>
            <w:noWrap/>
          </w:tcPr>
          <w:p w14:paraId="51AE9065" w14:textId="77777777" w:rsidR="00FA7C11" w:rsidRDefault="00D84965">
            <w:pPr>
              <w:pStyle w:val="P68B1DB1-Normal66"/>
              <w:spacing w:after="200" w:line="276" w:lineRule="auto"/>
              <w:jc w:val="center"/>
              <w:rPr>
                <w:noProof/>
                <w:color w:val="000000" w:themeColor="text1"/>
              </w:rPr>
            </w:pPr>
            <w:r>
              <w:rPr>
                <w:noProof/>
              </w:rPr>
              <w:t> </w:t>
            </w:r>
          </w:p>
        </w:tc>
        <w:tc>
          <w:tcPr>
            <w:tcW w:w="756" w:type="dxa"/>
            <w:tcBorders>
              <w:top w:val="nil"/>
              <w:left w:val="nil"/>
              <w:bottom w:val="single" w:sz="4" w:space="0" w:color="auto"/>
              <w:right w:val="single" w:sz="4" w:space="0" w:color="auto"/>
            </w:tcBorders>
            <w:shd w:val="clear" w:color="auto" w:fill="C6EFCE"/>
            <w:noWrap/>
          </w:tcPr>
          <w:p w14:paraId="30E64869" w14:textId="77777777" w:rsidR="00FA7C11" w:rsidRDefault="00D84965">
            <w:pPr>
              <w:pStyle w:val="P68B1DB1-Normal66"/>
              <w:spacing w:after="200" w:line="276" w:lineRule="auto"/>
              <w:jc w:val="center"/>
              <w:rPr>
                <w:noProof/>
                <w:color w:val="000000" w:themeColor="text1"/>
              </w:rPr>
            </w:pPr>
            <w:r>
              <w:rPr>
                <w:noProof/>
              </w:rPr>
              <w:t>Î3</w:t>
            </w:r>
          </w:p>
        </w:tc>
        <w:tc>
          <w:tcPr>
            <w:tcW w:w="708" w:type="dxa"/>
            <w:tcBorders>
              <w:top w:val="nil"/>
              <w:left w:val="nil"/>
              <w:bottom w:val="single" w:sz="4" w:space="0" w:color="auto"/>
              <w:right w:val="single" w:sz="4" w:space="0" w:color="auto"/>
            </w:tcBorders>
            <w:shd w:val="clear" w:color="auto" w:fill="C6EFCE"/>
            <w:noWrap/>
          </w:tcPr>
          <w:p w14:paraId="0D74B632" w14:textId="77777777" w:rsidR="00FA7C11" w:rsidRDefault="00D84965">
            <w:pPr>
              <w:pStyle w:val="P68B1DB1-Normal66"/>
              <w:spacing w:after="200" w:line="276" w:lineRule="auto"/>
              <w:jc w:val="center"/>
              <w:rPr>
                <w:noProof/>
                <w:color w:val="000000" w:themeColor="text1"/>
              </w:rPr>
            </w:pPr>
            <w:r>
              <w:rPr>
                <w:noProof/>
              </w:rPr>
              <w:t>2022</w:t>
            </w:r>
          </w:p>
        </w:tc>
        <w:tc>
          <w:tcPr>
            <w:tcW w:w="5103" w:type="dxa"/>
            <w:tcBorders>
              <w:top w:val="nil"/>
              <w:left w:val="nil"/>
              <w:bottom w:val="single" w:sz="4" w:space="0" w:color="auto"/>
              <w:right w:val="single" w:sz="4" w:space="0" w:color="auto"/>
            </w:tcBorders>
            <w:shd w:val="clear" w:color="auto" w:fill="C6EFCE"/>
            <w:noWrap/>
          </w:tcPr>
          <w:p w14:paraId="517E4BAB" w14:textId="77777777" w:rsidR="00FA7C11" w:rsidRDefault="00D84965">
            <w:pPr>
              <w:pStyle w:val="P68B1DB1-Normal66"/>
              <w:spacing w:after="200" w:line="276" w:lineRule="auto"/>
              <w:rPr>
                <w:noProof/>
                <w:color w:val="000000" w:themeColor="text1"/>
              </w:rPr>
            </w:pPr>
            <w:r>
              <w:rPr>
                <w:noProof/>
              </w:rPr>
              <w:t>Ca parte a acestei reforme, procesul de transformare a modelului de dezvoltare a turismului către durabilitate va fi pus în aplicare prin dezvoltarea Strategiei de dezvoltare a turismului durabil din 2030, din punctul de vedere al sustenabilității socioeconomice, al durabilității mediului și al sustenabilității teritoriale.</w:t>
            </w:r>
            <w:r>
              <w:rPr>
                <w:noProof/>
              </w:rPr>
              <w:br/>
              <w:t>Strategia, ca act de planificare strategică pe termen lung de importanță națională, va acorda, de asemenea, o atenție deosebită aspectelor legate de utilizarea terenurilor până în prezent, și anume turismul excesiv în destinațiile individuale, ca una dintre principalele probleme ale dezvoltării turismului. Strategia va oferi, de asemenea, un răspuns la modul în care se poate promova mai bine reducerea dezvoltării regionale inegale în Croația.</w:t>
            </w:r>
          </w:p>
        </w:tc>
      </w:tr>
      <w:tr w:rsidR="00FA7C11" w14:paraId="4C40BEA1"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D953C6F" w14:textId="77777777" w:rsidR="00FA7C11" w:rsidRDefault="00D84965">
            <w:pPr>
              <w:pStyle w:val="P68B1DB1-Normal66"/>
              <w:spacing w:after="0" w:line="276" w:lineRule="auto"/>
              <w:jc w:val="center"/>
              <w:rPr>
                <w:noProof/>
                <w:color w:val="000000" w:themeColor="text1"/>
              </w:rPr>
            </w:pPr>
            <w:r>
              <w:rPr>
                <w:noProof/>
              </w:rPr>
              <w:t>142</w:t>
            </w:r>
          </w:p>
        </w:tc>
        <w:tc>
          <w:tcPr>
            <w:tcW w:w="1076" w:type="dxa"/>
            <w:tcBorders>
              <w:top w:val="single" w:sz="4" w:space="0" w:color="auto"/>
              <w:left w:val="nil"/>
              <w:bottom w:val="single" w:sz="4" w:space="0" w:color="auto"/>
              <w:right w:val="single" w:sz="4" w:space="0" w:color="auto"/>
            </w:tcBorders>
            <w:shd w:val="clear" w:color="auto" w:fill="C6EFCE"/>
            <w:noWrap/>
          </w:tcPr>
          <w:p w14:paraId="413C4F0F" w14:textId="77777777" w:rsidR="00FA7C11" w:rsidRDefault="00D84965">
            <w:pPr>
              <w:pStyle w:val="P68B1DB1-Normal66"/>
              <w:spacing w:after="200" w:line="276" w:lineRule="auto"/>
              <w:jc w:val="center"/>
              <w:rPr>
                <w:noProof/>
                <w:color w:val="000000" w:themeColor="text1"/>
              </w:rPr>
            </w:pPr>
            <w:r>
              <w:rPr>
                <w:noProof/>
              </w:rPr>
              <w:t>C1.6. R1</w:t>
            </w:r>
          </w:p>
        </w:tc>
        <w:tc>
          <w:tcPr>
            <w:tcW w:w="1069" w:type="dxa"/>
            <w:tcBorders>
              <w:top w:val="single" w:sz="4" w:space="0" w:color="auto"/>
              <w:left w:val="nil"/>
              <w:bottom w:val="single" w:sz="4" w:space="0" w:color="auto"/>
              <w:right w:val="single" w:sz="4" w:space="0" w:color="auto"/>
            </w:tcBorders>
            <w:shd w:val="clear" w:color="auto" w:fill="C6EFCE"/>
            <w:noWrap/>
          </w:tcPr>
          <w:p w14:paraId="41B1B908" w14:textId="77777777" w:rsidR="00FA7C11" w:rsidRDefault="00D84965">
            <w:pPr>
              <w:pStyle w:val="P68B1DB1-Normal66"/>
              <w:spacing w:after="20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5A1445CA" w14:textId="77777777" w:rsidR="00FA7C11" w:rsidRDefault="00D84965">
            <w:pPr>
              <w:pStyle w:val="P68B1DB1-Normal66"/>
              <w:spacing w:after="200" w:line="276" w:lineRule="auto"/>
              <w:rPr>
                <w:noProof/>
                <w:color w:val="000000" w:themeColor="text1"/>
              </w:rPr>
            </w:pPr>
            <w:r>
              <w:rPr>
                <w:noProof/>
              </w:rPr>
              <w:t>De elaborare a cadrului metodologic al contului satelit pentru turism durabil al Republicii Croația</w:t>
            </w:r>
          </w:p>
        </w:tc>
        <w:tc>
          <w:tcPr>
            <w:tcW w:w="1984" w:type="dxa"/>
            <w:tcBorders>
              <w:top w:val="single" w:sz="4" w:space="0" w:color="auto"/>
              <w:left w:val="nil"/>
              <w:bottom w:val="single" w:sz="4" w:space="0" w:color="auto"/>
              <w:right w:val="single" w:sz="4" w:space="0" w:color="auto"/>
            </w:tcBorders>
            <w:shd w:val="clear" w:color="auto" w:fill="C6EFCE"/>
            <w:noWrap/>
          </w:tcPr>
          <w:p w14:paraId="56C64713" w14:textId="77777777" w:rsidR="00FA7C11" w:rsidRDefault="00D84965">
            <w:pPr>
              <w:pStyle w:val="P68B1DB1-Normal66"/>
              <w:spacing w:after="200" w:line="276" w:lineRule="auto"/>
              <w:rPr>
                <w:noProof/>
                <w:color w:val="000000" w:themeColor="text1"/>
              </w:rPr>
            </w:pPr>
            <w:r>
              <w:rPr>
                <w:noProof/>
              </w:rPr>
              <w:t xml:space="preserve">Dispoziție privind intrarea în vigoare a cadrului metodologic al contului satelit pentru turism durabil </w:t>
            </w:r>
          </w:p>
        </w:tc>
        <w:tc>
          <w:tcPr>
            <w:tcW w:w="712" w:type="dxa"/>
            <w:tcBorders>
              <w:top w:val="nil"/>
              <w:left w:val="nil"/>
              <w:bottom w:val="single" w:sz="4" w:space="0" w:color="auto"/>
              <w:right w:val="single" w:sz="4" w:space="0" w:color="auto"/>
            </w:tcBorders>
            <w:shd w:val="clear" w:color="auto" w:fill="C6EFCE"/>
            <w:noWrap/>
          </w:tcPr>
          <w:p w14:paraId="0FA184F0" w14:textId="77777777" w:rsidR="00FA7C11" w:rsidRDefault="00D84965">
            <w:pPr>
              <w:pStyle w:val="P68B1DB1-Normal66"/>
              <w:spacing w:after="200" w:line="276" w:lineRule="auto"/>
              <w:jc w:val="center"/>
              <w:rPr>
                <w:noProof/>
                <w:color w:val="000000" w:themeColor="text1"/>
              </w:rPr>
            </w:pPr>
            <w:r>
              <w:rPr>
                <w:noProof/>
              </w:rPr>
              <w:t> </w:t>
            </w:r>
          </w:p>
        </w:tc>
        <w:tc>
          <w:tcPr>
            <w:tcW w:w="850" w:type="dxa"/>
            <w:tcBorders>
              <w:top w:val="nil"/>
              <w:left w:val="nil"/>
              <w:bottom w:val="single" w:sz="4" w:space="0" w:color="auto"/>
              <w:right w:val="single" w:sz="4" w:space="0" w:color="auto"/>
            </w:tcBorders>
            <w:shd w:val="clear" w:color="auto" w:fill="C6EFCE"/>
            <w:noWrap/>
          </w:tcPr>
          <w:p w14:paraId="4275A748" w14:textId="77777777" w:rsidR="00FA7C11" w:rsidRDefault="00D84965">
            <w:pPr>
              <w:pStyle w:val="P68B1DB1-Normal66"/>
              <w:spacing w:after="200" w:line="276" w:lineRule="auto"/>
              <w:jc w:val="center"/>
              <w:rPr>
                <w:noProof/>
                <w:color w:val="000000" w:themeColor="text1"/>
              </w:rPr>
            </w:pPr>
            <w:r>
              <w:rPr>
                <w:noProof/>
              </w:rPr>
              <w:t> </w:t>
            </w:r>
          </w:p>
        </w:tc>
        <w:tc>
          <w:tcPr>
            <w:tcW w:w="992" w:type="dxa"/>
            <w:tcBorders>
              <w:top w:val="nil"/>
              <w:left w:val="nil"/>
              <w:bottom w:val="single" w:sz="4" w:space="0" w:color="auto"/>
              <w:right w:val="single" w:sz="4" w:space="0" w:color="auto"/>
            </w:tcBorders>
            <w:shd w:val="clear" w:color="auto" w:fill="C6EFCE"/>
            <w:noWrap/>
          </w:tcPr>
          <w:p w14:paraId="369F428F" w14:textId="77777777" w:rsidR="00FA7C11" w:rsidRDefault="00D84965">
            <w:pPr>
              <w:pStyle w:val="P68B1DB1-Normal66"/>
              <w:spacing w:after="200" w:line="276" w:lineRule="auto"/>
              <w:jc w:val="center"/>
              <w:rPr>
                <w:noProof/>
                <w:color w:val="000000" w:themeColor="text1"/>
              </w:rPr>
            </w:pPr>
            <w:r>
              <w:rPr>
                <w:noProof/>
              </w:rPr>
              <w:t> </w:t>
            </w:r>
          </w:p>
        </w:tc>
        <w:tc>
          <w:tcPr>
            <w:tcW w:w="756" w:type="dxa"/>
            <w:tcBorders>
              <w:top w:val="nil"/>
              <w:left w:val="nil"/>
              <w:bottom w:val="single" w:sz="4" w:space="0" w:color="auto"/>
              <w:right w:val="single" w:sz="4" w:space="0" w:color="auto"/>
            </w:tcBorders>
            <w:shd w:val="clear" w:color="auto" w:fill="C6EFCE"/>
            <w:noWrap/>
          </w:tcPr>
          <w:p w14:paraId="16C933C8" w14:textId="77777777" w:rsidR="00FA7C11" w:rsidRDefault="00D84965">
            <w:pPr>
              <w:pStyle w:val="P68B1DB1-Normal66"/>
              <w:spacing w:after="200" w:line="276" w:lineRule="auto"/>
              <w:jc w:val="center"/>
              <w:rPr>
                <w:noProof/>
                <w:color w:val="000000" w:themeColor="text1"/>
              </w:rPr>
            </w:pPr>
            <w:r>
              <w:rPr>
                <w:noProof/>
              </w:rPr>
              <w:t>Î3</w:t>
            </w:r>
          </w:p>
        </w:tc>
        <w:tc>
          <w:tcPr>
            <w:tcW w:w="708" w:type="dxa"/>
            <w:tcBorders>
              <w:top w:val="nil"/>
              <w:left w:val="nil"/>
              <w:bottom w:val="single" w:sz="4" w:space="0" w:color="auto"/>
              <w:right w:val="single" w:sz="4" w:space="0" w:color="auto"/>
            </w:tcBorders>
            <w:shd w:val="clear" w:color="auto" w:fill="C6EFCE"/>
            <w:noWrap/>
          </w:tcPr>
          <w:p w14:paraId="3FD42C3D" w14:textId="77777777" w:rsidR="00FA7C11" w:rsidRDefault="00D84965">
            <w:pPr>
              <w:pStyle w:val="P68B1DB1-Normal66"/>
              <w:spacing w:after="200" w:line="276" w:lineRule="auto"/>
              <w:jc w:val="center"/>
              <w:rPr>
                <w:noProof/>
                <w:color w:val="000000" w:themeColor="text1"/>
              </w:rPr>
            </w:pPr>
            <w:r>
              <w:rPr>
                <w:noProof/>
              </w:rPr>
              <w:t>2023</w:t>
            </w:r>
          </w:p>
        </w:tc>
        <w:tc>
          <w:tcPr>
            <w:tcW w:w="5103" w:type="dxa"/>
            <w:tcBorders>
              <w:top w:val="single" w:sz="4" w:space="0" w:color="auto"/>
              <w:left w:val="nil"/>
              <w:bottom w:val="single" w:sz="4" w:space="0" w:color="auto"/>
              <w:right w:val="single" w:sz="4" w:space="0" w:color="auto"/>
            </w:tcBorders>
            <w:shd w:val="clear" w:color="auto" w:fill="C6EFCE"/>
            <w:noWrap/>
          </w:tcPr>
          <w:p w14:paraId="49B1FCEC" w14:textId="77777777" w:rsidR="00FA7C11" w:rsidRDefault="00D84965">
            <w:pPr>
              <w:pStyle w:val="P68B1DB1-Normal66"/>
              <w:spacing w:after="240" w:line="276" w:lineRule="auto"/>
              <w:rPr>
                <w:noProof/>
                <w:color w:val="000000" w:themeColor="text1"/>
              </w:rPr>
            </w:pPr>
            <w:r>
              <w:rPr>
                <w:noProof/>
              </w:rPr>
              <w:t>Sistemul de conturi satelit pentru sustenabilitatea turismului creează condițiile pentru gestionarea și monitorizarea dezvoltării turismului prin intermediul unor indicatori de sustenabilitate a turismului definiți atât la nivel național, cât și la nivel regional.</w:t>
            </w:r>
            <w:r>
              <w:rPr>
                <w:noProof/>
              </w:rPr>
              <w:br/>
              <w:t>Contul satelit devine un instrument de gestionare a politicilor publice. Colectarea și compilarea datelor vor fi armonizate cu Sistemul european de indicatori turistici (ETIS) și cu conceptele, definițiile, clasificările și normele contabile ale Sistemului de conturi economice și de mediu (SEEA). Pentru a îmbunătăți eficiența politicii regionale în domeniul turismului, se va crea un cont satelit regional pentru turismul durabil, cu adăugarea unor indicatori specifici ai activității turistice la nivelul destinației, ajustați pentru a semnala posibila apariție a turismului excesiv. Datele și analiza stau la baza direcției strategice de planificare, atât în sectorul public, cât și în cel privat, și devin un instrument relevant de gestionare a politicilor.</w:t>
            </w:r>
          </w:p>
        </w:tc>
      </w:tr>
      <w:tr w:rsidR="00FA7C11" w14:paraId="04B0304B"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ADDF89B" w14:textId="77777777" w:rsidR="00FA7C11" w:rsidRDefault="00D84965">
            <w:pPr>
              <w:pStyle w:val="P68B1DB1-Normal66"/>
              <w:spacing w:after="0" w:line="276" w:lineRule="auto"/>
              <w:jc w:val="center"/>
              <w:rPr>
                <w:noProof/>
                <w:color w:val="000000" w:themeColor="text1"/>
              </w:rPr>
            </w:pPr>
            <w:r>
              <w:rPr>
                <w:noProof/>
              </w:rPr>
              <w:t>143</w:t>
            </w:r>
          </w:p>
        </w:tc>
        <w:tc>
          <w:tcPr>
            <w:tcW w:w="1076" w:type="dxa"/>
            <w:tcBorders>
              <w:top w:val="single" w:sz="4" w:space="0" w:color="auto"/>
              <w:left w:val="nil"/>
              <w:bottom w:val="single" w:sz="4" w:space="0" w:color="auto"/>
              <w:right w:val="single" w:sz="4" w:space="0" w:color="auto"/>
            </w:tcBorders>
            <w:shd w:val="clear" w:color="auto" w:fill="C6EFCE"/>
            <w:noWrap/>
          </w:tcPr>
          <w:p w14:paraId="60975582" w14:textId="77777777" w:rsidR="00FA7C11" w:rsidRDefault="00D84965">
            <w:pPr>
              <w:pStyle w:val="P68B1DB1-Normal66"/>
              <w:spacing w:after="200" w:line="276" w:lineRule="auto"/>
              <w:jc w:val="center"/>
              <w:rPr>
                <w:noProof/>
                <w:color w:val="000000" w:themeColor="text1"/>
              </w:rPr>
            </w:pPr>
            <w:r>
              <w:rPr>
                <w:noProof/>
              </w:rPr>
              <w:t>C1.6. R1</w:t>
            </w:r>
          </w:p>
        </w:tc>
        <w:tc>
          <w:tcPr>
            <w:tcW w:w="1069" w:type="dxa"/>
            <w:tcBorders>
              <w:top w:val="single" w:sz="4" w:space="0" w:color="auto"/>
              <w:left w:val="nil"/>
              <w:bottom w:val="single" w:sz="4" w:space="0" w:color="auto"/>
              <w:right w:val="single" w:sz="4" w:space="0" w:color="auto"/>
            </w:tcBorders>
            <w:shd w:val="clear" w:color="auto" w:fill="C6EFCE"/>
            <w:noWrap/>
          </w:tcPr>
          <w:p w14:paraId="28B8382A" w14:textId="77777777" w:rsidR="00FA7C11" w:rsidRDefault="00D84965">
            <w:pPr>
              <w:pStyle w:val="P68B1DB1-Normal66"/>
              <w:spacing w:after="20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3E4F783A" w14:textId="77777777" w:rsidR="00FA7C11" w:rsidRDefault="00D84965">
            <w:pPr>
              <w:pStyle w:val="P68B1DB1-Normal66"/>
              <w:spacing w:after="200" w:line="276" w:lineRule="auto"/>
              <w:rPr>
                <w:noProof/>
                <w:color w:val="000000" w:themeColor="text1"/>
              </w:rPr>
            </w:pPr>
            <w:r>
              <w:rPr>
                <w:noProof/>
              </w:rPr>
              <w:t>Legea turismului care stabilește un cadru pentru monitorizarea și dezvoltarea sectorului turismului</w:t>
            </w:r>
          </w:p>
        </w:tc>
        <w:tc>
          <w:tcPr>
            <w:tcW w:w="1984" w:type="dxa"/>
            <w:tcBorders>
              <w:top w:val="single" w:sz="4" w:space="0" w:color="auto"/>
              <w:left w:val="nil"/>
              <w:bottom w:val="single" w:sz="4" w:space="0" w:color="auto"/>
              <w:right w:val="single" w:sz="4" w:space="0" w:color="auto"/>
            </w:tcBorders>
            <w:shd w:val="clear" w:color="auto" w:fill="C6EFCE"/>
            <w:noWrap/>
          </w:tcPr>
          <w:p w14:paraId="09C4222A" w14:textId="77777777" w:rsidR="00FA7C11" w:rsidRDefault="00D84965">
            <w:pPr>
              <w:pStyle w:val="P68B1DB1-Normal66"/>
              <w:spacing w:after="200" w:line="276" w:lineRule="auto"/>
              <w:rPr>
                <w:noProof/>
                <w:color w:val="000000" w:themeColor="text1"/>
              </w:rPr>
            </w:pPr>
            <w:r>
              <w:rPr>
                <w:noProof/>
              </w:rPr>
              <w:t xml:space="preserve">Intrarea în vigoare a Legii turismului </w:t>
            </w:r>
          </w:p>
        </w:tc>
        <w:tc>
          <w:tcPr>
            <w:tcW w:w="712" w:type="dxa"/>
            <w:tcBorders>
              <w:top w:val="single" w:sz="4" w:space="0" w:color="auto"/>
              <w:left w:val="nil"/>
              <w:bottom w:val="single" w:sz="4" w:space="0" w:color="auto"/>
              <w:right w:val="single" w:sz="4" w:space="0" w:color="auto"/>
            </w:tcBorders>
            <w:shd w:val="clear" w:color="auto" w:fill="C6EFCE"/>
            <w:noWrap/>
          </w:tcPr>
          <w:p w14:paraId="445F579C" w14:textId="77777777" w:rsidR="00FA7C11" w:rsidRDefault="00D84965">
            <w:pPr>
              <w:pStyle w:val="P68B1DB1-Normal66"/>
              <w:spacing w:after="200" w:line="276" w:lineRule="auto"/>
              <w:jc w:val="center"/>
              <w:rPr>
                <w:noProof/>
                <w:color w:val="000000" w:themeColor="text1"/>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18B0D7E9" w14:textId="77777777" w:rsidR="00FA7C11" w:rsidRDefault="00D84965">
            <w:pPr>
              <w:pStyle w:val="P68B1DB1-Normal66"/>
              <w:spacing w:after="200" w:line="276" w:lineRule="auto"/>
              <w:jc w:val="center"/>
              <w:rPr>
                <w:noProof/>
                <w:color w:val="000000" w:themeColor="text1"/>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357D01F" w14:textId="77777777" w:rsidR="00FA7C11" w:rsidRDefault="00D84965">
            <w:pPr>
              <w:pStyle w:val="P68B1DB1-Normal66"/>
              <w:spacing w:after="200" w:line="276" w:lineRule="auto"/>
              <w:jc w:val="center"/>
              <w:rPr>
                <w:noProof/>
                <w:color w:val="000000" w:themeColor="text1"/>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6AD8243A" w14:textId="77777777" w:rsidR="00FA7C11" w:rsidRDefault="00D84965">
            <w:pPr>
              <w:pStyle w:val="P68B1DB1-Normal66"/>
              <w:spacing w:after="200" w:line="276" w:lineRule="auto"/>
              <w:jc w:val="center"/>
              <w:rPr>
                <w:noProof/>
                <w:color w:val="000000" w:themeColor="text1"/>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00F2C5A7" w14:textId="77777777" w:rsidR="00FA7C11" w:rsidRDefault="00D84965">
            <w:pPr>
              <w:pStyle w:val="P68B1DB1-Normal66"/>
              <w:spacing w:after="200" w:line="276" w:lineRule="auto"/>
              <w:jc w:val="center"/>
              <w:rPr>
                <w:noProof/>
                <w:color w:val="000000" w:themeColor="text1"/>
              </w:rPr>
            </w:pPr>
            <w:r>
              <w:rPr>
                <w:noProof/>
              </w:rPr>
              <w:t>2023</w:t>
            </w:r>
          </w:p>
        </w:tc>
        <w:tc>
          <w:tcPr>
            <w:tcW w:w="5103" w:type="dxa"/>
            <w:tcBorders>
              <w:top w:val="single" w:sz="4" w:space="0" w:color="auto"/>
              <w:left w:val="nil"/>
              <w:bottom w:val="single" w:sz="4" w:space="0" w:color="auto"/>
              <w:right w:val="single" w:sz="4" w:space="0" w:color="auto"/>
            </w:tcBorders>
            <w:shd w:val="clear" w:color="auto" w:fill="C6EFCE"/>
            <w:noWrap/>
          </w:tcPr>
          <w:p w14:paraId="7C953F74" w14:textId="77777777" w:rsidR="00FA7C11" w:rsidRDefault="00D84965">
            <w:pPr>
              <w:pStyle w:val="P68B1DB1-Normal66"/>
              <w:spacing w:after="240" w:line="276" w:lineRule="auto"/>
              <w:rPr>
                <w:noProof/>
                <w:color w:val="000000" w:themeColor="text1"/>
              </w:rPr>
            </w:pPr>
            <w:r>
              <w:rPr>
                <w:noProof/>
              </w:rPr>
              <w:t>Legea turismului oferă un cadru pentru monitorizarea și dezvoltarea sectorului turismului prin instituirea unui sistem de monitorizare și analiză a datelor, a unui sistem de stimulente, de monitorizare și analiză a investițiilor, prin definirea rolului principalelor părți interesate în dezvoltarea turismului și a cooperării interservicii, precum și prin definirea unor indicatori și standarde pentru asigurarea sustenabilității turismului (în special a standardelor verzi și digitale).</w:t>
            </w:r>
          </w:p>
        </w:tc>
      </w:tr>
      <w:tr w:rsidR="00FA7C11" w14:paraId="27EC57CF" w14:textId="77777777">
        <w:trPr>
          <w:jc w:val="center"/>
        </w:trPr>
        <w:tc>
          <w:tcPr>
            <w:tcW w:w="768" w:type="dxa"/>
            <w:tcBorders>
              <w:top w:val="nil"/>
              <w:left w:val="single" w:sz="4" w:space="0" w:color="auto"/>
              <w:bottom w:val="single" w:sz="4" w:space="0" w:color="auto"/>
              <w:right w:val="single" w:sz="4" w:space="0" w:color="auto"/>
            </w:tcBorders>
            <w:shd w:val="clear" w:color="auto" w:fill="C6EFCE"/>
            <w:noWrap/>
          </w:tcPr>
          <w:p w14:paraId="76396284" w14:textId="77777777" w:rsidR="00FA7C11" w:rsidRDefault="00D84965">
            <w:pPr>
              <w:pStyle w:val="P68B1DB1-Normal66"/>
              <w:spacing w:after="0" w:line="276" w:lineRule="auto"/>
              <w:jc w:val="center"/>
              <w:rPr>
                <w:noProof/>
                <w:color w:val="000000" w:themeColor="text1"/>
              </w:rPr>
            </w:pPr>
            <w:r>
              <w:rPr>
                <w:noProof/>
              </w:rPr>
              <w:t>144</w:t>
            </w:r>
          </w:p>
        </w:tc>
        <w:tc>
          <w:tcPr>
            <w:tcW w:w="1076" w:type="dxa"/>
            <w:tcBorders>
              <w:top w:val="nil"/>
              <w:left w:val="nil"/>
              <w:bottom w:val="single" w:sz="4" w:space="0" w:color="auto"/>
              <w:right w:val="single" w:sz="4" w:space="0" w:color="auto"/>
            </w:tcBorders>
            <w:shd w:val="clear" w:color="auto" w:fill="C6EFCE"/>
            <w:noWrap/>
          </w:tcPr>
          <w:p w14:paraId="128567C7" w14:textId="77777777" w:rsidR="00FA7C11" w:rsidRDefault="00D84965">
            <w:pPr>
              <w:pStyle w:val="P68B1DB1-Normal66"/>
              <w:spacing w:after="200" w:line="276" w:lineRule="auto"/>
              <w:jc w:val="center"/>
              <w:rPr>
                <w:noProof/>
                <w:color w:val="000000" w:themeColor="text1"/>
              </w:rPr>
            </w:pPr>
            <w:r>
              <w:rPr>
                <w:noProof/>
              </w:rPr>
              <w:t>C1.6. R1-I1</w:t>
            </w:r>
          </w:p>
        </w:tc>
        <w:tc>
          <w:tcPr>
            <w:tcW w:w="1069" w:type="dxa"/>
            <w:tcBorders>
              <w:top w:val="nil"/>
              <w:left w:val="nil"/>
              <w:bottom w:val="single" w:sz="4" w:space="0" w:color="auto"/>
              <w:right w:val="single" w:sz="4" w:space="0" w:color="auto"/>
            </w:tcBorders>
            <w:shd w:val="clear" w:color="auto" w:fill="C6EFCE"/>
            <w:noWrap/>
          </w:tcPr>
          <w:p w14:paraId="22EB00A8" w14:textId="77777777" w:rsidR="00FA7C11" w:rsidRDefault="00D84965">
            <w:pPr>
              <w:pStyle w:val="P68B1DB1-Normal66"/>
              <w:spacing w:after="200" w:line="276" w:lineRule="auto"/>
              <w:jc w:val="center"/>
              <w:rPr>
                <w:noProof/>
                <w:color w:val="000000" w:themeColor="text1"/>
              </w:rPr>
            </w:pPr>
            <w:r>
              <w:rPr>
                <w:noProof/>
              </w:rPr>
              <w:t>M</w:t>
            </w:r>
          </w:p>
        </w:tc>
        <w:tc>
          <w:tcPr>
            <w:tcW w:w="1766" w:type="dxa"/>
            <w:tcBorders>
              <w:top w:val="nil"/>
              <w:left w:val="nil"/>
              <w:bottom w:val="single" w:sz="4" w:space="0" w:color="auto"/>
              <w:right w:val="single" w:sz="4" w:space="0" w:color="auto"/>
            </w:tcBorders>
            <w:shd w:val="clear" w:color="auto" w:fill="C6EFCE"/>
            <w:noWrap/>
          </w:tcPr>
          <w:p w14:paraId="2C84EBD3" w14:textId="77777777" w:rsidR="00FA7C11" w:rsidRDefault="00D84965">
            <w:pPr>
              <w:pStyle w:val="P68B1DB1-Normal66"/>
              <w:spacing w:after="200" w:line="276" w:lineRule="auto"/>
              <w:rPr>
                <w:noProof/>
                <w:color w:val="000000" w:themeColor="text1"/>
              </w:rPr>
            </w:pPr>
            <w:r>
              <w:rPr>
                <w:noProof/>
              </w:rPr>
              <w:t>Lansarea de cereri publice de propuneri pentru tranziția verde și digitală a infrastructurii turistice publice existente și dezvoltarea infrastructurii turistice publice dincolo de principalele zone turistice și de coastă</w:t>
            </w:r>
          </w:p>
        </w:tc>
        <w:tc>
          <w:tcPr>
            <w:tcW w:w="1984" w:type="dxa"/>
            <w:tcBorders>
              <w:top w:val="nil"/>
              <w:left w:val="nil"/>
              <w:bottom w:val="single" w:sz="4" w:space="0" w:color="auto"/>
              <w:right w:val="single" w:sz="4" w:space="0" w:color="auto"/>
            </w:tcBorders>
            <w:shd w:val="clear" w:color="auto" w:fill="C6EFCE"/>
            <w:noWrap/>
          </w:tcPr>
          <w:p w14:paraId="0257B960" w14:textId="77777777" w:rsidR="00FA7C11" w:rsidRDefault="00D84965">
            <w:pPr>
              <w:pStyle w:val="P68B1DB1-Normal66"/>
              <w:spacing w:after="200" w:line="276" w:lineRule="auto"/>
              <w:rPr>
                <w:noProof/>
                <w:color w:val="000000" w:themeColor="text1"/>
              </w:rPr>
            </w:pPr>
            <w:r>
              <w:rPr>
                <w:noProof/>
              </w:rPr>
              <w:t xml:space="preserve">Publicarea documentației de licitație pentru tranziția verde și digitală a infrastructurii turistice publice existente și dezvoltarea infrastructurii turistice publice dincolo de principalele zone turistice și de coastă </w:t>
            </w:r>
          </w:p>
        </w:tc>
        <w:tc>
          <w:tcPr>
            <w:tcW w:w="712" w:type="dxa"/>
            <w:tcBorders>
              <w:top w:val="nil"/>
              <w:left w:val="nil"/>
              <w:bottom w:val="single" w:sz="4" w:space="0" w:color="auto"/>
              <w:right w:val="single" w:sz="4" w:space="0" w:color="auto"/>
            </w:tcBorders>
            <w:shd w:val="clear" w:color="auto" w:fill="C6EFCE"/>
            <w:noWrap/>
          </w:tcPr>
          <w:p w14:paraId="7A6F426E" w14:textId="77777777" w:rsidR="00FA7C11" w:rsidRDefault="00D84965">
            <w:pPr>
              <w:pStyle w:val="P68B1DB1-Normal66"/>
              <w:spacing w:after="200" w:line="276" w:lineRule="auto"/>
              <w:jc w:val="center"/>
              <w:rPr>
                <w:noProof/>
                <w:color w:val="000000" w:themeColor="text1"/>
              </w:rPr>
            </w:pPr>
            <w:r>
              <w:rPr>
                <w:noProof/>
              </w:rPr>
              <w:t> </w:t>
            </w:r>
          </w:p>
        </w:tc>
        <w:tc>
          <w:tcPr>
            <w:tcW w:w="850" w:type="dxa"/>
            <w:tcBorders>
              <w:top w:val="nil"/>
              <w:left w:val="nil"/>
              <w:bottom w:val="single" w:sz="4" w:space="0" w:color="auto"/>
              <w:right w:val="single" w:sz="4" w:space="0" w:color="auto"/>
            </w:tcBorders>
            <w:shd w:val="clear" w:color="auto" w:fill="C6EFCE"/>
            <w:noWrap/>
          </w:tcPr>
          <w:p w14:paraId="19547CC3" w14:textId="77777777" w:rsidR="00FA7C11" w:rsidRDefault="00D84965">
            <w:pPr>
              <w:pStyle w:val="P68B1DB1-Normal66"/>
              <w:spacing w:after="200" w:line="276" w:lineRule="auto"/>
              <w:jc w:val="center"/>
              <w:rPr>
                <w:noProof/>
                <w:color w:val="000000" w:themeColor="text1"/>
              </w:rPr>
            </w:pPr>
            <w:r>
              <w:rPr>
                <w:noProof/>
              </w:rPr>
              <w:t> </w:t>
            </w:r>
          </w:p>
        </w:tc>
        <w:tc>
          <w:tcPr>
            <w:tcW w:w="992" w:type="dxa"/>
            <w:tcBorders>
              <w:top w:val="nil"/>
              <w:left w:val="nil"/>
              <w:bottom w:val="single" w:sz="4" w:space="0" w:color="auto"/>
              <w:right w:val="single" w:sz="4" w:space="0" w:color="auto"/>
            </w:tcBorders>
            <w:shd w:val="clear" w:color="auto" w:fill="C6EFCE"/>
            <w:noWrap/>
          </w:tcPr>
          <w:p w14:paraId="5943068D" w14:textId="77777777" w:rsidR="00FA7C11" w:rsidRDefault="00D84965">
            <w:pPr>
              <w:pStyle w:val="P68B1DB1-Normal66"/>
              <w:spacing w:after="200" w:line="276" w:lineRule="auto"/>
              <w:jc w:val="center"/>
              <w:rPr>
                <w:noProof/>
                <w:color w:val="000000" w:themeColor="text1"/>
              </w:rPr>
            </w:pPr>
            <w:r>
              <w:rPr>
                <w:noProof/>
              </w:rPr>
              <w:t> </w:t>
            </w:r>
          </w:p>
        </w:tc>
        <w:tc>
          <w:tcPr>
            <w:tcW w:w="756" w:type="dxa"/>
            <w:tcBorders>
              <w:top w:val="nil"/>
              <w:left w:val="nil"/>
              <w:bottom w:val="single" w:sz="4" w:space="0" w:color="auto"/>
              <w:right w:val="single" w:sz="4" w:space="0" w:color="auto"/>
            </w:tcBorders>
            <w:shd w:val="clear" w:color="auto" w:fill="C6EFCE"/>
            <w:noWrap/>
          </w:tcPr>
          <w:p w14:paraId="7B5F3486" w14:textId="77777777" w:rsidR="00FA7C11" w:rsidRDefault="00D84965">
            <w:pPr>
              <w:pStyle w:val="P68B1DB1-Normal66"/>
              <w:spacing w:after="200" w:line="276" w:lineRule="auto"/>
              <w:jc w:val="center"/>
              <w:rPr>
                <w:noProof/>
                <w:color w:val="000000" w:themeColor="text1"/>
              </w:rPr>
            </w:pPr>
            <w:r>
              <w:rPr>
                <w:noProof/>
              </w:rPr>
              <w:t>Î3</w:t>
            </w:r>
          </w:p>
        </w:tc>
        <w:tc>
          <w:tcPr>
            <w:tcW w:w="708" w:type="dxa"/>
            <w:tcBorders>
              <w:top w:val="nil"/>
              <w:left w:val="nil"/>
              <w:bottom w:val="single" w:sz="4" w:space="0" w:color="auto"/>
              <w:right w:val="single" w:sz="4" w:space="0" w:color="auto"/>
            </w:tcBorders>
            <w:shd w:val="clear" w:color="auto" w:fill="C6EFCE"/>
            <w:noWrap/>
          </w:tcPr>
          <w:p w14:paraId="0E6EE8B3" w14:textId="77777777" w:rsidR="00FA7C11" w:rsidRDefault="00D84965">
            <w:pPr>
              <w:pStyle w:val="P68B1DB1-Normal66"/>
              <w:spacing w:after="200" w:line="276" w:lineRule="auto"/>
              <w:jc w:val="center"/>
              <w:rPr>
                <w:noProof/>
                <w:color w:val="000000" w:themeColor="text1"/>
              </w:rPr>
            </w:pPr>
            <w:r>
              <w:rPr>
                <w:noProof/>
              </w:rPr>
              <w:t>2022</w:t>
            </w:r>
          </w:p>
        </w:tc>
        <w:tc>
          <w:tcPr>
            <w:tcW w:w="5103" w:type="dxa"/>
            <w:tcBorders>
              <w:top w:val="nil"/>
              <w:left w:val="nil"/>
              <w:bottom w:val="single" w:sz="4" w:space="0" w:color="auto"/>
              <w:right w:val="single" w:sz="4" w:space="0" w:color="auto"/>
            </w:tcBorders>
            <w:shd w:val="clear" w:color="auto" w:fill="C6EFCE"/>
            <w:noWrap/>
          </w:tcPr>
          <w:p w14:paraId="4FE1E3C8" w14:textId="7A40697B" w:rsidR="00FA7C11" w:rsidRDefault="00D84965">
            <w:pPr>
              <w:pStyle w:val="P68B1DB1-Normal66"/>
              <w:spacing w:after="200" w:line="276" w:lineRule="auto"/>
              <w:rPr>
                <w:noProof/>
                <w:color w:val="000000" w:themeColor="text1"/>
              </w:rPr>
            </w:pPr>
            <w:r>
              <w:rPr>
                <w:noProof/>
              </w:rPr>
              <w:t>Documentația de licitație trebuie să precizeze că investițiile trebuie să se concentreze asupra proiectelor care pot spori calitatea verde și digitală a infrastructurii turistice și pot reduce impactul asupra mediului și, prin urmare, concentrarea oaspeților în sezonul respectiv. În principalele zone turistice și de coastă, conform indicelui de dezvoltare a turismului, sunt eligibile numai investițiile în tranziția verde și digitală a infrastructurii turistice existente și până la 29 623 731 EUR din bugetul total al investiției, care contribuie la gestionarea durabilă a destinațiilor, reducând impactul asupra mediului în timpul sezonului turistic. Criteriile de eligibilitate includ conformitatea cu Orientările tehnice de „a nu prejudicia în mod semnificativ” (2021/C58/01).</w:t>
            </w:r>
          </w:p>
        </w:tc>
      </w:tr>
      <w:tr w:rsidR="00FA7C11" w14:paraId="42FD0EB3"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0F1661C" w14:textId="77777777" w:rsidR="00FA7C11" w:rsidRDefault="00D84965">
            <w:pPr>
              <w:pStyle w:val="P68B1DB1-Normal66"/>
              <w:spacing w:after="0" w:line="276" w:lineRule="auto"/>
              <w:jc w:val="center"/>
              <w:rPr>
                <w:noProof/>
                <w:color w:val="000000" w:themeColor="text1"/>
              </w:rPr>
            </w:pPr>
            <w:r>
              <w:rPr>
                <w:noProof/>
              </w:rPr>
              <w:t>145</w:t>
            </w:r>
          </w:p>
        </w:tc>
        <w:tc>
          <w:tcPr>
            <w:tcW w:w="1076" w:type="dxa"/>
            <w:tcBorders>
              <w:top w:val="single" w:sz="4" w:space="0" w:color="auto"/>
              <w:left w:val="nil"/>
              <w:bottom w:val="single" w:sz="4" w:space="0" w:color="auto"/>
              <w:right w:val="single" w:sz="4" w:space="0" w:color="auto"/>
            </w:tcBorders>
            <w:shd w:val="clear" w:color="auto" w:fill="C6EFCE"/>
            <w:noWrap/>
          </w:tcPr>
          <w:p w14:paraId="37E705B5" w14:textId="77777777" w:rsidR="00FA7C11" w:rsidRDefault="00D84965">
            <w:pPr>
              <w:pStyle w:val="P68B1DB1-Normal66"/>
              <w:spacing w:after="0" w:line="276" w:lineRule="auto"/>
              <w:jc w:val="center"/>
              <w:rPr>
                <w:noProof/>
                <w:color w:val="000000" w:themeColor="text1"/>
              </w:rPr>
            </w:pPr>
            <w:r>
              <w:rPr>
                <w:noProof/>
              </w:rPr>
              <w:t>C1.6. R1-I1</w:t>
            </w:r>
          </w:p>
        </w:tc>
        <w:tc>
          <w:tcPr>
            <w:tcW w:w="1069" w:type="dxa"/>
            <w:tcBorders>
              <w:top w:val="single" w:sz="4" w:space="0" w:color="auto"/>
              <w:left w:val="nil"/>
              <w:bottom w:val="single" w:sz="4" w:space="0" w:color="auto"/>
              <w:right w:val="single" w:sz="4" w:space="0" w:color="auto"/>
            </w:tcBorders>
            <w:shd w:val="clear" w:color="auto" w:fill="C6EFCE"/>
            <w:noWrap/>
          </w:tcPr>
          <w:p w14:paraId="34D2B9CF" w14:textId="77777777" w:rsidR="00FA7C11" w:rsidRDefault="00D84965">
            <w:pPr>
              <w:pStyle w:val="P68B1DB1-Normal66"/>
              <w:spacing w:after="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132F17DD" w14:textId="77777777" w:rsidR="00FA7C11" w:rsidRDefault="00D84965">
            <w:pPr>
              <w:pStyle w:val="P68B1DB1-Normal66"/>
              <w:spacing w:after="0" w:line="276" w:lineRule="auto"/>
              <w:rPr>
                <w:noProof/>
                <w:color w:val="000000" w:themeColor="text1"/>
              </w:rPr>
            </w:pPr>
            <w:r>
              <w:rPr>
                <w:noProof/>
              </w:rPr>
              <w:t xml:space="preserve">Finalizarea proiectelor atribuite pentru construirea și adaptarea infrastructurii turistice publice </w:t>
            </w:r>
          </w:p>
        </w:tc>
        <w:tc>
          <w:tcPr>
            <w:tcW w:w="1984" w:type="dxa"/>
            <w:tcBorders>
              <w:top w:val="single" w:sz="4" w:space="0" w:color="auto"/>
              <w:left w:val="nil"/>
              <w:bottom w:val="single" w:sz="4" w:space="0" w:color="auto"/>
              <w:right w:val="single" w:sz="4" w:space="0" w:color="auto"/>
            </w:tcBorders>
            <w:shd w:val="clear" w:color="auto" w:fill="C6EFCE"/>
            <w:noWrap/>
          </w:tcPr>
          <w:p w14:paraId="10B32EB6" w14:textId="77777777" w:rsidR="00FA7C11" w:rsidRDefault="00D84965">
            <w:pPr>
              <w:pStyle w:val="P68B1DB1-Normal66"/>
              <w:spacing w:after="0" w:line="276" w:lineRule="auto"/>
              <w:rPr>
                <w:noProof/>
                <w:color w:val="000000" w:themeColor="text1"/>
              </w:rPr>
            </w:pPr>
            <w:r>
              <w:rPr>
                <w:noProof/>
              </w:rPr>
              <w:t xml:space="preserve"> Certificat de absolvire eliberat de inginerul supraveghetor.</w:t>
            </w:r>
          </w:p>
        </w:tc>
        <w:tc>
          <w:tcPr>
            <w:tcW w:w="712" w:type="dxa"/>
            <w:tcBorders>
              <w:top w:val="single" w:sz="4" w:space="0" w:color="auto"/>
              <w:left w:val="nil"/>
              <w:bottom w:val="single" w:sz="4" w:space="0" w:color="auto"/>
              <w:right w:val="single" w:sz="4" w:space="0" w:color="auto"/>
            </w:tcBorders>
            <w:shd w:val="clear" w:color="auto" w:fill="C6EFCE"/>
            <w:noWrap/>
          </w:tcPr>
          <w:p w14:paraId="4513C326" w14:textId="77777777" w:rsidR="00FA7C11" w:rsidRDefault="00FA7C11">
            <w:pPr>
              <w:spacing w:after="0" w:line="276" w:lineRule="auto"/>
              <w:rPr>
                <w:rFonts w:ascii="Times New Roman" w:eastAsia="Calibri" w:hAnsi="Times New Roman" w:cs="Times New Roman"/>
                <w:noProof/>
                <w:color w:val="000000" w:themeColor="text1"/>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22326A24" w14:textId="77777777" w:rsidR="00FA7C11" w:rsidRDefault="00FA7C11">
            <w:pPr>
              <w:spacing w:after="0" w:line="276" w:lineRule="auto"/>
              <w:jc w:val="center"/>
              <w:rPr>
                <w:rFonts w:ascii="Times New Roman" w:eastAsia="Calibri" w:hAnsi="Times New Roman" w:cs="Times New Roman"/>
                <w:noProof/>
                <w:color w:val="000000" w:themeColor="text1"/>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031E98AF" w14:textId="77777777" w:rsidR="00FA7C11" w:rsidRDefault="00FA7C11">
            <w:pPr>
              <w:spacing w:after="0" w:line="276" w:lineRule="auto"/>
              <w:jc w:val="center"/>
              <w:rPr>
                <w:rFonts w:ascii="Times New Roman" w:eastAsia="Calibri" w:hAnsi="Times New Roman" w:cs="Times New Roman"/>
                <w:noProof/>
                <w:color w:val="000000" w:themeColor="text1"/>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47D42E7E" w14:textId="77777777" w:rsidR="00FA7C11" w:rsidRDefault="00D84965">
            <w:pPr>
              <w:pStyle w:val="P68B1DB1-Normal66"/>
              <w:spacing w:after="0" w:line="276" w:lineRule="auto"/>
              <w:jc w:val="center"/>
              <w:rPr>
                <w:noProof/>
                <w:color w:val="000000" w:themeColor="text1"/>
              </w:rPr>
            </w:pPr>
            <w:r>
              <w:rPr>
                <w:noProof/>
              </w:rPr>
              <w:t>Î2</w:t>
            </w:r>
          </w:p>
        </w:tc>
        <w:tc>
          <w:tcPr>
            <w:tcW w:w="708" w:type="dxa"/>
            <w:tcBorders>
              <w:top w:val="single" w:sz="4" w:space="0" w:color="auto"/>
              <w:left w:val="nil"/>
              <w:bottom w:val="single" w:sz="4" w:space="0" w:color="auto"/>
              <w:right w:val="single" w:sz="4" w:space="0" w:color="auto"/>
            </w:tcBorders>
            <w:shd w:val="clear" w:color="auto" w:fill="C6EFCE"/>
            <w:noWrap/>
          </w:tcPr>
          <w:p w14:paraId="3208651A" w14:textId="77777777" w:rsidR="00FA7C11" w:rsidRDefault="00D84965">
            <w:pPr>
              <w:pStyle w:val="P68B1DB1-Normal66"/>
              <w:spacing w:after="0" w:line="276" w:lineRule="auto"/>
              <w:jc w:val="center"/>
              <w:rPr>
                <w:noProof/>
                <w:color w:val="000000" w:themeColor="text1"/>
              </w:rPr>
            </w:pPr>
            <w:r>
              <w:rPr>
                <w:noProof/>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071B7250" w14:textId="77777777" w:rsidR="00FA7C11" w:rsidRDefault="00D84965">
            <w:pPr>
              <w:pStyle w:val="P68B1DB1-Normal66"/>
              <w:spacing w:after="0" w:line="276" w:lineRule="auto"/>
              <w:rPr>
                <w:noProof/>
                <w:color w:val="000000" w:themeColor="text1"/>
              </w:rPr>
            </w:pPr>
            <w:r>
              <w:rPr>
                <w:noProof/>
              </w:rPr>
              <w:t xml:space="preserve">Finalizarea a 10 de proiecte de investiții atribuite pentru construirea și adaptarea infrastructurii turistice publice. </w:t>
            </w:r>
          </w:p>
        </w:tc>
      </w:tr>
      <w:tr w:rsidR="00FA7C11" w14:paraId="717F8413"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129C63E" w14:textId="77777777" w:rsidR="00FA7C11" w:rsidRDefault="00D84965">
            <w:pPr>
              <w:pStyle w:val="P68B1DB1-Normal66"/>
              <w:spacing w:after="0" w:line="276" w:lineRule="auto"/>
              <w:jc w:val="center"/>
              <w:rPr>
                <w:noProof/>
                <w:color w:val="000000" w:themeColor="text1"/>
              </w:rPr>
            </w:pPr>
            <w:r>
              <w:rPr>
                <w:noProof/>
              </w:rPr>
              <w:t>146</w:t>
            </w:r>
          </w:p>
        </w:tc>
        <w:tc>
          <w:tcPr>
            <w:tcW w:w="1076" w:type="dxa"/>
            <w:tcBorders>
              <w:top w:val="single" w:sz="4" w:space="0" w:color="auto"/>
              <w:left w:val="nil"/>
              <w:bottom w:val="single" w:sz="4" w:space="0" w:color="auto"/>
              <w:right w:val="single" w:sz="4" w:space="0" w:color="auto"/>
            </w:tcBorders>
            <w:shd w:val="clear" w:color="auto" w:fill="C6EFCE"/>
            <w:noWrap/>
          </w:tcPr>
          <w:p w14:paraId="3AA6EA80" w14:textId="77777777" w:rsidR="00FA7C11" w:rsidRDefault="00D84965">
            <w:pPr>
              <w:pStyle w:val="P68B1DB1-Normal66"/>
              <w:spacing w:after="0" w:line="276" w:lineRule="auto"/>
              <w:jc w:val="center"/>
              <w:rPr>
                <w:noProof/>
                <w:color w:val="000000" w:themeColor="text1"/>
              </w:rPr>
            </w:pPr>
            <w:r>
              <w:rPr>
                <w:noProof/>
              </w:rPr>
              <w:t>C1.6. R1-I2</w:t>
            </w:r>
          </w:p>
        </w:tc>
        <w:tc>
          <w:tcPr>
            <w:tcW w:w="1069" w:type="dxa"/>
            <w:tcBorders>
              <w:top w:val="single" w:sz="4" w:space="0" w:color="auto"/>
              <w:left w:val="nil"/>
              <w:bottom w:val="single" w:sz="4" w:space="0" w:color="auto"/>
              <w:right w:val="single" w:sz="4" w:space="0" w:color="auto"/>
            </w:tcBorders>
            <w:shd w:val="clear" w:color="auto" w:fill="C6EFCE"/>
            <w:noWrap/>
          </w:tcPr>
          <w:p w14:paraId="307F1043" w14:textId="77777777" w:rsidR="00FA7C11" w:rsidRDefault="00D84965">
            <w:pPr>
              <w:pStyle w:val="P68B1DB1-Normal66"/>
              <w:spacing w:after="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159F9E87" w14:textId="77777777" w:rsidR="00FA7C11" w:rsidRDefault="00D84965">
            <w:pPr>
              <w:pStyle w:val="P68B1DB1-Normal66"/>
              <w:spacing w:after="0" w:line="276" w:lineRule="auto"/>
              <w:rPr>
                <w:noProof/>
                <w:color w:val="000000" w:themeColor="text1"/>
              </w:rPr>
            </w:pPr>
            <w:r>
              <w:rPr>
                <w:noProof/>
              </w:rPr>
              <w:t>Lansarea de cereri publice de propuneri pentru consolidarea sustenabilității și stimularea tranziției verzi și digitale a antreprenorilor din domeniul turismului, cel puțin 50 % din totalul investițiilor sprijinind tranziția verde</w:t>
            </w:r>
          </w:p>
        </w:tc>
        <w:tc>
          <w:tcPr>
            <w:tcW w:w="1984" w:type="dxa"/>
            <w:tcBorders>
              <w:top w:val="single" w:sz="4" w:space="0" w:color="auto"/>
              <w:left w:val="nil"/>
              <w:bottom w:val="single" w:sz="4" w:space="0" w:color="auto"/>
              <w:right w:val="single" w:sz="4" w:space="0" w:color="auto"/>
            </w:tcBorders>
            <w:shd w:val="clear" w:color="auto" w:fill="C6EFCE"/>
            <w:noWrap/>
          </w:tcPr>
          <w:p w14:paraId="27915FC3" w14:textId="77777777" w:rsidR="00FA7C11" w:rsidRDefault="00D84965">
            <w:pPr>
              <w:pStyle w:val="P68B1DB1-Normal66"/>
              <w:spacing w:after="0" w:line="276" w:lineRule="auto"/>
              <w:rPr>
                <w:noProof/>
                <w:color w:val="000000" w:themeColor="text1"/>
              </w:rPr>
            </w:pPr>
            <w:r>
              <w:rPr>
                <w:noProof/>
              </w:rPr>
              <w:t>Publicarea documentației de licitație pentru a consolida sustenabilitatea și a promova tranziția verde și digitală a antreprenorilor din domeniul turismului</w:t>
            </w:r>
          </w:p>
        </w:tc>
        <w:tc>
          <w:tcPr>
            <w:tcW w:w="712" w:type="dxa"/>
            <w:tcBorders>
              <w:top w:val="single" w:sz="4" w:space="0" w:color="auto"/>
              <w:left w:val="nil"/>
              <w:bottom w:val="single" w:sz="4" w:space="0" w:color="auto"/>
              <w:right w:val="single" w:sz="4" w:space="0" w:color="auto"/>
            </w:tcBorders>
            <w:shd w:val="clear" w:color="auto" w:fill="C6EFCE"/>
            <w:noWrap/>
          </w:tcPr>
          <w:p w14:paraId="0F137098" w14:textId="77777777" w:rsidR="00FA7C11" w:rsidRDefault="00D84965">
            <w:pPr>
              <w:pStyle w:val="P68B1DB1-Normal66"/>
              <w:spacing w:after="0" w:line="276" w:lineRule="auto"/>
              <w:jc w:val="center"/>
              <w:rPr>
                <w:noProof/>
                <w:color w:val="000000" w:themeColor="text1"/>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7D325E5" w14:textId="77777777" w:rsidR="00FA7C11" w:rsidRDefault="00D84965">
            <w:pPr>
              <w:pStyle w:val="P68B1DB1-Normal66"/>
              <w:spacing w:after="0" w:line="276" w:lineRule="auto"/>
              <w:jc w:val="center"/>
              <w:rPr>
                <w:noProof/>
                <w:color w:val="000000" w:themeColor="text1"/>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7A61C89C" w14:textId="77777777" w:rsidR="00FA7C11" w:rsidRDefault="00D84965">
            <w:pPr>
              <w:pStyle w:val="P68B1DB1-Normal66"/>
              <w:spacing w:after="0" w:line="276" w:lineRule="auto"/>
              <w:jc w:val="center"/>
              <w:rPr>
                <w:noProof/>
                <w:color w:val="000000" w:themeColor="text1"/>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45A03C8" w14:textId="77777777" w:rsidR="00FA7C11" w:rsidRDefault="00D84965">
            <w:pPr>
              <w:pStyle w:val="P68B1DB1-Normal66"/>
              <w:spacing w:after="0" w:line="276" w:lineRule="auto"/>
              <w:jc w:val="center"/>
              <w:rPr>
                <w:noProof/>
                <w:color w:val="000000" w:themeColor="text1"/>
              </w:rPr>
            </w:pPr>
            <w:r>
              <w:rPr>
                <w:noProof/>
              </w:rPr>
              <w:t>Î3</w:t>
            </w:r>
          </w:p>
        </w:tc>
        <w:tc>
          <w:tcPr>
            <w:tcW w:w="708" w:type="dxa"/>
            <w:tcBorders>
              <w:top w:val="single" w:sz="4" w:space="0" w:color="auto"/>
              <w:left w:val="nil"/>
              <w:bottom w:val="single" w:sz="4" w:space="0" w:color="auto"/>
              <w:right w:val="single" w:sz="4" w:space="0" w:color="auto"/>
            </w:tcBorders>
            <w:shd w:val="clear" w:color="auto" w:fill="C6EFCE"/>
            <w:noWrap/>
          </w:tcPr>
          <w:p w14:paraId="5C4FD3EA" w14:textId="77777777" w:rsidR="00FA7C11" w:rsidRDefault="00D84965">
            <w:pPr>
              <w:pStyle w:val="P68B1DB1-Normal66"/>
              <w:spacing w:after="0" w:line="276" w:lineRule="auto"/>
              <w:jc w:val="center"/>
              <w:rPr>
                <w:noProof/>
                <w:color w:val="000000" w:themeColor="text1"/>
              </w:rPr>
            </w:pPr>
            <w:r>
              <w:rPr>
                <w:noProof/>
              </w:rPr>
              <w:t>2022</w:t>
            </w:r>
          </w:p>
        </w:tc>
        <w:tc>
          <w:tcPr>
            <w:tcW w:w="5103" w:type="dxa"/>
            <w:tcBorders>
              <w:top w:val="single" w:sz="4" w:space="0" w:color="auto"/>
              <w:left w:val="nil"/>
              <w:bottom w:val="single" w:sz="4" w:space="0" w:color="auto"/>
              <w:right w:val="single" w:sz="4" w:space="0" w:color="auto"/>
            </w:tcBorders>
            <w:shd w:val="clear" w:color="auto" w:fill="C6EFCE"/>
            <w:noWrap/>
          </w:tcPr>
          <w:p w14:paraId="7D81A40D" w14:textId="77777777" w:rsidR="00FA7C11" w:rsidRDefault="00D84965">
            <w:pPr>
              <w:pStyle w:val="P68B1DB1-Normal66"/>
              <w:spacing w:after="0" w:line="276" w:lineRule="auto"/>
              <w:rPr>
                <w:noProof/>
                <w:color w:val="000000" w:themeColor="text1"/>
              </w:rPr>
            </w:pPr>
            <w:r>
              <w:rPr>
                <w:noProof/>
              </w:rPr>
              <w:t>Documentația de licitație precizează că cel puțin 29 862 632 EUR din investițiile totale vor fi atribuite investițiilor axate pe atenuarea schimbărilor climatice sau adaptarea la acestea, pe digitalizarea activităților în conformitate cu criteriile de reducere a emisiilor de gaze cu efect de seră sau pe eficiența energetică și reducerea deșeurilor, precum și pe tranziția către o economie circulară.</w:t>
            </w:r>
            <w:r>
              <w:rPr>
                <w:noProof/>
              </w:rPr>
              <w:br/>
              <w:t xml:space="preserve">Criteriile de selecție a proiectelor contribuie la tranziția verde, în conformitate cu SNR, cu Tratatul verde pentru Europa, cu indicatorii de durabilitate definiți în studiul de fezabilitate pentru crearea unui cont satelit pentru turismul durabil al Republicii Croația și cu orientările pentru elaborarea Strategiei de dezvoltare a turismului durabil pentru 2030. În conformitate cu principiile Orientărilor tehnice DNSH, solicitanții trebuie să demonstreze modul în care vor atenua impactul negativ asupra mediului care poate fi asociat proiectului și modul în care vor contribui la impactul pozitiv pe parcursul punerii în aplicare a proiectului. </w:t>
            </w:r>
            <w:r>
              <w:rPr>
                <w:noProof/>
              </w:rPr>
              <w:br/>
            </w:r>
            <w:r>
              <w:rPr>
                <w:noProof/>
              </w:rPr>
              <w:br/>
              <w:t xml:space="preserve">Documentul de licitație trebuie să aloce cel puțin 29 862 632 EUR din investițiile totale pentru sprijinirea tranziției verzi și să specifice, pentru investițiile respective, criteriile de selecție/eligibilitate care reflectă cerințele domeniilor de intervenție aplicabile [3-100] din anexa [VI/VII] și conformitatea cu Orientările tehnice DNSH (2021/C58/01), precum și conformitatea proiectelor sprijinite cu acquis-ul UE și național relevant în materie de mediu. </w:t>
            </w:r>
            <w:r>
              <w:rPr>
                <w:noProof/>
              </w:rPr>
              <w:br/>
            </w:r>
          </w:p>
        </w:tc>
      </w:tr>
      <w:tr w:rsidR="00FA7C11" w14:paraId="09F7E2C9"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3FAC8C2" w14:textId="77777777" w:rsidR="00FA7C11" w:rsidRDefault="00D84965">
            <w:pPr>
              <w:pStyle w:val="P68B1DB1-Normal66"/>
              <w:spacing w:after="0" w:line="276" w:lineRule="auto"/>
              <w:jc w:val="center"/>
              <w:rPr>
                <w:noProof/>
                <w:color w:val="000000" w:themeColor="text1"/>
              </w:rPr>
            </w:pPr>
            <w:r>
              <w:rPr>
                <w:noProof/>
              </w:rPr>
              <w:t>147</w:t>
            </w:r>
          </w:p>
        </w:tc>
        <w:tc>
          <w:tcPr>
            <w:tcW w:w="1076" w:type="dxa"/>
            <w:tcBorders>
              <w:top w:val="single" w:sz="4" w:space="0" w:color="auto"/>
              <w:left w:val="nil"/>
              <w:bottom w:val="single" w:sz="4" w:space="0" w:color="auto"/>
              <w:right w:val="single" w:sz="4" w:space="0" w:color="auto"/>
            </w:tcBorders>
            <w:shd w:val="clear" w:color="auto" w:fill="C6EFCE"/>
            <w:noWrap/>
          </w:tcPr>
          <w:p w14:paraId="06F49E0F" w14:textId="77777777" w:rsidR="00FA7C11" w:rsidRDefault="00D84965">
            <w:pPr>
              <w:pStyle w:val="P68B1DB1-Normal66"/>
              <w:spacing w:after="0" w:line="276" w:lineRule="auto"/>
              <w:jc w:val="center"/>
              <w:rPr>
                <w:noProof/>
                <w:color w:val="000000" w:themeColor="text1"/>
              </w:rPr>
            </w:pPr>
            <w:r>
              <w:rPr>
                <w:noProof/>
              </w:rPr>
              <w:t>C1.6. R1-I2</w:t>
            </w:r>
          </w:p>
        </w:tc>
        <w:tc>
          <w:tcPr>
            <w:tcW w:w="1069" w:type="dxa"/>
            <w:tcBorders>
              <w:top w:val="single" w:sz="4" w:space="0" w:color="auto"/>
              <w:left w:val="nil"/>
              <w:bottom w:val="single" w:sz="4" w:space="0" w:color="auto"/>
              <w:right w:val="single" w:sz="4" w:space="0" w:color="auto"/>
            </w:tcBorders>
            <w:shd w:val="clear" w:color="auto" w:fill="C6EFCE"/>
            <w:noWrap/>
          </w:tcPr>
          <w:p w14:paraId="71606848" w14:textId="77777777" w:rsidR="00FA7C11" w:rsidRDefault="00D84965">
            <w:pPr>
              <w:pStyle w:val="P68B1DB1-Normal66"/>
              <w:spacing w:after="0" w:line="276" w:lineRule="auto"/>
              <w:jc w:val="center"/>
              <w:rPr>
                <w:noProof/>
                <w:color w:val="000000" w:themeColor="text1"/>
              </w:rPr>
            </w:pPr>
            <w:r>
              <w:rPr>
                <w:noProof/>
              </w:rPr>
              <w:t>M</w:t>
            </w:r>
          </w:p>
        </w:tc>
        <w:tc>
          <w:tcPr>
            <w:tcW w:w="1766" w:type="dxa"/>
            <w:tcBorders>
              <w:top w:val="single" w:sz="4" w:space="0" w:color="auto"/>
              <w:left w:val="nil"/>
              <w:bottom w:val="single" w:sz="4" w:space="0" w:color="auto"/>
              <w:right w:val="single" w:sz="4" w:space="0" w:color="auto"/>
            </w:tcBorders>
            <w:shd w:val="clear" w:color="auto" w:fill="C6EFCE"/>
            <w:noWrap/>
          </w:tcPr>
          <w:p w14:paraId="1A8D9343" w14:textId="00617B97" w:rsidR="00FA7C11" w:rsidRDefault="00D84965">
            <w:pPr>
              <w:pStyle w:val="P68B1DB1-Normal66"/>
              <w:spacing w:after="0" w:line="276" w:lineRule="auto"/>
              <w:rPr>
                <w:noProof/>
                <w:color w:val="000000" w:themeColor="text1"/>
              </w:rPr>
            </w:pPr>
            <w:r>
              <w:rPr>
                <w:noProof/>
              </w:rPr>
              <w:t>Finalizarea proiectelor de investiții atribuite pentru a consolida durabilitatea și a promova tranziția verde și digitală a antreprenorilor din domeniul turismului</w:t>
            </w:r>
          </w:p>
        </w:tc>
        <w:tc>
          <w:tcPr>
            <w:tcW w:w="1984" w:type="dxa"/>
            <w:tcBorders>
              <w:top w:val="single" w:sz="4" w:space="0" w:color="auto"/>
              <w:left w:val="nil"/>
              <w:bottom w:val="single" w:sz="4" w:space="0" w:color="auto"/>
              <w:right w:val="single" w:sz="4" w:space="0" w:color="auto"/>
            </w:tcBorders>
            <w:shd w:val="clear" w:color="auto" w:fill="C6EFCE"/>
            <w:noWrap/>
          </w:tcPr>
          <w:p w14:paraId="4457239E" w14:textId="77777777" w:rsidR="00FA7C11" w:rsidRDefault="00D84965">
            <w:pPr>
              <w:pStyle w:val="P68B1DB1-Normal66"/>
              <w:spacing w:after="0" w:line="276" w:lineRule="auto"/>
              <w:rPr>
                <w:noProof/>
                <w:color w:val="000000" w:themeColor="text1"/>
              </w:rPr>
            </w:pPr>
            <w:r>
              <w:rPr>
                <w:noProof/>
              </w:rPr>
              <w:t xml:space="preserve"> Certificat de absolvire eliberat de inginerul supraveghetor.</w:t>
            </w:r>
          </w:p>
        </w:tc>
        <w:tc>
          <w:tcPr>
            <w:tcW w:w="712" w:type="dxa"/>
            <w:tcBorders>
              <w:top w:val="single" w:sz="4" w:space="0" w:color="auto"/>
              <w:left w:val="nil"/>
              <w:bottom w:val="single" w:sz="4" w:space="0" w:color="auto"/>
              <w:right w:val="single" w:sz="4" w:space="0" w:color="auto"/>
            </w:tcBorders>
            <w:shd w:val="clear" w:color="auto" w:fill="C6EFCE"/>
            <w:noWrap/>
          </w:tcPr>
          <w:p w14:paraId="5DFE39AA" w14:textId="77777777" w:rsidR="00FA7C11" w:rsidRDefault="00FA7C11">
            <w:pPr>
              <w:spacing w:after="0" w:line="276" w:lineRule="auto"/>
              <w:jc w:val="center"/>
              <w:rPr>
                <w:rFonts w:ascii="Times New Roman" w:eastAsia="Calibri" w:hAnsi="Times New Roman" w:cs="Times New Roman"/>
                <w:noProof/>
                <w:color w:val="000000" w:themeColor="text1"/>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7CF723B8" w14:textId="77777777" w:rsidR="00FA7C11" w:rsidRDefault="00FA7C11">
            <w:pPr>
              <w:spacing w:after="0" w:line="276" w:lineRule="auto"/>
              <w:jc w:val="center"/>
              <w:rPr>
                <w:rFonts w:ascii="Times New Roman" w:eastAsia="Calibri" w:hAnsi="Times New Roman" w:cs="Times New Roman"/>
                <w:noProof/>
                <w:color w:val="000000" w:themeColor="text1"/>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30223870" w14:textId="77777777" w:rsidR="00FA7C11" w:rsidRDefault="00FA7C11">
            <w:pPr>
              <w:spacing w:after="0" w:line="276" w:lineRule="auto"/>
              <w:jc w:val="center"/>
              <w:rPr>
                <w:rFonts w:ascii="Times New Roman" w:eastAsia="Calibri" w:hAnsi="Times New Roman" w:cs="Times New Roman"/>
                <w:noProof/>
                <w:color w:val="000000" w:themeColor="text1"/>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2BDBFE6D" w14:textId="77777777" w:rsidR="00FA7C11" w:rsidRDefault="00D84965">
            <w:pPr>
              <w:pStyle w:val="P68B1DB1-Normal66"/>
              <w:spacing w:after="0" w:line="276" w:lineRule="auto"/>
              <w:jc w:val="center"/>
              <w:rPr>
                <w:noProof/>
                <w:color w:val="000000" w:themeColor="text1"/>
              </w:rPr>
            </w:pPr>
            <w:r>
              <w:rPr>
                <w:noProof/>
              </w:rPr>
              <w:t>Î2</w:t>
            </w:r>
          </w:p>
        </w:tc>
        <w:tc>
          <w:tcPr>
            <w:tcW w:w="708" w:type="dxa"/>
            <w:tcBorders>
              <w:top w:val="single" w:sz="4" w:space="0" w:color="auto"/>
              <w:left w:val="nil"/>
              <w:bottom w:val="single" w:sz="4" w:space="0" w:color="auto"/>
              <w:right w:val="single" w:sz="4" w:space="0" w:color="auto"/>
            </w:tcBorders>
            <w:shd w:val="clear" w:color="auto" w:fill="C6EFCE"/>
            <w:noWrap/>
          </w:tcPr>
          <w:p w14:paraId="31BC57FE" w14:textId="77777777" w:rsidR="00FA7C11" w:rsidRDefault="00D84965">
            <w:pPr>
              <w:pStyle w:val="P68B1DB1-Normal66"/>
              <w:spacing w:after="0" w:line="276" w:lineRule="auto"/>
              <w:jc w:val="center"/>
              <w:rPr>
                <w:noProof/>
                <w:color w:val="000000" w:themeColor="text1"/>
              </w:rPr>
            </w:pPr>
            <w:r>
              <w:rPr>
                <w:noProof/>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21886E30" w14:textId="77777777" w:rsidR="00FA7C11" w:rsidRDefault="00D84965">
            <w:pPr>
              <w:pStyle w:val="P68B1DB1-Normal66"/>
              <w:spacing w:after="0" w:line="276" w:lineRule="auto"/>
              <w:rPr>
                <w:noProof/>
                <w:color w:val="000000" w:themeColor="text1"/>
              </w:rPr>
            </w:pPr>
            <w:r>
              <w:rPr>
                <w:noProof/>
              </w:rPr>
              <w:t>Finalizarea a 37 de proiecte de investiții atribuite pentru a consolida durabilitatea și a promova tranziția verde și digitală a antreprenorilor din domeniul turismului.</w:t>
            </w:r>
          </w:p>
        </w:tc>
      </w:tr>
      <w:tr w:rsidR="00FA7C11" w14:paraId="07A36005"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5C3E71B" w14:textId="77777777" w:rsidR="00FA7C11" w:rsidRDefault="00D84965">
            <w:pPr>
              <w:pStyle w:val="P68B1DB1-Normal66"/>
              <w:spacing w:after="0" w:line="276" w:lineRule="auto"/>
              <w:jc w:val="center"/>
              <w:rPr>
                <w:noProof/>
                <w:color w:val="000000" w:themeColor="text1"/>
              </w:rPr>
            </w:pPr>
            <w:r>
              <w:rPr>
                <w:noProof/>
              </w:rPr>
              <w:t>148</w:t>
            </w:r>
          </w:p>
        </w:tc>
        <w:tc>
          <w:tcPr>
            <w:tcW w:w="1076" w:type="dxa"/>
            <w:tcBorders>
              <w:top w:val="single" w:sz="4" w:space="0" w:color="auto"/>
              <w:left w:val="nil"/>
              <w:bottom w:val="single" w:sz="4" w:space="0" w:color="auto"/>
              <w:right w:val="single" w:sz="4" w:space="0" w:color="auto"/>
            </w:tcBorders>
            <w:shd w:val="clear" w:color="auto" w:fill="C6EFCE"/>
            <w:noWrap/>
          </w:tcPr>
          <w:p w14:paraId="47859F1F" w14:textId="77777777" w:rsidR="00FA7C11" w:rsidRDefault="00D84965">
            <w:pPr>
              <w:pStyle w:val="P68B1DB1-Normal66"/>
              <w:spacing w:after="0" w:line="276" w:lineRule="auto"/>
              <w:jc w:val="center"/>
              <w:rPr>
                <w:noProof/>
                <w:color w:val="000000" w:themeColor="text1"/>
              </w:rPr>
            </w:pPr>
            <w:r>
              <w:rPr>
                <w:noProof/>
              </w:rPr>
              <w:t>C1.6. R1-I3</w:t>
            </w:r>
          </w:p>
        </w:tc>
        <w:tc>
          <w:tcPr>
            <w:tcW w:w="1069" w:type="dxa"/>
            <w:tcBorders>
              <w:top w:val="single" w:sz="4" w:space="0" w:color="auto"/>
              <w:left w:val="nil"/>
              <w:bottom w:val="single" w:sz="4" w:space="0" w:color="auto"/>
              <w:right w:val="single" w:sz="4" w:space="0" w:color="auto"/>
            </w:tcBorders>
            <w:shd w:val="clear" w:color="auto" w:fill="C6EFCE"/>
            <w:noWrap/>
          </w:tcPr>
          <w:p w14:paraId="6C363775" w14:textId="77777777" w:rsidR="00FA7C11" w:rsidRDefault="00D84965">
            <w:pPr>
              <w:pStyle w:val="P68B1DB1-Normal110"/>
              <w:spacing w:after="0" w:line="276" w:lineRule="auto"/>
              <w:jc w:val="center"/>
              <w:rPr>
                <w:noProof/>
              </w:rPr>
            </w:pPr>
            <w:r>
              <w:rPr>
                <w:noProof/>
              </w:rPr>
              <w:t>T</w:t>
            </w:r>
          </w:p>
        </w:tc>
        <w:tc>
          <w:tcPr>
            <w:tcW w:w="1766" w:type="dxa"/>
            <w:tcBorders>
              <w:top w:val="single" w:sz="4" w:space="0" w:color="auto"/>
              <w:left w:val="nil"/>
              <w:bottom w:val="single" w:sz="4" w:space="0" w:color="auto"/>
              <w:right w:val="single" w:sz="4" w:space="0" w:color="auto"/>
            </w:tcBorders>
            <w:shd w:val="clear" w:color="auto" w:fill="C6EFCE"/>
            <w:noWrap/>
          </w:tcPr>
          <w:p w14:paraId="76FA837A" w14:textId="77777777" w:rsidR="00FA7C11" w:rsidRDefault="00D84965">
            <w:pPr>
              <w:pStyle w:val="P68B1DB1-Normal66"/>
              <w:spacing w:after="0" w:line="276" w:lineRule="auto"/>
              <w:rPr>
                <w:noProof/>
                <w:color w:val="000000" w:themeColor="text1"/>
              </w:rPr>
            </w:pPr>
            <w:r>
              <w:rPr>
                <w:noProof/>
              </w:rPr>
              <w:t>Programe educaționale pentru consolidarea cunoștințelor și competențelor în domeniul turismului</w:t>
            </w:r>
          </w:p>
        </w:tc>
        <w:tc>
          <w:tcPr>
            <w:tcW w:w="1984" w:type="dxa"/>
            <w:tcBorders>
              <w:top w:val="single" w:sz="4" w:space="0" w:color="auto"/>
              <w:left w:val="nil"/>
              <w:bottom w:val="single" w:sz="4" w:space="0" w:color="auto"/>
              <w:right w:val="single" w:sz="4" w:space="0" w:color="auto"/>
            </w:tcBorders>
            <w:shd w:val="clear" w:color="auto" w:fill="C6EFCE"/>
            <w:noWrap/>
          </w:tcPr>
          <w:p w14:paraId="0392E8D1" w14:textId="77777777" w:rsidR="00FA7C11" w:rsidRDefault="00FA7C11">
            <w:pPr>
              <w:spacing w:after="0" w:line="276" w:lineRule="auto"/>
              <w:rPr>
                <w:rFonts w:ascii="Times New Roman" w:eastAsia="Calibri" w:hAnsi="Times New Roman" w:cs="Times New Roman"/>
                <w:noProof/>
                <w:color w:val="000000" w:themeColor="text1"/>
                <w:sz w:val="20"/>
                <w:szCs w:val="20"/>
                <w:u w:val="single"/>
              </w:rPr>
            </w:pPr>
          </w:p>
        </w:tc>
        <w:tc>
          <w:tcPr>
            <w:tcW w:w="712" w:type="dxa"/>
            <w:tcBorders>
              <w:top w:val="single" w:sz="4" w:space="0" w:color="auto"/>
              <w:left w:val="nil"/>
              <w:bottom w:val="single" w:sz="4" w:space="0" w:color="auto"/>
              <w:right w:val="single" w:sz="4" w:space="0" w:color="auto"/>
            </w:tcBorders>
            <w:shd w:val="clear" w:color="auto" w:fill="C6EFCE"/>
            <w:noWrap/>
          </w:tcPr>
          <w:p w14:paraId="35FA5964" w14:textId="77777777" w:rsidR="00FA7C11" w:rsidRDefault="00D84965">
            <w:pPr>
              <w:pStyle w:val="P68B1DB1-Normal66"/>
              <w:spacing w:after="0" w:line="276" w:lineRule="auto"/>
              <w:jc w:val="center"/>
              <w:rPr>
                <w:noProof/>
                <w:color w:val="000000" w:themeColor="text1"/>
              </w:rPr>
            </w:pPr>
            <w:r>
              <w:rPr>
                <w:noProof/>
              </w:rPr>
              <w:t>Număr</w:t>
            </w:r>
          </w:p>
        </w:tc>
        <w:tc>
          <w:tcPr>
            <w:tcW w:w="850" w:type="dxa"/>
            <w:tcBorders>
              <w:top w:val="single" w:sz="4" w:space="0" w:color="auto"/>
              <w:left w:val="nil"/>
              <w:bottom w:val="single" w:sz="4" w:space="0" w:color="auto"/>
              <w:right w:val="single" w:sz="4" w:space="0" w:color="auto"/>
            </w:tcBorders>
            <w:shd w:val="clear" w:color="auto" w:fill="C6EFCE"/>
            <w:noWrap/>
          </w:tcPr>
          <w:p w14:paraId="60442565" w14:textId="77777777" w:rsidR="00FA7C11" w:rsidRDefault="00D84965">
            <w:pPr>
              <w:pStyle w:val="P68B1DB1-Normal66"/>
              <w:spacing w:after="0" w:line="276" w:lineRule="auto"/>
              <w:jc w:val="center"/>
              <w:rPr>
                <w:noProof/>
                <w:color w:val="000000" w:themeColor="text1"/>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315B8C41" w14:textId="77777777" w:rsidR="00FA7C11" w:rsidRDefault="00D84965">
            <w:pPr>
              <w:pStyle w:val="P68B1DB1-Normal66"/>
              <w:spacing w:after="0" w:line="276" w:lineRule="auto"/>
              <w:jc w:val="center"/>
              <w:rPr>
                <w:noProof/>
                <w:color w:val="000000" w:themeColor="text1"/>
              </w:rPr>
            </w:pPr>
            <w:r>
              <w:rPr>
                <w:noProof/>
              </w:rPr>
              <w:t>10</w:t>
            </w:r>
          </w:p>
        </w:tc>
        <w:tc>
          <w:tcPr>
            <w:tcW w:w="756" w:type="dxa"/>
            <w:tcBorders>
              <w:top w:val="single" w:sz="4" w:space="0" w:color="auto"/>
              <w:left w:val="nil"/>
              <w:bottom w:val="single" w:sz="4" w:space="0" w:color="auto"/>
              <w:right w:val="single" w:sz="4" w:space="0" w:color="auto"/>
            </w:tcBorders>
            <w:shd w:val="clear" w:color="auto" w:fill="C6EFCE"/>
            <w:noWrap/>
          </w:tcPr>
          <w:p w14:paraId="2020570F" w14:textId="77777777" w:rsidR="00FA7C11" w:rsidRDefault="00D84965">
            <w:pPr>
              <w:pStyle w:val="P68B1DB1-Normal66"/>
              <w:spacing w:after="0" w:line="276" w:lineRule="auto"/>
              <w:jc w:val="center"/>
              <w:rPr>
                <w:noProof/>
                <w:color w:val="000000" w:themeColor="text1"/>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13B88BD4" w14:textId="77777777" w:rsidR="00FA7C11" w:rsidRDefault="00D84965">
            <w:pPr>
              <w:pStyle w:val="P68B1DB1-Normal66"/>
              <w:spacing w:after="0" w:line="276" w:lineRule="auto"/>
              <w:jc w:val="center"/>
              <w:rPr>
                <w:noProof/>
                <w:color w:val="000000" w:themeColor="text1"/>
              </w:rPr>
            </w:pPr>
            <w:r>
              <w:rPr>
                <w:noProof/>
              </w:rPr>
              <w:t>2024</w:t>
            </w:r>
          </w:p>
        </w:tc>
        <w:tc>
          <w:tcPr>
            <w:tcW w:w="5103" w:type="dxa"/>
            <w:tcBorders>
              <w:top w:val="single" w:sz="4" w:space="0" w:color="auto"/>
              <w:left w:val="nil"/>
              <w:bottom w:val="single" w:sz="4" w:space="0" w:color="auto"/>
              <w:right w:val="single" w:sz="4" w:space="0" w:color="auto"/>
            </w:tcBorders>
            <w:shd w:val="clear" w:color="auto" w:fill="C6EFCE"/>
            <w:noWrap/>
          </w:tcPr>
          <w:p w14:paraId="29D91264" w14:textId="77777777" w:rsidR="00FA7C11" w:rsidRDefault="00D84965">
            <w:pPr>
              <w:pStyle w:val="P68B1DB1-Normal66"/>
              <w:spacing w:after="0" w:line="276" w:lineRule="auto"/>
              <w:rPr>
                <w:noProof/>
                <w:color w:val="000000" w:themeColor="text1"/>
              </w:rPr>
            </w:pPr>
            <w:r>
              <w:rPr>
                <w:noProof/>
              </w:rPr>
              <w:t>Programe educaționale dezvoltate pentru a consolida cunoștințele și competențele în domeniul turismului, inclusiv competențele digitale pentru funcționarii guvernamentali și publici din sistemul turistic, educația șomerilor și a angajatorilor</w:t>
            </w:r>
            <w:r>
              <w:rPr>
                <w:noProof/>
              </w:rPr>
              <w:br/>
              <w:t>Programele educaționale elaborate se vor baza pe analize ale nevoilor pieței forței de muncă și vor avea ca rezultat o bază pentru consolidarea cunoștințelor și a competențelor în turism, inclusiv a competențelor digitale pentru funcționarii guvernamentali din sistemul turistic și angajați în sistemul comunitar al turismului, pentru șomeri și pentru educația angajatorilor. Criteriile de selecție a programelor care urmează să fie dezvoltate vor fi de a contribui la realizarea obiectivelor tranziției digitale și verzi, și anume dobândirea cunoștințelor și a competențelor necesare pentru punerea în aplicare a proiectelor finanțate prin investițiile C1.6 I2 și I1 ale acestei subcomponente, cum ar fi cunoștințele legate de construcțiile verzi, energia din surse regenerabile, produsele inovatoare, competențele antreprenoriale, gestionarea durabilă a destinațiilor.</w:t>
            </w:r>
          </w:p>
        </w:tc>
      </w:tr>
      <w:tr w:rsidR="00FA7C11" w14:paraId="63DE7AB8"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1A7638E" w14:textId="77777777" w:rsidR="00FA7C11" w:rsidRDefault="00D84965">
            <w:pPr>
              <w:pStyle w:val="P68B1DB1-Normal66"/>
              <w:spacing w:after="0" w:line="276" w:lineRule="auto"/>
              <w:jc w:val="center"/>
              <w:rPr>
                <w:noProof/>
                <w:color w:val="000000" w:themeColor="text1"/>
              </w:rPr>
            </w:pPr>
            <w:r>
              <w:rPr>
                <w:noProof/>
              </w:rPr>
              <w:t>149</w:t>
            </w:r>
          </w:p>
        </w:tc>
        <w:tc>
          <w:tcPr>
            <w:tcW w:w="1076" w:type="dxa"/>
            <w:tcBorders>
              <w:top w:val="single" w:sz="4" w:space="0" w:color="auto"/>
              <w:left w:val="nil"/>
              <w:bottom w:val="single" w:sz="4" w:space="0" w:color="auto"/>
              <w:right w:val="single" w:sz="4" w:space="0" w:color="auto"/>
            </w:tcBorders>
            <w:shd w:val="clear" w:color="auto" w:fill="C6EFCE"/>
            <w:noWrap/>
          </w:tcPr>
          <w:p w14:paraId="2DA2F9DB" w14:textId="77777777" w:rsidR="00FA7C11" w:rsidRDefault="00D84965">
            <w:pPr>
              <w:pStyle w:val="P68B1DB1-Normal66"/>
              <w:spacing w:after="0" w:line="276" w:lineRule="auto"/>
              <w:jc w:val="center"/>
              <w:rPr>
                <w:noProof/>
                <w:color w:val="000000" w:themeColor="text1"/>
              </w:rPr>
            </w:pPr>
            <w:r>
              <w:rPr>
                <w:noProof/>
              </w:rPr>
              <w:t>C1.6. R1-I3</w:t>
            </w:r>
          </w:p>
        </w:tc>
        <w:tc>
          <w:tcPr>
            <w:tcW w:w="1069" w:type="dxa"/>
            <w:tcBorders>
              <w:top w:val="single" w:sz="4" w:space="0" w:color="auto"/>
              <w:left w:val="nil"/>
              <w:bottom w:val="single" w:sz="4" w:space="0" w:color="auto"/>
              <w:right w:val="single" w:sz="4" w:space="0" w:color="auto"/>
            </w:tcBorders>
            <w:shd w:val="clear" w:color="auto" w:fill="C6EFCE"/>
            <w:noWrap/>
          </w:tcPr>
          <w:p w14:paraId="60581408" w14:textId="77777777" w:rsidR="00FA7C11" w:rsidRDefault="00D84965">
            <w:pPr>
              <w:pStyle w:val="P68B1DB1-Normal66"/>
              <w:spacing w:after="0" w:line="276" w:lineRule="auto"/>
              <w:jc w:val="center"/>
              <w:rPr>
                <w:noProof/>
                <w:color w:val="000000" w:themeColor="text1"/>
              </w:rPr>
            </w:pPr>
            <w:r>
              <w:rPr>
                <w:noProof/>
              </w:rPr>
              <w:t>T</w:t>
            </w:r>
          </w:p>
        </w:tc>
        <w:tc>
          <w:tcPr>
            <w:tcW w:w="1766" w:type="dxa"/>
            <w:tcBorders>
              <w:top w:val="single" w:sz="4" w:space="0" w:color="auto"/>
              <w:left w:val="nil"/>
              <w:bottom w:val="single" w:sz="4" w:space="0" w:color="auto"/>
              <w:right w:val="single" w:sz="4" w:space="0" w:color="auto"/>
            </w:tcBorders>
            <w:shd w:val="clear" w:color="auto" w:fill="C6EFCE"/>
            <w:noWrap/>
          </w:tcPr>
          <w:p w14:paraId="2E057011" w14:textId="77777777" w:rsidR="00FA7C11" w:rsidRDefault="00D84965">
            <w:pPr>
              <w:pStyle w:val="P68B1DB1-Normal66"/>
              <w:spacing w:after="0" w:line="276" w:lineRule="auto"/>
              <w:rPr>
                <w:noProof/>
                <w:color w:val="000000" w:themeColor="text1"/>
              </w:rPr>
            </w:pPr>
            <w:r>
              <w:rPr>
                <w:noProof/>
              </w:rPr>
              <w:t xml:space="preserve">Persoane educate în programe educaționale legate de turism </w:t>
            </w:r>
          </w:p>
        </w:tc>
        <w:tc>
          <w:tcPr>
            <w:tcW w:w="1984" w:type="dxa"/>
            <w:tcBorders>
              <w:top w:val="single" w:sz="4" w:space="0" w:color="auto"/>
              <w:left w:val="nil"/>
              <w:bottom w:val="single" w:sz="4" w:space="0" w:color="auto"/>
              <w:right w:val="single" w:sz="4" w:space="0" w:color="auto"/>
            </w:tcBorders>
            <w:shd w:val="clear" w:color="auto" w:fill="C6EFCE"/>
            <w:noWrap/>
          </w:tcPr>
          <w:p w14:paraId="21A90B01" w14:textId="77777777" w:rsidR="00FA7C11" w:rsidRDefault="00D84965">
            <w:pPr>
              <w:pStyle w:val="P68B1DB1-Normal66"/>
              <w:spacing w:after="0" w:line="276" w:lineRule="auto"/>
              <w:rPr>
                <w:noProof/>
                <w:color w:val="000000" w:themeColor="text1"/>
              </w:rPr>
            </w:pPr>
            <w:r>
              <w:rPr>
                <w:noProof/>
              </w:rPr>
              <w:t xml:space="preserve"> </w:t>
            </w:r>
          </w:p>
        </w:tc>
        <w:tc>
          <w:tcPr>
            <w:tcW w:w="712" w:type="dxa"/>
            <w:tcBorders>
              <w:top w:val="single" w:sz="4" w:space="0" w:color="auto"/>
              <w:left w:val="nil"/>
              <w:bottom w:val="single" w:sz="4" w:space="0" w:color="auto"/>
              <w:right w:val="single" w:sz="4" w:space="0" w:color="auto"/>
            </w:tcBorders>
            <w:shd w:val="clear" w:color="auto" w:fill="C6EFCE"/>
            <w:noWrap/>
          </w:tcPr>
          <w:p w14:paraId="6D17DC22" w14:textId="77777777" w:rsidR="00FA7C11" w:rsidRDefault="00D84965">
            <w:pPr>
              <w:pStyle w:val="P68B1DB1-Normal66"/>
              <w:spacing w:after="0" w:line="276" w:lineRule="auto"/>
              <w:jc w:val="center"/>
              <w:rPr>
                <w:noProof/>
                <w:color w:val="000000" w:themeColor="text1"/>
              </w:rPr>
            </w:pPr>
            <w:r>
              <w:rPr>
                <w:noProof/>
              </w:rPr>
              <w:t>Număr</w:t>
            </w:r>
          </w:p>
        </w:tc>
        <w:tc>
          <w:tcPr>
            <w:tcW w:w="850" w:type="dxa"/>
            <w:tcBorders>
              <w:top w:val="single" w:sz="4" w:space="0" w:color="auto"/>
              <w:left w:val="nil"/>
              <w:bottom w:val="single" w:sz="4" w:space="0" w:color="auto"/>
              <w:right w:val="single" w:sz="4" w:space="0" w:color="auto"/>
            </w:tcBorders>
            <w:shd w:val="clear" w:color="auto" w:fill="C6EFCE"/>
            <w:noWrap/>
          </w:tcPr>
          <w:p w14:paraId="4764FC16" w14:textId="77777777" w:rsidR="00FA7C11" w:rsidRDefault="00D84965">
            <w:pPr>
              <w:pStyle w:val="P68B1DB1-Normal66"/>
              <w:spacing w:after="0" w:line="276" w:lineRule="auto"/>
              <w:jc w:val="center"/>
              <w:rPr>
                <w:noProof/>
                <w:color w:val="000000" w:themeColor="text1"/>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0827BC06" w14:textId="77777777" w:rsidR="00FA7C11" w:rsidRDefault="00D84965">
            <w:pPr>
              <w:pStyle w:val="P68B1DB1-Normal66"/>
              <w:spacing w:after="0" w:line="276" w:lineRule="auto"/>
              <w:jc w:val="center"/>
              <w:rPr>
                <w:noProof/>
                <w:color w:val="000000" w:themeColor="text1"/>
              </w:rPr>
            </w:pPr>
            <w:r>
              <w:rPr>
                <w:noProof/>
              </w:rPr>
              <w:t>1 000</w:t>
            </w:r>
          </w:p>
        </w:tc>
        <w:tc>
          <w:tcPr>
            <w:tcW w:w="756" w:type="dxa"/>
            <w:tcBorders>
              <w:top w:val="single" w:sz="4" w:space="0" w:color="auto"/>
              <w:left w:val="nil"/>
              <w:bottom w:val="single" w:sz="4" w:space="0" w:color="auto"/>
              <w:right w:val="single" w:sz="4" w:space="0" w:color="auto"/>
            </w:tcBorders>
            <w:shd w:val="clear" w:color="auto" w:fill="C6EFCE"/>
            <w:noWrap/>
          </w:tcPr>
          <w:p w14:paraId="7764F876" w14:textId="77777777" w:rsidR="00FA7C11" w:rsidRDefault="00D84965">
            <w:pPr>
              <w:pStyle w:val="P68B1DB1-Normal66"/>
              <w:spacing w:after="0" w:line="276" w:lineRule="auto"/>
              <w:jc w:val="center"/>
              <w:rPr>
                <w:noProof/>
                <w:color w:val="000000" w:themeColor="text1"/>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779CAF3D" w14:textId="77777777" w:rsidR="00FA7C11" w:rsidRDefault="00D84965">
            <w:pPr>
              <w:pStyle w:val="P68B1DB1-Normal66"/>
              <w:spacing w:after="0" w:line="276" w:lineRule="auto"/>
              <w:jc w:val="center"/>
              <w:rPr>
                <w:noProof/>
                <w:color w:val="000000" w:themeColor="text1"/>
              </w:rPr>
            </w:pPr>
            <w:r>
              <w:rPr>
                <w:noProof/>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50FBB869" w14:textId="77777777" w:rsidR="00FA7C11" w:rsidRDefault="00D84965">
            <w:pPr>
              <w:pStyle w:val="P68B1DB1-Normal66"/>
              <w:spacing w:after="0" w:line="276" w:lineRule="auto"/>
              <w:rPr>
                <w:noProof/>
                <w:color w:val="000000" w:themeColor="text1"/>
              </w:rPr>
            </w:pPr>
            <w:r>
              <w:rPr>
                <w:noProof/>
              </w:rPr>
              <w:t>Cel puțin 1 000 de persoane participă la cursuri de formare în domeniul turismului.</w:t>
            </w:r>
          </w:p>
        </w:tc>
      </w:tr>
    </w:tbl>
    <w:p w14:paraId="6916D83B" w14:textId="77777777" w:rsidR="00FA7C11" w:rsidRDefault="00FA7C11">
      <w:pPr>
        <w:rPr>
          <w:noProof/>
          <w:color w:val="000000" w:themeColor="text1"/>
        </w:rPr>
      </w:pPr>
    </w:p>
    <w:p w14:paraId="2C724526" w14:textId="77777777" w:rsidR="00FA7C11" w:rsidRDefault="00FA7C11">
      <w:pPr>
        <w:rPr>
          <w:noProof/>
        </w:rPr>
      </w:pPr>
    </w:p>
    <w:p w14:paraId="36D383FE" w14:textId="77777777" w:rsidR="00FA7C11" w:rsidRDefault="00FA7C11">
      <w:pPr>
        <w:keepNext/>
        <w:tabs>
          <w:tab w:val="left" w:pos="850"/>
        </w:tabs>
        <w:ind w:left="850" w:hanging="850"/>
        <w:jc w:val="both"/>
        <w:outlineLvl w:val="0"/>
        <w:rPr>
          <w:rFonts w:ascii="Times New Roman" w:hAnsi="Times New Roman" w:cs="Times New Roman"/>
          <w:b/>
          <w:bCs/>
          <w:smallCaps/>
          <w:noProof/>
          <w:sz w:val="24"/>
          <w:szCs w:val="24"/>
        </w:rPr>
        <w:sectPr w:rsidR="00FA7C11" w:rsidSect="00FA29B2">
          <w:headerReference w:type="even" r:id="rId116"/>
          <w:headerReference w:type="default" r:id="rId117"/>
          <w:footerReference w:type="even" r:id="rId118"/>
          <w:footerReference w:type="default" r:id="rId119"/>
          <w:headerReference w:type="first" r:id="rId120"/>
          <w:footerReference w:type="first" r:id="rId121"/>
          <w:pgSz w:w="16838" w:h="11906" w:orient="landscape"/>
          <w:pgMar w:top="1134" w:right="1134" w:bottom="1134" w:left="1134" w:header="567" w:footer="567" w:gutter="0"/>
          <w:cols w:space="708"/>
          <w:docGrid w:linePitch="360"/>
        </w:sectPr>
      </w:pPr>
    </w:p>
    <w:p w14:paraId="6B7B8229" w14:textId="77777777" w:rsidR="00FA7C11" w:rsidRDefault="00D84965">
      <w:pPr>
        <w:pStyle w:val="P68B1DB1-Normal111"/>
        <w:keepNext/>
        <w:tabs>
          <w:tab w:val="left" w:pos="850"/>
        </w:tabs>
        <w:ind w:left="850" w:hanging="850"/>
        <w:jc w:val="both"/>
        <w:outlineLvl w:val="0"/>
        <w:rPr>
          <w:noProof/>
        </w:rPr>
      </w:pPr>
      <w:r>
        <w:rPr>
          <w:noProof/>
        </w:rPr>
        <w:t>G. COMPONENTA 2.1: CONSOLIDAREA CAPACITĂȚII DE ELABORARE ȘI PUNERE ÎN APLICARE A POLITICILOR ȘI PROIECTELOR PUBLICE</w:t>
      </w:r>
    </w:p>
    <w:p w14:paraId="7C3D4565" w14:textId="77777777" w:rsidR="00FA7C11" w:rsidRDefault="00D84965">
      <w:pPr>
        <w:pStyle w:val="Text1"/>
        <w:spacing w:line="276" w:lineRule="auto"/>
        <w:ind w:left="0"/>
        <w:rPr>
          <w:noProof/>
          <w:szCs w:val="24"/>
        </w:rPr>
      </w:pPr>
      <w:r>
        <w:rPr>
          <w:rStyle w:val="normaltextrun"/>
          <w:noProof/>
          <w:szCs w:val="24"/>
          <w:shd w:val="clear" w:color="auto" w:fill="FFFFFF"/>
        </w:rPr>
        <w:t xml:space="preserve">Componenta </w:t>
      </w:r>
      <w:r>
        <w:rPr>
          <w:noProof/>
          <w:szCs w:val="24"/>
        </w:rPr>
        <w:t xml:space="preserve">planului croat de redresare și reziliență </w:t>
      </w:r>
      <w:r>
        <w:rPr>
          <w:rStyle w:val="normaltextrun"/>
          <w:noProof/>
          <w:szCs w:val="24"/>
          <w:shd w:val="clear" w:color="auto" w:fill="FFFFFF"/>
        </w:rPr>
        <w:t>urmărește să îmbunătățească calitatea procesului de elaborare a politicilor publice, să sporească capacitatea administrației publice de a elabora și de a pune în aplicare politici publice și să depășească fragmentarea administrației publice prin consolidarea coordonării între ministerele relevante și prin îmbunătățirea punerii în aplicare a politicilor și proiectelor publice. Componenta include măsuri pentru:</w:t>
      </w:r>
    </w:p>
    <w:p w14:paraId="559C201D" w14:textId="77777777" w:rsidR="00FA7C11" w:rsidRDefault="00D84965">
      <w:pPr>
        <w:pStyle w:val="P68B1DB1-Text1112"/>
        <w:numPr>
          <w:ilvl w:val="0"/>
          <w:numId w:val="54"/>
        </w:numPr>
        <w:spacing w:line="276" w:lineRule="auto"/>
        <w:jc w:val="both"/>
        <w:rPr>
          <w:noProof/>
        </w:rPr>
      </w:pPr>
      <w:r>
        <w:rPr>
          <w:noProof/>
        </w:rPr>
        <w:t>Să faciliteze, prin utilizarea sporită a tehnologiilor digitale, elaborarea și punerea în aplicare a politicilor și proiectelor publice la nivel central și local;</w:t>
      </w:r>
    </w:p>
    <w:p w14:paraId="6188CC14" w14:textId="77777777" w:rsidR="00FA7C11" w:rsidRDefault="00D84965">
      <w:pPr>
        <w:pStyle w:val="P68B1DB1-Text1112"/>
        <w:numPr>
          <w:ilvl w:val="0"/>
          <w:numId w:val="54"/>
        </w:numPr>
        <w:spacing w:line="276" w:lineRule="auto"/>
        <w:jc w:val="both"/>
        <w:rPr>
          <w:noProof/>
        </w:rPr>
      </w:pPr>
      <w:r>
        <w:rPr>
          <w:noProof/>
        </w:rPr>
        <w:t xml:space="preserve">Să ofere asistență beneficiarilor la pregătirea proiectelor și a documentației tehnice pentru proiectele din domeniul tranziției verzi și al celei digitale și </w:t>
      </w:r>
    </w:p>
    <w:p w14:paraId="580A0969" w14:textId="77777777" w:rsidR="00FA7C11" w:rsidRDefault="00D84965">
      <w:pPr>
        <w:pStyle w:val="P68B1DB1-Text1112"/>
        <w:numPr>
          <w:ilvl w:val="0"/>
          <w:numId w:val="54"/>
        </w:numPr>
        <w:spacing w:line="276" w:lineRule="auto"/>
        <w:jc w:val="both"/>
        <w:rPr>
          <w:noProof/>
        </w:rPr>
      </w:pPr>
      <w:r>
        <w:rPr>
          <w:noProof/>
        </w:rPr>
        <w:t xml:space="preserve">Consolidarea mecanismelor de coordonare și gestionare a politicilor publice. </w:t>
      </w:r>
    </w:p>
    <w:p w14:paraId="1417DB70" w14:textId="77777777" w:rsidR="00FA7C11" w:rsidRDefault="00D84965">
      <w:pPr>
        <w:pStyle w:val="Text1"/>
        <w:spacing w:line="276" w:lineRule="auto"/>
        <w:ind w:left="0"/>
        <w:rPr>
          <w:noProof/>
          <w:szCs w:val="24"/>
        </w:rPr>
      </w:pPr>
      <w:r>
        <w:rPr>
          <w:rStyle w:val="normaltextrun"/>
          <w:noProof/>
          <w:szCs w:val="24"/>
          <w:shd w:val="clear" w:color="auto" w:fill="FFFFFF"/>
        </w:rPr>
        <w:t>Componenta contribuie la abordarea recomandărilor specifice fiecărei țări privind creșterea capacității administrației de a concepe și de a pune în aplicare proiecte și politici publice (recomandările specifice fiecărei țări 3, 2019) și la consolidarea capacității și a eficienței administrației publice de a concepe și de a pune în aplicare proiecte și politici publice la nivel central și local (recomandările specifice fiecărei țări 4, 2020).</w:t>
      </w:r>
    </w:p>
    <w:p w14:paraId="724A0671" w14:textId="77777777" w:rsidR="00FA7C11" w:rsidRDefault="00D84965">
      <w:pPr>
        <w:pStyle w:val="P68B1DB1-Normal113"/>
        <w:keepNext/>
        <w:spacing w:line="276" w:lineRule="auto"/>
        <w:ind w:left="851"/>
        <w:jc w:val="both"/>
        <w:outlineLvl w:val="1"/>
        <w:rPr>
          <w:noProof/>
        </w:rPr>
      </w:pPr>
      <w:r>
        <w:rPr>
          <w:noProof/>
        </w:rPr>
        <w:t xml:space="preserve">G.1. </w:t>
      </w:r>
      <w:r>
        <w:rPr>
          <w:noProof/>
        </w:rPr>
        <w:tab/>
        <w:t>Descrierea reformelor și a investițiilor pentru sprijinul financiar nerambursabil</w:t>
      </w:r>
    </w:p>
    <w:p w14:paraId="1CE60414" w14:textId="77777777" w:rsidR="00FA7C11" w:rsidRDefault="00D84965">
      <w:pPr>
        <w:pStyle w:val="P68B1DB1-Normal81"/>
        <w:keepNext/>
        <w:spacing w:line="276" w:lineRule="auto"/>
        <w:ind w:left="850"/>
        <w:jc w:val="both"/>
        <w:rPr>
          <w:noProof/>
        </w:rPr>
      </w:pPr>
      <w:r>
        <w:rPr>
          <w:noProof/>
        </w:rPr>
        <w:t>Reforma C2.1 R1 – Consolidarea mecanismelor de integrare și gestionare a politicilor publice cu profesionalizarea planificării strategice</w:t>
      </w:r>
    </w:p>
    <w:p w14:paraId="3F3743D0" w14:textId="77777777" w:rsidR="00FA7C11" w:rsidRDefault="00D84965">
      <w:pPr>
        <w:pStyle w:val="Text1"/>
        <w:spacing w:line="276" w:lineRule="auto"/>
        <w:ind w:left="0"/>
        <w:rPr>
          <w:rStyle w:val="normaltextrun"/>
          <w:noProof/>
          <w:szCs w:val="24"/>
        </w:rPr>
      </w:pPr>
      <w:r>
        <w:rPr>
          <w:rStyle w:val="normaltextrun"/>
          <w:noProof/>
          <w:szCs w:val="24"/>
        </w:rPr>
        <w:t xml:space="preserve">Obiectivul acestei reforme este de a îmbunătăți modul în care sunt gestionate și puse în aplicare politicile publice. </w:t>
      </w:r>
    </w:p>
    <w:p w14:paraId="46316684" w14:textId="77777777" w:rsidR="00FA7C11" w:rsidRDefault="00D84965">
      <w:pPr>
        <w:pStyle w:val="Text1"/>
        <w:spacing w:line="276" w:lineRule="auto"/>
        <w:ind w:left="0"/>
        <w:rPr>
          <w:rStyle w:val="normaltextrun"/>
          <w:noProof/>
          <w:szCs w:val="24"/>
        </w:rPr>
      </w:pPr>
      <w:r>
        <w:rPr>
          <w:rStyle w:val="normaltextrun"/>
          <w:noProof/>
          <w:szCs w:val="24"/>
        </w:rPr>
        <w:t xml:space="preserve">Această măsură constă în elaborarea de acte legislative pentru a îmbunătăți coordonarea politicilor publice și, astfel, pentru a profesionaliza planificarea strategică și evaluarea impactului reglementărilor. </w:t>
      </w:r>
    </w:p>
    <w:p w14:paraId="7036BBA1" w14:textId="77777777" w:rsidR="00FA7C11" w:rsidRDefault="00D84965">
      <w:pPr>
        <w:pStyle w:val="P68B1DB1-Text1114"/>
        <w:keepNext/>
        <w:spacing w:line="276" w:lineRule="auto"/>
        <w:ind w:left="851"/>
        <w:rPr>
          <w:noProof/>
        </w:rPr>
      </w:pPr>
      <w:r>
        <w:rPr>
          <w:noProof/>
        </w:rPr>
        <w:t>Reforma C2.1 R2 – Consolidarea capacității de pregătire și punere în aplicare a proiectelor UE</w:t>
      </w:r>
    </w:p>
    <w:p w14:paraId="7EC8FBFB" w14:textId="77777777" w:rsidR="00FA7C11" w:rsidRDefault="00D84965">
      <w:pPr>
        <w:pStyle w:val="P68B1DB1-Text1112"/>
        <w:spacing w:line="276" w:lineRule="auto"/>
        <w:ind w:left="0"/>
        <w:jc w:val="both"/>
        <w:rPr>
          <w:noProof/>
        </w:rPr>
      </w:pPr>
      <w:r>
        <w:rPr>
          <w:noProof/>
        </w:rPr>
        <w:t xml:space="preserve">Cu obiectivul de a spori absorbția fondurilor Uniunii, această reformă sporește capacitatea de pregătire și execuție a fondurilor Uniunii. În plus, hotărârea de guvern privind organismele din sistemul de punere în aplicare a planului de redresare și reziliență definește autoritățile competente și responsabilitățile pentru îndeplinirea sarcinilor legate de punerea în aplicare, instituie un organism central de coordonare în cadrul Ministerului Finanțelor pentru punerea în aplicare și monitorizarea planului național de redresare și reziliență (PNRR) și mandatează Comitetul de punere în aplicare să asigure consecvența și coerența în utilizarea fondurilor Uniunii. Se elaborează o analiză a volumului de muncă pentru consolidarea capacității administrative în cadrul tuturor programelor operaționale. Statutul Agenției pentru Auditul Sistemului de Implementare a Programelor Uniunii Europene (ARPA) se adaptează pentru a fi în conformitate cu Regulamentul (UE) 2021/241 și pentru a oferi mandatul legal de efectuare a auditurilor în domeniul de aplicare al PNRR. Sistemul informatic utilizat pentru fondurile structurale și de investiții europene este modernizat pentru a permite colectarea, stocarea și monitorizarea datelor privind jaloanele și țintele, inclusiv la nivelul destinatarilor finali. </w:t>
      </w:r>
    </w:p>
    <w:p w14:paraId="7F77CCFB" w14:textId="77777777" w:rsidR="00FA7C11" w:rsidRDefault="00D84965">
      <w:pPr>
        <w:pStyle w:val="P68B1DB1-Text1112"/>
        <w:spacing w:line="276" w:lineRule="auto"/>
        <w:ind w:left="0"/>
        <w:jc w:val="both"/>
        <w:rPr>
          <w:noProof/>
        </w:rPr>
      </w:pPr>
      <w:r>
        <w:rPr>
          <w:noProof/>
        </w:rPr>
        <w:t>Această reformă se finalizează până la 31 ianuarie 2022 și înainte ca prima cerere de plată să fie transmisă Comisiei.</w:t>
      </w:r>
    </w:p>
    <w:p w14:paraId="31FFC2AE" w14:textId="77777777" w:rsidR="00FA7C11" w:rsidRDefault="00D84965">
      <w:pPr>
        <w:pStyle w:val="P68B1DB1-Normal81"/>
        <w:keepNext/>
        <w:spacing w:line="276" w:lineRule="auto"/>
        <w:ind w:left="850"/>
        <w:jc w:val="both"/>
        <w:rPr>
          <w:noProof/>
        </w:rPr>
      </w:pPr>
      <w:r>
        <w:rPr>
          <w:noProof/>
        </w:rPr>
        <w:t>Investiția C2.1 R1-I1 – Optimizarea, standardizarea și digitalizarea proceselor de planificare strategică și de evaluare a impactului politicilor publice</w:t>
      </w:r>
    </w:p>
    <w:p w14:paraId="3BDC4CAD" w14:textId="77777777" w:rsidR="00FA7C11" w:rsidRDefault="00D84965">
      <w:pPr>
        <w:pStyle w:val="Text1"/>
        <w:spacing w:line="276" w:lineRule="auto"/>
        <w:ind w:left="0"/>
        <w:jc w:val="both"/>
        <w:rPr>
          <w:rStyle w:val="normaltextrun"/>
          <w:noProof/>
          <w:szCs w:val="24"/>
        </w:rPr>
      </w:pPr>
      <w:r>
        <w:rPr>
          <w:rStyle w:val="normaltextrun"/>
          <w:noProof/>
          <w:szCs w:val="24"/>
        </w:rPr>
        <w:t xml:space="preserve">Obiectivul acestei investiții este de a sprijini digitalizarea planificării strategice, a punerii în aplicare și a evaluării politicilor publice. </w:t>
      </w:r>
    </w:p>
    <w:p w14:paraId="0D765CEC" w14:textId="77777777" w:rsidR="00FA7C11" w:rsidRDefault="00D84965">
      <w:pPr>
        <w:pStyle w:val="Text1"/>
        <w:spacing w:line="276" w:lineRule="auto"/>
        <w:ind w:left="0"/>
        <w:jc w:val="both"/>
        <w:rPr>
          <w:rStyle w:val="normaltextrun"/>
          <w:noProof/>
          <w:szCs w:val="24"/>
        </w:rPr>
      </w:pPr>
      <w:r>
        <w:rPr>
          <w:rStyle w:val="normaltextrun"/>
          <w:noProof/>
          <w:szCs w:val="24"/>
        </w:rPr>
        <w:t xml:space="preserve">Această măsură constă în dezvoltarea unei platforme informatice, Sistemul de informații privind planificarea strategică, pentru a permite monitorizarea pregătirii documentelor strategice. </w:t>
      </w:r>
    </w:p>
    <w:p w14:paraId="10D77592" w14:textId="77777777" w:rsidR="00FA7C11" w:rsidRDefault="00D84965">
      <w:pPr>
        <w:pStyle w:val="P68B1DB1-Normal81"/>
        <w:keepNext/>
        <w:spacing w:line="276" w:lineRule="auto"/>
        <w:ind w:left="850"/>
        <w:jc w:val="both"/>
        <w:rPr>
          <w:noProof/>
        </w:rPr>
      </w:pPr>
      <w:r>
        <w:rPr>
          <w:noProof/>
        </w:rPr>
        <w:t>Investiția C2.1 R2-I1 – Acordarea de asistență beneficiarilor la pregătirea documentației tehnice a proiectului</w:t>
      </w:r>
    </w:p>
    <w:p w14:paraId="34C61F7B" w14:textId="77777777" w:rsidR="00FA7C11" w:rsidRDefault="00D84965">
      <w:pPr>
        <w:pStyle w:val="P68B1DB1-Bodytext20115"/>
        <w:shd w:val="clear" w:color="auto" w:fill="auto"/>
        <w:spacing w:before="0" w:after="240" w:line="276" w:lineRule="auto"/>
        <w:ind w:right="580" w:firstLine="0"/>
        <w:rPr>
          <w:noProof/>
        </w:rPr>
      </w:pPr>
      <w:r>
        <w:rPr>
          <w:noProof/>
        </w:rPr>
        <w:t xml:space="preserve">Obiectivul acestei măsuri este de a spori rata de succes și absorbția fondurilor UE. </w:t>
      </w:r>
    </w:p>
    <w:p w14:paraId="2FB2896D" w14:textId="3F1301CD" w:rsidR="00FA7C11" w:rsidRDefault="00D84965">
      <w:pPr>
        <w:pStyle w:val="P68B1DB1-Bodytext20115"/>
        <w:shd w:val="clear" w:color="auto" w:fill="auto"/>
        <w:spacing w:before="0" w:after="240" w:line="276" w:lineRule="auto"/>
        <w:ind w:right="580" w:firstLine="0"/>
        <w:rPr>
          <w:noProof/>
        </w:rPr>
      </w:pPr>
      <w:r>
        <w:rPr>
          <w:noProof/>
        </w:rPr>
        <w:t>Această măsură constă în cereri de propuneri pentru a oferi asistență potențialilor beneficiari ai diferitelor fonduri ale UE pentru a accelera și a optimiza pregătirea documentației tehnice a proiectului.</w:t>
      </w:r>
    </w:p>
    <w:p w14:paraId="6F4EE8F8" w14:textId="77777777" w:rsidR="00FA7C11" w:rsidRDefault="00FA7C11">
      <w:pPr>
        <w:jc w:val="both"/>
        <w:rPr>
          <w:b/>
          <w:bCs/>
          <w:noProof/>
          <w:szCs w:val="24"/>
          <w:u w:val="single"/>
        </w:rPr>
        <w:sectPr w:rsidR="00FA7C11" w:rsidSect="00FA29B2">
          <w:headerReference w:type="even" r:id="rId122"/>
          <w:headerReference w:type="default" r:id="rId123"/>
          <w:footerReference w:type="even" r:id="rId124"/>
          <w:footerReference w:type="default" r:id="rId125"/>
          <w:headerReference w:type="first" r:id="rId126"/>
          <w:footerReference w:type="first" r:id="rId127"/>
          <w:pgSz w:w="11906" w:h="16838"/>
          <w:pgMar w:top="1134" w:right="1134" w:bottom="1134" w:left="1134" w:header="567" w:footer="567" w:gutter="0"/>
          <w:cols w:space="708"/>
          <w:docGrid w:linePitch="360"/>
        </w:sectPr>
      </w:pPr>
    </w:p>
    <w:p w14:paraId="414C7225" w14:textId="77777777" w:rsidR="00FA7C11" w:rsidRDefault="00D84965">
      <w:pPr>
        <w:pStyle w:val="P68B1DB1-Normal113"/>
        <w:keepNext/>
        <w:tabs>
          <w:tab w:val="num" w:pos="850"/>
        </w:tabs>
        <w:ind w:left="851"/>
        <w:jc w:val="both"/>
        <w:outlineLvl w:val="1"/>
        <w:rPr>
          <w:bCs/>
          <w:noProof/>
        </w:rPr>
      </w:pPr>
      <w:r>
        <w:rPr>
          <w:noProof/>
        </w:rPr>
        <w:t xml:space="preserve">G.2. </w:t>
      </w:r>
      <w:r>
        <w:rPr>
          <w:noProof/>
        </w:rPr>
        <w:tab/>
        <w:t>Jaloane, ținte, indicatori și calendarul de monitorizare și implementare aplicabile sprijinului financiar nerambursabil</w:t>
      </w:r>
    </w:p>
    <w:tbl>
      <w:tblPr>
        <w:tblW w:w="15986" w:type="dxa"/>
        <w:tblInd w:w="-823" w:type="dxa"/>
        <w:tblLayout w:type="fixed"/>
        <w:tblCellMar>
          <w:top w:w="28" w:type="dxa"/>
          <w:left w:w="28" w:type="dxa"/>
          <w:bottom w:w="28" w:type="dxa"/>
          <w:right w:w="28" w:type="dxa"/>
        </w:tblCellMar>
        <w:tblLook w:val="04A0" w:firstRow="1" w:lastRow="0" w:firstColumn="1" w:lastColumn="0" w:noHBand="0" w:noVBand="1"/>
      </w:tblPr>
      <w:tblGrid>
        <w:gridCol w:w="851"/>
        <w:gridCol w:w="1243"/>
        <w:gridCol w:w="1124"/>
        <w:gridCol w:w="1784"/>
        <w:gridCol w:w="1912"/>
        <w:gridCol w:w="1134"/>
        <w:gridCol w:w="850"/>
        <w:gridCol w:w="992"/>
        <w:gridCol w:w="888"/>
        <w:gridCol w:w="840"/>
        <w:gridCol w:w="4368"/>
      </w:tblGrid>
      <w:tr w:rsidR="00FA7C11" w14:paraId="102301CB" w14:textId="77777777">
        <w:trPr>
          <w:trHeight w:val="300"/>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C3DF9E" w14:textId="77777777" w:rsidR="00FA7C11" w:rsidRDefault="00D84965">
            <w:pPr>
              <w:pStyle w:val="P68B1DB1-Normal109"/>
              <w:spacing w:after="0" w:line="276" w:lineRule="auto"/>
              <w:jc w:val="center"/>
              <w:rPr>
                <w:bCs/>
                <w:noProof/>
              </w:rPr>
            </w:pPr>
            <w:r>
              <w:rPr>
                <w:noProof/>
              </w:rPr>
              <w:t>Număr</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6672A2" w14:textId="77777777" w:rsidR="00FA7C11" w:rsidRDefault="00D84965">
            <w:pPr>
              <w:pStyle w:val="P68B1DB1-Normal109"/>
              <w:spacing w:after="0" w:line="276" w:lineRule="auto"/>
              <w:jc w:val="center"/>
              <w:rPr>
                <w:bCs/>
                <w:noProof/>
              </w:rPr>
            </w:pPr>
            <w:r>
              <w:rPr>
                <w:noProof/>
              </w:rPr>
              <w:t>Măsură</w:t>
            </w:r>
          </w:p>
        </w:tc>
        <w:tc>
          <w:tcPr>
            <w:tcW w:w="11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48A093" w14:textId="77777777" w:rsidR="00FA7C11" w:rsidRDefault="00D84965">
            <w:pPr>
              <w:pStyle w:val="P68B1DB1-Normal109"/>
              <w:spacing w:after="0" w:line="276" w:lineRule="auto"/>
              <w:jc w:val="center"/>
              <w:rPr>
                <w:bCs/>
                <w:noProof/>
              </w:rPr>
            </w:pPr>
            <w:r>
              <w:rPr>
                <w:noProof/>
              </w:rPr>
              <w:t>Etapă/Obiectiv</w:t>
            </w:r>
          </w:p>
        </w:tc>
        <w:tc>
          <w:tcPr>
            <w:tcW w:w="17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44D449" w14:textId="77777777" w:rsidR="00FA7C11" w:rsidRDefault="00D84965">
            <w:pPr>
              <w:pStyle w:val="P68B1DB1-Normal109"/>
              <w:spacing w:after="0" w:line="276" w:lineRule="auto"/>
              <w:jc w:val="center"/>
              <w:rPr>
                <w:bCs/>
                <w:noProof/>
              </w:rPr>
            </w:pPr>
            <w:r>
              <w:rPr>
                <w:noProof/>
              </w:rPr>
              <w:t>Nume</w:t>
            </w:r>
          </w:p>
        </w:tc>
        <w:tc>
          <w:tcPr>
            <w:tcW w:w="19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90C6CB" w14:textId="77777777" w:rsidR="00FA7C11" w:rsidRDefault="00D84965">
            <w:pPr>
              <w:pStyle w:val="P68B1DB1-Normal109"/>
              <w:spacing w:after="0" w:line="276" w:lineRule="auto"/>
              <w:jc w:val="center"/>
              <w:rPr>
                <w:bCs/>
                <w:noProof/>
              </w:rPr>
            </w:pPr>
            <w:r>
              <w:rPr>
                <w:noProof/>
              </w:rPr>
              <w:t xml:space="preserve">Indicatori calitativi </w:t>
            </w:r>
            <w:r>
              <w:rPr>
                <w:noProof/>
              </w:rPr>
              <w:br/>
              <w:t>(pentru jaloane)</w:t>
            </w:r>
          </w:p>
        </w:tc>
        <w:tc>
          <w:tcPr>
            <w:tcW w:w="2976" w:type="dxa"/>
            <w:gridSpan w:val="3"/>
            <w:tcBorders>
              <w:top w:val="single" w:sz="4" w:space="0" w:color="auto"/>
              <w:left w:val="nil"/>
              <w:bottom w:val="single" w:sz="4" w:space="0" w:color="auto"/>
              <w:right w:val="single" w:sz="4" w:space="0" w:color="auto"/>
            </w:tcBorders>
            <w:shd w:val="clear" w:color="auto" w:fill="BDD7EE"/>
            <w:vAlign w:val="center"/>
            <w:hideMark/>
          </w:tcPr>
          <w:p w14:paraId="5B273528" w14:textId="77777777" w:rsidR="00FA7C11" w:rsidRDefault="00D84965">
            <w:pPr>
              <w:pStyle w:val="P68B1DB1-Normal109"/>
              <w:spacing w:after="0" w:line="276" w:lineRule="auto"/>
              <w:jc w:val="center"/>
              <w:rPr>
                <w:bCs/>
                <w:noProof/>
              </w:rPr>
            </w:pPr>
            <w:r>
              <w:rPr>
                <w:noProof/>
              </w:rPr>
              <w:t xml:space="preserve">Indicatori cantitativi </w:t>
            </w:r>
            <w:r>
              <w:rPr>
                <w:noProof/>
              </w:rPr>
              <w:br/>
              <w:t>(pentru obiective)</w:t>
            </w:r>
          </w:p>
        </w:tc>
        <w:tc>
          <w:tcPr>
            <w:tcW w:w="1728" w:type="dxa"/>
            <w:gridSpan w:val="2"/>
            <w:tcBorders>
              <w:top w:val="single" w:sz="4" w:space="0" w:color="auto"/>
              <w:left w:val="nil"/>
              <w:bottom w:val="single" w:sz="4" w:space="0" w:color="auto"/>
              <w:right w:val="single" w:sz="4" w:space="0" w:color="auto"/>
            </w:tcBorders>
            <w:shd w:val="clear" w:color="auto" w:fill="BDD7EE"/>
            <w:vAlign w:val="center"/>
            <w:hideMark/>
          </w:tcPr>
          <w:p w14:paraId="0A2F3074" w14:textId="77777777" w:rsidR="00FA7C11" w:rsidRDefault="00D84965">
            <w:pPr>
              <w:pStyle w:val="P68B1DB1-Normal109"/>
              <w:spacing w:after="0" w:line="276" w:lineRule="auto"/>
              <w:jc w:val="center"/>
              <w:rPr>
                <w:bCs/>
                <w:noProof/>
              </w:rPr>
            </w:pPr>
            <w:r>
              <w:rPr>
                <w:noProof/>
              </w:rPr>
              <w:t>Timp</w:t>
            </w:r>
          </w:p>
        </w:tc>
        <w:tc>
          <w:tcPr>
            <w:tcW w:w="43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627B5A" w14:textId="77777777" w:rsidR="00FA7C11" w:rsidRDefault="00D84965">
            <w:pPr>
              <w:pStyle w:val="P68B1DB1-Normal109"/>
              <w:spacing w:after="0" w:line="276" w:lineRule="auto"/>
              <w:jc w:val="center"/>
              <w:rPr>
                <w:bCs/>
                <w:noProof/>
              </w:rPr>
            </w:pPr>
            <w:r>
              <w:rPr>
                <w:noProof/>
              </w:rPr>
              <w:t>Descrierea fiecărui jalon și a fiecărei ținte</w:t>
            </w:r>
          </w:p>
        </w:tc>
      </w:tr>
      <w:tr w:rsidR="00FA7C11" w14:paraId="4380FE97" w14:textId="77777777">
        <w:trPr>
          <w:trHeight w:val="300"/>
          <w:tblHeader/>
        </w:trPr>
        <w:tc>
          <w:tcPr>
            <w:tcW w:w="851" w:type="dxa"/>
            <w:vMerge/>
            <w:tcBorders>
              <w:top w:val="single" w:sz="4" w:space="0" w:color="auto"/>
              <w:left w:val="single" w:sz="4" w:space="0" w:color="auto"/>
              <w:bottom w:val="single" w:sz="4" w:space="0" w:color="auto"/>
              <w:right w:val="single" w:sz="4" w:space="0" w:color="auto"/>
            </w:tcBorders>
            <w:hideMark/>
          </w:tcPr>
          <w:p w14:paraId="2A0870E9" w14:textId="77777777" w:rsidR="00FA7C11" w:rsidRDefault="00FA7C11">
            <w:pPr>
              <w:spacing w:after="0" w:line="276" w:lineRule="auto"/>
              <w:jc w:val="center"/>
              <w:rPr>
                <w:rFonts w:ascii="Times New Roman" w:eastAsia="Times New Roman" w:hAnsi="Times New Roman" w:cs="Times New Roman"/>
                <w:b/>
                <w:noProof/>
                <w:color w:val="000000" w:themeColor="text1"/>
                <w:sz w:val="20"/>
                <w:szCs w:val="20"/>
              </w:rPr>
            </w:pPr>
          </w:p>
        </w:tc>
        <w:tc>
          <w:tcPr>
            <w:tcW w:w="1243" w:type="dxa"/>
            <w:vMerge/>
            <w:tcBorders>
              <w:top w:val="single" w:sz="4" w:space="0" w:color="auto"/>
              <w:left w:val="single" w:sz="4" w:space="0" w:color="auto"/>
              <w:bottom w:val="single" w:sz="4" w:space="0" w:color="auto"/>
              <w:right w:val="single" w:sz="4" w:space="0" w:color="auto"/>
            </w:tcBorders>
            <w:hideMark/>
          </w:tcPr>
          <w:p w14:paraId="20E05BE9" w14:textId="77777777" w:rsidR="00FA7C11" w:rsidRDefault="00FA7C11">
            <w:pPr>
              <w:spacing w:after="0" w:line="276" w:lineRule="auto"/>
              <w:jc w:val="center"/>
              <w:rPr>
                <w:rFonts w:ascii="Times New Roman" w:eastAsia="Times New Roman" w:hAnsi="Times New Roman" w:cs="Times New Roman"/>
                <w:b/>
                <w:noProof/>
                <w:color w:val="000000" w:themeColor="text1"/>
                <w:sz w:val="20"/>
                <w:szCs w:val="20"/>
              </w:rPr>
            </w:pPr>
          </w:p>
        </w:tc>
        <w:tc>
          <w:tcPr>
            <w:tcW w:w="1124" w:type="dxa"/>
            <w:vMerge/>
            <w:tcBorders>
              <w:top w:val="single" w:sz="4" w:space="0" w:color="auto"/>
              <w:left w:val="single" w:sz="4" w:space="0" w:color="auto"/>
              <w:bottom w:val="single" w:sz="4" w:space="0" w:color="auto"/>
              <w:right w:val="single" w:sz="4" w:space="0" w:color="auto"/>
            </w:tcBorders>
            <w:hideMark/>
          </w:tcPr>
          <w:p w14:paraId="5A32B523" w14:textId="77777777" w:rsidR="00FA7C11" w:rsidRDefault="00FA7C11">
            <w:pPr>
              <w:spacing w:after="0" w:line="276" w:lineRule="auto"/>
              <w:jc w:val="center"/>
              <w:rPr>
                <w:rFonts w:ascii="Times New Roman" w:eastAsia="Times New Roman" w:hAnsi="Times New Roman" w:cs="Times New Roman"/>
                <w:b/>
                <w:noProof/>
                <w:color w:val="000000" w:themeColor="text1"/>
                <w:sz w:val="20"/>
                <w:szCs w:val="20"/>
              </w:rPr>
            </w:pPr>
          </w:p>
        </w:tc>
        <w:tc>
          <w:tcPr>
            <w:tcW w:w="1784" w:type="dxa"/>
            <w:vMerge/>
            <w:tcBorders>
              <w:top w:val="single" w:sz="4" w:space="0" w:color="auto"/>
              <w:left w:val="single" w:sz="4" w:space="0" w:color="auto"/>
              <w:bottom w:val="single" w:sz="4" w:space="0" w:color="auto"/>
              <w:right w:val="single" w:sz="4" w:space="0" w:color="auto"/>
            </w:tcBorders>
            <w:hideMark/>
          </w:tcPr>
          <w:p w14:paraId="665BE218" w14:textId="77777777" w:rsidR="00FA7C11" w:rsidRDefault="00FA7C11">
            <w:pPr>
              <w:spacing w:after="0" w:line="276" w:lineRule="auto"/>
              <w:rPr>
                <w:rFonts w:ascii="Times New Roman" w:eastAsia="Times New Roman" w:hAnsi="Times New Roman" w:cs="Times New Roman"/>
                <w:b/>
                <w:noProof/>
                <w:color w:val="000000" w:themeColor="text1"/>
                <w:sz w:val="20"/>
                <w:szCs w:val="20"/>
              </w:rPr>
            </w:pPr>
          </w:p>
        </w:tc>
        <w:tc>
          <w:tcPr>
            <w:tcW w:w="1912" w:type="dxa"/>
            <w:vMerge/>
            <w:tcBorders>
              <w:top w:val="single" w:sz="4" w:space="0" w:color="auto"/>
              <w:left w:val="single" w:sz="4" w:space="0" w:color="auto"/>
              <w:bottom w:val="single" w:sz="4" w:space="0" w:color="auto"/>
              <w:right w:val="single" w:sz="4" w:space="0" w:color="auto"/>
            </w:tcBorders>
            <w:hideMark/>
          </w:tcPr>
          <w:p w14:paraId="6DFD9F83" w14:textId="77777777" w:rsidR="00FA7C11" w:rsidRDefault="00FA7C11">
            <w:pPr>
              <w:spacing w:after="0" w:line="276" w:lineRule="auto"/>
              <w:rPr>
                <w:rFonts w:ascii="Times New Roman" w:eastAsia="Times New Roman" w:hAnsi="Times New Roman" w:cs="Times New Roman"/>
                <w:b/>
                <w:noProof/>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hideMark/>
          </w:tcPr>
          <w:p w14:paraId="35DD5AE7" w14:textId="77777777" w:rsidR="00FA7C11" w:rsidRDefault="00D84965">
            <w:pPr>
              <w:pStyle w:val="P68B1DB1-Normal109"/>
              <w:spacing w:after="0" w:line="276" w:lineRule="auto"/>
              <w:jc w:val="center"/>
              <w:rPr>
                <w:bCs/>
                <w:noProof/>
              </w:rPr>
            </w:pPr>
            <w:r>
              <w:rPr>
                <w:noProof/>
              </w:rPr>
              <w:t>Unitate</w:t>
            </w:r>
          </w:p>
        </w:tc>
        <w:tc>
          <w:tcPr>
            <w:tcW w:w="850" w:type="dxa"/>
            <w:tcBorders>
              <w:top w:val="single" w:sz="4" w:space="0" w:color="auto"/>
              <w:left w:val="single" w:sz="4" w:space="0" w:color="auto"/>
              <w:bottom w:val="single" w:sz="4" w:space="0" w:color="auto"/>
              <w:right w:val="single" w:sz="4" w:space="0" w:color="auto"/>
            </w:tcBorders>
            <w:shd w:val="clear" w:color="auto" w:fill="BDD7EE"/>
            <w:hideMark/>
          </w:tcPr>
          <w:p w14:paraId="07F52291" w14:textId="77777777" w:rsidR="00FA7C11" w:rsidRDefault="00D84965">
            <w:pPr>
              <w:pStyle w:val="P68B1DB1-Normal109"/>
              <w:spacing w:after="0" w:line="276" w:lineRule="auto"/>
              <w:jc w:val="center"/>
              <w:rPr>
                <w:bCs/>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7EE"/>
            <w:hideMark/>
          </w:tcPr>
          <w:p w14:paraId="623BD590" w14:textId="77777777" w:rsidR="00FA7C11" w:rsidRDefault="00D84965">
            <w:pPr>
              <w:pStyle w:val="P68B1DB1-Normal109"/>
              <w:spacing w:after="0" w:line="276" w:lineRule="auto"/>
              <w:jc w:val="center"/>
              <w:rPr>
                <w:bCs/>
                <w:noProof/>
              </w:rPr>
            </w:pPr>
            <w:r>
              <w:rPr>
                <w:noProof/>
              </w:rPr>
              <w:t>Obiectiv</w:t>
            </w:r>
          </w:p>
        </w:tc>
        <w:tc>
          <w:tcPr>
            <w:tcW w:w="888" w:type="dxa"/>
            <w:tcBorders>
              <w:top w:val="single" w:sz="4" w:space="0" w:color="auto"/>
              <w:left w:val="single" w:sz="4" w:space="0" w:color="auto"/>
              <w:bottom w:val="single" w:sz="4" w:space="0" w:color="auto"/>
              <w:right w:val="single" w:sz="4" w:space="0" w:color="auto"/>
            </w:tcBorders>
            <w:shd w:val="clear" w:color="auto" w:fill="BDD7EE"/>
            <w:hideMark/>
          </w:tcPr>
          <w:p w14:paraId="2C7CDAB1" w14:textId="77777777" w:rsidR="00FA7C11" w:rsidRDefault="00D84965">
            <w:pPr>
              <w:pStyle w:val="P68B1DB1-Normal109"/>
              <w:spacing w:after="0" w:line="276" w:lineRule="auto"/>
              <w:jc w:val="center"/>
              <w:rPr>
                <w:bCs/>
                <w:noProof/>
              </w:rPr>
            </w:pPr>
            <w:r>
              <w:rPr>
                <w:noProof/>
              </w:rPr>
              <w:t>Trimestru</w:t>
            </w:r>
          </w:p>
        </w:tc>
        <w:tc>
          <w:tcPr>
            <w:tcW w:w="840" w:type="dxa"/>
            <w:tcBorders>
              <w:top w:val="single" w:sz="4" w:space="0" w:color="auto"/>
              <w:left w:val="single" w:sz="4" w:space="0" w:color="auto"/>
              <w:bottom w:val="single" w:sz="4" w:space="0" w:color="auto"/>
              <w:right w:val="single" w:sz="4" w:space="0" w:color="auto"/>
            </w:tcBorders>
            <w:shd w:val="clear" w:color="auto" w:fill="BDD7EE"/>
            <w:hideMark/>
          </w:tcPr>
          <w:p w14:paraId="4CDE88EC" w14:textId="77777777" w:rsidR="00FA7C11" w:rsidRDefault="00D84965">
            <w:pPr>
              <w:pStyle w:val="P68B1DB1-Normal109"/>
              <w:spacing w:after="0" w:line="276" w:lineRule="auto"/>
              <w:jc w:val="center"/>
              <w:rPr>
                <w:bCs/>
                <w:noProof/>
              </w:rPr>
            </w:pPr>
            <w:r>
              <w:rPr>
                <w:noProof/>
              </w:rPr>
              <w:t>Anul</w:t>
            </w:r>
          </w:p>
        </w:tc>
        <w:tc>
          <w:tcPr>
            <w:tcW w:w="4368" w:type="dxa"/>
            <w:vMerge/>
            <w:tcBorders>
              <w:top w:val="single" w:sz="4" w:space="0" w:color="auto"/>
              <w:left w:val="single" w:sz="4" w:space="0" w:color="auto"/>
              <w:bottom w:val="single" w:sz="4" w:space="0" w:color="auto"/>
              <w:right w:val="single" w:sz="4" w:space="0" w:color="auto"/>
            </w:tcBorders>
            <w:hideMark/>
          </w:tcPr>
          <w:p w14:paraId="1037B0A9" w14:textId="77777777" w:rsidR="00FA7C11" w:rsidRDefault="00FA7C11">
            <w:pPr>
              <w:spacing w:after="0" w:line="276" w:lineRule="auto"/>
              <w:rPr>
                <w:rFonts w:ascii="Times New Roman" w:eastAsia="Calibri" w:hAnsi="Times New Roman" w:cs="Times New Roman"/>
                <w:b/>
                <w:bCs/>
                <w:noProof/>
                <w:color w:val="000000" w:themeColor="text1"/>
                <w:sz w:val="20"/>
                <w:szCs w:val="20"/>
              </w:rPr>
            </w:pPr>
          </w:p>
        </w:tc>
      </w:tr>
      <w:tr w:rsidR="00FA7C11" w14:paraId="3EF76411" w14:textId="77777777">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6B3AD5D" w14:textId="77777777" w:rsidR="00FA7C11" w:rsidRDefault="00D84965">
            <w:pPr>
              <w:pStyle w:val="P68B1DB1-Normal102"/>
              <w:spacing w:after="200" w:line="276" w:lineRule="auto"/>
              <w:jc w:val="center"/>
              <w:rPr>
                <w:rFonts w:eastAsia="Calibri"/>
                <w:noProof/>
                <w:color w:val="000000" w:themeColor="text1"/>
              </w:rPr>
            </w:pPr>
            <w:r>
              <w:rPr>
                <w:noProof/>
              </w:rPr>
              <w:t>150</w:t>
            </w:r>
          </w:p>
        </w:tc>
        <w:tc>
          <w:tcPr>
            <w:tcW w:w="1243" w:type="dxa"/>
            <w:tcBorders>
              <w:top w:val="single" w:sz="4" w:space="0" w:color="auto"/>
              <w:left w:val="nil"/>
              <w:bottom w:val="single" w:sz="4" w:space="0" w:color="auto"/>
              <w:right w:val="single" w:sz="4" w:space="0" w:color="auto"/>
            </w:tcBorders>
            <w:shd w:val="clear" w:color="auto" w:fill="C6EFCE"/>
            <w:noWrap/>
          </w:tcPr>
          <w:p w14:paraId="760E9FB3" w14:textId="77777777" w:rsidR="00FA7C11" w:rsidRDefault="00D84965">
            <w:pPr>
              <w:pStyle w:val="P68B1DB1-Normal102"/>
              <w:spacing w:after="200" w:line="276" w:lineRule="auto"/>
              <w:jc w:val="center"/>
              <w:rPr>
                <w:rFonts w:eastAsia="Calibri"/>
                <w:noProof/>
                <w:color w:val="000000" w:themeColor="text1"/>
              </w:rPr>
            </w:pPr>
            <w:r>
              <w:rPr>
                <w:noProof/>
              </w:rPr>
              <w:t>C2.1. R1</w:t>
            </w:r>
          </w:p>
        </w:tc>
        <w:tc>
          <w:tcPr>
            <w:tcW w:w="1124" w:type="dxa"/>
            <w:tcBorders>
              <w:top w:val="single" w:sz="4" w:space="0" w:color="auto"/>
              <w:left w:val="nil"/>
              <w:bottom w:val="single" w:sz="4" w:space="0" w:color="auto"/>
              <w:right w:val="single" w:sz="4" w:space="0" w:color="auto"/>
            </w:tcBorders>
            <w:shd w:val="clear" w:color="auto" w:fill="C6EFCE"/>
            <w:noWrap/>
          </w:tcPr>
          <w:p w14:paraId="2A118AD8" w14:textId="77777777" w:rsidR="00FA7C11" w:rsidRDefault="00D84965">
            <w:pPr>
              <w:pStyle w:val="P68B1DB1-Normal102"/>
              <w:spacing w:after="200" w:line="276" w:lineRule="auto"/>
              <w:jc w:val="center"/>
              <w:rPr>
                <w:rFonts w:eastAsia="Calibri"/>
                <w:noProof/>
                <w:color w:val="000000" w:themeColor="text1"/>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7E083AD6" w14:textId="77777777" w:rsidR="00FA7C11" w:rsidRDefault="00D84965">
            <w:pPr>
              <w:pStyle w:val="P68B1DB1-Normal102"/>
              <w:spacing w:after="200" w:line="276" w:lineRule="auto"/>
              <w:rPr>
                <w:rFonts w:eastAsia="Calibri"/>
                <w:noProof/>
                <w:color w:val="000000" w:themeColor="text1"/>
              </w:rPr>
            </w:pPr>
            <w:r>
              <w:rPr>
                <w:noProof/>
              </w:rPr>
              <w:t>Modificări ale Legii privind sistemul de planificare strategică și gestionare a dezvoltării al Republicii Croația și ale regulamentelor</w:t>
            </w:r>
          </w:p>
        </w:tc>
        <w:tc>
          <w:tcPr>
            <w:tcW w:w="1912" w:type="dxa"/>
            <w:tcBorders>
              <w:top w:val="single" w:sz="4" w:space="0" w:color="auto"/>
              <w:left w:val="nil"/>
              <w:bottom w:val="single" w:sz="4" w:space="0" w:color="auto"/>
              <w:right w:val="single" w:sz="4" w:space="0" w:color="auto"/>
            </w:tcBorders>
            <w:shd w:val="clear" w:color="auto" w:fill="C6EFCE"/>
            <w:noWrap/>
          </w:tcPr>
          <w:p w14:paraId="1CC610B1" w14:textId="77777777" w:rsidR="00FA7C11" w:rsidRDefault="00D84965">
            <w:pPr>
              <w:pStyle w:val="P68B1DB1-Normal102"/>
              <w:spacing w:after="200" w:line="276" w:lineRule="auto"/>
              <w:rPr>
                <w:rFonts w:eastAsia="Calibri"/>
                <w:noProof/>
                <w:color w:val="000000" w:themeColor="text1"/>
              </w:rPr>
            </w:pPr>
            <w:r>
              <w:rPr>
                <w:noProof/>
              </w:rPr>
              <w:t xml:space="preserve">Intrarea în vigoare a actului de modificare a Legii privind sistemul de planificare strategică și guvernanță pentru dezvoltarea Republicii Croația și a statutului însoțitor </w:t>
            </w:r>
          </w:p>
        </w:tc>
        <w:tc>
          <w:tcPr>
            <w:tcW w:w="1134" w:type="dxa"/>
            <w:tcBorders>
              <w:top w:val="single" w:sz="4" w:space="0" w:color="auto"/>
              <w:left w:val="nil"/>
              <w:bottom w:val="single" w:sz="4" w:space="0" w:color="auto"/>
              <w:right w:val="single" w:sz="4" w:space="0" w:color="auto"/>
            </w:tcBorders>
            <w:shd w:val="clear" w:color="auto" w:fill="C6EFCE"/>
            <w:noWrap/>
          </w:tcPr>
          <w:p w14:paraId="757B0DF8" w14:textId="77777777" w:rsidR="00FA7C11" w:rsidRDefault="00D84965">
            <w:pPr>
              <w:pStyle w:val="P68B1DB1-Normal102"/>
              <w:spacing w:after="200" w:line="276" w:lineRule="auto"/>
              <w:jc w:val="center"/>
              <w:rPr>
                <w:rFonts w:eastAsia="Calibri"/>
                <w:noProof/>
                <w:color w:val="000000" w:themeColor="text1"/>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0CD3E1BA" w14:textId="77777777" w:rsidR="00FA7C11" w:rsidRDefault="00D84965">
            <w:pPr>
              <w:pStyle w:val="P68B1DB1-Normal102"/>
              <w:spacing w:after="200" w:line="276" w:lineRule="auto"/>
              <w:jc w:val="center"/>
              <w:rPr>
                <w:rFonts w:eastAsia="Calibri"/>
                <w:noProof/>
                <w:color w:val="000000" w:themeColor="text1"/>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37874F26" w14:textId="77777777" w:rsidR="00FA7C11" w:rsidRDefault="00D84965">
            <w:pPr>
              <w:pStyle w:val="P68B1DB1-Normal102"/>
              <w:spacing w:after="200" w:line="276" w:lineRule="auto"/>
              <w:jc w:val="center"/>
              <w:rPr>
                <w:rFonts w:eastAsia="Calibri"/>
                <w:noProof/>
                <w:color w:val="000000" w:themeColor="text1"/>
              </w:rPr>
            </w:pPr>
            <w:r>
              <w:rPr>
                <w:noProof/>
              </w:rPr>
              <w:t> </w:t>
            </w:r>
          </w:p>
        </w:tc>
        <w:tc>
          <w:tcPr>
            <w:tcW w:w="888" w:type="dxa"/>
            <w:tcBorders>
              <w:top w:val="single" w:sz="4" w:space="0" w:color="auto"/>
              <w:left w:val="nil"/>
              <w:bottom w:val="single" w:sz="4" w:space="0" w:color="auto"/>
              <w:right w:val="single" w:sz="4" w:space="0" w:color="auto"/>
            </w:tcBorders>
            <w:shd w:val="clear" w:color="auto" w:fill="C6EFCE"/>
            <w:noWrap/>
          </w:tcPr>
          <w:p w14:paraId="5CF42F95" w14:textId="77777777" w:rsidR="00FA7C11" w:rsidRDefault="00D84965">
            <w:pPr>
              <w:pStyle w:val="P68B1DB1-Normal102"/>
              <w:spacing w:after="200" w:line="276" w:lineRule="auto"/>
              <w:jc w:val="center"/>
              <w:rPr>
                <w:rFonts w:eastAsia="Calibri"/>
                <w:noProof/>
                <w:color w:val="000000" w:themeColor="text1"/>
              </w:rPr>
            </w:pPr>
            <w:r>
              <w:rPr>
                <w:noProof/>
              </w:rPr>
              <w:t>Î4</w:t>
            </w:r>
          </w:p>
        </w:tc>
        <w:tc>
          <w:tcPr>
            <w:tcW w:w="840" w:type="dxa"/>
            <w:tcBorders>
              <w:top w:val="single" w:sz="4" w:space="0" w:color="auto"/>
              <w:left w:val="nil"/>
              <w:bottom w:val="single" w:sz="4" w:space="0" w:color="auto"/>
              <w:right w:val="single" w:sz="4" w:space="0" w:color="auto"/>
            </w:tcBorders>
            <w:shd w:val="clear" w:color="auto" w:fill="C6EFCE"/>
            <w:noWrap/>
          </w:tcPr>
          <w:p w14:paraId="1ED24B9C" w14:textId="77777777" w:rsidR="00FA7C11" w:rsidRDefault="00D84965">
            <w:pPr>
              <w:pStyle w:val="P68B1DB1-Normal102"/>
              <w:spacing w:after="200" w:line="276" w:lineRule="auto"/>
              <w:jc w:val="center"/>
              <w:rPr>
                <w:rFonts w:eastAsia="Calibri"/>
                <w:noProof/>
                <w:color w:val="000000" w:themeColor="text1"/>
              </w:rPr>
            </w:pPr>
            <w:r>
              <w:rPr>
                <w:noProof/>
              </w:rPr>
              <w:t>2022</w:t>
            </w:r>
          </w:p>
        </w:tc>
        <w:tc>
          <w:tcPr>
            <w:tcW w:w="4368" w:type="dxa"/>
            <w:tcBorders>
              <w:top w:val="single" w:sz="4" w:space="0" w:color="auto"/>
              <w:left w:val="nil"/>
              <w:bottom w:val="single" w:sz="4" w:space="0" w:color="auto"/>
              <w:right w:val="single" w:sz="4" w:space="0" w:color="auto"/>
            </w:tcBorders>
            <w:shd w:val="clear" w:color="auto" w:fill="C6EFCE"/>
            <w:noWrap/>
          </w:tcPr>
          <w:p w14:paraId="04AB6968" w14:textId="77777777" w:rsidR="00FA7C11" w:rsidRDefault="00D84965">
            <w:pPr>
              <w:pStyle w:val="P68B1DB1-Normal102"/>
              <w:spacing w:after="240" w:line="276" w:lineRule="auto"/>
              <w:rPr>
                <w:noProof/>
                <w:color w:val="000000" w:themeColor="text1"/>
              </w:rPr>
            </w:pPr>
            <w:r>
              <w:rPr>
                <w:noProof/>
              </w:rPr>
              <w:t>Modificările aduse Legii privind sistemul de planificare strategică și de gestionare a dezvoltării din Republica Croația și normele conexe îmbunătățesc eficacitatea planificării strategice și profesionalizarea pregătirii documentelor strategice. Acesta include, de asemenea, o bază pentru fișele posturilor și competențele funcționarilor publici legate de planificarea strategică;</w:t>
            </w:r>
          </w:p>
        </w:tc>
      </w:tr>
      <w:tr w:rsidR="00FA7C11" w14:paraId="57612A92" w14:textId="77777777">
        <w:trPr>
          <w:trHeight w:val="300"/>
        </w:trPr>
        <w:tc>
          <w:tcPr>
            <w:tcW w:w="851" w:type="dxa"/>
            <w:tcBorders>
              <w:top w:val="nil"/>
              <w:left w:val="single" w:sz="4" w:space="0" w:color="auto"/>
              <w:bottom w:val="single" w:sz="4" w:space="0" w:color="auto"/>
              <w:right w:val="single" w:sz="4" w:space="0" w:color="auto"/>
            </w:tcBorders>
            <w:shd w:val="clear" w:color="auto" w:fill="C6EFCE"/>
            <w:noWrap/>
          </w:tcPr>
          <w:p w14:paraId="33C6BD3D" w14:textId="77777777" w:rsidR="00FA7C11" w:rsidRDefault="00D84965">
            <w:pPr>
              <w:pStyle w:val="P68B1DB1-Normal102"/>
              <w:spacing w:after="200" w:line="276" w:lineRule="auto"/>
              <w:jc w:val="center"/>
              <w:rPr>
                <w:rFonts w:eastAsia="Calibri"/>
                <w:noProof/>
                <w:color w:val="000000" w:themeColor="text1"/>
              </w:rPr>
            </w:pPr>
            <w:r>
              <w:rPr>
                <w:noProof/>
              </w:rPr>
              <w:t>151</w:t>
            </w:r>
          </w:p>
        </w:tc>
        <w:tc>
          <w:tcPr>
            <w:tcW w:w="1243" w:type="dxa"/>
            <w:tcBorders>
              <w:top w:val="nil"/>
              <w:left w:val="nil"/>
              <w:bottom w:val="single" w:sz="4" w:space="0" w:color="auto"/>
              <w:right w:val="single" w:sz="4" w:space="0" w:color="auto"/>
            </w:tcBorders>
            <w:shd w:val="clear" w:color="auto" w:fill="C6EFCE"/>
            <w:noWrap/>
          </w:tcPr>
          <w:p w14:paraId="6A569790" w14:textId="77777777" w:rsidR="00FA7C11" w:rsidRDefault="00D84965">
            <w:pPr>
              <w:pStyle w:val="P68B1DB1-Normal102"/>
              <w:spacing w:after="200" w:line="276" w:lineRule="auto"/>
              <w:jc w:val="center"/>
              <w:rPr>
                <w:rFonts w:eastAsia="Calibri"/>
                <w:noProof/>
                <w:color w:val="000000" w:themeColor="text1"/>
              </w:rPr>
            </w:pPr>
            <w:r>
              <w:rPr>
                <w:noProof/>
              </w:rPr>
              <w:t>C2.1. R1</w:t>
            </w:r>
          </w:p>
        </w:tc>
        <w:tc>
          <w:tcPr>
            <w:tcW w:w="1124" w:type="dxa"/>
            <w:tcBorders>
              <w:top w:val="nil"/>
              <w:left w:val="nil"/>
              <w:bottom w:val="single" w:sz="4" w:space="0" w:color="auto"/>
              <w:right w:val="single" w:sz="4" w:space="0" w:color="auto"/>
            </w:tcBorders>
            <w:shd w:val="clear" w:color="auto" w:fill="C6EFCE"/>
            <w:noWrap/>
          </w:tcPr>
          <w:p w14:paraId="17015751" w14:textId="77777777" w:rsidR="00FA7C11" w:rsidRDefault="00D84965">
            <w:pPr>
              <w:pStyle w:val="P68B1DB1-Normal102"/>
              <w:spacing w:after="200" w:line="276" w:lineRule="auto"/>
              <w:jc w:val="center"/>
              <w:rPr>
                <w:rFonts w:eastAsia="Calibri"/>
                <w:noProof/>
                <w:color w:val="000000" w:themeColor="text1"/>
              </w:rPr>
            </w:pPr>
            <w:r>
              <w:rPr>
                <w:noProof/>
              </w:rPr>
              <w:t>M</w:t>
            </w:r>
          </w:p>
        </w:tc>
        <w:tc>
          <w:tcPr>
            <w:tcW w:w="1784" w:type="dxa"/>
            <w:tcBorders>
              <w:top w:val="nil"/>
              <w:left w:val="nil"/>
              <w:bottom w:val="single" w:sz="4" w:space="0" w:color="auto"/>
              <w:right w:val="single" w:sz="4" w:space="0" w:color="auto"/>
            </w:tcBorders>
            <w:shd w:val="clear" w:color="auto" w:fill="C6EFCE"/>
            <w:noWrap/>
          </w:tcPr>
          <w:p w14:paraId="297F7666" w14:textId="77777777" w:rsidR="00FA7C11" w:rsidRDefault="00D84965">
            <w:pPr>
              <w:pStyle w:val="P68B1DB1-Normal102"/>
              <w:spacing w:after="200" w:line="276" w:lineRule="auto"/>
              <w:rPr>
                <w:rFonts w:eastAsia="Calibri"/>
                <w:noProof/>
                <w:color w:val="000000" w:themeColor="text1"/>
              </w:rPr>
            </w:pPr>
            <w:r>
              <w:rPr>
                <w:noProof/>
              </w:rPr>
              <w:t>Modificări ale Actului privind evaluarea impactului normativ</w:t>
            </w:r>
          </w:p>
        </w:tc>
        <w:tc>
          <w:tcPr>
            <w:tcW w:w="1912" w:type="dxa"/>
            <w:tcBorders>
              <w:top w:val="nil"/>
              <w:left w:val="nil"/>
              <w:bottom w:val="single" w:sz="4" w:space="0" w:color="auto"/>
              <w:right w:val="single" w:sz="4" w:space="0" w:color="auto"/>
            </w:tcBorders>
            <w:shd w:val="clear" w:color="auto" w:fill="C6EFCE"/>
            <w:noWrap/>
          </w:tcPr>
          <w:p w14:paraId="19EDF4D5" w14:textId="77777777" w:rsidR="00FA7C11" w:rsidRDefault="00D84965">
            <w:pPr>
              <w:pStyle w:val="P68B1DB1-Normal102"/>
              <w:spacing w:after="200" w:line="276" w:lineRule="auto"/>
              <w:rPr>
                <w:rFonts w:eastAsia="Calibri"/>
                <w:noProof/>
                <w:color w:val="000000" w:themeColor="text1"/>
              </w:rPr>
            </w:pPr>
            <w:r>
              <w:rPr>
                <w:noProof/>
              </w:rPr>
              <w:t xml:space="preserve">Intrarea în vigoare a actului de modificare a Legii privind evaluarea impactului normativ </w:t>
            </w:r>
          </w:p>
        </w:tc>
        <w:tc>
          <w:tcPr>
            <w:tcW w:w="1134" w:type="dxa"/>
            <w:tcBorders>
              <w:top w:val="nil"/>
              <w:left w:val="nil"/>
              <w:bottom w:val="single" w:sz="4" w:space="0" w:color="auto"/>
              <w:right w:val="single" w:sz="4" w:space="0" w:color="auto"/>
            </w:tcBorders>
            <w:shd w:val="clear" w:color="auto" w:fill="C6EFCE"/>
            <w:noWrap/>
          </w:tcPr>
          <w:p w14:paraId="58D657AF" w14:textId="77777777" w:rsidR="00FA7C11" w:rsidRDefault="00D84965">
            <w:pPr>
              <w:pStyle w:val="P68B1DB1-Normal102"/>
              <w:spacing w:after="200" w:line="276" w:lineRule="auto"/>
              <w:jc w:val="center"/>
              <w:rPr>
                <w:rFonts w:eastAsia="Calibri"/>
                <w:noProof/>
                <w:color w:val="000000" w:themeColor="text1"/>
              </w:rPr>
            </w:pPr>
            <w:r>
              <w:rPr>
                <w:noProof/>
              </w:rPr>
              <w:t> </w:t>
            </w:r>
          </w:p>
        </w:tc>
        <w:tc>
          <w:tcPr>
            <w:tcW w:w="850" w:type="dxa"/>
            <w:tcBorders>
              <w:top w:val="nil"/>
              <w:left w:val="nil"/>
              <w:bottom w:val="single" w:sz="4" w:space="0" w:color="auto"/>
              <w:right w:val="single" w:sz="4" w:space="0" w:color="auto"/>
            </w:tcBorders>
            <w:shd w:val="clear" w:color="auto" w:fill="C6EFCE"/>
            <w:noWrap/>
          </w:tcPr>
          <w:p w14:paraId="31EEB947" w14:textId="77777777" w:rsidR="00FA7C11" w:rsidRDefault="00D84965">
            <w:pPr>
              <w:pStyle w:val="P68B1DB1-Normal102"/>
              <w:rPr>
                <w:rFonts w:eastAsia="Calibri"/>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2E46B76E" w14:textId="77777777" w:rsidR="00FA7C11" w:rsidRDefault="00D84965">
            <w:pPr>
              <w:pStyle w:val="P68B1DB1-Normal102"/>
              <w:spacing w:after="200" w:line="276" w:lineRule="auto"/>
              <w:jc w:val="center"/>
              <w:rPr>
                <w:rFonts w:eastAsia="Calibri"/>
                <w:noProof/>
                <w:color w:val="000000" w:themeColor="text1"/>
              </w:rPr>
            </w:pPr>
            <w:r>
              <w:rPr>
                <w:noProof/>
              </w:rPr>
              <w:t> </w:t>
            </w:r>
          </w:p>
        </w:tc>
        <w:tc>
          <w:tcPr>
            <w:tcW w:w="888" w:type="dxa"/>
            <w:tcBorders>
              <w:top w:val="nil"/>
              <w:left w:val="nil"/>
              <w:bottom w:val="single" w:sz="4" w:space="0" w:color="auto"/>
              <w:right w:val="single" w:sz="4" w:space="0" w:color="auto"/>
            </w:tcBorders>
            <w:shd w:val="clear" w:color="auto" w:fill="C6EFCE"/>
            <w:noWrap/>
          </w:tcPr>
          <w:p w14:paraId="69F7BA3F" w14:textId="77777777" w:rsidR="00FA7C11" w:rsidRDefault="00D84965">
            <w:pPr>
              <w:pStyle w:val="P68B1DB1-Normal102"/>
              <w:spacing w:after="200" w:line="276" w:lineRule="auto"/>
              <w:jc w:val="center"/>
              <w:rPr>
                <w:rFonts w:eastAsia="Calibri"/>
                <w:noProof/>
                <w:color w:val="000000" w:themeColor="text1"/>
              </w:rPr>
            </w:pPr>
            <w:r>
              <w:rPr>
                <w:noProof/>
              </w:rPr>
              <w:t>Î4</w:t>
            </w:r>
          </w:p>
        </w:tc>
        <w:tc>
          <w:tcPr>
            <w:tcW w:w="840" w:type="dxa"/>
            <w:tcBorders>
              <w:top w:val="nil"/>
              <w:left w:val="nil"/>
              <w:bottom w:val="single" w:sz="4" w:space="0" w:color="auto"/>
              <w:right w:val="single" w:sz="4" w:space="0" w:color="auto"/>
            </w:tcBorders>
            <w:shd w:val="clear" w:color="auto" w:fill="C6EFCE"/>
            <w:noWrap/>
          </w:tcPr>
          <w:p w14:paraId="5FB0E112" w14:textId="77777777" w:rsidR="00FA7C11" w:rsidRDefault="00D84965">
            <w:pPr>
              <w:pStyle w:val="P68B1DB1-Normal102"/>
              <w:spacing w:after="200" w:line="276" w:lineRule="auto"/>
              <w:jc w:val="center"/>
              <w:rPr>
                <w:rFonts w:eastAsia="Calibri"/>
                <w:noProof/>
                <w:color w:val="000000" w:themeColor="text1"/>
              </w:rPr>
            </w:pPr>
            <w:r>
              <w:rPr>
                <w:noProof/>
              </w:rPr>
              <w:t>2023</w:t>
            </w:r>
          </w:p>
        </w:tc>
        <w:tc>
          <w:tcPr>
            <w:tcW w:w="4368" w:type="dxa"/>
            <w:tcBorders>
              <w:top w:val="nil"/>
              <w:left w:val="nil"/>
              <w:bottom w:val="single" w:sz="4" w:space="0" w:color="auto"/>
              <w:right w:val="single" w:sz="4" w:space="0" w:color="auto"/>
            </w:tcBorders>
            <w:shd w:val="clear" w:color="auto" w:fill="C6EFCE"/>
            <w:noWrap/>
          </w:tcPr>
          <w:p w14:paraId="1FB755BE" w14:textId="77777777" w:rsidR="00FA7C11" w:rsidRDefault="00D84965">
            <w:pPr>
              <w:pStyle w:val="P68B1DB1-Normal102"/>
              <w:spacing w:after="200" w:line="276" w:lineRule="auto"/>
              <w:rPr>
                <w:rFonts w:eastAsia="Calibri"/>
                <w:noProof/>
                <w:color w:val="000000" w:themeColor="text1"/>
              </w:rPr>
            </w:pPr>
            <w:r>
              <w:rPr>
                <w:noProof/>
              </w:rPr>
              <w:t>Modificările aduse Legii privind evaluarea impactului normativ simplifică procesele de evaluare ex post a impactului normativ, inclusiv metodologia și procedurile, pe baza recomandărilor instrumentului de sprijin tehnic al proiectului legate de evaluarea ex post a impactului normativ. Modificările includ, de asemenea, modificări ale fișelor posturilor și ale competențelor funcționarilor publici legate de evaluarea impactului în vederea profesionalizării coordonării, elaborării și monitorizării efectelor reglementării în administrația publică.</w:t>
            </w:r>
          </w:p>
        </w:tc>
      </w:tr>
      <w:tr w:rsidR="00FA7C11" w14:paraId="5249A98C" w14:textId="77777777">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5AB06FE" w14:textId="77777777" w:rsidR="00FA7C11" w:rsidRDefault="00D84965">
            <w:pPr>
              <w:pStyle w:val="P68B1DB1-Normal102"/>
              <w:spacing w:after="0" w:line="276" w:lineRule="auto"/>
              <w:jc w:val="center"/>
              <w:rPr>
                <w:rFonts w:eastAsia="Calibri"/>
                <w:noProof/>
                <w:color w:val="000000" w:themeColor="text1"/>
              </w:rPr>
            </w:pPr>
            <w:r>
              <w:rPr>
                <w:noProof/>
              </w:rPr>
              <w:t>152</w:t>
            </w:r>
          </w:p>
        </w:tc>
        <w:tc>
          <w:tcPr>
            <w:tcW w:w="1243" w:type="dxa"/>
            <w:tcBorders>
              <w:top w:val="single" w:sz="4" w:space="0" w:color="auto"/>
              <w:left w:val="nil"/>
              <w:bottom w:val="single" w:sz="4" w:space="0" w:color="auto"/>
              <w:right w:val="single" w:sz="4" w:space="0" w:color="auto"/>
            </w:tcBorders>
            <w:shd w:val="clear" w:color="auto" w:fill="C6EFCE"/>
            <w:noWrap/>
          </w:tcPr>
          <w:p w14:paraId="4D3823F3" w14:textId="77777777" w:rsidR="00FA7C11" w:rsidRDefault="00D84965">
            <w:pPr>
              <w:pStyle w:val="P68B1DB1-Normal102"/>
              <w:spacing w:after="200" w:line="276" w:lineRule="auto"/>
              <w:jc w:val="center"/>
              <w:rPr>
                <w:rFonts w:eastAsia="Calibri"/>
                <w:noProof/>
                <w:color w:val="000000" w:themeColor="text1"/>
              </w:rPr>
            </w:pPr>
            <w:r>
              <w:rPr>
                <w:noProof/>
              </w:rPr>
              <w:t>C2.1. R1</w:t>
            </w:r>
          </w:p>
        </w:tc>
        <w:tc>
          <w:tcPr>
            <w:tcW w:w="1124" w:type="dxa"/>
            <w:tcBorders>
              <w:top w:val="single" w:sz="4" w:space="0" w:color="auto"/>
              <w:left w:val="nil"/>
              <w:bottom w:val="single" w:sz="4" w:space="0" w:color="auto"/>
              <w:right w:val="single" w:sz="4" w:space="0" w:color="auto"/>
            </w:tcBorders>
            <w:shd w:val="clear" w:color="auto" w:fill="C6EFCE"/>
            <w:noWrap/>
          </w:tcPr>
          <w:p w14:paraId="7DC80DC5" w14:textId="77777777" w:rsidR="00FA7C11" w:rsidRDefault="00D84965">
            <w:pPr>
              <w:pStyle w:val="P68B1DB1-Normal102"/>
              <w:spacing w:after="200" w:line="276" w:lineRule="auto"/>
              <w:jc w:val="center"/>
              <w:rPr>
                <w:rFonts w:eastAsia="Calibri"/>
                <w:noProof/>
                <w:color w:val="000000" w:themeColor="text1"/>
              </w:rPr>
            </w:pPr>
            <w:r>
              <w:rPr>
                <w:noProof/>
              </w:rPr>
              <w:t>T</w:t>
            </w:r>
          </w:p>
        </w:tc>
        <w:tc>
          <w:tcPr>
            <w:tcW w:w="1784" w:type="dxa"/>
            <w:tcBorders>
              <w:top w:val="single" w:sz="4" w:space="0" w:color="auto"/>
              <w:left w:val="nil"/>
              <w:bottom w:val="single" w:sz="4" w:space="0" w:color="auto"/>
              <w:right w:val="single" w:sz="4" w:space="0" w:color="auto"/>
            </w:tcBorders>
            <w:shd w:val="clear" w:color="auto" w:fill="C6EFCE"/>
            <w:noWrap/>
          </w:tcPr>
          <w:p w14:paraId="7EC53F5D" w14:textId="3FAEB14F" w:rsidR="00FA7C11" w:rsidRDefault="00D84965">
            <w:pPr>
              <w:pStyle w:val="P68B1DB1-Normal102"/>
              <w:spacing w:after="200" w:line="276" w:lineRule="auto"/>
              <w:rPr>
                <w:rFonts w:eastAsia="Calibri"/>
                <w:noProof/>
                <w:color w:val="000000" w:themeColor="text1"/>
              </w:rPr>
            </w:pPr>
            <w:r>
              <w:rPr>
                <w:noProof/>
              </w:rPr>
              <w:t>Reducerea sarcinii administrative care afectează în mod direct cetățenii, prin digitalizare și simplificarea procedurilor</w:t>
            </w:r>
          </w:p>
        </w:tc>
        <w:tc>
          <w:tcPr>
            <w:tcW w:w="1912" w:type="dxa"/>
            <w:tcBorders>
              <w:top w:val="single" w:sz="4" w:space="0" w:color="auto"/>
              <w:left w:val="nil"/>
              <w:bottom w:val="single" w:sz="4" w:space="0" w:color="auto"/>
              <w:right w:val="single" w:sz="4" w:space="0" w:color="auto"/>
            </w:tcBorders>
            <w:shd w:val="clear" w:color="auto" w:fill="C6EFCE"/>
            <w:noWrap/>
          </w:tcPr>
          <w:p w14:paraId="701CDC47" w14:textId="77777777" w:rsidR="00FA7C11" w:rsidRDefault="00D84965">
            <w:pPr>
              <w:pStyle w:val="P68B1DB1-Normal102"/>
              <w:spacing w:after="200" w:line="276" w:lineRule="auto"/>
              <w:rPr>
                <w:rFonts w:eastAsia="Calibri"/>
                <w:noProof/>
                <w:color w:val="000000" w:themeColor="text1"/>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1E3B759F" w14:textId="77777777" w:rsidR="00FA7C11" w:rsidRDefault="00D84965">
            <w:pPr>
              <w:pStyle w:val="P68B1DB1-Normal102"/>
              <w:spacing w:after="200" w:line="276" w:lineRule="auto"/>
              <w:jc w:val="center"/>
              <w:rPr>
                <w:rFonts w:eastAsia="Calibri"/>
                <w:noProof/>
                <w:color w:val="000000" w:themeColor="text1"/>
              </w:rPr>
            </w:pPr>
            <w:r>
              <w:rPr>
                <w:noProof/>
              </w:rPr>
              <w:t>% (procent)</w:t>
            </w:r>
          </w:p>
        </w:tc>
        <w:tc>
          <w:tcPr>
            <w:tcW w:w="850" w:type="dxa"/>
            <w:tcBorders>
              <w:top w:val="nil"/>
              <w:left w:val="nil"/>
              <w:bottom w:val="single" w:sz="4" w:space="0" w:color="auto"/>
              <w:right w:val="single" w:sz="4" w:space="0" w:color="auto"/>
            </w:tcBorders>
            <w:shd w:val="clear" w:color="auto" w:fill="C6EFCE"/>
            <w:noWrap/>
          </w:tcPr>
          <w:p w14:paraId="6A1C28E7" w14:textId="77777777" w:rsidR="00FA7C11" w:rsidRDefault="00D84965">
            <w:pPr>
              <w:pStyle w:val="P68B1DB1-Normal102"/>
              <w:spacing w:line="276" w:lineRule="auto"/>
              <w:jc w:val="center"/>
              <w:rPr>
                <w:noProof/>
              </w:rPr>
            </w:pPr>
            <w:r>
              <w:rPr>
                <w:noProof/>
              </w:rPr>
              <w:t>0</w:t>
            </w:r>
          </w:p>
          <w:p w14:paraId="555A2572" w14:textId="77777777" w:rsidR="00FA7C11" w:rsidRDefault="00FA7C11">
            <w:pPr>
              <w:spacing w:line="276" w:lineRule="auto"/>
              <w:rPr>
                <w:rFonts w:ascii="Times New Roman" w:eastAsia="Calibri" w:hAnsi="Times New Roman" w:cs="Times New Roman"/>
                <w:noProof/>
                <w:color w:val="000000" w:themeColor="text1"/>
                <w:sz w:val="20"/>
                <w:szCs w:val="20"/>
              </w:rPr>
            </w:pPr>
          </w:p>
        </w:tc>
        <w:tc>
          <w:tcPr>
            <w:tcW w:w="992" w:type="dxa"/>
            <w:tcBorders>
              <w:top w:val="nil"/>
              <w:left w:val="nil"/>
              <w:bottom w:val="single" w:sz="4" w:space="0" w:color="auto"/>
              <w:right w:val="single" w:sz="4" w:space="0" w:color="auto"/>
            </w:tcBorders>
            <w:shd w:val="clear" w:color="auto" w:fill="C6EFCE"/>
            <w:noWrap/>
          </w:tcPr>
          <w:p w14:paraId="7E5B6618" w14:textId="77777777" w:rsidR="00FA7C11" w:rsidRDefault="00D84965">
            <w:pPr>
              <w:pStyle w:val="P68B1DB1-Normal102"/>
              <w:spacing w:after="200" w:line="276" w:lineRule="auto"/>
              <w:jc w:val="center"/>
              <w:rPr>
                <w:rFonts w:eastAsia="Calibri"/>
                <w:noProof/>
                <w:color w:val="000000" w:themeColor="text1"/>
              </w:rPr>
            </w:pPr>
            <w:r>
              <w:rPr>
                <w:noProof/>
              </w:rPr>
              <w:t>20</w:t>
            </w:r>
          </w:p>
        </w:tc>
        <w:tc>
          <w:tcPr>
            <w:tcW w:w="888" w:type="dxa"/>
            <w:tcBorders>
              <w:top w:val="nil"/>
              <w:left w:val="nil"/>
              <w:bottom w:val="single" w:sz="4" w:space="0" w:color="auto"/>
              <w:right w:val="single" w:sz="4" w:space="0" w:color="auto"/>
            </w:tcBorders>
            <w:shd w:val="clear" w:color="auto" w:fill="C6EFCE"/>
            <w:noWrap/>
          </w:tcPr>
          <w:p w14:paraId="1368A533" w14:textId="77777777" w:rsidR="00FA7C11" w:rsidRDefault="00D84965">
            <w:pPr>
              <w:pStyle w:val="P68B1DB1-Normal102"/>
              <w:spacing w:after="200" w:line="276" w:lineRule="auto"/>
              <w:jc w:val="center"/>
              <w:rPr>
                <w:rFonts w:eastAsia="Calibri"/>
                <w:noProof/>
                <w:color w:val="000000" w:themeColor="text1"/>
              </w:rPr>
            </w:pPr>
            <w:r>
              <w:rPr>
                <w:noProof/>
              </w:rPr>
              <w:t>Î4</w:t>
            </w:r>
          </w:p>
        </w:tc>
        <w:tc>
          <w:tcPr>
            <w:tcW w:w="840" w:type="dxa"/>
            <w:tcBorders>
              <w:top w:val="nil"/>
              <w:left w:val="nil"/>
              <w:bottom w:val="single" w:sz="4" w:space="0" w:color="auto"/>
              <w:right w:val="single" w:sz="4" w:space="0" w:color="auto"/>
            </w:tcBorders>
            <w:shd w:val="clear" w:color="auto" w:fill="C6EFCE"/>
            <w:noWrap/>
          </w:tcPr>
          <w:p w14:paraId="30966062" w14:textId="77777777" w:rsidR="00FA7C11" w:rsidRDefault="00D84965">
            <w:pPr>
              <w:pStyle w:val="P68B1DB1-Normal102"/>
              <w:spacing w:after="200" w:line="276" w:lineRule="auto"/>
              <w:jc w:val="center"/>
              <w:rPr>
                <w:rFonts w:eastAsia="Calibri"/>
                <w:noProof/>
                <w:color w:val="000000" w:themeColor="text1"/>
              </w:rPr>
            </w:pPr>
            <w:r>
              <w:rPr>
                <w:noProof/>
              </w:rPr>
              <w:t>2025</w:t>
            </w:r>
          </w:p>
        </w:tc>
        <w:tc>
          <w:tcPr>
            <w:tcW w:w="4368" w:type="dxa"/>
            <w:tcBorders>
              <w:top w:val="single" w:sz="4" w:space="0" w:color="auto"/>
              <w:left w:val="nil"/>
              <w:bottom w:val="single" w:sz="4" w:space="0" w:color="auto"/>
              <w:right w:val="single" w:sz="4" w:space="0" w:color="auto"/>
            </w:tcBorders>
            <w:shd w:val="clear" w:color="auto" w:fill="C6EFCE"/>
            <w:noWrap/>
          </w:tcPr>
          <w:p w14:paraId="13FC54B0" w14:textId="77777777" w:rsidR="00FA7C11" w:rsidRDefault="00D84965">
            <w:pPr>
              <w:pStyle w:val="P68B1DB1-Normal102"/>
              <w:spacing w:after="240" w:line="276" w:lineRule="auto"/>
              <w:rPr>
                <w:rFonts w:eastAsia="Calibri"/>
                <w:noProof/>
                <w:color w:val="000000" w:themeColor="text1"/>
              </w:rPr>
            </w:pPr>
            <w:r>
              <w:rPr>
                <w:noProof/>
              </w:rPr>
              <w:t>Reducerea cu cel puțin 20 % a sarcinii administrative în comparație cu 31 decembrie 2019, pentru cetățeni, prin utilizarea metodologiei modelului de cost standard (MCS), prin digitalizare și/sau simplificarea procedurilor.</w:t>
            </w:r>
          </w:p>
        </w:tc>
      </w:tr>
      <w:tr w:rsidR="00FA7C11" w14:paraId="112FDAC9" w14:textId="77777777">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EFA2FE1" w14:textId="77777777" w:rsidR="00FA7C11" w:rsidRDefault="00D84965">
            <w:pPr>
              <w:pStyle w:val="P68B1DB1-Normal102"/>
              <w:spacing w:after="0" w:line="276" w:lineRule="auto"/>
              <w:jc w:val="center"/>
              <w:rPr>
                <w:rFonts w:eastAsia="Calibri"/>
                <w:noProof/>
                <w:color w:val="000000" w:themeColor="text1"/>
              </w:rPr>
            </w:pPr>
            <w:r>
              <w:rPr>
                <w:noProof/>
              </w:rPr>
              <w:t>153</w:t>
            </w:r>
          </w:p>
        </w:tc>
        <w:tc>
          <w:tcPr>
            <w:tcW w:w="1243" w:type="dxa"/>
            <w:tcBorders>
              <w:top w:val="single" w:sz="4" w:space="0" w:color="auto"/>
              <w:left w:val="nil"/>
              <w:bottom w:val="single" w:sz="4" w:space="0" w:color="auto"/>
              <w:right w:val="single" w:sz="4" w:space="0" w:color="auto"/>
            </w:tcBorders>
            <w:shd w:val="clear" w:color="auto" w:fill="C6EFCE"/>
            <w:noWrap/>
          </w:tcPr>
          <w:p w14:paraId="0F0BCAA5" w14:textId="77777777" w:rsidR="00FA7C11" w:rsidRDefault="00D84965">
            <w:pPr>
              <w:pStyle w:val="P68B1DB1-Normal102"/>
              <w:spacing w:after="200" w:line="276" w:lineRule="auto"/>
              <w:jc w:val="center"/>
              <w:rPr>
                <w:rFonts w:eastAsia="Calibri"/>
                <w:noProof/>
                <w:color w:val="000000" w:themeColor="text1"/>
              </w:rPr>
            </w:pPr>
            <w:r>
              <w:rPr>
                <w:noProof/>
              </w:rPr>
              <w:t>C2.1. R1-I1</w:t>
            </w:r>
          </w:p>
        </w:tc>
        <w:tc>
          <w:tcPr>
            <w:tcW w:w="1124" w:type="dxa"/>
            <w:tcBorders>
              <w:top w:val="single" w:sz="4" w:space="0" w:color="auto"/>
              <w:left w:val="nil"/>
              <w:bottom w:val="single" w:sz="4" w:space="0" w:color="auto"/>
              <w:right w:val="single" w:sz="4" w:space="0" w:color="auto"/>
            </w:tcBorders>
            <w:shd w:val="clear" w:color="auto" w:fill="C6EFCE"/>
            <w:noWrap/>
          </w:tcPr>
          <w:p w14:paraId="5269D1D0" w14:textId="77777777" w:rsidR="00FA7C11" w:rsidRDefault="00D84965">
            <w:pPr>
              <w:pStyle w:val="P68B1DB1-Normal102"/>
              <w:spacing w:after="200" w:line="276" w:lineRule="auto"/>
              <w:jc w:val="center"/>
              <w:rPr>
                <w:rFonts w:eastAsia="Calibri"/>
                <w:noProof/>
                <w:color w:val="000000" w:themeColor="text1"/>
              </w:rPr>
            </w:pPr>
            <w:r>
              <w:rPr>
                <w:noProof/>
              </w:rPr>
              <w:t>T</w:t>
            </w:r>
          </w:p>
        </w:tc>
        <w:tc>
          <w:tcPr>
            <w:tcW w:w="1784" w:type="dxa"/>
            <w:tcBorders>
              <w:top w:val="single" w:sz="4" w:space="0" w:color="auto"/>
              <w:left w:val="nil"/>
              <w:bottom w:val="single" w:sz="4" w:space="0" w:color="auto"/>
              <w:right w:val="single" w:sz="4" w:space="0" w:color="auto"/>
            </w:tcBorders>
            <w:shd w:val="clear" w:color="auto" w:fill="C6EFCE"/>
            <w:noWrap/>
          </w:tcPr>
          <w:p w14:paraId="40A30968" w14:textId="77777777" w:rsidR="00FA7C11" w:rsidRDefault="00D84965">
            <w:pPr>
              <w:pStyle w:val="P68B1DB1-Normal102"/>
              <w:spacing w:after="200" w:line="276" w:lineRule="auto"/>
              <w:rPr>
                <w:rFonts w:eastAsia="Calibri"/>
                <w:noProof/>
                <w:color w:val="000000" w:themeColor="text1"/>
              </w:rPr>
            </w:pPr>
            <w:r>
              <w:rPr>
                <w:noProof/>
              </w:rPr>
              <w:t>Digitalizarea tuturor proceselor operaționale cartografierea în domeniul planificării strategice și al evaluării impactului normativ</w:t>
            </w:r>
          </w:p>
        </w:tc>
        <w:tc>
          <w:tcPr>
            <w:tcW w:w="1912" w:type="dxa"/>
            <w:tcBorders>
              <w:top w:val="single" w:sz="4" w:space="0" w:color="auto"/>
              <w:left w:val="nil"/>
              <w:bottom w:val="single" w:sz="4" w:space="0" w:color="auto"/>
              <w:right w:val="single" w:sz="4" w:space="0" w:color="auto"/>
            </w:tcBorders>
            <w:shd w:val="clear" w:color="auto" w:fill="C6EFCE"/>
            <w:noWrap/>
          </w:tcPr>
          <w:p w14:paraId="49ACA363" w14:textId="77777777" w:rsidR="00FA7C11" w:rsidRDefault="00D84965">
            <w:pPr>
              <w:pStyle w:val="P68B1DB1-Normal102"/>
              <w:spacing w:after="200" w:line="276" w:lineRule="auto"/>
              <w:rPr>
                <w:rFonts w:eastAsia="Calibri"/>
                <w:noProof/>
                <w:color w:val="000000" w:themeColor="text1"/>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7F04E72D" w14:textId="77777777" w:rsidR="00FA7C11" w:rsidRDefault="00D84965">
            <w:pPr>
              <w:pStyle w:val="P68B1DB1-Normal102"/>
              <w:spacing w:after="200" w:line="276" w:lineRule="auto"/>
              <w:jc w:val="center"/>
              <w:rPr>
                <w:rFonts w:eastAsia="Calibri"/>
                <w:noProof/>
                <w:color w:val="000000" w:themeColor="text1"/>
              </w:rPr>
            </w:pPr>
            <w:r>
              <w:rPr>
                <w:noProof/>
              </w:rPr>
              <w:t>% (procent)</w:t>
            </w:r>
          </w:p>
        </w:tc>
        <w:tc>
          <w:tcPr>
            <w:tcW w:w="850" w:type="dxa"/>
            <w:tcBorders>
              <w:top w:val="single" w:sz="4" w:space="0" w:color="auto"/>
              <w:left w:val="nil"/>
              <w:bottom w:val="single" w:sz="4" w:space="0" w:color="auto"/>
              <w:right w:val="single" w:sz="4" w:space="0" w:color="auto"/>
            </w:tcBorders>
            <w:shd w:val="clear" w:color="auto" w:fill="C6EFCE"/>
            <w:noWrap/>
          </w:tcPr>
          <w:p w14:paraId="7A259DDC" w14:textId="77777777" w:rsidR="00FA7C11" w:rsidRDefault="00D84965">
            <w:pPr>
              <w:pStyle w:val="P68B1DB1-Normal102"/>
              <w:spacing w:after="200" w:line="276" w:lineRule="auto"/>
              <w:jc w:val="center"/>
              <w:rPr>
                <w:rFonts w:eastAsia="Calibri"/>
                <w:noProof/>
                <w:color w:val="000000" w:themeColor="text1"/>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1025EC26" w14:textId="77777777" w:rsidR="00FA7C11" w:rsidRDefault="00D84965">
            <w:pPr>
              <w:pStyle w:val="P68B1DB1-Normal102"/>
              <w:spacing w:after="200" w:line="276" w:lineRule="auto"/>
              <w:jc w:val="center"/>
              <w:rPr>
                <w:rFonts w:eastAsia="Calibri"/>
                <w:noProof/>
                <w:color w:val="000000" w:themeColor="text1"/>
              </w:rPr>
            </w:pPr>
            <w:r>
              <w:rPr>
                <w:noProof/>
              </w:rPr>
              <w:t>100</w:t>
            </w:r>
          </w:p>
        </w:tc>
        <w:tc>
          <w:tcPr>
            <w:tcW w:w="888" w:type="dxa"/>
            <w:tcBorders>
              <w:top w:val="single" w:sz="4" w:space="0" w:color="auto"/>
              <w:left w:val="nil"/>
              <w:bottom w:val="single" w:sz="4" w:space="0" w:color="auto"/>
              <w:right w:val="single" w:sz="4" w:space="0" w:color="auto"/>
            </w:tcBorders>
            <w:shd w:val="clear" w:color="auto" w:fill="C6EFCE"/>
            <w:noWrap/>
          </w:tcPr>
          <w:p w14:paraId="19E11E96" w14:textId="77777777" w:rsidR="00FA7C11" w:rsidRDefault="00D84965">
            <w:pPr>
              <w:pStyle w:val="P68B1DB1-Normal102"/>
              <w:spacing w:after="200" w:line="276" w:lineRule="auto"/>
              <w:jc w:val="center"/>
              <w:rPr>
                <w:rFonts w:eastAsia="Calibri"/>
                <w:noProof/>
                <w:color w:val="000000" w:themeColor="text1"/>
              </w:rPr>
            </w:pPr>
            <w:r>
              <w:rPr>
                <w:noProof/>
              </w:rPr>
              <w:t>Î4</w:t>
            </w:r>
          </w:p>
        </w:tc>
        <w:tc>
          <w:tcPr>
            <w:tcW w:w="840" w:type="dxa"/>
            <w:tcBorders>
              <w:top w:val="single" w:sz="4" w:space="0" w:color="auto"/>
              <w:left w:val="nil"/>
              <w:bottom w:val="single" w:sz="4" w:space="0" w:color="auto"/>
              <w:right w:val="single" w:sz="4" w:space="0" w:color="auto"/>
            </w:tcBorders>
            <w:shd w:val="clear" w:color="auto" w:fill="C6EFCE"/>
            <w:noWrap/>
          </w:tcPr>
          <w:p w14:paraId="6C5F1D7B" w14:textId="77777777" w:rsidR="00FA7C11" w:rsidRDefault="00D84965">
            <w:pPr>
              <w:pStyle w:val="P68B1DB1-Normal102"/>
              <w:spacing w:after="200" w:line="276" w:lineRule="auto"/>
              <w:jc w:val="center"/>
              <w:rPr>
                <w:rFonts w:eastAsia="Calibri"/>
                <w:noProof/>
                <w:color w:val="000000" w:themeColor="text1"/>
              </w:rPr>
            </w:pPr>
            <w:r>
              <w:rPr>
                <w:noProof/>
              </w:rPr>
              <w:t>2025</w:t>
            </w:r>
          </w:p>
        </w:tc>
        <w:tc>
          <w:tcPr>
            <w:tcW w:w="4368" w:type="dxa"/>
            <w:tcBorders>
              <w:top w:val="single" w:sz="4" w:space="0" w:color="auto"/>
              <w:left w:val="nil"/>
              <w:bottom w:val="single" w:sz="4" w:space="0" w:color="auto"/>
              <w:right w:val="single" w:sz="4" w:space="0" w:color="auto"/>
            </w:tcBorders>
            <w:shd w:val="clear" w:color="auto" w:fill="C6EFCE"/>
            <w:noWrap/>
          </w:tcPr>
          <w:p w14:paraId="17FAF258" w14:textId="270C31EA" w:rsidR="00FA7C11" w:rsidRDefault="00D84965">
            <w:pPr>
              <w:pStyle w:val="P68B1DB1-Normal102"/>
              <w:spacing w:after="240" w:line="276" w:lineRule="auto"/>
              <w:rPr>
                <w:rFonts w:eastAsia="Calibri"/>
                <w:noProof/>
                <w:color w:val="000000" w:themeColor="text1"/>
              </w:rPr>
            </w:pPr>
            <w:r>
              <w:rPr>
                <w:noProof/>
              </w:rPr>
              <w:t>Toate procesele operaționale cartografiate în domeniul planificării strategice și al evaluării impactului normativ sunt digitalizate și utilizate prin intermediul platformei informatice (sistemul informatic pentru digitalizarea procesului de planificare strategică și evaluarea impactului normativ). Sistemul informatic permite monitorizarea pregătirii documentelor strategice, a punerii în aplicare și a evaluării politicilor publice, precum și a evaluării impactului reglementărilor. Sistemul informatic include, de asemenea, un tablou de bord care oferă o imagine de ansamblu a rezultatelor punerii în aplicare a politicilor publice.</w:t>
            </w:r>
          </w:p>
        </w:tc>
      </w:tr>
      <w:tr w:rsidR="00FA7C11" w14:paraId="104ABD62" w14:textId="77777777">
        <w:trPr>
          <w:trHeight w:val="300"/>
        </w:trPr>
        <w:tc>
          <w:tcPr>
            <w:tcW w:w="851" w:type="dxa"/>
            <w:tcBorders>
              <w:top w:val="nil"/>
              <w:left w:val="single" w:sz="4" w:space="0" w:color="auto"/>
              <w:bottom w:val="single" w:sz="4" w:space="0" w:color="auto"/>
              <w:right w:val="single" w:sz="4" w:space="0" w:color="auto"/>
            </w:tcBorders>
            <w:shd w:val="clear" w:color="auto" w:fill="C6EFCE"/>
            <w:noWrap/>
          </w:tcPr>
          <w:p w14:paraId="73E90910" w14:textId="77777777" w:rsidR="00FA7C11" w:rsidRDefault="00D84965">
            <w:pPr>
              <w:pStyle w:val="P68B1DB1-Normal102"/>
              <w:spacing w:after="0" w:line="276" w:lineRule="auto"/>
              <w:jc w:val="center"/>
              <w:rPr>
                <w:rFonts w:eastAsia="Calibri"/>
                <w:noProof/>
                <w:color w:val="000000" w:themeColor="text1"/>
              </w:rPr>
            </w:pPr>
            <w:r>
              <w:rPr>
                <w:noProof/>
              </w:rPr>
              <w:t>156</w:t>
            </w:r>
          </w:p>
        </w:tc>
        <w:tc>
          <w:tcPr>
            <w:tcW w:w="1243" w:type="dxa"/>
            <w:tcBorders>
              <w:top w:val="nil"/>
              <w:left w:val="nil"/>
              <w:bottom w:val="single" w:sz="4" w:space="0" w:color="auto"/>
              <w:right w:val="single" w:sz="4" w:space="0" w:color="auto"/>
            </w:tcBorders>
            <w:shd w:val="clear" w:color="auto" w:fill="C6EFCE"/>
            <w:noWrap/>
          </w:tcPr>
          <w:p w14:paraId="4E0DA5EB" w14:textId="77777777" w:rsidR="00FA7C11" w:rsidRDefault="00D84965">
            <w:pPr>
              <w:pStyle w:val="P68B1DB1-Normal102"/>
              <w:spacing w:after="200" w:line="276" w:lineRule="auto"/>
              <w:jc w:val="center"/>
              <w:rPr>
                <w:rFonts w:eastAsia="Calibri"/>
                <w:noProof/>
                <w:color w:val="000000" w:themeColor="text1"/>
              </w:rPr>
            </w:pPr>
            <w:r>
              <w:rPr>
                <w:noProof/>
              </w:rPr>
              <w:t>C2.1. R2</w:t>
            </w:r>
          </w:p>
        </w:tc>
        <w:tc>
          <w:tcPr>
            <w:tcW w:w="1124" w:type="dxa"/>
            <w:tcBorders>
              <w:top w:val="nil"/>
              <w:left w:val="nil"/>
              <w:bottom w:val="single" w:sz="4" w:space="0" w:color="auto"/>
              <w:right w:val="single" w:sz="4" w:space="0" w:color="auto"/>
            </w:tcBorders>
            <w:shd w:val="clear" w:color="auto" w:fill="C6EFCE"/>
            <w:noWrap/>
          </w:tcPr>
          <w:p w14:paraId="7CA312FE" w14:textId="77777777" w:rsidR="00FA7C11" w:rsidRDefault="00D84965">
            <w:pPr>
              <w:pStyle w:val="P68B1DB1-Normal102"/>
              <w:spacing w:after="200" w:line="276" w:lineRule="auto"/>
              <w:jc w:val="center"/>
              <w:rPr>
                <w:rFonts w:eastAsia="Calibri"/>
                <w:noProof/>
                <w:color w:val="000000" w:themeColor="text1"/>
              </w:rPr>
            </w:pPr>
            <w:r>
              <w:rPr>
                <w:noProof/>
              </w:rPr>
              <w:t>M</w:t>
            </w:r>
          </w:p>
        </w:tc>
        <w:tc>
          <w:tcPr>
            <w:tcW w:w="1784" w:type="dxa"/>
            <w:tcBorders>
              <w:top w:val="nil"/>
              <w:left w:val="nil"/>
              <w:bottom w:val="single" w:sz="4" w:space="0" w:color="auto"/>
              <w:right w:val="single" w:sz="4" w:space="0" w:color="auto"/>
            </w:tcBorders>
            <w:shd w:val="clear" w:color="auto" w:fill="C6EFCE"/>
            <w:noWrap/>
          </w:tcPr>
          <w:p w14:paraId="171C8653" w14:textId="77777777" w:rsidR="00FA7C11" w:rsidRDefault="00D84965">
            <w:pPr>
              <w:pStyle w:val="P68B1DB1-Normal102"/>
              <w:spacing w:after="200" w:line="276" w:lineRule="auto"/>
              <w:rPr>
                <w:rFonts w:eastAsia="Calibri"/>
                <w:noProof/>
                <w:color w:val="000000" w:themeColor="text1"/>
              </w:rPr>
            </w:pPr>
            <w:r>
              <w:rPr>
                <w:noProof/>
              </w:rPr>
              <w:t>Modificarea statutului ARPA în vederea redefinirii mandatului său</w:t>
            </w:r>
          </w:p>
        </w:tc>
        <w:tc>
          <w:tcPr>
            <w:tcW w:w="1912" w:type="dxa"/>
            <w:tcBorders>
              <w:top w:val="nil"/>
              <w:left w:val="nil"/>
              <w:bottom w:val="single" w:sz="4" w:space="0" w:color="auto"/>
              <w:right w:val="single" w:sz="4" w:space="0" w:color="auto"/>
            </w:tcBorders>
            <w:shd w:val="clear" w:color="auto" w:fill="C6EFCE"/>
            <w:noWrap/>
          </w:tcPr>
          <w:p w14:paraId="3C59CEEE" w14:textId="77777777" w:rsidR="00FA7C11" w:rsidRDefault="00D84965">
            <w:pPr>
              <w:pStyle w:val="P68B1DB1-Normal102"/>
              <w:spacing w:after="200" w:line="276" w:lineRule="auto"/>
              <w:rPr>
                <w:rFonts w:eastAsia="Calibri"/>
                <w:noProof/>
                <w:color w:val="000000" w:themeColor="text1"/>
              </w:rPr>
            </w:pPr>
            <w:r>
              <w:rPr>
                <w:noProof/>
              </w:rPr>
              <w:t xml:space="preserve">Informații privind intrarea în vigoare a modificărilor la statutul ARPA </w:t>
            </w:r>
          </w:p>
        </w:tc>
        <w:tc>
          <w:tcPr>
            <w:tcW w:w="1134" w:type="dxa"/>
            <w:tcBorders>
              <w:top w:val="nil"/>
              <w:left w:val="nil"/>
              <w:bottom w:val="single" w:sz="4" w:space="0" w:color="auto"/>
              <w:right w:val="single" w:sz="4" w:space="0" w:color="auto"/>
            </w:tcBorders>
            <w:shd w:val="clear" w:color="auto" w:fill="C6EFCE"/>
            <w:noWrap/>
          </w:tcPr>
          <w:p w14:paraId="5C6463D0" w14:textId="77777777" w:rsidR="00FA7C11" w:rsidRDefault="00D84965">
            <w:pPr>
              <w:pStyle w:val="P68B1DB1-Normal102"/>
              <w:spacing w:after="200" w:line="276" w:lineRule="auto"/>
              <w:jc w:val="center"/>
              <w:rPr>
                <w:rFonts w:eastAsia="Calibri"/>
                <w:noProof/>
                <w:color w:val="000000" w:themeColor="text1"/>
              </w:rPr>
            </w:pPr>
            <w:r>
              <w:rPr>
                <w:noProof/>
              </w:rPr>
              <w:t> </w:t>
            </w:r>
          </w:p>
        </w:tc>
        <w:tc>
          <w:tcPr>
            <w:tcW w:w="850" w:type="dxa"/>
            <w:tcBorders>
              <w:top w:val="nil"/>
              <w:left w:val="nil"/>
              <w:bottom w:val="single" w:sz="4" w:space="0" w:color="auto"/>
              <w:right w:val="single" w:sz="4" w:space="0" w:color="auto"/>
            </w:tcBorders>
            <w:shd w:val="clear" w:color="auto" w:fill="C6EFCE"/>
            <w:noWrap/>
          </w:tcPr>
          <w:p w14:paraId="12561D39" w14:textId="77777777" w:rsidR="00FA7C11" w:rsidRDefault="00D84965">
            <w:pPr>
              <w:pStyle w:val="P68B1DB1-Normal102"/>
              <w:spacing w:after="200" w:line="276" w:lineRule="auto"/>
              <w:jc w:val="center"/>
              <w:rPr>
                <w:rFonts w:eastAsia="Calibri"/>
                <w:noProof/>
                <w:color w:val="000000" w:themeColor="text1"/>
              </w:rPr>
            </w:pPr>
            <w:r>
              <w:rPr>
                <w:noProof/>
              </w:rPr>
              <w:t> </w:t>
            </w:r>
          </w:p>
        </w:tc>
        <w:tc>
          <w:tcPr>
            <w:tcW w:w="992" w:type="dxa"/>
            <w:tcBorders>
              <w:top w:val="nil"/>
              <w:left w:val="nil"/>
              <w:bottom w:val="single" w:sz="4" w:space="0" w:color="auto"/>
              <w:right w:val="single" w:sz="4" w:space="0" w:color="auto"/>
            </w:tcBorders>
            <w:shd w:val="clear" w:color="auto" w:fill="C6EFCE"/>
            <w:noWrap/>
          </w:tcPr>
          <w:p w14:paraId="0CABD473" w14:textId="77777777" w:rsidR="00FA7C11" w:rsidRDefault="00D84965">
            <w:pPr>
              <w:pStyle w:val="P68B1DB1-Normal102"/>
              <w:spacing w:after="200" w:line="276" w:lineRule="auto"/>
              <w:jc w:val="center"/>
              <w:rPr>
                <w:rFonts w:eastAsia="Calibri"/>
                <w:noProof/>
                <w:color w:val="000000" w:themeColor="text1"/>
              </w:rPr>
            </w:pPr>
            <w:r>
              <w:rPr>
                <w:noProof/>
              </w:rPr>
              <w:t> </w:t>
            </w:r>
          </w:p>
        </w:tc>
        <w:tc>
          <w:tcPr>
            <w:tcW w:w="888" w:type="dxa"/>
            <w:tcBorders>
              <w:top w:val="nil"/>
              <w:left w:val="nil"/>
              <w:bottom w:val="single" w:sz="4" w:space="0" w:color="auto"/>
              <w:right w:val="single" w:sz="4" w:space="0" w:color="auto"/>
            </w:tcBorders>
            <w:shd w:val="clear" w:color="auto" w:fill="C6EFCE"/>
            <w:noWrap/>
          </w:tcPr>
          <w:p w14:paraId="3701F0DB" w14:textId="77777777" w:rsidR="00FA7C11" w:rsidRDefault="00D84965">
            <w:pPr>
              <w:pStyle w:val="P68B1DB1-Normal102"/>
              <w:spacing w:after="200" w:line="276" w:lineRule="auto"/>
              <w:jc w:val="center"/>
              <w:rPr>
                <w:rFonts w:eastAsia="Calibri"/>
                <w:noProof/>
                <w:color w:val="000000" w:themeColor="text1"/>
              </w:rPr>
            </w:pPr>
            <w:r>
              <w:rPr>
                <w:noProof/>
              </w:rPr>
              <w:t>Î3</w:t>
            </w:r>
          </w:p>
        </w:tc>
        <w:tc>
          <w:tcPr>
            <w:tcW w:w="840" w:type="dxa"/>
            <w:tcBorders>
              <w:top w:val="nil"/>
              <w:left w:val="nil"/>
              <w:bottom w:val="single" w:sz="4" w:space="0" w:color="auto"/>
              <w:right w:val="single" w:sz="4" w:space="0" w:color="auto"/>
            </w:tcBorders>
            <w:shd w:val="clear" w:color="auto" w:fill="C6EFCE"/>
            <w:noWrap/>
          </w:tcPr>
          <w:p w14:paraId="6081DA6C" w14:textId="77777777" w:rsidR="00FA7C11" w:rsidRDefault="00D84965">
            <w:pPr>
              <w:pStyle w:val="P68B1DB1-Normal102"/>
              <w:spacing w:after="200" w:line="276" w:lineRule="auto"/>
              <w:jc w:val="center"/>
              <w:rPr>
                <w:rFonts w:eastAsia="Calibri"/>
                <w:noProof/>
                <w:color w:val="000000" w:themeColor="text1"/>
              </w:rPr>
            </w:pPr>
            <w:r>
              <w:rPr>
                <w:noProof/>
              </w:rPr>
              <w:t>2021</w:t>
            </w:r>
          </w:p>
        </w:tc>
        <w:tc>
          <w:tcPr>
            <w:tcW w:w="4368" w:type="dxa"/>
            <w:tcBorders>
              <w:top w:val="nil"/>
              <w:left w:val="nil"/>
              <w:bottom w:val="single" w:sz="4" w:space="0" w:color="auto"/>
              <w:right w:val="single" w:sz="4" w:space="0" w:color="auto"/>
            </w:tcBorders>
            <w:shd w:val="clear" w:color="auto" w:fill="C6EFCE"/>
            <w:noWrap/>
          </w:tcPr>
          <w:p w14:paraId="70A54B68" w14:textId="77777777" w:rsidR="00FA7C11" w:rsidRDefault="00D84965">
            <w:pPr>
              <w:pStyle w:val="P68B1DB1-Normal102"/>
              <w:spacing w:after="200" w:line="276" w:lineRule="auto"/>
              <w:rPr>
                <w:rFonts w:eastAsia="Calibri"/>
                <w:noProof/>
                <w:color w:val="000000" w:themeColor="text1"/>
              </w:rPr>
            </w:pPr>
            <w:r>
              <w:rPr>
                <w:noProof/>
              </w:rPr>
              <w:t>Modificările statutului Agenției pentru Auditul Sistemului de Implementare a Programelor Uniunii Europene (ARPA) definesc mandatul ARPA de a institui și de a efectua audituri și controale de sistem legate de Planul național de redresare și reziliență.</w:t>
            </w:r>
          </w:p>
        </w:tc>
      </w:tr>
      <w:tr w:rsidR="00FA7C11" w14:paraId="6AB45AF0" w14:textId="77777777">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E5021F5" w14:textId="77777777" w:rsidR="00FA7C11" w:rsidRDefault="00D84965">
            <w:pPr>
              <w:pStyle w:val="P68B1DB1-Normal102"/>
              <w:spacing w:after="0" w:line="276" w:lineRule="auto"/>
              <w:jc w:val="center"/>
              <w:rPr>
                <w:rFonts w:eastAsia="Calibri"/>
                <w:noProof/>
                <w:color w:val="000000" w:themeColor="text1"/>
              </w:rPr>
            </w:pPr>
            <w:r>
              <w:rPr>
                <w:noProof/>
              </w:rPr>
              <w:t>157</w:t>
            </w:r>
          </w:p>
        </w:tc>
        <w:tc>
          <w:tcPr>
            <w:tcW w:w="1243" w:type="dxa"/>
            <w:tcBorders>
              <w:top w:val="single" w:sz="4" w:space="0" w:color="auto"/>
              <w:left w:val="nil"/>
              <w:bottom w:val="single" w:sz="4" w:space="0" w:color="auto"/>
              <w:right w:val="single" w:sz="4" w:space="0" w:color="auto"/>
            </w:tcBorders>
            <w:shd w:val="clear" w:color="auto" w:fill="C6EFCE"/>
            <w:noWrap/>
          </w:tcPr>
          <w:p w14:paraId="0333872E" w14:textId="77777777" w:rsidR="00FA7C11" w:rsidRDefault="00D84965">
            <w:pPr>
              <w:pStyle w:val="P68B1DB1-Normal102"/>
              <w:spacing w:after="0" w:line="276" w:lineRule="auto"/>
              <w:jc w:val="center"/>
              <w:rPr>
                <w:rFonts w:eastAsia="Calibri"/>
                <w:noProof/>
                <w:color w:val="000000" w:themeColor="text1"/>
              </w:rPr>
            </w:pPr>
            <w:r>
              <w:rPr>
                <w:noProof/>
              </w:rPr>
              <w:t>C2.1. R2</w:t>
            </w:r>
          </w:p>
        </w:tc>
        <w:tc>
          <w:tcPr>
            <w:tcW w:w="1124" w:type="dxa"/>
            <w:tcBorders>
              <w:top w:val="single" w:sz="4" w:space="0" w:color="auto"/>
              <w:left w:val="nil"/>
              <w:bottom w:val="single" w:sz="4" w:space="0" w:color="auto"/>
              <w:right w:val="single" w:sz="4" w:space="0" w:color="auto"/>
            </w:tcBorders>
            <w:shd w:val="clear" w:color="auto" w:fill="C6EFCE"/>
            <w:noWrap/>
          </w:tcPr>
          <w:p w14:paraId="6AD594A6" w14:textId="77777777" w:rsidR="00FA7C11" w:rsidRDefault="00D84965">
            <w:pPr>
              <w:pStyle w:val="P68B1DB1-Normal102"/>
              <w:spacing w:after="0" w:line="276" w:lineRule="auto"/>
              <w:jc w:val="center"/>
              <w:rPr>
                <w:rFonts w:eastAsia="Calibri"/>
                <w:noProof/>
                <w:color w:val="000000" w:themeColor="text1"/>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1EB49334" w14:textId="77777777" w:rsidR="00FA7C11" w:rsidRDefault="00D84965">
            <w:pPr>
              <w:pStyle w:val="P68B1DB1-Normal102"/>
              <w:spacing w:after="0" w:line="276" w:lineRule="auto"/>
              <w:rPr>
                <w:rFonts w:eastAsia="Calibri"/>
                <w:noProof/>
                <w:color w:val="000000" w:themeColor="text1"/>
              </w:rPr>
            </w:pPr>
            <w:r>
              <w:rPr>
                <w:noProof/>
              </w:rPr>
              <w:t>Instituirea sistemului de punere în aplicare, de audit și de control pentru planul de redresare și reziliență</w:t>
            </w:r>
          </w:p>
        </w:tc>
        <w:tc>
          <w:tcPr>
            <w:tcW w:w="1912" w:type="dxa"/>
            <w:tcBorders>
              <w:top w:val="single" w:sz="4" w:space="0" w:color="auto"/>
              <w:left w:val="nil"/>
              <w:bottom w:val="single" w:sz="4" w:space="0" w:color="auto"/>
              <w:right w:val="single" w:sz="4" w:space="0" w:color="auto"/>
            </w:tcBorders>
            <w:shd w:val="clear" w:color="auto" w:fill="C6EFCE"/>
            <w:noWrap/>
          </w:tcPr>
          <w:p w14:paraId="107FF5DB" w14:textId="77777777" w:rsidR="00FA7C11" w:rsidRDefault="00D84965">
            <w:pPr>
              <w:pStyle w:val="P68B1DB1-Normal102"/>
              <w:spacing w:after="0" w:line="276" w:lineRule="auto"/>
              <w:rPr>
                <w:rFonts w:eastAsia="Calibri"/>
                <w:noProof/>
                <w:color w:val="000000" w:themeColor="text1"/>
              </w:rPr>
            </w:pPr>
            <w:r>
              <w:rPr>
                <w:noProof/>
              </w:rPr>
              <w:t>Intrarea în vigoare a deciziei guvernului croat privind organismele din sistemul de punere în aplicare a PNRR, înființarea organismului de coordonare în cadrul Ministerului Finanțelor și actualizarea procedurilor utilizate de organismele de punere în aplicare.</w:t>
            </w:r>
          </w:p>
        </w:tc>
        <w:tc>
          <w:tcPr>
            <w:tcW w:w="1134" w:type="dxa"/>
            <w:tcBorders>
              <w:top w:val="single" w:sz="4" w:space="0" w:color="auto"/>
              <w:left w:val="nil"/>
              <w:bottom w:val="single" w:sz="4" w:space="0" w:color="auto"/>
              <w:right w:val="single" w:sz="4" w:space="0" w:color="auto"/>
            </w:tcBorders>
            <w:shd w:val="clear" w:color="auto" w:fill="C6EFCE"/>
            <w:noWrap/>
          </w:tcPr>
          <w:p w14:paraId="18077C5F" w14:textId="77777777" w:rsidR="00FA7C11" w:rsidRDefault="00D84965">
            <w:pPr>
              <w:pStyle w:val="P68B1DB1-Normal102"/>
              <w:spacing w:after="0" w:line="276" w:lineRule="auto"/>
              <w:rPr>
                <w:rFonts w:eastAsia="Calibri"/>
                <w:noProof/>
                <w:color w:val="000000" w:themeColor="text1"/>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23B099F" w14:textId="77777777" w:rsidR="00FA7C11" w:rsidRDefault="00D84965">
            <w:pPr>
              <w:pStyle w:val="P68B1DB1-Normal102"/>
              <w:spacing w:after="0" w:line="276" w:lineRule="auto"/>
              <w:jc w:val="center"/>
              <w:rPr>
                <w:rFonts w:eastAsia="Calibri"/>
                <w:noProof/>
                <w:color w:val="000000" w:themeColor="text1"/>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DED130B" w14:textId="77777777" w:rsidR="00FA7C11" w:rsidRDefault="00D84965">
            <w:pPr>
              <w:pStyle w:val="P68B1DB1-Normal102"/>
              <w:spacing w:after="0" w:line="276" w:lineRule="auto"/>
              <w:jc w:val="center"/>
              <w:rPr>
                <w:rFonts w:eastAsia="Calibri"/>
                <w:noProof/>
                <w:color w:val="000000" w:themeColor="text1"/>
              </w:rPr>
            </w:pPr>
            <w:r>
              <w:rPr>
                <w:noProof/>
              </w:rPr>
              <w:t> </w:t>
            </w:r>
          </w:p>
        </w:tc>
        <w:tc>
          <w:tcPr>
            <w:tcW w:w="888" w:type="dxa"/>
            <w:tcBorders>
              <w:top w:val="single" w:sz="4" w:space="0" w:color="auto"/>
              <w:left w:val="nil"/>
              <w:bottom w:val="single" w:sz="4" w:space="0" w:color="auto"/>
              <w:right w:val="single" w:sz="4" w:space="0" w:color="auto"/>
            </w:tcBorders>
            <w:shd w:val="clear" w:color="auto" w:fill="C6EFCE"/>
            <w:noWrap/>
          </w:tcPr>
          <w:p w14:paraId="6B00779E" w14:textId="77777777" w:rsidR="00FA7C11" w:rsidRDefault="00D84965">
            <w:pPr>
              <w:pStyle w:val="P68B1DB1-Normal102"/>
              <w:spacing w:after="0" w:line="276" w:lineRule="auto"/>
              <w:jc w:val="center"/>
              <w:rPr>
                <w:rFonts w:eastAsia="Calibri"/>
                <w:noProof/>
                <w:color w:val="000000" w:themeColor="text1"/>
              </w:rPr>
            </w:pPr>
            <w:r>
              <w:rPr>
                <w:noProof/>
              </w:rPr>
              <w:t>Î4</w:t>
            </w:r>
          </w:p>
        </w:tc>
        <w:tc>
          <w:tcPr>
            <w:tcW w:w="840" w:type="dxa"/>
            <w:tcBorders>
              <w:top w:val="single" w:sz="4" w:space="0" w:color="auto"/>
              <w:left w:val="nil"/>
              <w:bottom w:val="single" w:sz="4" w:space="0" w:color="auto"/>
              <w:right w:val="single" w:sz="4" w:space="0" w:color="auto"/>
            </w:tcBorders>
            <w:shd w:val="clear" w:color="auto" w:fill="C6EFCE"/>
            <w:noWrap/>
          </w:tcPr>
          <w:p w14:paraId="0BF9D473" w14:textId="77777777" w:rsidR="00FA7C11" w:rsidRDefault="00D84965">
            <w:pPr>
              <w:pStyle w:val="P68B1DB1-Normal102"/>
              <w:spacing w:after="0" w:line="276" w:lineRule="auto"/>
              <w:jc w:val="center"/>
              <w:rPr>
                <w:rFonts w:eastAsia="Calibri"/>
                <w:noProof/>
                <w:color w:val="000000" w:themeColor="text1"/>
              </w:rPr>
            </w:pPr>
            <w:r>
              <w:rPr>
                <w:noProof/>
              </w:rPr>
              <w:t>2021</w:t>
            </w:r>
          </w:p>
        </w:tc>
        <w:tc>
          <w:tcPr>
            <w:tcW w:w="4368" w:type="dxa"/>
            <w:tcBorders>
              <w:top w:val="single" w:sz="4" w:space="0" w:color="auto"/>
              <w:left w:val="nil"/>
              <w:bottom w:val="single" w:sz="4" w:space="0" w:color="auto"/>
              <w:right w:val="single" w:sz="4" w:space="0" w:color="auto"/>
            </w:tcBorders>
            <w:shd w:val="clear" w:color="auto" w:fill="C6EFCE"/>
            <w:noWrap/>
          </w:tcPr>
          <w:p w14:paraId="0A57F08F" w14:textId="77777777" w:rsidR="00FA7C11" w:rsidRDefault="00D84965">
            <w:pPr>
              <w:pStyle w:val="P68B1DB1-Normal89"/>
              <w:spacing w:after="0" w:line="276" w:lineRule="auto"/>
              <w:rPr>
                <w:rFonts w:eastAsia="Calibri"/>
                <w:noProof/>
                <w:color w:val="000000" w:themeColor="text1"/>
              </w:rPr>
            </w:pPr>
            <w:r>
              <w:rPr>
                <w:noProof/>
                <w:color w:val="000000" w:themeColor="text1"/>
              </w:rPr>
              <w:t>Decizia privind organismele din sistemul PRR definește autoritățile competente și responsabilitățile pentru îndeplinirea sarcinilor legate de implementarea PRR, inclusiv un organism central de coordonare din cadrul Ministerului Finanțelor care să asigure punerea în aplicare și monitorizarea măsurilor MRR, inclusiv a reformelor, în timp ce Comitetul de punere în aplicare va asigura consecvența și coerența în utilizarea fondurilor UE.</w:t>
            </w:r>
            <w:r>
              <w:rPr>
                <w:noProof/>
              </w:rPr>
              <w:br/>
            </w:r>
            <w:r>
              <w:rPr>
                <w:noProof/>
                <w:color w:val="000000" w:themeColor="text1"/>
              </w:rPr>
              <w:t>Organismul de coordonare pentru planul de redresare și reziliență este instituit și pe deplin funcțional în cadrul Ministerului Finanțelor.</w:t>
            </w:r>
            <w:r>
              <w:rPr>
                <w:noProof/>
              </w:rPr>
              <w:br/>
            </w:r>
            <w:r>
              <w:rPr>
                <w:noProof/>
                <w:color w:val="000000" w:themeColor="text1"/>
              </w:rPr>
              <w:t>Toate procedurile utilizate de organismele de punere în aplicare pentru planul de redresare și reziliență trebuie să fie actualizate și instituite.</w:t>
            </w:r>
          </w:p>
        </w:tc>
      </w:tr>
      <w:tr w:rsidR="00FA7C11" w14:paraId="25659F7B" w14:textId="77777777">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411A3D9" w14:textId="77777777" w:rsidR="00FA7C11" w:rsidRDefault="00D84965">
            <w:pPr>
              <w:pStyle w:val="P68B1DB1-Normal102"/>
              <w:spacing w:after="0" w:line="276" w:lineRule="auto"/>
              <w:jc w:val="center"/>
              <w:rPr>
                <w:rFonts w:eastAsia="Calibri"/>
                <w:noProof/>
                <w:color w:val="000000" w:themeColor="text1"/>
              </w:rPr>
            </w:pPr>
            <w:r>
              <w:rPr>
                <w:noProof/>
              </w:rPr>
              <w:t>158</w:t>
            </w:r>
          </w:p>
        </w:tc>
        <w:tc>
          <w:tcPr>
            <w:tcW w:w="1243" w:type="dxa"/>
            <w:tcBorders>
              <w:top w:val="single" w:sz="4" w:space="0" w:color="auto"/>
              <w:left w:val="nil"/>
              <w:bottom w:val="single" w:sz="4" w:space="0" w:color="auto"/>
              <w:right w:val="single" w:sz="4" w:space="0" w:color="auto"/>
            </w:tcBorders>
            <w:shd w:val="clear" w:color="auto" w:fill="C6EFCE"/>
            <w:noWrap/>
          </w:tcPr>
          <w:p w14:paraId="53C77C92" w14:textId="77777777" w:rsidR="00FA7C11" w:rsidRDefault="00D84965">
            <w:pPr>
              <w:pStyle w:val="P68B1DB1-Normal102"/>
              <w:spacing w:after="0" w:line="276" w:lineRule="auto"/>
              <w:jc w:val="center"/>
              <w:rPr>
                <w:rFonts w:eastAsia="Calibri"/>
                <w:noProof/>
                <w:color w:val="000000" w:themeColor="text1"/>
              </w:rPr>
            </w:pPr>
            <w:r>
              <w:rPr>
                <w:noProof/>
              </w:rPr>
              <w:t>C2.1. R2</w:t>
            </w:r>
          </w:p>
        </w:tc>
        <w:tc>
          <w:tcPr>
            <w:tcW w:w="1124" w:type="dxa"/>
            <w:tcBorders>
              <w:top w:val="single" w:sz="4" w:space="0" w:color="auto"/>
              <w:left w:val="nil"/>
              <w:bottom w:val="single" w:sz="4" w:space="0" w:color="auto"/>
              <w:right w:val="single" w:sz="4" w:space="0" w:color="auto"/>
            </w:tcBorders>
            <w:shd w:val="clear" w:color="auto" w:fill="C6EFCE"/>
            <w:noWrap/>
          </w:tcPr>
          <w:p w14:paraId="2702C47B" w14:textId="77777777" w:rsidR="00FA7C11" w:rsidRDefault="00D84965">
            <w:pPr>
              <w:pStyle w:val="P68B1DB1-Normal102"/>
              <w:spacing w:after="0" w:line="276" w:lineRule="auto"/>
              <w:jc w:val="center"/>
              <w:rPr>
                <w:rFonts w:eastAsia="Calibri"/>
                <w:noProof/>
                <w:color w:val="000000" w:themeColor="text1"/>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30387B8D" w14:textId="77777777" w:rsidR="00FA7C11" w:rsidRDefault="00D84965">
            <w:pPr>
              <w:pStyle w:val="P68B1DB1-Normal102"/>
              <w:spacing w:after="0" w:line="276" w:lineRule="auto"/>
              <w:rPr>
                <w:rFonts w:eastAsia="Calibri"/>
                <w:noProof/>
                <w:color w:val="000000" w:themeColor="text1"/>
              </w:rPr>
            </w:pPr>
            <w:r>
              <w:rPr>
                <w:noProof/>
              </w:rPr>
              <w:t>Adoptarea Legii privind cadrul instituțional pentru fondurile UE</w:t>
            </w:r>
          </w:p>
        </w:tc>
        <w:tc>
          <w:tcPr>
            <w:tcW w:w="1912" w:type="dxa"/>
            <w:tcBorders>
              <w:top w:val="single" w:sz="4" w:space="0" w:color="auto"/>
              <w:left w:val="nil"/>
              <w:bottom w:val="single" w:sz="4" w:space="0" w:color="auto"/>
              <w:right w:val="single" w:sz="4" w:space="0" w:color="auto"/>
            </w:tcBorders>
            <w:shd w:val="clear" w:color="auto" w:fill="C6EFCE"/>
            <w:noWrap/>
          </w:tcPr>
          <w:p w14:paraId="01E89409" w14:textId="77777777" w:rsidR="00FA7C11" w:rsidRDefault="00D84965">
            <w:pPr>
              <w:pStyle w:val="P68B1DB1-Normal102"/>
              <w:spacing w:after="0" w:line="276" w:lineRule="auto"/>
              <w:rPr>
                <w:rFonts w:eastAsia="Calibri"/>
                <w:noProof/>
                <w:color w:val="000000" w:themeColor="text1"/>
              </w:rPr>
            </w:pPr>
            <w:r>
              <w:rPr>
                <w:noProof/>
              </w:rPr>
              <w:t xml:space="preserve">Intrarea în vigoare a Legii privind cadrul instituțional pentru fondurile UE </w:t>
            </w:r>
          </w:p>
        </w:tc>
        <w:tc>
          <w:tcPr>
            <w:tcW w:w="1134" w:type="dxa"/>
            <w:tcBorders>
              <w:top w:val="single" w:sz="4" w:space="0" w:color="auto"/>
              <w:left w:val="nil"/>
              <w:bottom w:val="single" w:sz="4" w:space="0" w:color="auto"/>
              <w:right w:val="single" w:sz="4" w:space="0" w:color="auto"/>
            </w:tcBorders>
            <w:shd w:val="clear" w:color="auto" w:fill="C6EFCE"/>
            <w:noWrap/>
          </w:tcPr>
          <w:p w14:paraId="5283DF81" w14:textId="77777777" w:rsidR="00FA7C11" w:rsidRDefault="00D84965">
            <w:pPr>
              <w:pStyle w:val="P68B1DB1-Normal102"/>
              <w:spacing w:after="0" w:line="276" w:lineRule="auto"/>
              <w:jc w:val="center"/>
              <w:rPr>
                <w:rFonts w:eastAsia="Calibri"/>
                <w:noProof/>
                <w:color w:val="000000" w:themeColor="text1"/>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28224796" w14:textId="77777777" w:rsidR="00FA7C11" w:rsidRDefault="00D84965">
            <w:pPr>
              <w:pStyle w:val="P68B1DB1-Normal102"/>
              <w:spacing w:after="0" w:line="276" w:lineRule="auto"/>
              <w:jc w:val="center"/>
              <w:rPr>
                <w:rFonts w:eastAsia="Calibri"/>
                <w:noProof/>
                <w:color w:val="000000" w:themeColor="text1"/>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4621094D" w14:textId="77777777" w:rsidR="00FA7C11" w:rsidRDefault="00D84965">
            <w:pPr>
              <w:pStyle w:val="P68B1DB1-Normal102"/>
              <w:spacing w:after="0" w:line="276" w:lineRule="auto"/>
              <w:jc w:val="center"/>
              <w:rPr>
                <w:rFonts w:eastAsia="Calibri"/>
                <w:noProof/>
                <w:color w:val="000000" w:themeColor="text1"/>
              </w:rPr>
            </w:pPr>
            <w:r>
              <w:rPr>
                <w:noProof/>
              </w:rPr>
              <w:t> </w:t>
            </w:r>
          </w:p>
        </w:tc>
        <w:tc>
          <w:tcPr>
            <w:tcW w:w="888" w:type="dxa"/>
            <w:tcBorders>
              <w:top w:val="single" w:sz="4" w:space="0" w:color="auto"/>
              <w:left w:val="nil"/>
              <w:bottom w:val="single" w:sz="4" w:space="0" w:color="auto"/>
              <w:right w:val="single" w:sz="4" w:space="0" w:color="auto"/>
            </w:tcBorders>
            <w:shd w:val="clear" w:color="auto" w:fill="C6EFCE"/>
            <w:noWrap/>
          </w:tcPr>
          <w:p w14:paraId="7C6EB792" w14:textId="77777777" w:rsidR="00FA7C11" w:rsidRDefault="00D84965">
            <w:pPr>
              <w:pStyle w:val="P68B1DB1-Normal102"/>
              <w:spacing w:after="0" w:line="276" w:lineRule="auto"/>
              <w:jc w:val="center"/>
              <w:rPr>
                <w:rFonts w:eastAsia="Calibri"/>
                <w:noProof/>
                <w:color w:val="000000" w:themeColor="text1"/>
                <w:u w:val="single"/>
              </w:rPr>
            </w:pPr>
            <w:r>
              <w:rPr>
                <w:noProof/>
              </w:rPr>
              <w:t>Î4</w:t>
            </w:r>
          </w:p>
        </w:tc>
        <w:tc>
          <w:tcPr>
            <w:tcW w:w="840" w:type="dxa"/>
            <w:tcBorders>
              <w:top w:val="single" w:sz="4" w:space="0" w:color="auto"/>
              <w:left w:val="nil"/>
              <w:bottom w:val="single" w:sz="4" w:space="0" w:color="auto"/>
              <w:right w:val="single" w:sz="4" w:space="0" w:color="auto"/>
            </w:tcBorders>
            <w:shd w:val="clear" w:color="auto" w:fill="C6EFCE"/>
            <w:noWrap/>
          </w:tcPr>
          <w:p w14:paraId="3E854BC2" w14:textId="77777777" w:rsidR="00FA7C11" w:rsidRDefault="00D84965">
            <w:pPr>
              <w:pStyle w:val="P68B1DB1-Normal102"/>
              <w:spacing w:after="0" w:line="276" w:lineRule="auto"/>
              <w:jc w:val="center"/>
              <w:rPr>
                <w:rFonts w:eastAsia="Calibri"/>
                <w:noProof/>
                <w:color w:val="000000" w:themeColor="text1"/>
              </w:rPr>
            </w:pPr>
            <w:r>
              <w:rPr>
                <w:noProof/>
              </w:rPr>
              <w:t>2021</w:t>
            </w:r>
          </w:p>
        </w:tc>
        <w:tc>
          <w:tcPr>
            <w:tcW w:w="4368" w:type="dxa"/>
            <w:tcBorders>
              <w:top w:val="single" w:sz="4" w:space="0" w:color="auto"/>
              <w:left w:val="nil"/>
              <w:bottom w:val="single" w:sz="4" w:space="0" w:color="auto"/>
              <w:right w:val="single" w:sz="4" w:space="0" w:color="auto"/>
            </w:tcBorders>
            <w:shd w:val="clear" w:color="auto" w:fill="C6EFCE"/>
            <w:noWrap/>
          </w:tcPr>
          <w:p w14:paraId="1AB824B9" w14:textId="77777777" w:rsidR="00FA7C11" w:rsidRDefault="00D84965">
            <w:pPr>
              <w:pStyle w:val="P68B1DB1-Normal102"/>
              <w:spacing w:after="0" w:line="276" w:lineRule="auto"/>
              <w:rPr>
                <w:rFonts w:eastAsia="Calibri"/>
                <w:noProof/>
                <w:color w:val="000000" w:themeColor="text1"/>
              </w:rPr>
            </w:pPr>
            <w:r>
              <w:rPr>
                <w:noProof/>
              </w:rPr>
              <w:t>Pe lângă instituirea cadrului instituțional și a organismelor de desemnare în cadrul legii, legea oferă, de asemenea, un cadru pentru instituirea activităților de consolidare a capacităților, care se preconizează că vor fi dezvoltate în continuare prin intermediul foii de parcurs pentru consolidarea capacității administrative. Această foaie de parcurs este în curs de elaborare în cadrul programării fondurilor ESI. Legea recunoaște necesitatea de a consolida în continuare capacitatea beneficiarilor de a pregăti, de a aplica și de a pune în aplicare proiecte care sunt puse în aplicare prin intermediul programelor (operaționale) finanțate de UE.</w:t>
            </w:r>
          </w:p>
        </w:tc>
      </w:tr>
      <w:tr w:rsidR="00FA7C11" w14:paraId="5D77212E" w14:textId="77777777">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6A3F618" w14:textId="77777777" w:rsidR="00FA7C11" w:rsidRDefault="00D84965">
            <w:pPr>
              <w:pStyle w:val="P68B1DB1-Normal102"/>
              <w:spacing w:after="0" w:line="276" w:lineRule="auto"/>
              <w:jc w:val="center"/>
              <w:rPr>
                <w:noProof/>
              </w:rPr>
            </w:pPr>
            <w:r>
              <w:rPr>
                <w:noProof/>
              </w:rPr>
              <w:t>159</w:t>
            </w:r>
          </w:p>
        </w:tc>
        <w:tc>
          <w:tcPr>
            <w:tcW w:w="1243" w:type="dxa"/>
            <w:tcBorders>
              <w:top w:val="single" w:sz="4" w:space="0" w:color="auto"/>
              <w:left w:val="nil"/>
              <w:bottom w:val="single" w:sz="4" w:space="0" w:color="auto"/>
              <w:right w:val="single" w:sz="4" w:space="0" w:color="auto"/>
            </w:tcBorders>
            <w:shd w:val="clear" w:color="auto" w:fill="C6EFCE"/>
            <w:noWrap/>
          </w:tcPr>
          <w:p w14:paraId="1B24CA57" w14:textId="77777777" w:rsidR="00FA7C11" w:rsidRDefault="00D84965">
            <w:pPr>
              <w:pStyle w:val="P68B1DB1-Normal102"/>
              <w:spacing w:after="0" w:line="276" w:lineRule="auto"/>
              <w:jc w:val="center"/>
              <w:rPr>
                <w:noProof/>
              </w:rPr>
            </w:pPr>
            <w:r>
              <w:rPr>
                <w:noProof/>
              </w:rPr>
              <w:t>C2.1. R2</w:t>
            </w:r>
          </w:p>
        </w:tc>
        <w:tc>
          <w:tcPr>
            <w:tcW w:w="1124" w:type="dxa"/>
            <w:tcBorders>
              <w:top w:val="single" w:sz="4" w:space="0" w:color="auto"/>
              <w:left w:val="nil"/>
              <w:bottom w:val="single" w:sz="4" w:space="0" w:color="auto"/>
              <w:right w:val="single" w:sz="4" w:space="0" w:color="auto"/>
            </w:tcBorders>
            <w:shd w:val="clear" w:color="auto" w:fill="C6EFCE"/>
            <w:noWrap/>
          </w:tcPr>
          <w:p w14:paraId="6D733A5A" w14:textId="77777777" w:rsidR="00FA7C11" w:rsidRDefault="00D84965">
            <w:pPr>
              <w:pStyle w:val="P68B1DB1-Normal102"/>
              <w:spacing w:after="0" w:line="276" w:lineRule="auto"/>
              <w:jc w:val="center"/>
              <w:rPr>
                <w:noProof/>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78928B39" w14:textId="77777777" w:rsidR="00FA7C11" w:rsidRDefault="00D84965">
            <w:pPr>
              <w:pStyle w:val="P68B1DB1-Normal102"/>
              <w:spacing w:after="0" w:line="276" w:lineRule="auto"/>
              <w:rPr>
                <w:noProof/>
              </w:rPr>
            </w:pPr>
            <w:r>
              <w:rPr>
                <w:noProof/>
              </w:rPr>
              <w:t xml:space="preserve">Evaluarea capacității administrative </w:t>
            </w:r>
          </w:p>
        </w:tc>
        <w:tc>
          <w:tcPr>
            <w:tcW w:w="1912" w:type="dxa"/>
            <w:tcBorders>
              <w:top w:val="single" w:sz="4" w:space="0" w:color="auto"/>
              <w:left w:val="nil"/>
              <w:bottom w:val="single" w:sz="4" w:space="0" w:color="auto"/>
              <w:right w:val="single" w:sz="4" w:space="0" w:color="auto"/>
            </w:tcBorders>
            <w:shd w:val="clear" w:color="auto" w:fill="C6EFCE"/>
            <w:noWrap/>
          </w:tcPr>
          <w:p w14:paraId="28F405B7" w14:textId="77777777" w:rsidR="00FA7C11" w:rsidRDefault="00D84965">
            <w:pPr>
              <w:pStyle w:val="P68B1DB1-Normal102"/>
              <w:spacing w:after="0" w:line="276" w:lineRule="auto"/>
              <w:rPr>
                <w:noProof/>
              </w:rPr>
            </w:pPr>
            <w:r>
              <w:rPr>
                <w:noProof/>
              </w:rPr>
              <w:t>Se publică o analiză a volumului de muncă</w:t>
            </w:r>
          </w:p>
        </w:tc>
        <w:tc>
          <w:tcPr>
            <w:tcW w:w="1134" w:type="dxa"/>
            <w:tcBorders>
              <w:top w:val="single" w:sz="4" w:space="0" w:color="auto"/>
              <w:left w:val="nil"/>
              <w:bottom w:val="single" w:sz="4" w:space="0" w:color="auto"/>
              <w:right w:val="single" w:sz="4" w:space="0" w:color="auto"/>
            </w:tcBorders>
            <w:shd w:val="clear" w:color="auto" w:fill="C6EFCE"/>
            <w:noWrap/>
          </w:tcPr>
          <w:p w14:paraId="348C08A2" w14:textId="77777777" w:rsidR="00FA7C11" w:rsidRDefault="00D84965">
            <w:pPr>
              <w:pStyle w:val="P68B1DB1-Normal102"/>
              <w:spacing w:after="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B340FCE" w14:textId="77777777" w:rsidR="00FA7C11" w:rsidRDefault="00D84965">
            <w:pPr>
              <w:pStyle w:val="P68B1DB1-Normal102"/>
              <w:spacing w:after="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174F53B1" w14:textId="77777777" w:rsidR="00FA7C11" w:rsidRDefault="00D84965">
            <w:pPr>
              <w:pStyle w:val="P68B1DB1-Normal102"/>
              <w:spacing w:after="0" w:line="276" w:lineRule="auto"/>
              <w:jc w:val="center"/>
              <w:rPr>
                <w:noProof/>
              </w:rPr>
            </w:pPr>
            <w:r>
              <w:rPr>
                <w:noProof/>
              </w:rPr>
              <w:t> </w:t>
            </w:r>
          </w:p>
        </w:tc>
        <w:tc>
          <w:tcPr>
            <w:tcW w:w="888" w:type="dxa"/>
            <w:tcBorders>
              <w:top w:val="single" w:sz="4" w:space="0" w:color="auto"/>
              <w:left w:val="nil"/>
              <w:bottom w:val="single" w:sz="4" w:space="0" w:color="auto"/>
              <w:right w:val="single" w:sz="4" w:space="0" w:color="auto"/>
            </w:tcBorders>
            <w:shd w:val="clear" w:color="auto" w:fill="C6EFCE"/>
            <w:noWrap/>
          </w:tcPr>
          <w:p w14:paraId="594A5888" w14:textId="77777777" w:rsidR="00FA7C11" w:rsidRDefault="00D84965">
            <w:pPr>
              <w:pStyle w:val="P68B1DB1-Normal102"/>
              <w:spacing w:after="0" w:line="276" w:lineRule="auto"/>
              <w:jc w:val="center"/>
              <w:rPr>
                <w:noProof/>
              </w:rPr>
            </w:pPr>
            <w:r>
              <w:rPr>
                <w:noProof/>
              </w:rPr>
              <w:t>Î4</w:t>
            </w:r>
          </w:p>
        </w:tc>
        <w:tc>
          <w:tcPr>
            <w:tcW w:w="840" w:type="dxa"/>
            <w:tcBorders>
              <w:top w:val="single" w:sz="4" w:space="0" w:color="auto"/>
              <w:left w:val="nil"/>
              <w:bottom w:val="single" w:sz="4" w:space="0" w:color="auto"/>
              <w:right w:val="single" w:sz="4" w:space="0" w:color="auto"/>
            </w:tcBorders>
            <w:shd w:val="clear" w:color="auto" w:fill="C6EFCE"/>
            <w:noWrap/>
          </w:tcPr>
          <w:p w14:paraId="14335232" w14:textId="77777777" w:rsidR="00FA7C11" w:rsidRDefault="00D84965">
            <w:pPr>
              <w:pStyle w:val="P68B1DB1-Normal102"/>
              <w:spacing w:after="0" w:line="276" w:lineRule="auto"/>
              <w:jc w:val="center"/>
              <w:rPr>
                <w:noProof/>
              </w:rPr>
            </w:pPr>
            <w:r>
              <w:rPr>
                <w:noProof/>
              </w:rPr>
              <w:t>2021</w:t>
            </w:r>
          </w:p>
        </w:tc>
        <w:tc>
          <w:tcPr>
            <w:tcW w:w="4368" w:type="dxa"/>
            <w:tcBorders>
              <w:top w:val="single" w:sz="4" w:space="0" w:color="auto"/>
              <w:left w:val="nil"/>
              <w:bottom w:val="single" w:sz="4" w:space="0" w:color="auto"/>
              <w:right w:val="single" w:sz="4" w:space="0" w:color="auto"/>
            </w:tcBorders>
            <w:shd w:val="clear" w:color="auto" w:fill="C6EFCE"/>
            <w:noWrap/>
          </w:tcPr>
          <w:p w14:paraId="0FE4F426" w14:textId="77777777" w:rsidR="00FA7C11" w:rsidRDefault="00D84965">
            <w:pPr>
              <w:pStyle w:val="P68B1DB1-Normal102"/>
              <w:spacing w:after="0" w:line="276" w:lineRule="auto"/>
              <w:rPr>
                <w:noProof/>
              </w:rPr>
            </w:pPr>
            <w:r>
              <w:rPr>
                <w:noProof/>
              </w:rPr>
              <w:t>Se efectuează analize ale volumului de muncă pentru instituțiile implicate în sistemele de gestiune și control respective, ținând seama, de asemenea, de sarcina care decurge din Mecanismul de redresare și reziliență. Analiza furnizează informații adecvate în ceea ce privește nevoile de capacitate administrativă în vederea satisfacerii acestora în timp util, inclusiv prin elaborarea unui set de recomandări pentru a aborda capacitatea insuficientă, dacă este necesar. Pe baza analizei și a recomandărilor, se alocă resursele necesare instituțiilor implicate.</w:t>
            </w:r>
          </w:p>
        </w:tc>
      </w:tr>
      <w:tr w:rsidR="00FA7C11" w14:paraId="77A3ECAE" w14:textId="77777777">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E40D793" w14:textId="77777777" w:rsidR="00FA7C11" w:rsidRDefault="00D84965">
            <w:pPr>
              <w:pStyle w:val="P68B1DB1-Normal102"/>
              <w:spacing w:after="0" w:line="276" w:lineRule="auto"/>
              <w:jc w:val="center"/>
              <w:rPr>
                <w:noProof/>
              </w:rPr>
            </w:pPr>
            <w:r>
              <w:rPr>
                <w:noProof/>
              </w:rPr>
              <w:t>160</w:t>
            </w:r>
          </w:p>
        </w:tc>
        <w:tc>
          <w:tcPr>
            <w:tcW w:w="1243" w:type="dxa"/>
            <w:tcBorders>
              <w:top w:val="single" w:sz="4" w:space="0" w:color="auto"/>
              <w:left w:val="nil"/>
              <w:bottom w:val="single" w:sz="4" w:space="0" w:color="auto"/>
              <w:right w:val="single" w:sz="4" w:space="0" w:color="auto"/>
            </w:tcBorders>
            <w:shd w:val="clear" w:color="auto" w:fill="C6EFCE"/>
            <w:noWrap/>
          </w:tcPr>
          <w:p w14:paraId="589AF187" w14:textId="77777777" w:rsidR="00FA7C11" w:rsidRDefault="00D84965">
            <w:pPr>
              <w:pStyle w:val="P68B1DB1-Normal102"/>
              <w:spacing w:after="0" w:line="276" w:lineRule="auto"/>
              <w:jc w:val="center"/>
              <w:rPr>
                <w:noProof/>
              </w:rPr>
            </w:pPr>
            <w:r>
              <w:rPr>
                <w:noProof/>
              </w:rPr>
              <w:t>C2.1. R2</w:t>
            </w:r>
          </w:p>
        </w:tc>
        <w:tc>
          <w:tcPr>
            <w:tcW w:w="1124" w:type="dxa"/>
            <w:tcBorders>
              <w:top w:val="single" w:sz="4" w:space="0" w:color="auto"/>
              <w:left w:val="nil"/>
              <w:bottom w:val="single" w:sz="4" w:space="0" w:color="auto"/>
              <w:right w:val="single" w:sz="4" w:space="0" w:color="auto"/>
            </w:tcBorders>
            <w:shd w:val="clear" w:color="auto" w:fill="C6EFCE"/>
            <w:noWrap/>
          </w:tcPr>
          <w:p w14:paraId="4B309AB0" w14:textId="77777777" w:rsidR="00FA7C11" w:rsidRDefault="00D84965">
            <w:pPr>
              <w:pStyle w:val="P68B1DB1-Normal102"/>
              <w:spacing w:after="0" w:line="276" w:lineRule="auto"/>
              <w:jc w:val="center"/>
              <w:rPr>
                <w:noProof/>
              </w:rPr>
            </w:pPr>
            <w:r>
              <w:rPr>
                <w:noProof/>
              </w:rPr>
              <w:t>M</w:t>
            </w:r>
          </w:p>
        </w:tc>
        <w:tc>
          <w:tcPr>
            <w:tcW w:w="1784" w:type="dxa"/>
            <w:tcBorders>
              <w:top w:val="single" w:sz="4" w:space="0" w:color="auto"/>
              <w:left w:val="nil"/>
              <w:bottom w:val="single" w:sz="4" w:space="0" w:color="auto"/>
              <w:right w:val="single" w:sz="4" w:space="0" w:color="auto"/>
            </w:tcBorders>
            <w:shd w:val="clear" w:color="auto" w:fill="C6EFCE"/>
            <w:noWrap/>
          </w:tcPr>
          <w:p w14:paraId="22AB3931" w14:textId="77777777" w:rsidR="00FA7C11" w:rsidRDefault="00D84965">
            <w:pPr>
              <w:pStyle w:val="P68B1DB1-Normal102"/>
              <w:spacing w:after="0" w:line="276" w:lineRule="auto"/>
              <w:rPr>
                <w:noProof/>
              </w:rPr>
            </w:pPr>
            <w:r>
              <w:rPr>
                <w:noProof/>
              </w:rPr>
              <w:t>Modernizarea sistemului informatic eFondovi: Sistemul de repertorii pentru audit și controale: informații pentru monitorizarea punerii în aplicare a Mecanismului de redresare și reziliență</w:t>
            </w:r>
          </w:p>
        </w:tc>
        <w:tc>
          <w:tcPr>
            <w:tcW w:w="1912" w:type="dxa"/>
            <w:tcBorders>
              <w:top w:val="single" w:sz="4" w:space="0" w:color="auto"/>
              <w:left w:val="nil"/>
              <w:bottom w:val="single" w:sz="4" w:space="0" w:color="auto"/>
              <w:right w:val="single" w:sz="4" w:space="0" w:color="auto"/>
            </w:tcBorders>
            <w:shd w:val="clear" w:color="auto" w:fill="C6EFCE"/>
            <w:noWrap/>
          </w:tcPr>
          <w:p w14:paraId="1DBDCBD1" w14:textId="77777777" w:rsidR="00FA7C11" w:rsidRDefault="00D84965">
            <w:pPr>
              <w:pStyle w:val="P68B1DB1-Normal102"/>
              <w:spacing w:after="0" w:line="276" w:lineRule="auto"/>
              <w:rPr>
                <w:noProof/>
              </w:rPr>
            </w:pPr>
            <w:r>
              <w:rPr>
                <w:noProof/>
              </w:rPr>
              <w:t>Raport de audit care confirmă funcționalitățile sistemului de registre</w:t>
            </w:r>
          </w:p>
        </w:tc>
        <w:tc>
          <w:tcPr>
            <w:tcW w:w="1134" w:type="dxa"/>
            <w:tcBorders>
              <w:top w:val="single" w:sz="4" w:space="0" w:color="auto"/>
              <w:left w:val="nil"/>
              <w:bottom w:val="single" w:sz="4" w:space="0" w:color="auto"/>
              <w:right w:val="single" w:sz="4" w:space="0" w:color="auto"/>
            </w:tcBorders>
            <w:shd w:val="clear" w:color="auto" w:fill="C6EFCE"/>
            <w:noWrap/>
          </w:tcPr>
          <w:p w14:paraId="1540E18D" w14:textId="77777777" w:rsidR="00FA7C11" w:rsidRDefault="00D84965">
            <w:pPr>
              <w:pStyle w:val="P68B1DB1-Normal102"/>
              <w:spacing w:after="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519A2C7" w14:textId="77777777" w:rsidR="00FA7C11" w:rsidRDefault="00D84965">
            <w:pPr>
              <w:pStyle w:val="P68B1DB1-Normal102"/>
              <w:spacing w:after="0"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7386B436" w14:textId="77777777" w:rsidR="00FA7C11" w:rsidRDefault="00D84965">
            <w:pPr>
              <w:pStyle w:val="P68B1DB1-Normal102"/>
              <w:spacing w:after="0" w:line="276" w:lineRule="auto"/>
              <w:jc w:val="center"/>
              <w:rPr>
                <w:noProof/>
              </w:rPr>
            </w:pPr>
            <w:r>
              <w:rPr>
                <w:noProof/>
              </w:rPr>
              <w:t> </w:t>
            </w:r>
          </w:p>
        </w:tc>
        <w:tc>
          <w:tcPr>
            <w:tcW w:w="888" w:type="dxa"/>
            <w:tcBorders>
              <w:top w:val="single" w:sz="4" w:space="0" w:color="auto"/>
              <w:left w:val="nil"/>
              <w:bottom w:val="single" w:sz="4" w:space="0" w:color="auto"/>
              <w:right w:val="single" w:sz="4" w:space="0" w:color="auto"/>
            </w:tcBorders>
            <w:shd w:val="clear" w:color="auto" w:fill="C6EFCE"/>
            <w:noWrap/>
          </w:tcPr>
          <w:p w14:paraId="11BC68A4" w14:textId="77777777" w:rsidR="00FA7C11" w:rsidRDefault="00D84965">
            <w:pPr>
              <w:pStyle w:val="P68B1DB1-Normal102"/>
              <w:spacing w:after="0" w:line="276" w:lineRule="auto"/>
              <w:jc w:val="center"/>
              <w:rPr>
                <w:noProof/>
              </w:rPr>
            </w:pPr>
            <w:r>
              <w:rPr>
                <w:noProof/>
              </w:rPr>
              <w:t>Î1</w:t>
            </w:r>
          </w:p>
        </w:tc>
        <w:tc>
          <w:tcPr>
            <w:tcW w:w="840" w:type="dxa"/>
            <w:tcBorders>
              <w:top w:val="single" w:sz="4" w:space="0" w:color="auto"/>
              <w:left w:val="nil"/>
              <w:bottom w:val="single" w:sz="4" w:space="0" w:color="auto"/>
              <w:right w:val="single" w:sz="4" w:space="0" w:color="auto"/>
            </w:tcBorders>
            <w:shd w:val="clear" w:color="auto" w:fill="C6EFCE"/>
            <w:noWrap/>
          </w:tcPr>
          <w:p w14:paraId="04071A26" w14:textId="77777777" w:rsidR="00FA7C11" w:rsidRDefault="00D84965">
            <w:pPr>
              <w:pStyle w:val="P68B1DB1-Normal102"/>
              <w:spacing w:after="0" w:line="276" w:lineRule="auto"/>
              <w:jc w:val="center"/>
              <w:rPr>
                <w:noProof/>
              </w:rPr>
            </w:pPr>
            <w:r>
              <w:rPr>
                <w:noProof/>
              </w:rPr>
              <w:t>2022</w:t>
            </w:r>
          </w:p>
        </w:tc>
        <w:tc>
          <w:tcPr>
            <w:tcW w:w="4368" w:type="dxa"/>
            <w:tcBorders>
              <w:top w:val="single" w:sz="4" w:space="0" w:color="auto"/>
              <w:left w:val="nil"/>
              <w:bottom w:val="single" w:sz="4" w:space="0" w:color="auto"/>
              <w:right w:val="single" w:sz="4" w:space="0" w:color="auto"/>
            </w:tcBorders>
            <w:shd w:val="clear" w:color="auto" w:fill="C6EFCE"/>
            <w:noWrap/>
          </w:tcPr>
          <w:p w14:paraId="1F82CA9F" w14:textId="1D0E7135" w:rsidR="00FA7C11" w:rsidRDefault="00D84965">
            <w:pPr>
              <w:pStyle w:val="P68B1DB1-Normal89"/>
              <w:spacing w:after="0" w:line="276" w:lineRule="auto"/>
              <w:rPr>
                <w:noProof/>
                <w:color w:val="000000"/>
              </w:rPr>
            </w:pPr>
            <w:r>
              <w:rPr>
                <w:noProof/>
              </w:rPr>
              <w:t xml:space="preserve">Trebuie să existe și să fie operațional un sistem de </w:t>
            </w:r>
            <w:r>
              <w:rPr>
                <w:noProof/>
                <w:color w:val="000000" w:themeColor="text1"/>
              </w:rPr>
              <w:t xml:space="preserve">registru de date pentru monitorizarea implementării MRR. </w:t>
            </w:r>
            <w:r>
              <w:rPr>
                <w:noProof/>
              </w:rPr>
              <w:br/>
            </w:r>
            <w:r>
              <w:rPr>
                <w:noProof/>
                <w:color w:val="000000" w:themeColor="text1"/>
              </w:rPr>
              <w:t>Sistemul trebuie să includă cel puțin următoarele funcționalități:</w:t>
            </w:r>
            <w:r>
              <w:rPr>
                <w:noProof/>
              </w:rPr>
              <w:br/>
            </w:r>
            <w:r>
              <w:rPr>
                <w:noProof/>
                <w:color w:val="000000" w:themeColor="text1"/>
              </w:rPr>
              <w:t>(a) colectarea de date și monitorizarea atingerii jaloanelor și a țintelor;</w:t>
            </w:r>
            <w:r>
              <w:rPr>
                <w:noProof/>
              </w:rPr>
              <w:br/>
            </w:r>
            <w:r>
              <w:rPr>
                <w:noProof/>
                <w:color w:val="000000" w:themeColor="text1"/>
              </w:rPr>
              <w:t xml:space="preserve">(b) colectează, stochează și asigură accesul la datele prevăzute la articolul 22 alineatul (2) litera (d) punctele (i)-(iii) din Regulamentul privind MRR. </w:t>
            </w:r>
          </w:p>
        </w:tc>
      </w:tr>
      <w:tr w:rsidR="00FA7C11" w14:paraId="4117C8DB" w14:textId="77777777">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6BBD4E2" w14:textId="77777777" w:rsidR="00FA7C11" w:rsidRDefault="00D84965">
            <w:pPr>
              <w:pStyle w:val="P68B1DB1-Normal102"/>
              <w:spacing w:after="0" w:line="276" w:lineRule="auto"/>
              <w:jc w:val="center"/>
              <w:rPr>
                <w:noProof/>
              </w:rPr>
            </w:pPr>
            <w:r>
              <w:rPr>
                <w:noProof/>
              </w:rPr>
              <w:t>161</w:t>
            </w:r>
          </w:p>
        </w:tc>
        <w:tc>
          <w:tcPr>
            <w:tcW w:w="1243" w:type="dxa"/>
            <w:tcBorders>
              <w:top w:val="single" w:sz="4" w:space="0" w:color="auto"/>
              <w:left w:val="nil"/>
              <w:bottom w:val="single" w:sz="4" w:space="0" w:color="auto"/>
              <w:right w:val="single" w:sz="4" w:space="0" w:color="auto"/>
            </w:tcBorders>
            <w:shd w:val="clear" w:color="auto" w:fill="C6EFCE"/>
            <w:noWrap/>
          </w:tcPr>
          <w:p w14:paraId="4EE2BDBD" w14:textId="77777777" w:rsidR="00FA7C11" w:rsidRDefault="00D84965">
            <w:pPr>
              <w:pStyle w:val="P68B1DB1-Normal102"/>
              <w:spacing w:after="0" w:line="276" w:lineRule="auto"/>
              <w:jc w:val="center"/>
              <w:rPr>
                <w:noProof/>
              </w:rPr>
            </w:pPr>
            <w:r>
              <w:rPr>
                <w:noProof/>
              </w:rPr>
              <w:t>C2.1. R2-I1</w:t>
            </w:r>
          </w:p>
        </w:tc>
        <w:tc>
          <w:tcPr>
            <w:tcW w:w="1124" w:type="dxa"/>
            <w:tcBorders>
              <w:top w:val="single" w:sz="4" w:space="0" w:color="auto"/>
              <w:left w:val="nil"/>
              <w:bottom w:val="single" w:sz="4" w:space="0" w:color="auto"/>
              <w:right w:val="single" w:sz="4" w:space="0" w:color="auto"/>
            </w:tcBorders>
            <w:shd w:val="clear" w:color="auto" w:fill="C6EFCE"/>
            <w:noWrap/>
          </w:tcPr>
          <w:p w14:paraId="6B95DB1E" w14:textId="77777777" w:rsidR="00FA7C11" w:rsidRDefault="00D84965">
            <w:pPr>
              <w:pStyle w:val="P68B1DB1-Normal102"/>
              <w:spacing w:after="0" w:line="276" w:lineRule="auto"/>
              <w:jc w:val="center"/>
              <w:rPr>
                <w:noProof/>
              </w:rPr>
            </w:pPr>
            <w:r>
              <w:rPr>
                <w:noProof/>
              </w:rPr>
              <w:t>T</w:t>
            </w:r>
          </w:p>
        </w:tc>
        <w:tc>
          <w:tcPr>
            <w:tcW w:w="1784" w:type="dxa"/>
            <w:tcBorders>
              <w:top w:val="single" w:sz="4" w:space="0" w:color="auto"/>
              <w:left w:val="nil"/>
              <w:bottom w:val="single" w:sz="4" w:space="0" w:color="auto"/>
              <w:right w:val="single" w:sz="4" w:space="0" w:color="auto"/>
            </w:tcBorders>
            <w:shd w:val="clear" w:color="auto" w:fill="C6EFCE"/>
            <w:noWrap/>
          </w:tcPr>
          <w:p w14:paraId="6F03F778" w14:textId="77777777" w:rsidR="00FA7C11" w:rsidRDefault="00D84965">
            <w:pPr>
              <w:pStyle w:val="P68B1DB1-Normal102"/>
              <w:spacing w:after="0" w:line="276" w:lineRule="auto"/>
              <w:rPr>
                <w:noProof/>
              </w:rPr>
            </w:pPr>
            <w:r>
              <w:rPr>
                <w:noProof/>
              </w:rPr>
              <w:t>Pregătirea documentației tehnice a proiectului pentru proiectele de tranziție verde și digitală</w:t>
            </w:r>
          </w:p>
        </w:tc>
        <w:tc>
          <w:tcPr>
            <w:tcW w:w="1912" w:type="dxa"/>
            <w:tcBorders>
              <w:top w:val="single" w:sz="4" w:space="0" w:color="auto"/>
              <w:left w:val="nil"/>
              <w:bottom w:val="single" w:sz="4" w:space="0" w:color="auto"/>
              <w:right w:val="single" w:sz="4" w:space="0" w:color="auto"/>
            </w:tcBorders>
            <w:shd w:val="clear" w:color="auto" w:fill="C6EFCE"/>
            <w:noWrap/>
          </w:tcPr>
          <w:p w14:paraId="0639B441" w14:textId="77777777" w:rsidR="00FA7C11" w:rsidRDefault="00D84965">
            <w:pPr>
              <w:pStyle w:val="P68B1DB1-Normal102"/>
              <w:spacing w:after="0"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6EC4C640" w14:textId="77777777" w:rsidR="00FA7C11" w:rsidRDefault="00D84965">
            <w:pPr>
              <w:pStyle w:val="P68B1DB1-Normal102"/>
              <w:spacing w:after="0" w:line="276" w:lineRule="auto"/>
              <w:jc w:val="center"/>
              <w:rPr>
                <w:noProof/>
              </w:rPr>
            </w:pPr>
            <w:r>
              <w:rPr>
                <w:noProof/>
              </w:rPr>
              <w:t>Număr (sumă)</w:t>
            </w:r>
          </w:p>
        </w:tc>
        <w:tc>
          <w:tcPr>
            <w:tcW w:w="850" w:type="dxa"/>
            <w:tcBorders>
              <w:top w:val="single" w:sz="4" w:space="0" w:color="auto"/>
              <w:left w:val="nil"/>
              <w:bottom w:val="single" w:sz="4" w:space="0" w:color="auto"/>
              <w:right w:val="single" w:sz="4" w:space="0" w:color="auto"/>
            </w:tcBorders>
            <w:shd w:val="clear" w:color="auto" w:fill="C6EFCE"/>
            <w:noWrap/>
          </w:tcPr>
          <w:p w14:paraId="0DF67EA3" w14:textId="77777777" w:rsidR="00FA7C11" w:rsidRDefault="00D84965">
            <w:pPr>
              <w:pStyle w:val="P68B1DB1-Normal102"/>
              <w:spacing w:after="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4464F095" w14:textId="77777777" w:rsidR="00FA7C11" w:rsidRDefault="00D84965">
            <w:pPr>
              <w:pStyle w:val="P68B1DB1-Normal102"/>
              <w:spacing w:after="0" w:line="276" w:lineRule="auto"/>
              <w:jc w:val="center"/>
              <w:rPr>
                <w:noProof/>
              </w:rPr>
            </w:pPr>
            <w:r>
              <w:rPr>
                <w:noProof/>
              </w:rPr>
              <w:t>6 370 695</w:t>
            </w:r>
          </w:p>
        </w:tc>
        <w:tc>
          <w:tcPr>
            <w:tcW w:w="888" w:type="dxa"/>
            <w:tcBorders>
              <w:top w:val="single" w:sz="4" w:space="0" w:color="auto"/>
              <w:left w:val="nil"/>
              <w:bottom w:val="single" w:sz="4" w:space="0" w:color="auto"/>
              <w:right w:val="single" w:sz="4" w:space="0" w:color="auto"/>
            </w:tcBorders>
            <w:shd w:val="clear" w:color="auto" w:fill="C6EFCE"/>
            <w:noWrap/>
          </w:tcPr>
          <w:p w14:paraId="6F6E54E6" w14:textId="77777777" w:rsidR="00FA7C11" w:rsidRDefault="00D84965">
            <w:pPr>
              <w:pStyle w:val="P68B1DB1-Normal102"/>
              <w:spacing w:after="0" w:line="276" w:lineRule="auto"/>
              <w:jc w:val="center"/>
              <w:rPr>
                <w:noProof/>
              </w:rPr>
            </w:pPr>
            <w:r>
              <w:rPr>
                <w:noProof/>
              </w:rPr>
              <w:t>Î4</w:t>
            </w:r>
          </w:p>
        </w:tc>
        <w:tc>
          <w:tcPr>
            <w:tcW w:w="840" w:type="dxa"/>
            <w:tcBorders>
              <w:top w:val="single" w:sz="4" w:space="0" w:color="auto"/>
              <w:left w:val="nil"/>
              <w:bottom w:val="single" w:sz="4" w:space="0" w:color="auto"/>
              <w:right w:val="single" w:sz="4" w:space="0" w:color="auto"/>
            </w:tcBorders>
            <w:shd w:val="clear" w:color="auto" w:fill="C6EFCE"/>
            <w:noWrap/>
          </w:tcPr>
          <w:p w14:paraId="76BBF469" w14:textId="77777777" w:rsidR="00FA7C11" w:rsidRDefault="00D84965">
            <w:pPr>
              <w:pStyle w:val="P68B1DB1-Normal102"/>
              <w:spacing w:after="0" w:line="276" w:lineRule="auto"/>
              <w:jc w:val="center"/>
              <w:rPr>
                <w:noProof/>
              </w:rPr>
            </w:pPr>
            <w:r>
              <w:rPr>
                <w:noProof/>
              </w:rPr>
              <w:t>2022</w:t>
            </w:r>
          </w:p>
        </w:tc>
        <w:tc>
          <w:tcPr>
            <w:tcW w:w="4368" w:type="dxa"/>
            <w:tcBorders>
              <w:top w:val="single" w:sz="4" w:space="0" w:color="auto"/>
              <w:left w:val="nil"/>
              <w:bottom w:val="single" w:sz="4" w:space="0" w:color="auto"/>
              <w:right w:val="single" w:sz="4" w:space="0" w:color="auto"/>
            </w:tcBorders>
            <w:shd w:val="clear" w:color="auto" w:fill="C6EFCE"/>
            <w:noWrap/>
          </w:tcPr>
          <w:p w14:paraId="239C5FE6" w14:textId="77777777" w:rsidR="00FA7C11" w:rsidRDefault="00D84965">
            <w:pPr>
              <w:pStyle w:val="P68B1DB1-Normal102"/>
              <w:spacing w:after="0" w:line="276" w:lineRule="auto"/>
              <w:rPr>
                <w:noProof/>
              </w:rPr>
            </w:pPr>
            <w:r>
              <w:rPr>
                <w:noProof/>
              </w:rPr>
              <w:t>Se acordă 6 370 695 EUR, prin decizii privind finanțarea pentru elaborarea documentației tehnice a proiectului pregătite de ministere, agenții naționale și autorități locale și regionale pentru a sprijini tranziția verde și cea digitală.</w:t>
            </w:r>
          </w:p>
        </w:tc>
      </w:tr>
      <w:tr w:rsidR="00FA7C11" w14:paraId="28DC05D3" w14:textId="77777777">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8814C47" w14:textId="77777777" w:rsidR="00FA7C11" w:rsidRDefault="00D84965">
            <w:pPr>
              <w:pStyle w:val="P68B1DB1-Normal102"/>
              <w:spacing w:after="0" w:line="276" w:lineRule="auto"/>
              <w:jc w:val="center"/>
              <w:rPr>
                <w:noProof/>
              </w:rPr>
            </w:pPr>
            <w:r>
              <w:rPr>
                <w:noProof/>
              </w:rPr>
              <w:t>162</w:t>
            </w:r>
          </w:p>
        </w:tc>
        <w:tc>
          <w:tcPr>
            <w:tcW w:w="1243" w:type="dxa"/>
            <w:tcBorders>
              <w:top w:val="single" w:sz="4" w:space="0" w:color="auto"/>
              <w:left w:val="nil"/>
              <w:bottom w:val="single" w:sz="4" w:space="0" w:color="auto"/>
              <w:right w:val="single" w:sz="4" w:space="0" w:color="auto"/>
            </w:tcBorders>
            <w:shd w:val="clear" w:color="auto" w:fill="C6EFCE"/>
            <w:noWrap/>
          </w:tcPr>
          <w:p w14:paraId="23582E04" w14:textId="77777777" w:rsidR="00FA7C11" w:rsidRDefault="00D84965">
            <w:pPr>
              <w:pStyle w:val="P68B1DB1-Normal102"/>
              <w:spacing w:after="0" w:line="276" w:lineRule="auto"/>
              <w:jc w:val="center"/>
              <w:rPr>
                <w:noProof/>
              </w:rPr>
            </w:pPr>
            <w:r>
              <w:rPr>
                <w:noProof/>
              </w:rPr>
              <w:t>C2.1. R2-I1</w:t>
            </w:r>
          </w:p>
        </w:tc>
        <w:tc>
          <w:tcPr>
            <w:tcW w:w="1124" w:type="dxa"/>
            <w:tcBorders>
              <w:top w:val="single" w:sz="4" w:space="0" w:color="auto"/>
              <w:left w:val="nil"/>
              <w:bottom w:val="single" w:sz="4" w:space="0" w:color="auto"/>
              <w:right w:val="single" w:sz="4" w:space="0" w:color="auto"/>
            </w:tcBorders>
            <w:shd w:val="clear" w:color="auto" w:fill="C6EFCE"/>
            <w:noWrap/>
          </w:tcPr>
          <w:p w14:paraId="08EA0A5A" w14:textId="77777777" w:rsidR="00FA7C11" w:rsidRDefault="00D84965">
            <w:pPr>
              <w:pStyle w:val="P68B1DB1-Normal102"/>
              <w:spacing w:after="0" w:line="276" w:lineRule="auto"/>
              <w:jc w:val="center"/>
              <w:rPr>
                <w:noProof/>
              </w:rPr>
            </w:pPr>
            <w:r>
              <w:rPr>
                <w:noProof/>
              </w:rPr>
              <w:t>T</w:t>
            </w:r>
          </w:p>
        </w:tc>
        <w:tc>
          <w:tcPr>
            <w:tcW w:w="1784" w:type="dxa"/>
            <w:tcBorders>
              <w:top w:val="single" w:sz="4" w:space="0" w:color="auto"/>
              <w:left w:val="nil"/>
              <w:bottom w:val="single" w:sz="4" w:space="0" w:color="auto"/>
              <w:right w:val="single" w:sz="4" w:space="0" w:color="auto"/>
            </w:tcBorders>
            <w:shd w:val="clear" w:color="auto" w:fill="C6EFCE"/>
            <w:noWrap/>
          </w:tcPr>
          <w:p w14:paraId="159BC955" w14:textId="77777777" w:rsidR="00FA7C11" w:rsidRDefault="00D84965">
            <w:pPr>
              <w:pStyle w:val="P68B1DB1-Normal102"/>
              <w:spacing w:after="0" w:line="276" w:lineRule="auto"/>
              <w:rPr>
                <w:noProof/>
              </w:rPr>
            </w:pPr>
            <w:r>
              <w:rPr>
                <w:noProof/>
              </w:rPr>
              <w:t>Pregătirea documentației tehnice a proiectului pentru proiectele de tranziție verde și digitală</w:t>
            </w:r>
          </w:p>
        </w:tc>
        <w:tc>
          <w:tcPr>
            <w:tcW w:w="1912" w:type="dxa"/>
            <w:tcBorders>
              <w:top w:val="single" w:sz="4" w:space="0" w:color="auto"/>
              <w:left w:val="nil"/>
              <w:bottom w:val="single" w:sz="4" w:space="0" w:color="auto"/>
              <w:right w:val="single" w:sz="4" w:space="0" w:color="auto"/>
            </w:tcBorders>
            <w:shd w:val="clear" w:color="auto" w:fill="C6EFCE"/>
            <w:noWrap/>
          </w:tcPr>
          <w:p w14:paraId="148782EB" w14:textId="77777777" w:rsidR="00FA7C11" w:rsidRDefault="00D84965">
            <w:pPr>
              <w:pStyle w:val="P68B1DB1-Normal102"/>
              <w:spacing w:after="0" w:line="276" w:lineRule="auto"/>
              <w:rPr>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2DB63E53" w14:textId="77777777" w:rsidR="00FA7C11" w:rsidRDefault="00D84965">
            <w:pPr>
              <w:pStyle w:val="P68B1DB1-Normal102"/>
              <w:spacing w:after="0" w:line="276" w:lineRule="auto"/>
              <w:jc w:val="center"/>
              <w:rPr>
                <w:noProof/>
              </w:rPr>
            </w:pPr>
            <w:r>
              <w:rPr>
                <w:noProof/>
              </w:rPr>
              <w:t>Număr</w:t>
            </w:r>
          </w:p>
        </w:tc>
        <w:tc>
          <w:tcPr>
            <w:tcW w:w="850" w:type="dxa"/>
            <w:tcBorders>
              <w:top w:val="single" w:sz="4" w:space="0" w:color="auto"/>
              <w:left w:val="nil"/>
              <w:bottom w:val="single" w:sz="4" w:space="0" w:color="auto"/>
              <w:right w:val="single" w:sz="4" w:space="0" w:color="auto"/>
            </w:tcBorders>
            <w:shd w:val="clear" w:color="auto" w:fill="C6EFCE"/>
            <w:noWrap/>
          </w:tcPr>
          <w:p w14:paraId="4381BE88" w14:textId="77777777" w:rsidR="00FA7C11" w:rsidRDefault="00D84965">
            <w:pPr>
              <w:pStyle w:val="P68B1DB1-Normal102"/>
              <w:spacing w:after="0" w:line="276"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63775314" w14:textId="77777777" w:rsidR="00FA7C11" w:rsidRDefault="00D84965">
            <w:pPr>
              <w:pStyle w:val="P68B1DB1-Normal102"/>
              <w:spacing w:after="0" w:line="276" w:lineRule="auto"/>
              <w:jc w:val="center"/>
              <w:rPr>
                <w:noProof/>
              </w:rPr>
            </w:pPr>
            <w:r>
              <w:rPr>
                <w:noProof/>
              </w:rPr>
              <w:t>100</w:t>
            </w:r>
          </w:p>
        </w:tc>
        <w:tc>
          <w:tcPr>
            <w:tcW w:w="888" w:type="dxa"/>
            <w:tcBorders>
              <w:top w:val="single" w:sz="4" w:space="0" w:color="auto"/>
              <w:left w:val="nil"/>
              <w:bottom w:val="single" w:sz="4" w:space="0" w:color="auto"/>
              <w:right w:val="single" w:sz="4" w:space="0" w:color="auto"/>
            </w:tcBorders>
            <w:shd w:val="clear" w:color="auto" w:fill="C6EFCE"/>
            <w:noWrap/>
          </w:tcPr>
          <w:p w14:paraId="73BB00C7" w14:textId="77777777" w:rsidR="00FA7C11" w:rsidRDefault="00D84965">
            <w:pPr>
              <w:pStyle w:val="P68B1DB1-Normal102"/>
              <w:spacing w:after="0" w:line="276" w:lineRule="auto"/>
              <w:jc w:val="center"/>
              <w:rPr>
                <w:noProof/>
              </w:rPr>
            </w:pPr>
            <w:r>
              <w:rPr>
                <w:noProof/>
              </w:rPr>
              <w:t>Î4</w:t>
            </w:r>
          </w:p>
        </w:tc>
        <w:tc>
          <w:tcPr>
            <w:tcW w:w="840" w:type="dxa"/>
            <w:tcBorders>
              <w:top w:val="single" w:sz="4" w:space="0" w:color="auto"/>
              <w:left w:val="nil"/>
              <w:bottom w:val="single" w:sz="4" w:space="0" w:color="auto"/>
              <w:right w:val="single" w:sz="4" w:space="0" w:color="auto"/>
            </w:tcBorders>
            <w:shd w:val="clear" w:color="auto" w:fill="C6EFCE"/>
            <w:noWrap/>
          </w:tcPr>
          <w:p w14:paraId="6819BC50" w14:textId="77777777" w:rsidR="00FA7C11" w:rsidRDefault="00D84965">
            <w:pPr>
              <w:pStyle w:val="P68B1DB1-Normal102"/>
              <w:spacing w:after="0" w:line="276" w:lineRule="auto"/>
              <w:jc w:val="center"/>
              <w:rPr>
                <w:noProof/>
              </w:rPr>
            </w:pPr>
            <w:r>
              <w:rPr>
                <w:noProof/>
              </w:rPr>
              <w:t>2025</w:t>
            </w:r>
          </w:p>
        </w:tc>
        <w:tc>
          <w:tcPr>
            <w:tcW w:w="4368" w:type="dxa"/>
            <w:tcBorders>
              <w:top w:val="single" w:sz="4" w:space="0" w:color="auto"/>
              <w:left w:val="nil"/>
              <w:bottom w:val="single" w:sz="4" w:space="0" w:color="auto"/>
              <w:right w:val="single" w:sz="4" w:space="0" w:color="auto"/>
            </w:tcBorders>
            <w:shd w:val="clear" w:color="auto" w:fill="C6EFCE"/>
            <w:noWrap/>
          </w:tcPr>
          <w:p w14:paraId="3E5A4A2A" w14:textId="248F7E29" w:rsidR="00FA7C11" w:rsidRDefault="00D84965">
            <w:pPr>
              <w:pStyle w:val="P68B1DB1-Normal102"/>
              <w:spacing w:after="0" w:line="276" w:lineRule="auto"/>
              <w:rPr>
                <w:noProof/>
              </w:rPr>
            </w:pPr>
            <w:r>
              <w:rPr>
                <w:noProof/>
              </w:rPr>
              <w:t xml:space="preserve">Se acordă granturi entităților publice pentru elaborarea documentației tehnice a proiectului pentru cel puțin 100 proiecte de sprijinire a tranziției verzi și a celei digitale. </w:t>
            </w:r>
          </w:p>
        </w:tc>
      </w:tr>
    </w:tbl>
    <w:p w14:paraId="1BD83DF4" w14:textId="77777777" w:rsidR="00FA7C11" w:rsidRDefault="00FA7C11">
      <w:pPr>
        <w:rPr>
          <w:noProof/>
        </w:rPr>
      </w:pPr>
    </w:p>
    <w:p w14:paraId="51CD8C5C" w14:textId="77777777" w:rsidR="00FA7C11" w:rsidRDefault="00FA7C11">
      <w:pPr>
        <w:rPr>
          <w:noProof/>
        </w:rPr>
        <w:sectPr w:rsidR="00FA7C11" w:rsidSect="00FA29B2">
          <w:headerReference w:type="even" r:id="rId128"/>
          <w:headerReference w:type="default" r:id="rId129"/>
          <w:footerReference w:type="even" r:id="rId130"/>
          <w:footerReference w:type="default" r:id="rId131"/>
          <w:headerReference w:type="first" r:id="rId132"/>
          <w:footerReference w:type="first" r:id="rId133"/>
          <w:pgSz w:w="16839" w:h="11907" w:orient="landscape"/>
          <w:pgMar w:top="1134" w:right="1134" w:bottom="1134" w:left="1134" w:header="567" w:footer="567" w:gutter="0"/>
          <w:cols w:space="720"/>
          <w:docGrid w:linePitch="360"/>
        </w:sectPr>
      </w:pPr>
    </w:p>
    <w:p w14:paraId="558E93A4" w14:textId="77777777" w:rsidR="00FA7C11" w:rsidRDefault="00FA7C11">
      <w:pPr>
        <w:pStyle w:val="paragraph"/>
        <w:spacing w:before="0" w:beforeAutospacing="0" w:after="0" w:afterAutospacing="0"/>
        <w:ind w:left="705"/>
        <w:jc w:val="both"/>
        <w:textAlignment w:val="baseline"/>
        <w:rPr>
          <w:rFonts w:ascii="Segoe UI" w:hAnsi="Segoe UI" w:cs="Segoe UI"/>
          <w:noProof/>
          <w:sz w:val="18"/>
          <w:szCs w:val="18"/>
        </w:rPr>
      </w:pPr>
    </w:p>
    <w:p w14:paraId="59C2DBD5" w14:textId="77777777" w:rsidR="00FA7C11" w:rsidRDefault="00D84965">
      <w:pPr>
        <w:pStyle w:val="paragraph"/>
        <w:spacing w:before="0" w:beforeAutospacing="0" w:after="0" w:afterAutospacing="0"/>
        <w:ind w:left="840"/>
        <w:jc w:val="both"/>
        <w:textAlignment w:val="baseline"/>
        <w:rPr>
          <w:b/>
          <w:bCs/>
          <w:noProof/>
          <w:szCs w:val="24"/>
          <w:u w:val="single"/>
        </w:rPr>
      </w:pPr>
      <w:r>
        <w:rPr>
          <w:rStyle w:val="normaltextrun"/>
          <w:b/>
          <w:bCs/>
          <w:noProof/>
          <w:szCs w:val="24"/>
          <w:u w:val="single"/>
        </w:rPr>
        <w:t xml:space="preserve">G.3. </w:t>
      </w:r>
      <w:r>
        <w:rPr>
          <w:rStyle w:val="normaltextrun"/>
          <w:b/>
          <w:bCs/>
          <w:noProof/>
          <w:szCs w:val="24"/>
          <w:u w:val="single"/>
        </w:rPr>
        <w:tab/>
        <w:t>Descrierea reformelor și a investițiilor pentru împrumut   </w:t>
      </w:r>
    </w:p>
    <w:p w14:paraId="237871BE" w14:textId="77777777" w:rsidR="00FA7C11" w:rsidRDefault="00D84965">
      <w:pPr>
        <w:pStyle w:val="paragraph"/>
        <w:spacing w:before="0" w:beforeAutospacing="0" w:after="0" w:afterAutospacing="0"/>
        <w:ind w:left="840"/>
        <w:jc w:val="both"/>
        <w:textAlignment w:val="baseline"/>
        <w:rPr>
          <w:rStyle w:val="eop"/>
          <w:noProof/>
          <w:color w:val="4F81BD"/>
          <w:szCs w:val="24"/>
        </w:rPr>
      </w:pPr>
      <w:r>
        <w:rPr>
          <w:rStyle w:val="normaltextrun"/>
          <w:noProof/>
          <w:color w:val="4F81BD"/>
          <w:szCs w:val="24"/>
        </w:rPr>
        <w:t> </w:t>
      </w:r>
    </w:p>
    <w:p w14:paraId="5EB0470F" w14:textId="77777777" w:rsidR="00FA7C11" w:rsidRDefault="00D84965">
      <w:pPr>
        <w:pStyle w:val="P68B1DB1-Normal81"/>
        <w:keepNext/>
        <w:spacing w:line="276" w:lineRule="auto"/>
        <w:ind w:left="850"/>
        <w:jc w:val="both"/>
        <w:rPr>
          <w:noProof/>
        </w:rPr>
      </w:pPr>
      <w:r>
        <w:rPr>
          <w:noProof/>
        </w:rPr>
        <w:t xml:space="preserve">Investiția C2.1 R1-I2 – Consolidarea capacității de planificare strategică și o mai bună legiferare </w:t>
      </w:r>
    </w:p>
    <w:p w14:paraId="2BA2FDC4" w14:textId="77777777" w:rsidR="00FA7C11" w:rsidRDefault="00D84965">
      <w:pPr>
        <w:pStyle w:val="Text1"/>
        <w:spacing w:line="276" w:lineRule="auto"/>
        <w:ind w:left="0"/>
        <w:rPr>
          <w:rStyle w:val="normaltextrun"/>
          <w:noProof/>
          <w:szCs w:val="24"/>
        </w:rPr>
      </w:pPr>
      <w:r>
        <w:rPr>
          <w:rStyle w:val="normaltextrun"/>
          <w:noProof/>
          <w:szCs w:val="24"/>
        </w:rPr>
        <w:t xml:space="preserve">Obiectivul acestei investiții este de a contribui la asigurarea durabilității sistemului de planificare strategică și de a îmbunătăți calitatea pregătirii și a punerii în aplicare a politicilor publice în Croația. </w:t>
      </w:r>
    </w:p>
    <w:p w14:paraId="26EE1096" w14:textId="7C2D8F96" w:rsidR="00FA7C11" w:rsidRDefault="00D84965">
      <w:pPr>
        <w:pStyle w:val="Text1"/>
        <w:spacing w:line="276" w:lineRule="auto"/>
        <w:ind w:left="0"/>
        <w:rPr>
          <w:rStyle w:val="normaltextrun"/>
          <w:noProof/>
          <w:szCs w:val="24"/>
          <w:shd w:val="clear" w:color="auto" w:fill="FFFFFF"/>
        </w:rPr>
      </w:pPr>
      <w:r>
        <w:rPr>
          <w:rStyle w:val="normaltextrun"/>
          <w:noProof/>
          <w:szCs w:val="24"/>
          <w:shd w:val="clear" w:color="auto" w:fill="FFFFFF"/>
        </w:rPr>
        <w:t xml:space="preserve">Această investiție dezvoltă module educaționale și organizează cursuri de formare pentru a îmbunătăți îndeplinirea sarcinilor de planificare strategică în cadrul organismelor guvernamentale. </w:t>
      </w:r>
    </w:p>
    <w:p w14:paraId="15FF0FCE" w14:textId="77777777" w:rsidR="00FA7C11" w:rsidRDefault="00D84965">
      <w:pPr>
        <w:pStyle w:val="P68B1DB1-Normal116"/>
        <w:spacing w:line="276" w:lineRule="auto"/>
        <w:rPr>
          <w:noProof/>
        </w:rPr>
        <w:sectPr w:rsidR="00FA7C11" w:rsidSect="00FA29B2">
          <w:headerReference w:type="even" r:id="rId134"/>
          <w:headerReference w:type="default" r:id="rId135"/>
          <w:footerReference w:type="even" r:id="rId136"/>
          <w:footerReference w:type="default" r:id="rId137"/>
          <w:headerReference w:type="first" r:id="rId138"/>
          <w:footerReference w:type="first" r:id="rId139"/>
          <w:pgSz w:w="11907" w:h="16839"/>
          <w:pgMar w:top="1134" w:right="1134" w:bottom="1134" w:left="1134" w:header="567" w:footer="567" w:gutter="0"/>
          <w:cols w:space="720"/>
          <w:docGrid w:linePitch="360"/>
        </w:sectPr>
      </w:pPr>
      <w:r>
        <w:rPr>
          <w:noProof/>
        </w:rPr>
        <w:t>Această investiție se finalizează până la 31 decembrie 2025.</w:t>
      </w:r>
    </w:p>
    <w:p w14:paraId="750E05FC" w14:textId="77777777" w:rsidR="00FA7C11" w:rsidRDefault="00D84965">
      <w:pPr>
        <w:pStyle w:val="P68B1DB1-Normal82"/>
        <w:spacing w:line="240" w:lineRule="auto"/>
        <w:jc w:val="both"/>
        <w:textAlignment w:val="baseline"/>
        <w:rPr>
          <w:noProof/>
        </w:rPr>
      </w:pPr>
      <w:r>
        <w:rPr>
          <w:b/>
          <w:noProof/>
        </w:rPr>
        <w:t xml:space="preserve">G.4. </w:t>
      </w:r>
      <w:r>
        <w:rPr>
          <w:noProof/>
        </w:rPr>
        <w:t xml:space="preserve"> </w:t>
      </w:r>
      <w:r>
        <w:rPr>
          <w:b/>
          <w:bCs/>
          <w:noProof/>
        </w:rPr>
        <w:t xml:space="preserve">Jaloane, ținte, indicatori și calendarul de monitorizare și implementare aplicabile împrumutului </w:t>
      </w:r>
      <w:r>
        <w:rPr>
          <w:noProof/>
        </w:rPr>
        <w:t>  </w:t>
      </w:r>
    </w:p>
    <w:tbl>
      <w:tblPr>
        <w:tblW w:w="15898" w:type="dxa"/>
        <w:jc w:val="center"/>
        <w:tblLayout w:type="fixed"/>
        <w:tblLook w:val="04A0" w:firstRow="1" w:lastRow="0" w:firstColumn="1" w:lastColumn="0" w:noHBand="0" w:noVBand="1"/>
      </w:tblPr>
      <w:tblGrid>
        <w:gridCol w:w="1050"/>
        <w:gridCol w:w="1050"/>
        <w:gridCol w:w="1180"/>
        <w:gridCol w:w="2118"/>
        <w:gridCol w:w="1797"/>
        <w:gridCol w:w="1080"/>
        <w:gridCol w:w="1080"/>
        <w:gridCol w:w="1080"/>
        <w:gridCol w:w="994"/>
        <w:gridCol w:w="750"/>
        <w:gridCol w:w="3719"/>
      </w:tblGrid>
      <w:tr w:rsidR="00FA7C11" w14:paraId="5197480D" w14:textId="77777777">
        <w:trPr>
          <w:trHeight w:val="305"/>
          <w:jc w:val="center"/>
        </w:trPr>
        <w:tc>
          <w:tcPr>
            <w:tcW w:w="10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087E92" w14:textId="77777777" w:rsidR="00FA7C11" w:rsidRDefault="00D84965">
            <w:pPr>
              <w:pStyle w:val="P68B1DB1-Normal58"/>
              <w:spacing w:after="0"/>
              <w:jc w:val="center"/>
              <w:rPr>
                <w:bCs/>
                <w:noProof/>
              </w:rPr>
            </w:pPr>
            <w:r>
              <w:rPr>
                <w:noProof/>
              </w:rPr>
              <w:t>Număr</w:t>
            </w:r>
          </w:p>
        </w:tc>
        <w:tc>
          <w:tcPr>
            <w:tcW w:w="10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EEC81C6" w14:textId="77777777" w:rsidR="00FA7C11" w:rsidRDefault="00D84965">
            <w:pPr>
              <w:pStyle w:val="P68B1DB1-Normal58"/>
              <w:spacing w:after="0"/>
              <w:jc w:val="center"/>
              <w:rPr>
                <w:bCs/>
                <w:noProof/>
              </w:rPr>
            </w:pPr>
            <w:r>
              <w:rPr>
                <w:noProof/>
              </w:rPr>
              <w:t>Măsură</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3B87DC" w14:textId="77777777" w:rsidR="00FA7C11" w:rsidRDefault="00D84965">
            <w:pPr>
              <w:pStyle w:val="P68B1DB1-Normal58"/>
              <w:spacing w:after="0"/>
              <w:jc w:val="center"/>
              <w:rPr>
                <w:bCs/>
                <w:noProof/>
              </w:rPr>
            </w:pPr>
            <w:r>
              <w:rPr>
                <w:noProof/>
              </w:rPr>
              <w:t>Etapă/Obiectiv</w:t>
            </w:r>
          </w:p>
        </w:tc>
        <w:tc>
          <w:tcPr>
            <w:tcW w:w="2118" w:type="dxa"/>
            <w:vMerge w:val="restart"/>
            <w:tcBorders>
              <w:top w:val="single" w:sz="4" w:space="0" w:color="auto"/>
              <w:left w:val="nil"/>
              <w:bottom w:val="single" w:sz="4" w:space="0" w:color="auto"/>
              <w:right w:val="single" w:sz="4" w:space="0" w:color="auto"/>
            </w:tcBorders>
            <w:shd w:val="clear" w:color="auto" w:fill="BDD7EE"/>
            <w:vAlign w:val="center"/>
            <w:hideMark/>
          </w:tcPr>
          <w:p w14:paraId="50D7D15F" w14:textId="77777777" w:rsidR="00FA7C11" w:rsidRDefault="00D84965">
            <w:pPr>
              <w:pStyle w:val="P68B1DB1-Normal58"/>
              <w:spacing w:after="0"/>
              <w:jc w:val="center"/>
              <w:rPr>
                <w:bCs/>
                <w:noProof/>
              </w:rPr>
            </w:pPr>
            <w:r>
              <w:rPr>
                <w:noProof/>
              </w:rPr>
              <w:t>Nume</w:t>
            </w:r>
          </w:p>
        </w:tc>
        <w:tc>
          <w:tcPr>
            <w:tcW w:w="17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880A2C" w14:textId="77777777" w:rsidR="00FA7C11" w:rsidRDefault="00D84965">
            <w:pPr>
              <w:pStyle w:val="P68B1DB1-Normal59"/>
              <w:spacing w:after="0"/>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hAnsi="Times New Roman" w:cs="Times New Roman"/>
                <w:noProof/>
              </w:rPr>
              <w:br/>
            </w:r>
            <w:r>
              <w:rPr>
                <w:rFonts w:ascii="Times New Roman" w:eastAsia="Times New Roman" w:hAnsi="Times New Roman" w:cs="Times New Roman"/>
                <w:b/>
                <w:noProof/>
              </w:rPr>
              <w:t>(pentru jaloane)</w:t>
            </w:r>
          </w:p>
        </w:tc>
        <w:tc>
          <w:tcPr>
            <w:tcW w:w="3240" w:type="dxa"/>
            <w:gridSpan w:val="3"/>
            <w:tcBorders>
              <w:top w:val="single" w:sz="4" w:space="0" w:color="auto"/>
              <w:left w:val="nil"/>
              <w:bottom w:val="single" w:sz="4" w:space="0" w:color="auto"/>
              <w:right w:val="single" w:sz="4" w:space="0" w:color="auto"/>
            </w:tcBorders>
            <w:shd w:val="clear" w:color="auto" w:fill="BDD7EE"/>
            <w:vAlign w:val="center"/>
            <w:hideMark/>
          </w:tcPr>
          <w:p w14:paraId="37FAF999" w14:textId="77777777" w:rsidR="00FA7C11" w:rsidRDefault="00D84965">
            <w:pPr>
              <w:pStyle w:val="P68B1DB1-Normal59"/>
              <w:spacing w:after="0"/>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hAnsi="Times New Roman" w:cs="Times New Roman"/>
                <w:noProof/>
              </w:rPr>
              <w:br/>
            </w:r>
            <w:r>
              <w:rPr>
                <w:rFonts w:ascii="Times New Roman" w:eastAsia="Times New Roman" w:hAnsi="Times New Roman" w:cs="Times New Roman"/>
                <w:b/>
                <w:noProof/>
              </w:rPr>
              <w:t>(pentru obiective)</w:t>
            </w:r>
          </w:p>
        </w:tc>
        <w:tc>
          <w:tcPr>
            <w:tcW w:w="1744" w:type="dxa"/>
            <w:gridSpan w:val="2"/>
            <w:tcBorders>
              <w:top w:val="single" w:sz="4" w:space="0" w:color="auto"/>
              <w:left w:val="nil"/>
              <w:bottom w:val="single" w:sz="4" w:space="0" w:color="auto"/>
              <w:right w:val="single" w:sz="4" w:space="0" w:color="auto"/>
            </w:tcBorders>
            <w:shd w:val="clear" w:color="auto" w:fill="BDD7EE"/>
            <w:vAlign w:val="center"/>
            <w:hideMark/>
          </w:tcPr>
          <w:p w14:paraId="32464497" w14:textId="77777777" w:rsidR="00FA7C11" w:rsidRDefault="00D84965">
            <w:pPr>
              <w:pStyle w:val="P68B1DB1-Normal58"/>
              <w:spacing w:after="0"/>
              <w:jc w:val="center"/>
              <w:rPr>
                <w:bCs/>
                <w:noProof/>
              </w:rPr>
            </w:pPr>
            <w:r>
              <w:rPr>
                <w:noProof/>
              </w:rPr>
              <w:t>Timp</w:t>
            </w:r>
          </w:p>
        </w:tc>
        <w:tc>
          <w:tcPr>
            <w:tcW w:w="37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C235D0" w14:textId="77777777" w:rsidR="00FA7C11" w:rsidRDefault="00D84965">
            <w:pPr>
              <w:pStyle w:val="P68B1DB1-Normal58"/>
              <w:spacing w:after="0"/>
              <w:jc w:val="center"/>
              <w:rPr>
                <w:bCs/>
                <w:noProof/>
              </w:rPr>
            </w:pPr>
            <w:r>
              <w:rPr>
                <w:noProof/>
              </w:rPr>
              <w:t>Descrierea fiecărui jalon și a fiecărei ținte</w:t>
            </w:r>
          </w:p>
        </w:tc>
      </w:tr>
      <w:tr w:rsidR="00FA7C11" w14:paraId="3C68D9F2" w14:textId="77777777">
        <w:trPr>
          <w:trHeight w:val="305"/>
          <w:jc w:val="center"/>
        </w:trPr>
        <w:tc>
          <w:tcPr>
            <w:tcW w:w="1050" w:type="dxa"/>
            <w:vMerge/>
            <w:tcBorders>
              <w:top w:val="single" w:sz="4" w:space="0" w:color="auto"/>
              <w:left w:val="single" w:sz="4" w:space="0" w:color="auto"/>
              <w:bottom w:val="single" w:sz="4" w:space="0" w:color="auto"/>
              <w:right w:val="single" w:sz="4" w:space="0" w:color="auto"/>
            </w:tcBorders>
            <w:vAlign w:val="center"/>
            <w:hideMark/>
          </w:tcPr>
          <w:p w14:paraId="33B3EC3F" w14:textId="77777777" w:rsidR="00FA7C11" w:rsidRDefault="00FA7C11">
            <w:pPr>
              <w:spacing w:after="0"/>
              <w:jc w:val="center"/>
              <w:rPr>
                <w:rFonts w:ascii="Times New Roman" w:eastAsia="Times New Roman" w:hAnsi="Times New Roman" w:cs="Times New Roman"/>
                <w:b/>
                <w:noProof/>
                <w:sz w:val="20"/>
                <w:szCs w:val="20"/>
              </w:rPr>
            </w:pPr>
          </w:p>
        </w:tc>
        <w:tc>
          <w:tcPr>
            <w:tcW w:w="1050" w:type="dxa"/>
            <w:vMerge/>
            <w:tcBorders>
              <w:top w:val="single" w:sz="4" w:space="0" w:color="auto"/>
              <w:left w:val="single" w:sz="4" w:space="0" w:color="auto"/>
              <w:bottom w:val="single" w:sz="4" w:space="0" w:color="auto"/>
              <w:right w:val="single" w:sz="4" w:space="0" w:color="auto"/>
            </w:tcBorders>
            <w:vAlign w:val="center"/>
            <w:hideMark/>
          </w:tcPr>
          <w:p w14:paraId="187AF858" w14:textId="77777777" w:rsidR="00FA7C11" w:rsidRDefault="00FA7C11">
            <w:pPr>
              <w:spacing w:after="0"/>
              <w:jc w:val="center"/>
              <w:rPr>
                <w:rFonts w:ascii="Times New Roman" w:eastAsia="Times New Roman" w:hAnsi="Times New Roman" w:cs="Times New Roman"/>
                <w:b/>
                <w:noProof/>
                <w:sz w:val="20"/>
                <w:szCs w:val="2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4095F813" w14:textId="77777777" w:rsidR="00FA7C11" w:rsidRDefault="00FA7C11">
            <w:pPr>
              <w:spacing w:after="0"/>
              <w:jc w:val="center"/>
              <w:rPr>
                <w:rFonts w:ascii="Times New Roman" w:eastAsia="Times New Roman" w:hAnsi="Times New Roman" w:cs="Times New Roman"/>
                <w:b/>
                <w:noProof/>
                <w:sz w:val="20"/>
                <w:szCs w:val="20"/>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545ABBE8" w14:textId="77777777" w:rsidR="00FA7C11" w:rsidRDefault="00FA7C11">
            <w:pPr>
              <w:spacing w:after="0"/>
              <w:jc w:val="center"/>
              <w:rPr>
                <w:rFonts w:ascii="Times New Roman" w:eastAsia="Times New Roman" w:hAnsi="Times New Roman" w:cs="Times New Roman"/>
                <w:b/>
                <w:noProof/>
                <w:sz w:val="20"/>
                <w:szCs w:val="20"/>
              </w:rPr>
            </w:pPr>
          </w:p>
        </w:tc>
        <w:tc>
          <w:tcPr>
            <w:tcW w:w="1797" w:type="dxa"/>
            <w:vMerge/>
            <w:tcBorders>
              <w:top w:val="single" w:sz="4" w:space="0" w:color="auto"/>
              <w:left w:val="single" w:sz="4" w:space="0" w:color="auto"/>
              <w:bottom w:val="single" w:sz="4" w:space="0" w:color="auto"/>
              <w:right w:val="single" w:sz="4" w:space="0" w:color="auto"/>
            </w:tcBorders>
            <w:vAlign w:val="center"/>
            <w:hideMark/>
          </w:tcPr>
          <w:p w14:paraId="37E7864D" w14:textId="77777777" w:rsidR="00FA7C11" w:rsidRDefault="00FA7C11">
            <w:pPr>
              <w:spacing w:after="0"/>
              <w:jc w:val="center"/>
              <w:rPr>
                <w:rFonts w:ascii="Times New Roman" w:eastAsia="Times New Roman" w:hAnsi="Times New Roman" w:cs="Times New Roman"/>
                <w:b/>
                <w:noProof/>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181BB4" w14:textId="77777777" w:rsidR="00FA7C11" w:rsidRDefault="00D84965">
            <w:pPr>
              <w:pStyle w:val="P68B1DB1-Normal58"/>
              <w:spacing w:after="0"/>
              <w:jc w:val="center"/>
              <w:rPr>
                <w:bCs/>
                <w:noProof/>
              </w:rPr>
            </w:pPr>
            <w:r>
              <w:rPr>
                <w:noProof/>
              </w:rPr>
              <w:t>Unitate</w:t>
            </w: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FEB9929" w14:textId="77777777" w:rsidR="00FA7C11" w:rsidRDefault="00D84965">
            <w:pPr>
              <w:pStyle w:val="P68B1DB1-Normal58"/>
              <w:spacing w:after="0"/>
              <w:jc w:val="center"/>
              <w:rPr>
                <w:bCs/>
                <w:noProof/>
              </w:rPr>
            </w:pPr>
            <w:r>
              <w:rPr>
                <w:noProof/>
              </w:rPr>
              <w:t>Situația de referință</w:t>
            </w: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C5FB2C0" w14:textId="77777777" w:rsidR="00FA7C11" w:rsidRDefault="00D84965">
            <w:pPr>
              <w:pStyle w:val="P68B1DB1-Normal58"/>
              <w:spacing w:after="0"/>
              <w:jc w:val="center"/>
              <w:rPr>
                <w:bCs/>
                <w:noProof/>
              </w:rPr>
            </w:pPr>
            <w:r>
              <w:rPr>
                <w:noProof/>
              </w:rPr>
              <w:t>Obiectiv</w:t>
            </w:r>
          </w:p>
        </w:tc>
        <w:tc>
          <w:tcPr>
            <w:tcW w:w="99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596F6E" w14:textId="77777777" w:rsidR="00FA7C11" w:rsidRDefault="00D84965">
            <w:pPr>
              <w:pStyle w:val="P68B1DB1-Normal58"/>
              <w:spacing w:after="0"/>
              <w:jc w:val="center"/>
              <w:rPr>
                <w:bCs/>
                <w:noProof/>
              </w:rPr>
            </w:pPr>
            <w:r>
              <w:rPr>
                <w:noProof/>
              </w:rPr>
              <w:t>Trimestru</w:t>
            </w:r>
          </w:p>
        </w:tc>
        <w:tc>
          <w:tcPr>
            <w:tcW w:w="7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8149638" w14:textId="77777777" w:rsidR="00FA7C11" w:rsidRDefault="00D84965">
            <w:pPr>
              <w:pStyle w:val="P68B1DB1-Normal58"/>
              <w:spacing w:after="0"/>
              <w:jc w:val="center"/>
              <w:rPr>
                <w:bCs/>
                <w:noProof/>
              </w:rPr>
            </w:pPr>
            <w:r>
              <w:rPr>
                <w:noProof/>
              </w:rPr>
              <w:t>Anul</w:t>
            </w:r>
          </w:p>
        </w:tc>
        <w:tc>
          <w:tcPr>
            <w:tcW w:w="3719" w:type="dxa"/>
            <w:vMerge/>
            <w:tcBorders>
              <w:top w:val="single" w:sz="4" w:space="0" w:color="auto"/>
              <w:left w:val="single" w:sz="4" w:space="0" w:color="auto"/>
              <w:bottom w:val="single" w:sz="4" w:space="0" w:color="auto"/>
              <w:right w:val="single" w:sz="4" w:space="0" w:color="auto"/>
            </w:tcBorders>
            <w:vAlign w:val="center"/>
            <w:hideMark/>
          </w:tcPr>
          <w:p w14:paraId="08D3B239" w14:textId="77777777" w:rsidR="00FA7C11" w:rsidRDefault="00FA7C11">
            <w:pPr>
              <w:spacing w:after="0"/>
              <w:jc w:val="center"/>
              <w:rPr>
                <w:rFonts w:ascii="Times New Roman" w:eastAsia="Times New Roman" w:hAnsi="Times New Roman" w:cs="Times New Roman"/>
                <w:b/>
                <w:noProof/>
                <w:sz w:val="20"/>
                <w:szCs w:val="20"/>
              </w:rPr>
            </w:pPr>
          </w:p>
        </w:tc>
      </w:tr>
      <w:tr w:rsidR="00FA7C11" w14:paraId="12C515DB" w14:textId="77777777">
        <w:trPr>
          <w:trHeight w:val="305"/>
          <w:jc w:val="center"/>
        </w:trPr>
        <w:tc>
          <w:tcPr>
            <w:tcW w:w="1050" w:type="dxa"/>
            <w:tcBorders>
              <w:top w:val="single" w:sz="4" w:space="0" w:color="auto"/>
              <w:left w:val="single" w:sz="4" w:space="0" w:color="auto"/>
              <w:bottom w:val="single" w:sz="4" w:space="0" w:color="auto"/>
              <w:right w:val="single" w:sz="4" w:space="0" w:color="auto"/>
            </w:tcBorders>
            <w:shd w:val="clear" w:color="auto" w:fill="C6EFCE"/>
            <w:vAlign w:val="center"/>
          </w:tcPr>
          <w:p w14:paraId="1D7DFD52" w14:textId="77777777" w:rsidR="00FA7C11" w:rsidRDefault="00D84965">
            <w:pPr>
              <w:pStyle w:val="P68B1DB1-Normal102"/>
              <w:jc w:val="center"/>
              <w:rPr>
                <w:noProof/>
              </w:rPr>
            </w:pPr>
            <w:r>
              <w:rPr>
                <w:noProof/>
              </w:rPr>
              <w:t>154</w:t>
            </w:r>
          </w:p>
        </w:tc>
        <w:tc>
          <w:tcPr>
            <w:tcW w:w="1050" w:type="dxa"/>
            <w:tcBorders>
              <w:top w:val="single" w:sz="4" w:space="0" w:color="auto"/>
              <w:left w:val="nil"/>
              <w:bottom w:val="single" w:sz="4" w:space="0" w:color="auto"/>
              <w:right w:val="single" w:sz="4" w:space="0" w:color="auto"/>
            </w:tcBorders>
            <w:shd w:val="clear" w:color="auto" w:fill="C6EFCE"/>
            <w:vAlign w:val="center"/>
          </w:tcPr>
          <w:p w14:paraId="056BF58E" w14:textId="77777777" w:rsidR="00FA7C11" w:rsidRDefault="00D84965">
            <w:pPr>
              <w:pStyle w:val="P68B1DB1-Normal102"/>
              <w:jc w:val="center"/>
              <w:rPr>
                <w:noProof/>
              </w:rPr>
            </w:pPr>
            <w:r>
              <w:rPr>
                <w:noProof/>
              </w:rPr>
              <w:t>C2.1. R1-I2</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19B7F5FF" w14:textId="77777777" w:rsidR="00FA7C11" w:rsidRDefault="00D84965">
            <w:pPr>
              <w:pStyle w:val="P68B1DB1-Normal102"/>
              <w:spacing w:line="276" w:lineRule="auto"/>
              <w:jc w:val="center"/>
              <w:rPr>
                <w:noProof/>
              </w:rPr>
            </w:pPr>
            <w:r>
              <w:rPr>
                <w:noProof/>
              </w:rPr>
              <w:t>T</w:t>
            </w:r>
          </w:p>
        </w:tc>
        <w:tc>
          <w:tcPr>
            <w:tcW w:w="2118" w:type="dxa"/>
            <w:tcBorders>
              <w:top w:val="single" w:sz="4" w:space="0" w:color="auto"/>
              <w:left w:val="nil"/>
              <w:bottom w:val="single" w:sz="4" w:space="0" w:color="auto"/>
              <w:right w:val="single" w:sz="4" w:space="0" w:color="auto"/>
            </w:tcBorders>
            <w:shd w:val="clear" w:color="auto" w:fill="C6EFCE"/>
            <w:vAlign w:val="center"/>
          </w:tcPr>
          <w:p w14:paraId="4164EDF6" w14:textId="77777777" w:rsidR="00FA7C11" w:rsidRDefault="00D84965">
            <w:pPr>
              <w:pStyle w:val="P68B1DB1-Normal102"/>
              <w:spacing w:line="276" w:lineRule="auto"/>
              <w:jc w:val="center"/>
              <w:rPr>
                <w:noProof/>
              </w:rPr>
            </w:pPr>
            <w:r>
              <w:rPr>
                <w:noProof/>
              </w:rPr>
              <w:t>Module de formare pentru planificarea strategică și evaluarea impactului reglementărilor la nivel național, regional și local</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809C44B" w14:textId="77777777" w:rsidR="00FA7C11" w:rsidRDefault="00FA7C11">
            <w:pPr>
              <w:spacing w:line="276" w:lineRule="auto"/>
              <w:jc w:val="center"/>
              <w:rPr>
                <w:rFonts w:ascii="Times New Roman" w:hAnsi="Times New Roman" w:cs="Times New Roman"/>
                <w:noProof/>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C6EFCE"/>
            <w:vAlign w:val="center"/>
          </w:tcPr>
          <w:p w14:paraId="09BC477E" w14:textId="77777777" w:rsidR="00FA7C11" w:rsidRDefault="00D84965">
            <w:pPr>
              <w:pStyle w:val="P68B1DB1-Normal102"/>
              <w:spacing w:line="276" w:lineRule="auto"/>
              <w:jc w:val="center"/>
              <w:rPr>
                <w:noProof/>
              </w:rPr>
            </w:pPr>
            <w:r>
              <w:rPr>
                <w:noProof/>
              </w:rPr>
              <w:t>Număr</w:t>
            </w:r>
          </w:p>
        </w:tc>
        <w:tc>
          <w:tcPr>
            <w:tcW w:w="1080" w:type="dxa"/>
            <w:tcBorders>
              <w:top w:val="single" w:sz="4" w:space="0" w:color="auto"/>
              <w:left w:val="nil"/>
              <w:bottom w:val="single" w:sz="4" w:space="0" w:color="auto"/>
              <w:right w:val="single" w:sz="4" w:space="0" w:color="auto"/>
            </w:tcBorders>
            <w:shd w:val="clear" w:color="auto" w:fill="C6EFCE"/>
            <w:vAlign w:val="center"/>
          </w:tcPr>
          <w:p w14:paraId="170F62E0" w14:textId="77777777" w:rsidR="00FA7C11" w:rsidRDefault="00D84965">
            <w:pPr>
              <w:pStyle w:val="P68B1DB1-Normal102"/>
              <w:spacing w:line="276" w:lineRule="auto"/>
              <w:jc w:val="center"/>
              <w:rPr>
                <w:noProof/>
              </w:rPr>
            </w:pPr>
            <w:r>
              <w:rPr>
                <w:noProof/>
              </w:rPr>
              <w:t>0</w:t>
            </w:r>
          </w:p>
        </w:tc>
        <w:tc>
          <w:tcPr>
            <w:tcW w:w="1080" w:type="dxa"/>
            <w:tcBorders>
              <w:top w:val="single" w:sz="4" w:space="0" w:color="auto"/>
              <w:left w:val="nil"/>
              <w:bottom w:val="single" w:sz="4" w:space="0" w:color="auto"/>
              <w:right w:val="single" w:sz="4" w:space="0" w:color="auto"/>
            </w:tcBorders>
            <w:shd w:val="clear" w:color="auto" w:fill="C6EFCE"/>
            <w:vAlign w:val="center"/>
          </w:tcPr>
          <w:p w14:paraId="4450E465" w14:textId="77777777" w:rsidR="00FA7C11" w:rsidRDefault="00D84965">
            <w:pPr>
              <w:pStyle w:val="P68B1DB1-Normal102"/>
              <w:spacing w:line="276" w:lineRule="auto"/>
              <w:jc w:val="center"/>
              <w:rPr>
                <w:noProof/>
              </w:rPr>
            </w:pPr>
            <w:r>
              <w:rPr>
                <w:noProof/>
              </w:rPr>
              <w:t>10</w:t>
            </w:r>
          </w:p>
        </w:tc>
        <w:tc>
          <w:tcPr>
            <w:tcW w:w="994" w:type="dxa"/>
            <w:tcBorders>
              <w:top w:val="single" w:sz="4" w:space="0" w:color="auto"/>
              <w:left w:val="nil"/>
              <w:bottom w:val="single" w:sz="4" w:space="0" w:color="auto"/>
              <w:right w:val="single" w:sz="4" w:space="0" w:color="auto"/>
            </w:tcBorders>
            <w:shd w:val="clear" w:color="auto" w:fill="C6EFCE"/>
            <w:vAlign w:val="center"/>
          </w:tcPr>
          <w:p w14:paraId="6E56D94B" w14:textId="77777777" w:rsidR="00FA7C11" w:rsidRDefault="00D84965">
            <w:pPr>
              <w:pStyle w:val="P68B1DB1-Normal102"/>
              <w:spacing w:line="276" w:lineRule="auto"/>
              <w:jc w:val="center"/>
              <w:rPr>
                <w:noProof/>
              </w:rPr>
            </w:pPr>
            <w:r>
              <w:rPr>
                <w:noProof/>
              </w:rPr>
              <w:t>Î4</w:t>
            </w:r>
          </w:p>
        </w:tc>
        <w:tc>
          <w:tcPr>
            <w:tcW w:w="750" w:type="dxa"/>
            <w:tcBorders>
              <w:top w:val="single" w:sz="4" w:space="0" w:color="auto"/>
              <w:left w:val="nil"/>
              <w:bottom w:val="single" w:sz="4" w:space="0" w:color="auto"/>
              <w:right w:val="single" w:sz="4" w:space="0" w:color="auto"/>
            </w:tcBorders>
            <w:shd w:val="clear" w:color="auto" w:fill="C6EFCE"/>
            <w:vAlign w:val="center"/>
          </w:tcPr>
          <w:p w14:paraId="14DB13F3" w14:textId="77777777" w:rsidR="00FA7C11" w:rsidRDefault="00D84965">
            <w:pPr>
              <w:pStyle w:val="P68B1DB1-Normal102"/>
              <w:spacing w:line="276" w:lineRule="auto"/>
              <w:jc w:val="center"/>
              <w:rPr>
                <w:noProof/>
              </w:rPr>
            </w:pPr>
            <w:r>
              <w:rPr>
                <w:noProof/>
              </w:rPr>
              <w:t>2024</w:t>
            </w:r>
          </w:p>
        </w:tc>
        <w:tc>
          <w:tcPr>
            <w:tcW w:w="3719" w:type="dxa"/>
            <w:tcBorders>
              <w:top w:val="single" w:sz="4" w:space="0" w:color="auto"/>
              <w:left w:val="nil"/>
              <w:bottom w:val="single" w:sz="4" w:space="0" w:color="auto"/>
              <w:right w:val="single" w:sz="4" w:space="0" w:color="auto"/>
            </w:tcBorders>
            <w:shd w:val="clear" w:color="auto" w:fill="C6EFCE"/>
            <w:vAlign w:val="center"/>
          </w:tcPr>
          <w:p w14:paraId="339914F0" w14:textId="77777777" w:rsidR="00FA7C11" w:rsidRDefault="00D84965">
            <w:pPr>
              <w:pStyle w:val="P68B1DB1-Normal102"/>
              <w:spacing w:line="276" w:lineRule="auto"/>
              <w:rPr>
                <w:noProof/>
              </w:rPr>
            </w:pPr>
            <w:r>
              <w:rPr>
                <w:noProof/>
              </w:rPr>
              <w:t>Vor fi dezvoltate 10 module educaționale/de formare pentru planificarea strategică și o mai bună reglementare pentru a asigura profesionalizarea muncii, inclusiv însoțitori de învățare online cu sprijin tehnic din partea NSPA (Școala Națională de Administrație Publică). Modulele vor fi dezvoltate până la sfârșitul anului 2024.</w:t>
            </w:r>
          </w:p>
        </w:tc>
      </w:tr>
      <w:tr w:rsidR="00FA7C11" w14:paraId="0F007E2C" w14:textId="77777777">
        <w:trPr>
          <w:trHeight w:val="305"/>
          <w:jc w:val="center"/>
        </w:trPr>
        <w:tc>
          <w:tcPr>
            <w:tcW w:w="1050" w:type="dxa"/>
            <w:tcBorders>
              <w:top w:val="single" w:sz="4" w:space="0" w:color="auto"/>
              <w:left w:val="single" w:sz="4" w:space="0" w:color="auto"/>
              <w:bottom w:val="single" w:sz="4" w:space="0" w:color="auto"/>
              <w:right w:val="single" w:sz="4" w:space="0" w:color="auto"/>
            </w:tcBorders>
            <w:shd w:val="clear" w:color="auto" w:fill="C6EFCE"/>
            <w:vAlign w:val="center"/>
          </w:tcPr>
          <w:p w14:paraId="2DE41DCB" w14:textId="77777777" w:rsidR="00FA7C11" w:rsidRDefault="00D84965">
            <w:pPr>
              <w:pStyle w:val="P68B1DB1-Normal102"/>
              <w:jc w:val="center"/>
              <w:rPr>
                <w:noProof/>
              </w:rPr>
            </w:pPr>
            <w:r>
              <w:rPr>
                <w:noProof/>
              </w:rPr>
              <w:t>155</w:t>
            </w:r>
          </w:p>
        </w:tc>
        <w:tc>
          <w:tcPr>
            <w:tcW w:w="1050" w:type="dxa"/>
            <w:tcBorders>
              <w:top w:val="single" w:sz="4" w:space="0" w:color="auto"/>
              <w:left w:val="nil"/>
              <w:bottom w:val="single" w:sz="4" w:space="0" w:color="auto"/>
              <w:right w:val="single" w:sz="4" w:space="0" w:color="auto"/>
            </w:tcBorders>
            <w:shd w:val="clear" w:color="auto" w:fill="C6EFCE"/>
            <w:vAlign w:val="center"/>
          </w:tcPr>
          <w:p w14:paraId="2357C72B" w14:textId="77777777" w:rsidR="00FA7C11" w:rsidRDefault="00D84965">
            <w:pPr>
              <w:pStyle w:val="P68B1DB1-Normal102"/>
              <w:jc w:val="center"/>
              <w:rPr>
                <w:noProof/>
              </w:rPr>
            </w:pPr>
            <w:r>
              <w:rPr>
                <w:noProof/>
              </w:rPr>
              <w:t>C2.1. R1-I2</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9808EF7" w14:textId="77777777" w:rsidR="00FA7C11" w:rsidRDefault="00D84965">
            <w:pPr>
              <w:pStyle w:val="P68B1DB1-Normal102"/>
              <w:spacing w:line="276" w:lineRule="auto"/>
              <w:jc w:val="center"/>
              <w:rPr>
                <w:noProof/>
              </w:rPr>
            </w:pPr>
            <w:r>
              <w:rPr>
                <w:noProof/>
              </w:rPr>
              <w:t>T</w:t>
            </w:r>
          </w:p>
        </w:tc>
        <w:tc>
          <w:tcPr>
            <w:tcW w:w="2118" w:type="dxa"/>
            <w:tcBorders>
              <w:top w:val="single" w:sz="4" w:space="0" w:color="auto"/>
              <w:left w:val="nil"/>
              <w:bottom w:val="single" w:sz="4" w:space="0" w:color="auto"/>
              <w:right w:val="single" w:sz="4" w:space="0" w:color="auto"/>
            </w:tcBorders>
            <w:shd w:val="clear" w:color="auto" w:fill="C6EFCE"/>
            <w:vAlign w:val="center"/>
          </w:tcPr>
          <w:p w14:paraId="53F98B79" w14:textId="77777777" w:rsidR="00FA7C11" w:rsidRDefault="00D84965">
            <w:pPr>
              <w:pStyle w:val="P68B1DB1-Normal102"/>
              <w:spacing w:line="276" w:lineRule="auto"/>
              <w:jc w:val="center"/>
              <w:rPr>
                <w:noProof/>
              </w:rPr>
            </w:pPr>
            <w:r>
              <w:rPr>
                <w:noProof/>
              </w:rPr>
              <w:t>Organizarea de zile de formare pentru ofițerii care au legătură cu sistemul de planificare strategică și de punere în aplicare a impacturilor în materie de reglementare la nivel național și regional</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768709C" w14:textId="77777777" w:rsidR="00FA7C11" w:rsidRDefault="00FA7C11">
            <w:pPr>
              <w:spacing w:line="276" w:lineRule="auto"/>
              <w:jc w:val="center"/>
              <w:rPr>
                <w:rFonts w:ascii="Times New Roman" w:hAnsi="Times New Roman" w:cs="Times New Roman"/>
                <w:noProof/>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C6EFCE"/>
            <w:vAlign w:val="center"/>
          </w:tcPr>
          <w:p w14:paraId="6CB4C75E" w14:textId="77777777" w:rsidR="00FA7C11" w:rsidRDefault="00D84965">
            <w:pPr>
              <w:pStyle w:val="P68B1DB1-Normal102"/>
              <w:spacing w:line="276" w:lineRule="auto"/>
              <w:jc w:val="center"/>
              <w:rPr>
                <w:noProof/>
              </w:rPr>
            </w:pPr>
            <w:r>
              <w:rPr>
                <w:noProof/>
              </w:rPr>
              <w:t>Număr</w:t>
            </w:r>
          </w:p>
        </w:tc>
        <w:tc>
          <w:tcPr>
            <w:tcW w:w="1080" w:type="dxa"/>
            <w:tcBorders>
              <w:top w:val="single" w:sz="4" w:space="0" w:color="auto"/>
              <w:left w:val="nil"/>
              <w:bottom w:val="single" w:sz="4" w:space="0" w:color="auto"/>
              <w:right w:val="single" w:sz="4" w:space="0" w:color="auto"/>
            </w:tcBorders>
            <w:shd w:val="clear" w:color="auto" w:fill="C6EFCE"/>
            <w:vAlign w:val="center"/>
          </w:tcPr>
          <w:p w14:paraId="6E5151EA" w14:textId="77777777" w:rsidR="00FA7C11" w:rsidRDefault="00D84965">
            <w:pPr>
              <w:pStyle w:val="P68B1DB1-Normal102"/>
              <w:spacing w:line="276" w:lineRule="auto"/>
              <w:jc w:val="center"/>
              <w:rPr>
                <w:noProof/>
              </w:rPr>
            </w:pPr>
            <w:r>
              <w:rPr>
                <w:noProof/>
              </w:rPr>
              <w:t>0</w:t>
            </w:r>
          </w:p>
        </w:tc>
        <w:tc>
          <w:tcPr>
            <w:tcW w:w="1080" w:type="dxa"/>
            <w:tcBorders>
              <w:top w:val="single" w:sz="4" w:space="0" w:color="auto"/>
              <w:left w:val="nil"/>
              <w:bottom w:val="single" w:sz="4" w:space="0" w:color="auto"/>
              <w:right w:val="single" w:sz="4" w:space="0" w:color="auto"/>
            </w:tcBorders>
            <w:shd w:val="clear" w:color="auto" w:fill="C6EFCE"/>
            <w:vAlign w:val="center"/>
          </w:tcPr>
          <w:p w14:paraId="40C06615" w14:textId="77777777" w:rsidR="00FA7C11" w:rsidRDefault="00D84965">
            <w:pPr>
              <w:pStyle w:val="P68B1DB1-Normal102"/>
              <w:spacing w:line="276" w:lineRule="auto"/>
              <w:jc w:val="center"/>
              <w:rPr>
                <w:noProof/>
              </w:rPr>
            </w:pPr>
            <w:r>
              <w:rPr>
                <w:noProof/>
              </w:rPr>
              <w:t>15</w:t>
            </w:r>
          </w:p>
        </w:tc>
        <w:tc>
          <w:tcPr>
            <w:tcW w:w="994" w:type="dxa"/>
            <w:tcBorders>
              <w:top w:val="single" w:sz="4" w:space="0" w:color="auto"/>
              <w:left w:val="nil"/>
              <w:bottom w:val="single" w:sz="4" w:space="0" w:color="auto"/>
              <w:right w:val="single" w:sz="4" w:space="0" w:color="auto"/>
            </w:tcBorders>
            <w:shd w:val="clear" w:color="auto" w:fill="C6EFCE"/>
            <w:vAlign w:val="center"/>
          </w:tcPr>
          <w:p w14:paraId="30191902" w14:textId="77777777" w:rsidR="00FA7C11" w:rsidRDefault="00D84965">
            <w:pPr>
              <w:pStyle w:val="P68B1DB1-Normal102"/>
              <w:spacing w:line="276" w:lineRule="auto"/>
              <w:jc w:val="center"/>
              <w:rPr>
                <w:noProof/>
              </w:rPr>
            </w:pPr>
            <w:r>
              <w:rPr>
                <w:noProof/>
              </w:rPr>
              <w:t>Î4</w:t>
            </w:r>
          </w:p>
        </w:tc>
        <w:tc>
          <w:tcPr>
            <w:tcW w:w="750" w:type="dxa"/>
            <w:tcBorders>
              <w:top w:val="single" w:sz="4" w:space="0" w:color="auto"/>
              <w:left w:val="nil"/>
              <w:bottom w:val="single" w:sz="4" w:space="0" w:color="auto"/>
              <w:right w:val="single" w:sz="4" w:space="0" w:color="auto"/>
            </w:tcBorders>
            <w:shd w:val="clear" w:color="auto" w:fill="C6EFCE"/>
            <w:vAlign w:val="center"/>
          </w:tcPr>
          <w:p w14:paraId="4DE13259" w14:textId="77777777" w:rsidR="00FA7C11" w:rsidRDefault="00D84965">
            <w:pPr>
              <w:pStyle w:val="P68B1DB1-Normal102"/>
              <w:spacing w:line="276" w:lineRule="auto"/>
              <w:jc w:val="center"/>
              <w:rPr>
                <w:noProof/>
              </w:rPr>
            </w:pPr>
            <w:r>
              <w:rPr>
                <w:noProof/>
              </w:rPr>
              <w:t>2025</w:t>
            </w:r>
          </w:p>
        </w:tc>
        <w:tc>
          <w:tcPr>
            <w:tcW w:w="3719" w:type="dxa"/>
            <w:tcBorders>
              <w:top w:val="single" w:sz="4" w:space="0" w:color="auto"/>
              <w:left w:val="nil"/>
              <w:bottom w:val="single" w:sz="4" w:space="0" w:color="auto"/>
              <w:right w:val="single" w:sz="4" w:space="0" w:color="auto"/>
            </w:tcBorders>
            <w:shd w:val="clear" w:color="auto" w:fill="C6EFCE"/>
            <w:vAlign w:val="center"/>
          </w:tcPr>
          <w:p w14:paraId="53556B41" w14:textId="77777777" w:rsidR="00FA7C11" w:rsidRDefault="00D84965">
            <w:pPr>
              <w:pStyle w:val="P68B1DB1-Normal102"/>
              <w:spacing w:line="276" w:lineRule="auto"/>
              <w:rPr>
                <w:noProof/>
              </w:rPr>
            </w:pPr>
            <w:r>
              <w:rPr>
                <w:noProof/>
              </w:rPr>
              <w:t>Cel puțin 15 zile de formare desfășurate pentru a oferi cursuri de formare bazate pe module educaționale în cadrul sistemului de planificare strategică și de punere în aplicare a efectelor de reglementare la nivel național, regional și local.</w:t>
            </w:r>
          </w:p>
        </w:tc>
      </w:tr>
    </w:tbl>
    <w:p w14:paraId="20F5247E" w14:textId="77777777" w:rsidR="00FA7C11" w:rsidRDefault="00FA7C11">
      <w:pPr>
        <w:spacing w:line="240" w:lineRule="auto"/>
        <w:ind w:left="840"/>
        <w:jc w:val="both"/>
        <w:textAlignment w:val="baseline"/>
        <w:rPr>
          <w:rFonts w:ascii="Segoe UI" w:eastAsia="Times New Roman" w:hAnsi="Segoe UI" w:cs="Segoe UI"/>
          <w:noProof/>
          <w:sz w:val="18"/>
          <w:szCs w:val="18"/>
        </w:rPr>
      </w:pPr>
    </w:p>
    <w:p w14:paraId="7785CCB0" w14:textId="77777777" w:rsidR="00FA7C11" w:rsidRDefault="00FA7C11">
      <w:pPr>
        <w:spacing w:line="240" w:lineRule="auto"/>
        <w:ind w:left="840"/>
        <w:jc w:val="both"/>
        <w:textAlignment w:val="baseline"/>
        <w:rPr>
          <w:rFonts w:ascii="Segoe UI" w:eastAsia="Times New Roman" w:hAnsi="Segoe UI" w:cs="Segoe UI"/>
          <w:noProof/>
          <w:sz w:val="18"/>
          <w:szCs w:val="18"/>
        </w:rPr>
      </w:pPr>
    </w:p>
    <w:p w14:paraId="630A70C0" w14:textId="77777777" w:rsidR="00FA7C11" w:rsidRDefault="00FA7C11">
      <w:pPr>
        <w:pStyle w:val="paragraph"/>
        <w:spacing w:before="0" w:beforeAutospacing="0" w:after="0" w:afterAutospacing="0"/>
        <w:jc w:val="both"/>
        <w:textAlignment w:val="baseline"/>
        <w:rPr>
          <w:rFonts w:ascii="Segoe UI" w:hAnsi="Segoe UI" w:cs="Segoe UI"/>
          <w:noProof/>
          <w:sz w:val="18"/>
          <w:szCs w:val="18"/>
        </w:rPr>
        <w:sectPr w:rsidR="00FA7C11" w:rsidSect="00FA29B2">
          <w:headerReference w:type="even" r:id="rId140"/>
          <w:headerReference w:type="default" r:id="rId141"/>
          <w:footerReference w:type="even" r:id="rId142"/>
          <w:footerReference w:type="default" r:id="rId143"/>
          <w:headerReference w:type="first" r:id="rId144"/>
          <w:footerReference w:type="first" r:id="rId145"/>
          <w:pgSz w:w="16839" w:h="11907" w:orient="landscape"/>
          <w:pgMar w:top="1134" w:right="1134" w:bottom="1134" w:left="1134" w:header="567" w:footer="567" w:gutter="0"/>
          <w:cols w:space="720"/>
          <w:docGrid w:linePitch="360"/>
        </w:sectPr>
      </w:pPr>
    </w:p>
    <w:p w14:paraId="2294567C" w14:textId="77777777" w:rsidR="00FA7C11" w:rsidRDefault="00D84965">
      <w:pPr>
        <w:pStyle w:val="P68B1DB1-Normal117"/>
        <w:keepNext/>
        <w:tabs>
          <w:tab w:val="left" w:pos="850"/>
        </w:tabs>
        <w:spacing w:after="200" w:line="276" w:lineRule="auto"/>
        <w:jc w:val="both"/>
        <w:outlineLvl w:val="0"/>
        <w:rPr>
          <w:noProof/>
          <w:sz w:val="24"/>
        </w:rPr>
      </w:pPr>
      <w:r>
        <w:rPr>
          <w:noProof/>
        </w:rPr>
        <w:t>H</w:t>
      </w:r>
      <w:r>
        <w:rPr>
          <w:noProof/>
          <w:sz w:val="24"/>
        </w:rPr>
        <w:t>. COMPONENTA 2.2: ÎMBUNĂTĂȚIREA ÎN CONTINUARE A EFICIENȚEI ADMINISTRAȚIEI PUBLICE</w:t>
      </w:r>
    </w:p>
    <w:p w14:paraId="2FC699A1" w14:textId="77777777" w:rsidR="00FA7C11" w:rsidRDefault="00D84965">
      <w:pPr>
        <w:pStyle w:val="P68B1DB1-Normal118"/>
        <w:spacing w:line="240" w:lineRule="auto"/>
        <w:jc w:val="both"/>
        <w:rPr>
          <w:noProof/>
        </w:rPr>
      </w:pPr>
      <w:r>
        <w:rPr>
          <w:noProof/>
        </w:rPr>
        <w:t xml:space="preserve">Componenta urmărește să modernizeze administrația publică a Croației și să o facă mai centrată pe utilizator, prin stimularea fuziunilor efective și funcționale ale unităților administrației locale, prin creșterea digitalizării, a interoperabilității, a creșterii eficienței în alocarea resurselor la nivel local și prin reformarea sistemului de remunerare și a gestionării resurselor umane. </w:t>
      </w:r>
    </w:p>
    <w:p w14:paraId="7100935F" w14:textId="77777777" w:rsidR="00FA7C11" w:rsidRDefault="00D84965">
      <w:pPr>
        <w:pStyle w:val="P68B1DB1-Normal118"/>
        <w:spacing w:line="240" w:lineRule="auto"/>
        <w:jc w:val="both"/>
        <w:rPr>
          <w:noProof/>
        </w:rPr>
      </w:pPr>
      <w:r>
        <w:rPr>
          <w:noProof/>
        </w:rPr>
        <w:t>Obiectivele generale sunt de a îmbunătăți capacitatea de a atrage și de a păstra angajați talentați și de înaltă calitate din administrația publică și de a îmbunătăți calitatea serviciilor publice din unitățile administrației locale și regionale, care sunt afectate de slaba capacitate administrativă și bugetară și de lipsa de transparență.</w:t>
      </w:r>
    </w:p>
    <w:p w14:paraId="3E229434" w14:textId="77777777" w:rsidR="00FA7C11" w:rsidRDefault="00D84965">
      <w:pPr>
        <w:pStyle w:val="P68B1DB1-Normal118"/>
        <w:spacing w:line="240" w:lineRule="auto"/>
        <w:jc w:val="both"/>
        <w:rPr>
          <w:noProof/>
        </w:rPr>
      </w:pPr>
      <w:r>
        <w:rPr>
          <w:noProof/>
        </w:rPr>
        <w:t>Componenta include reforme majore cu investiții conexe:</w:t>
      </w:r>
    </w:p>
    <w:p w14:paraId="4F9C6FEC" w14:textId="77777777" w:rsidR="00FA7C11" w:rsidRDefault="00D84965">
      <w:pPr>
        <w:pStyle w:val="P68B1DB1-Normal118"/>
        <w:numPr>
          <w:ilvl w:val="0"/>
          <w:numId w:val="55"/>
        </w:numPr>
        <w:spacing w:before="120" w:after="120" w:line="240" w:lineRule="auto"/>
        <w:jc w:val="both"/>
        <w:rPr>
          <w:noProof/>
        </w:rPr>
      </w:pPr>
      <w:r>
        <w:rPr>
          <w:noProof/>
        </w:rPr>
        <w:t xml:space="preserve">Îmbunătățirea procesului de recrutare în funcția publică prin consolidarea sistemului de admitere în funcția publică și prin îmbunătățirea în continuare a competențelor funcționarilor publici; </w:t>
      </w:r>
    </w:p>
    <w:p w14:paraId="3F7E9331" w14:textId="0DF51D9F" w:rsidR="00FA7C11" w:rsidRDefault="00D84965">
      <w:pPr>
        <w:pStyle w:val="P68B1DB1-Normal118"/>
        <w:numPr>
          <w:ilvl w:val="0"/>
          <w:numId w:val="55"/>
        </w:numPr>
        <w:spacing w:before="120" w:after="120" w:line="240" w:lineRule="auto"/>
        <w:jc w:val="both"/>
        <w:rPr>
          <w:noProof/>
        </w:rPr>
      </w:pPr>
      <w:r>
        <w:rPr>
          <w:noProof/>
        </w:rPr>
        <w:t>Introducerea unor noi modele de salarizare și de muncă în administrația publică, inclusiv reformarea sistemului de salarizare din sectorul public, modernizarea sistemului de gestionare a resurselor umane și promovarea mobilității verticale și orizontale;</w:t>
      </w:r>
    </w:p>
    <w:p w14:paraId="75E18C33" w14:textId="77777777" w:rsidR="00FA7C11" w:rsidRDefault="00D84965">
      <w:pPr>
        <w:pStyle w:val="P68B1DB1-Normal118"/>
        <w:numPr>
          <w:ilvl w:val="0"/>
          <w:numId w:val="55"/>
        </w:numPr>
        <w:spacing w:before="120" w:after="120" w:line="240" w:lineRule="auto"/>
        <w:jc w:val="both"/>
        <w:rPr>
          <w:noProof/>
        </w:rPr>
      </w:pPr>
      <w:r>
        <w:rPr>
          <w:noProof/>
        </w:rPr>
        <w:t xml:space="preserve">Transformarea digitală a bazelor de conservare și a arhivelor; </w:t>
      </w:r>
    </w:p>
    <w:p w14:paraId="68CC72B7" w14:textId="77777777" w:rsidR="00FA7C11" w:rsidRDefault="00D84965">
      <w:pPr>
        <w:pStyle w:val="P68B1DB1-Normal118"/>
        <w:numPr>
          <w:ilvl w:val="0"/>
          <w:numId w:val="55"/>
        </w:numPr>
        <w:spacing w:before="120" w:after="120" w:line="240" w:lineRule="auto"/>
        <w:jc w:val="both"/>
        <w:rPr>
          <w:noProof/>
        </w:rPr>
      </w:pPr>
      <w:r>
        <w:rPr>
          <w:noProof/>
        </w:rPr>
        <w:t>Asigurarea unei administrații locale funcționale și durabile prin optimizarea și descentralizarea în continuare a unităților administrației locale prin stimularea sprijinului pentru fuziuni funcționale și efective.</w:t>
      </w:r>
    </w:p>
    <w:p w14:paraId="0659CFCB" w14:textId="77777777" w:rsidR="00FA7C11" w:rsidRDefault="00D84965">
      <w:pPr>
        <w:pStyle w:val="P68B1DB1-Normal118"/>
        <w:spacing w:line="240" w:lineRule="auto"/>
        <w:jc w:val="both"/>
        <w:rPr>
          <w:noProof/>
        </w:rPr>
      </w:pPr>
      <w:r>
        <w:rPr>
          <w:noProof/>
        </w:rPr>
        <w:t>Componenta contribuie la punerea în aplicare a recomandărilor specifice fiecărei țări privind necesitatea de a consolida eficiența administrației publice (recomandările specifice fiecărei țări 1 și 2019) și privind îmbunătățirea furnizării și a calității serviciilor în unitățile mai mici ale administrației locale (recomandările specifice fiecărei țări 4 și 2020).</w:t>
      </w:r>
    </w:p>
    <w:p w14:paraId="3E855525" w14:textId="77777777" w:rsidR="00FA7C11" w:rsidRDefault="00D84965">
      <w:pPr>
        <w:pStyle w:val="P68B1DB1-Normal118"/>
        <w:spacing w:line="240" w:lineRule="auto"/>
        <w:jc w:val="both"/>
        <w:rPr>
          <w:noProof/>
        </w:rPr>
      </w:pPr>
      <w:r>
        <w:rPr>
          <w:noProof/>
        </w:rPr>
        <w:t>Componenta include patru reforme și șapte investiții.</w:t>
      </w:r>
    </w:p>
    <w:p w14:paraId="1C204156" w14:textId="77777777" w:rsidR="00FA7C11" w:rsidRDefault="00D84965">
      <w:pPr>
        <w:pStyle w:val="P68B1DB1-Normal57"/>
        <w:keepNext/>
        <w:spacing w:after="200" w:line="276" w:lineRule="auto"/>
        <w:ind w:left="851"/>
        <w:jc w:val="both"/>
        <w:outlineLvl w:val="1"/>
        <w:rPr>
          <w:rFonts w:eastAsia="Calibri"/>
          <w:noProof/>
        </w:rPr>
      </w:pPr>
      <w:r>
        <w:rPr>
          <w:noProof/>
        </w:rPr>
        <w:t xml:space="preserve">H.1. </w:t>
      </w:r>
      <w:r>
        <w:rPr>
          <w:noProof/>
        </w:rPr>
        <w:tab/>
        <w:t>Descrierea reformelor și a investițiilor pentru sprijinul financiar nerambursabil</w:t>
      </w:r>
    </w:p>
    <w:p w14:paraId="1C77525E" w14:textId="77777777" w:rsidR="00FA7C11" w:rsidRDefault="00D84965">
      <w:pPr>
        <w:pStyle w:val="P68B1DB1-Normal96"/>
        <w:keepNext/>
        <w:tabs>
          <w:tab w:val="num" w:pos="850"/>
        </w:tabs>
        <w:spacing w:after="200" w:line="276" w:lineRule="auto"/>
        <w:ind w:left="851"/>
        <w:jc w:val="both"/>
        <w:outlineLvl w:val="2"/>
        <w:rPr>
          <w:rFonts w:eastAsia="Calibri"/>
          <w:noProof/>
        </w:rPr>
      </w:pPr>
      <w:r>
        <w:rPr>
          <w:noProof/>
        </w:rPr>
        <w:t xml:space="preserve">Reforma C2.2 R1 – Îmbunătățirea recrutării în funcția publică </w:t>
      </w:r>
    </w:p>
    <w:p w14:paraId="289F96A0" w14:textId="77777777" w:rsidR="00FA7C11" w:rsidRDefault="00D84965">
      <w:pPr>
        <w:pStyle w:val="P68B1DB1-Normal33"/>
        <w:spacing w:line="240" w:lineRule="auto"/>
        <w:jc w:val="both"/>
        <w:rPr>
          <w:noProof/>
        </w:rPr>
      </w:pPr>
      <w:r>
        <w:rPr>
          <w:noProof/>
        </w:rPr>
        <w:t>Această reformă urmărește să îmbunătățească sistemul de recrutare în administrația publică pentru a asigura angajarea unor funcționari cu înaltă competență, care să contribuie la îmbunătățirea eficienței administrației publice și să permită o reorientare a administrației publice către nevoile cetățenilor. Reforma include modificări ale cadrului legislativ. Pe lângă reformă, autoritățile intenționează să dezvolte instrumente de tehnologie a informației, metodologii și conținutul necesar pentru verificarea competențelor, precum și măsuri de consolidare a capacităților.</w:t>
      </w:r>
    </w:p>
    <w:p w14:paraId="0D622DA1" w14:textId="77777777" w:rsidR="00FA7C11" w:rsidRDefault="00D84965">
      <w:pPr>
        <w:pStyle w:val="P68B1DB1-Normal33"/>
        <w:spacing w:line="240" w:lineRule="auto"/>
        <w:jc w:val="both"/>
        <w:rPr>
          <w:noProof/>
        </w:rPr>
      </w:pPr>
      <w:r>
        <w:rPr>
          <w:noProof/>
        </w:rPr>
        <w:t xml:space="preserve">Se introduce un sistem centralizat de selecție a funcționarilor publici, bazat pe planuri prestabilite, pe o analiză a volumului de muncă și pe nevoile reale ale autorităților publice pentru a recruta un anumit profil de funcționari. În procesul de recrutare, candidații sunt testați online, asigurându-se o selecție transparentă și mai obiectivă a candidaților. </w:t>
      </w:r>
    </w:p>
    <w:p w14:paraId="0A7D2121" w14:textId="77777777" w:rsidR="00FA7C11" w:rsidRDefault="00D84965">
      <w:pPr>
        <w:pStyle w:val="P68B1DB1-Normal33"/>
        <w:spacing w:line="240" w:lineRule="auto"/>
        <w:jc w:val="both"/>
        <w:rPr>
          <w:noProof/>
        </w:rPr>
      </w:pPr>
      <w:r>
        <w:rPr>
          <w:noProof/>
        </w:rPr>
        <w:t>Măsura se finalizează până la 30 iunie 2023.</w:t>
      </w:r>
    </w:p>
    <w:p w14:paraId="7D6CA5D5" w14:textId="77777777" w:rsidR="00FA7C11" w:rsidRDefault="00D84965">
      <w:pPr>
        <w:pStyle w:val="P68B1DB1-Normal96"/>
        <w:keepNext/>
        <w:numPr>
          <w:ilvl w:val="2"/>
          <w:numId w:val="0"/>
        </w:numPr>
        <w:spacing w:line="240" w:lineRule="auto"/>
        <w:ind w:left="851"/>
        <w:jc w:val="both"/>
        <w:outlineLvl w:val="2"/>
        <w:rPr>
          <w:bCs/>
          <w:i/>
          <w:noProof/>
        </w:rPr>
      </w:pPr>
      <w:r>
        <w:rPr>
          <w:noProof/>
        </w:rPr>
        <w:t>Investiția C2.2 R1-I1 – Sistemul centralizat de selecție</w:t>
      </w:r>
    </w:p>
    <w:p w14:paraId="4C22DB15" w14:textId="77777777" w:rsidR="00FA7C11" w:rsidRDefault="00D84965">
      <w:pPr>
        <w:pStyle w:val="P68B1DB1-Normal33"/>
        <w:spacing w:line="240" w:lineRule="auto"/>
        <w:jc w:val="both"/>
        <w:rPr>
          <w:noProof/>
        </w:rPr>
      </w:pPr>
      <w:r>
        <w:rPr>
          <w:noProof/>
        </w:rPr>
        <w:t>Această investiție urmărește să instituie un sistem de recrutare mai obiectiv și mai transparent, bazat pe nevoile și resursele financiare identificate efectiv. Aceasta asigură recrutarea celor mai buni și mai competenți candidați, contribuind astfel la îmbunătățirea eficienței administrației publice.</w:t>
      </w:r>
    </w:p>
    <w:p w14:paraId="703B9476" w14:textId="77777777" w:rsidR="00FA7C11" w:rsidRDefault="00D84965">
      <w:pPr>
        <w:pStyle w:val="P68B1DB1-Normal33"/>
        <w:spacing w:line="240" w:lineRule="auto"/>
        <w:jc w:val="both"/>
        <w:rPr>
          <w:noProof/>
        </w:rPr>
      </w:pPr>
      <w:r>
        <w:rPr>
          <w:noProof/>
        </w:rPr>
        <w:t>Investiția include următoarele activități:</w:t>
      </w:r>
    </w:p>
    <w:p w14:paraId="38BB58EC" w14:textId="77777777" w:rsidR="00FA7C11" w:rsidRDefault="00D84965">
      <w:pPr>
        <w:pStyle w:val="P68B1DB1-Normal33"/>
        <w:numPr>
          <w:ilvl w:val="0"/>
          <w:numId w:val="56"/>
        </w:numPr>
        <w:spacing w:before="120" w:after="120" w:line="240" w:lineRule="auto"/>
        <w:jc w:val="both"/>
        <w:rPr>
          <w:noProof/>
        </w:rPr>
      </w:pPr>
      <w:r>
        <w:rPr>
          <w:noProof/>
        </w:rPr>
        <w:t>Elaborarea unei analize comparative a concepției sistemelor centralizate de ocupare a forței de muncă din statele membre ale UE și elaborarea unei propuneri pentru un nou model de ocupare a forței de muncă;</w:t>
      </w:r>
    </w:p>
    <w:p w14:paraId="064F1880" w14:textId="77777777" w:rsidR="00FA7C11" w:rsidRDefault="00D84965">
      <w:pPr>
        <w:pStyle w:val="P68B1DB1-Normal33"/>
        <w:numPr>
          <w:ilvl w:val="0"/>
          <w:numId w:val="56"/>
        </w:numPr>
        <w:spacing w:before="120" w:after="120" w:line="240" w:lineRule="auto"/>
        <w:jc w:val="both"/>
        <w:rPr>
          <w:noProof/>
        </w:rPr>
      </w:pPr>
      <w:r>
        <w:rPr>
          <w:noProof/>
        </w:rPr>
        <w:t>Modificări ale cadrului legislativ, inclusiv ale Legii privind funcția publică, în ceea ce privește procedurile de recrutare a funcționarilor publici în cadrul organismelor administrației de stat, al serviciilor profesionale și al birourilor guvernamentale;</w:t>
      </w:r>
    </w:p>
    <w:p w14:paraId="236B93E9" w14:textId="77777777" w:rsidR="00FA7C11" w:rsidRDefault="00D84965">
      <w:pPr>
        <w:pStyle w:val="P68B1DB1-Normal33"/>
        <w:numPr>
          <w:ilvl w:val="0"/>
          <w:numId w:val="56"/>
        </w:numPr>
        <w:spacing w:before="120" w:after="120" w:line="240" w:lineRule="auto"/>
        <w:jc w:val="both"/>
        <w:rPr>
          <w:noProof/>
        </w:rPr>
      </w:pPr>
      <w:r>
        <w:rPr>
          <w:noProof/>
        </w:rPr>
        <w:t>Elaborarea de teste și cursuri de formare standardizate;</w:t>
      </w:r>
    </w:p>
    <w:p w14:paraId="711607F7" w14:textId="77777777" w:rsidR="00FA7C11" w:rsidRDefault="00D84965">
      <w:pPr>
        <w:pStyle w:val="P68B1DB1-Normal33"/>
        <w:numPr>
          <w:ilvl w:val="0"/>
          <w:numId w:val="56"/>
        </w:numPr>
        <w:spacing w:before="120" w:after="120" w:line="240" w:lineRule="auto"/>
        <w:jc w:val="both"/>
        <w:rPr>
          <w:noProof/>
        </w:rPr>
      </w:pPr>
      <w:r>
        <w:rPr>
          <w:noProof/>
        </w:rPr>
        <w:t xml:space="preserve">Dezvoltarea platformei informatice; </w:t>
      </w:r>
    </w:p>
    <w:p w14:paraId="753C8304" w14:textId="77777777" w:rsidR="00FA7C11" w:rsidRDefault="00D84965">
      <w:pPr>
        <w:pStyle w:val="P68B1DB1-Normal33"/>
        <w:numPr>
          <w:ilvl w:val="0"/>
          <w:numId w:val="56"/>
        </w:numPr>
        <w:spacing w:before="120" w:after="120" w:line="240" w:lineRule="auto"/>
        <w:jc w:val="both"/>
        <w:rPr>
          <w:noProof/>
        </w:rPr>
      </w:pPr>
      <w:r>
        <w:rPr>
          <w:noProof/>
        </w:rPr>
        <w:t xml:space="preserve">Testarea și implementarea platformei informatice. </w:t>
      </w:r>
    </w:p>
    <w:p w14:paraId="2D7B2D0F" w14:textId="77777777" w:rsidR="00FA7C11" w:rsidRDefault="00D84965">
      <w:pPr>
        <w:pStyle w:val="P68B1DB1-Normal33"/>
        <w:spacing w:after="200" w:line="276" w:lineRule="auto"/>
        <w:jc w:val="both"/>
        <w:rPr>
          <w:noProof/>
        </w:rPr>
      </w:pPr>
      <w:r>
        <w:rPr>
          <w:noProof/>
        </w:rPr>
        <w:t>Măsura se finalizează până la 31 decembrie 2024.</w:t>
      </w:r>
    </w:p>
    <w:p w14:paraId="697C74FC" w14:textId="77777777" w:rsidR="00FA7C11" w:rsidRDefault="00D84965">
      <w:pPr>
        <w:pStyle w:val="P68B1DB1-Normal96"/>
        <w:keepNext/>
        <w:tabs>
          <w:tab w:val="num" w:pos="850"/>
        </w:tabs>
        <w:spacing w:after="200" w:line="276" w:lineRule="auto"/>
        <w:ind w:left="851"/>
        <w:jc w:val="both"/>
        <w:outlineLvl w:val="2"/>
        <w:rPr>
          <w:rFonts w:eastAsia="Calibri"/>
          <w:noProof/>
        </w:rPr>
      </w:pPr>
      <w:r>
        <w:rPr>
          <w:noProof/>
        </w:rPr>
        <w:t>Investiția C2.2 R1-I2 – Examinarea E-State</w:t>
      </w:r>
    </w:p>
    <w:p w14:paraId="66A0CDE6" w14:textId="77777777" w:rsidR="00FA7C11" w:rsidRDefault="00D84965">
      <w:pPr>
        <w:pStyle w:val="P68B1DB1-Normal33"/>
        <w:spacing w:line="240" w:lineRule="auto"/>
        <w:jc w:val="both"/>
        <w:rPr>
          <w:noProof/>
        </w:rPr>
      </w:pPr>
      <w:r>
        <w:rPr>
          <w:noProof/>
        </w:rPr>
        <w:t xml:space="preserve">Această investiție urmărește să instituie un nou sistem pentru promovarea unui examen de stat prin mijloace electronice, asigurând o modalitate mai obiectivă, mai adecvată și mai valabilă de evaluare a cunoștințelor candidaților printr-un examen scris standardizat. </w:t>
      </w:r>
    </w:p>
    <w:p w14:paraId="4207CF0A" w14:textId="77777777" w:rsidR="00FA7C11" w:rsidRDefault="00D84965">
      <w:pPr>
        <w:pStyle w:val="P68B1DB1-Normal33"/>
        <w:spacing w:line="240" w:lineRule="auto"/>
        <w:jc w:val="both"/>
        <w:rPr>
          <w:noProof/>
        </w:rPr>
      </w:pPr>
      <w:r>
        <w:rPr>
          <w:noProof/>
        </w:rPr>
        <w:t>Investiția include dezvoltarea unei aplicații software prin care se furnizează procedurile de elaborare a materialului de testare pentru examenul de stat, cererea de examinare, organizarea, desfășurarea și promovarea examenului de stat. Certificatul de examinare se pune la dispoziție în format electronic. Sistemul creează o bază de date a sarcinilor și materialelor de testare și o bază de date a candidaților și asigură crearea de rapoarte privind desfășurarea și rezultatele testelor. Un astfel de sistem permite monitorizarea și îmbunătățirea continuă a tuturor proceselor de elaborare și desfășurare a examenelor de stat. Sălile de testare din 4 centre de testare din Zagreb, Split, Rijeka și Osijek trebuie să fie echipate și puse la dispoziție pentru a răspunde nevoilor legate de e-examen, precum și de sistemul centralizat de selecție (investiția C2.2.R1-I1).</w:t>
      </w:r>
    </w:p>
    <w:p w14:paraId="409E8E58" w14:textId="77777777" w:rsidR="00FA7C11" w:rsidRDefault="00D84965">
      <w:pPr>
        <w:pStyle w:val="P68B1DB1-Normal33"/>
        <w:spacing w:line="240" w:lineRule="auto"/>
        <w:jc w:val="both"/>
        <w:rPr>
          <w:noProof/>
        </w:rPr>
      </w:pPr>
      <w:r>
        <w:rPr>
          <w:noProof/>
        </w:rPr>
        <w:t>Măsura se finalizează până la 31 decembrie 2022.</w:t>
      </w:r>
    </w:p>
    <w:p w14:paraId="1DC7AC66" w14:textId="77777777" w:rsidR="00FA7C11" w:rsidRDefault="00D84965">
      <w:pPr>
        <w:pStyle w:val="P68B1DB1-Normal96"/>
        <w:keepNext/>
        <w:numPr>
          <w:ilvl w:val="2"/>
          <w:numId w:val="0"/>
        </w:numPr>
        <w:spacing w:line="240" w:lineRule="auto"/>
        <w:ind w:left="851"/>
        <w:jc w:val="both"/>
        <w:outlineLvl w:val="2"/>
        <w:rPr>
          <w:bCs/>
          <w:i/>
          <w:noProof/>
        </w:rPr>
      </w:pPr>
      <w:r>
        <w:rPr>
          <w:noProof/>
        </w:rPr>
        <w:t xml:space="preserve">Reforma C2.2 R2 – Noi modele salariale și de muncă în administrația publică </w:t>
      </w:r>
    </w:p>
    <w:p w14:paraId="102D8426" w14:textId="77777777" w:rsidR="00FA7C11" w:rsidRDefault="00D84965">
      <w:pPr>
        <w:pStyle w:val="P68B1DB1-Normal33"/>
        <w:spacing w:line="240" w:lineRule="auto"/>
        <w:jc w:val="both"/>
        <w:rPr>
          <w:noProof/>
        </w:rPr>
      </w:pPr>
      <w:r>
        <w:rPr>
          <w:noProof/>
        </w:rPr>
        <w:t xml:space="preserve">Această reformă urmărește să introducă un sistem de salarizare echitabil, transparent, coerent și sustenabil din punct de vedere financiar în administrația de stat și în administrația publică, precum și un sistem standardizat, digitalizat și orientat către utilizator de gestionare a resurselor umane. Pentru a aborda noua realitate a muncii, se introduce un model de lucru inteligent, care să le ofere funcționarilor instrumentele și competențele necesare pentru a-și îndeplini sarcinile de la distanță. </w:t>
      </w:r>
    </w:p>
    <w:p w14:paraId="3D335708" w14:textId="77777777" w:rsidR="00FA7C11" w:rsidRDefault="00D84965">
      <w:pPr>
        <w:pStyle w:val="P68B1DB1-Normal33"/>
        <w:spacing w:line="240" w:lineRule="auto"/>
        <w:jc w:val="both"/>
        <w:rPr>
          <w:noProof/>
        </w:rPr>
      </w:pPr>
      <w:r>
        <w:rPr>
          <w:noProof/>
        </w:rPr>
        <w:t>Pe baza unei analize a situației și a unei comparații a salariilor din administrația guvernamentală și din administrația publică, se creează un nou sistem de plată și se adoptă o nouă lege privind salariile din administrația publică și o nouă lege privind salariile din serviciile publice. Noile legi includ dispoziții privind evaluarea locurilor de muncă în conformitate cu criteriile stabilite și asigurarea armonizării salariilor în administrația de stat și în serviciile publice. Noul model salarial instituie un sistem de recompensare bazat pe performanță (performanța muncii). Reglementările privind evaluarea și promovarea funcționarilor publici se modifică. Evaluarea performanței și a eficacității oferă baza pentru avansarea în carieră și pentru promovare.</w:t>
      </w:r>
    </w:p>
    <w:p w14:paraId="759EB4B4" w14:textId="77777777" w:rsidR="00FA7C11" w:rsidRDefault="00D84965">
      <w:pPr>
        <w:pStyle w:val="P68B1DB1-Normal33"/>
        <w:spacing w:line="240" w:lineRule="auto"/>
        <w:jc w:val="both"/>
        <w:rPr>
          <w:noProof/>
        </w:rPr>
      </w:pPr>
      <w:r>
        <w:rPr>
          <w:noProof/>
        </w:rPr>
        <w:t>Măsura se finalizează până la 30 iunie 2023.</w:t>
      </w:r>
    </w:p>
    <w:p w14:paraId="648765AF" w14:textId="77777777" w:rsidR="00FA7C11" w:rsidRDefault="00D84965">
      <w:pPr>
        <w:pStyle w:val="P68B1DB1-Normal96"/>
        <w:keepNext/>
        <w:numPr>
          <w:ilvl w:val="2"/>
          <w:numId w:val="0"/>
        </w:numPr>
        <w:spacing w:line="240" w:lineRule="auto"/>
        <w:ind w:left="851"/>
        <w:jc w:val="both"/>
        <w:outlineLvl w:val="2"/>
        <w:rPr>
          <w:bCs/>
          <w:i/>
          <w:noProof/>
        </w:rPr>
      </w:pPr>
      <w:r>
        <w:rPr>
          <w:noProof/>
        </w:rPr>
        <w:t>Investiția C2.2 R2-I1 – Îmbunătățirea sistemului de remunerare în administrația de stat și în serviciile publice</w:t>
      </w:r>
    </w:p>
    <w:p w14:paraId="3954D400" w14:textId="77777777" w:rsidR="00FA7C11" w:rsidRDefault="00D84965">
      <w:pPr>
        <w:pStyle w:val="P68B1DB1-Normal33"/>
        <w:spacing w:line="240" w:lineRule="auto"/>
        <w:jc w:val="both"/>
        <w:rPr>
          <w:noProof/>
        </w:rPr>
      </w:pPr>
      <w:r>
        <w:rPr>
          <w:noProof/>
        </w:rPr>
        <w:t xml:space="preserve">Această investiție va pune în aplicare noul sistem de remunerare în administrația de stat și în serviciile publice, sprijinind reforma în același domeniu. Acesta asigură un sistem mai echitabil din perspectiva funcționarilor publici, devine mai competitiv și mai sustenabil din punct de vedere fiscal, în ceea ce privește menținerea ponderii salariale totale în bugetul de stat și distribuția sa mai rațională. </w:t>
      </w:r>
    </w:p>
    <w:p w14:paraId="0655CD49" w14:textId="77777777" w:rsidR="00FA7C11" w:rsidRDefault="00D84965">
      <w:pPr>
        <w:pStyle w:val="P68B1DB1-Normal33"/>
        <w:spacing w:line="240" w:lineRule="auto"/>
        <w:jc w:val="both"/>
        <w:rPr>
          <w:noProof/>
        </w:rPr>
      </w:pPr>
      <w:r>
        <w:rPr>
          <w:noProof/>
        </w:rPr>
        <w:t xml:space="preserve">Se instituie un organism guvernamental unic de coordonare, responsabil cu coordonarea interinstituțională a tuturor activităților, însoțit de echipe de experți, inclusiv de reprezentanți ai partenerilor sociali. Se analizează actualul sistem de remunerare și cadrul juridic și se elaborează o analiză comparativă cu statele membre omoloage. Pe baza analizelor, se elaborează noua propunere privind un nou sistem de remunerare și un nou cadru juridic, se includ nouă noi funcționalități în sistemul informatic de gestionare a resurselor umane și se elaborează și se pune în aplicare o strategie de comunicare. </w:t>
      </w:r>
    </w:p>
    <w:p w14:paraId="24B10F5C" w14:textId="77777777" w:rsidR="00FA7C11" w:rsidRDefault="00D84965">
      <w:pPr>
        <w:pStyle w:val="P68B1DB1-Normal33"/>
        <w:spacing w:line="240" w:lineRule="auto"/>
        <w:jc w:val="both"/>
        <w:rPr>
          <w:noProof/>
        </w:rPr>
      </w:pPr>
      <w:r>
        <w:rPr>
          <w:noProof/>
        </w:rPr>
        <w:t>Măsura se finalizează până la 30 iunie 2024.</w:t>
      </w:r>
    </w:p>
    <w:p w14:paraId="37A70BD9" w14:textId="77777777" w:rsidR="00FA7C11" w:rsidRDefault="00D84965">
      <w:pPr>
        <w:pStyle w:val="P68B1DB1-Normal96"/>
        <w:keepNext/>
        <w:numPr>
          <w:ilvl w:val="2"/>
          <w:numId w:val="0"/>
        </w:numPr>
        <w:spacing w:line="240" w:lineRule="auto"/>
        <w:ind w:left="851"/>
        <w:jc w:val="both"/>
        <w:outlineLvl w:val="2"/>
        <w:rPr>
          <w:bCs/>
          <w:i/>
          <w:noProof/>
        </w:rPr>
      </w:pPr>
      <w:r>
        <w:rPr>
          <w:noProof/>
        </w:rPr>
        <w:t>Investiția C2.2 R2-I2 – Introducerea modelului de acces la locul de muncă în format hibrid – Lucrări inteligente</w:t>
      </w:r>
    </w:p>
    <w:p w14:paraId="1E7E4BFE" w14:textId="7424B01A" w:rsidR="00FA7C11" w:rsidRDefault="00D84965">
      <w:pPr>
        <w:pStyle w:val="P68B1DB1-Normal33"/>
        <w:tabs>
          <w:tab w:val="left" w:pos="2329"/>
        </w:tabs>
        <w:spacing w:line="240" w:lineRule="auto"/>
        <w:jc w:val="both"/>
        <w:rPr>
          <w:noProof/>
        </w:rPr>
      </w:pPr>
      <w:r>
        <w:rPr>
          <w:noProof/>
        </w:rPr>
        <w:t xml:space="preserve">Această investiție urmărește să introducă un model care să le permită funcționarilor publici să lucreze de la distanță pentru a oferi un serviciu public continuu și de înaltă calitate, accesibil tuturor, și pentru a spori motivația funcționarilor. Acesta stabilește un flux de lucru inovator, bazat pe un element de flexibilitate în ceea ce privește timpul de lucru și locul de muncă, în conformitate cu nevoile proceselor și planurilor administrației publice. Dispozițiile legislative privind funcția publică și relațiile de muncă pentru introducerea unui model hibrid de muncă în administrația publică și în sistemul judiciar (Codul muncii, Legea privind funcția publică, Legea privind protecția muncii și statutul) se modifică pentru a permite angajaților să lucreze fără probleme și în mod continuu. </w:t>
      </w:r>
    </w:p>
    <w:p w14:paraId="6E35FFAD" w14:textId="77777777" w:rsidR="00FA7C11" w:rsidRDefault="00D84965">
      <w:pPr>
        <w:pStyle w:val="P68B1DB1-Normal33"/>
        <w:spacing w:line="240" w:lineRule="auto"/>
        <w:jc w:val="both"/>
        <w:rPr>
          <w:noProof/>
        </w:rPr>
      </w:pPr>
      <w:r>
        <w:rPr>
          <w:noProof/>
        </w:rPr>
        <w:t>Pentru a atinge obiectivele de mai sus, măsura prevede următoarele activități:</w:t>
      </w:r>
    </w:p>
    <w:p w14:paraId="289E76BA" w14:textId="77777777" w:rsidR="00FA7C11" w:rsidRDefault="00D84965">
      <w:pPr>
        <w:pStyle w:val="P68B1DB1-Normal33"/>
        <w:numPr>
          <w:ilvl w:val="0"/>
          <w:numId w:val="57"/>
        </w:numPr>
        <w:spacing w:before="120" w:after="120" w:line="240" w:lineRule="auto"/>
        <w:jc w:val="both"/>
        <w:rPr>
          <w:noProof/>
        </w:rPr>
      </w:pPr>
      <w:r>
        <w:rPr>
          <w:noProof/>
        </w:rPr>
        <w:t>Angajarea de experți externi pentru identificarea situației actuale a condițiilor de telemuncă și pregătirea și punerea în aplicare a formării managerilor.</w:t>
      </w:r>
    </w:p>
    <w:p w14:paraId="623D802E" w14:textId="77777777" w:rsidR="00FA7C11" w:rsidRDefault="00D84965">
      <w:pPr>
        <w:pStyle w:val="P68B1DB1-Normal33"/>
        <w:numPr>
          <w:ilvl w:val="0"/>
          <w:numId w:val="57"/>
        </w:numPr>
        <w:spacing w:before="120" w:after="120" w:line="240" w:lineRule="auto"/>
        <w:jc w:val="both"/>
        <w:rPr>
          <w:noProof/>
        </w:rPr>
      </w:pPr>
      <w:r>
        <w:rPr>
          <w:noProof/>
        </w:rPr>
        <w:t>Elaborarea unei propuneri de model și a unui plan pentru accesul hibrid la locul de muncă, cu o soluție normativă completă pentru punerea sa în aplicare de către experți externi.</w:t>
      </w:r>
    </w:p>
    <w:p w14:paraId="6C6B50E8" w14:textId="77777777" w:rsidR="00FA7C11" w:rsidRDefault="00D84965">
      <w:pPr>
        <w:pStyle w:val="P68B1DB1-Normal33"/>
        <w:numPr>
          <w:ilvl w:val="0"/>
          <w:numId w:val="57"/>
        </w:numPr>
        <w:spacing w:before="120" w:after="120" w:line="240" w:lineRule="auto"/>
        <w:jc w:val="both"/>
        <w:rPr>
          <w:noProof/>
        </w:rPr>
      </w:pPr>
      <w:r>
        <w:rPr>
          <w:noProof/>
        </w:rPr>
        <w:t>Modificări ale cadrului legislativ și ale metodologiilor de lucru.</w:t>
      </w:r>
    </w:p>
    <w:p w14:paraId="6C0BB935" w14:textId="77777777" w:rsidR="00FA7C11" w:rsidRDefault="00D84965">
      <w:pPr>
        <w:pStyle w:val="P68B1DB1-Normal33"/>
        <w:numPr>
          <w:ilvl w:val="0"/>
          <w:numId w:val="57"/>
        </w:numPr>
        <w:spacing w:before="120" w:after="120" w:line="240" w:lineRule="auto"/>
        <w:jc w:val="both"/>
        <w:rPr>
          <w:noProof/>
        </w:rPr>
      </w:pPr>
      <w:r>
        <w:rPr>
          <w:noProof/>
        </w:rPr>
        <w:t xml:space="preserve">Achiziționarea de tehnologie a informației (laptopuri, tablete și telefoane inteligente și software-ul necesar), obținută prin procese transparente de achiziții publice. </w:t>
      </w:r>
    </w:p>
    <w:p w14:paraId="18CD19DF" w14:textId="77777777" w:rsidR="00FA7C11" w:rsidRDefault="00D84965">
      <w:pPr>
        <w:pStyle w:val="P68B1DB1-Normal33"/>
        <w:numPr>
          <w:ilvl w:val="0"/>
          <w:numId w:val="57"/>
        </w:numPr>
        <w:spacing w:before="120" w:after="120" w:line="240" w:lineRule="auto"/>
        <w:jc w:val="both"/>
        <w:rPr>
          <w:noProof/>
        </w:rPr>
      </w:pPr>
      <w:r>
        <w:rPr>
          <w:noProof/>
        </w:rPr>
        <w:t>Cursuri de formare a personalului.</w:t>
      </w:r>
    </w:p>
    <w:p w14:paraId="0F663DFB" w14:textId="77777777" w:rsidR="00FA7C11" w:rsidRDefault="00D84965">
      <w:pPr>
        <w:pStyle w:val="P68B1DB1-Normal33"/>
        <w:spacing w:line="240" w:lineRule="auto"/>
        <w:jc w:val="both"/>
        <w:rPr>
          <w:noProof/>
        </w:rPr>
      </w:pPr>
      <w:r>
        <w:rPr>
          <w:noProof/>
        </w:rPr>
        <w:t>Măsura se finalizează până la 30 septembrie 2023.</w:t>
      </w:r>
    </w:p>
    <w:p w14:paraId="606481FA" w14:textId="77777777" w:rsidR="00FA7C11" w:rsidRDefault="00D84965">
      <w:pPr>
        <w:pStyle w:val="P68B1DB1-Normal96"/>
        <w:keepNext/>
        <w:numPr>
          <w:ilvl w:val="2"/>
          <w:numId w:val="0"/>
        </w:numPr>
        <w:spacing w:line="240" w:lineRule="auto"/>
        <w:ind w:left="851"/>
        <w:jc w:val="both"/>
        <w:outlineLvl w:val="2"/>
        <w:rPr>
          <w:bCs/>
          <w:i/>
          <w:noProof/>
        </w:rPr>
      </w:pPr>
      <w:r>
        <w:rPr>
          <w:noProof/>
        </w:rPr>
        <w:t>Reforma C2.2 R3 – Transformarea digitală a bazelor de conservare și a evidențelor arhivistice</w:t>
      </w:r>
    </w:p>
    <w:p w14:paraId="0ADB2BB7" w14:textId="77777777" w:rsidR="00FA7C11" w:rsidRDefault="00D84965">
      <w:pPr>
        <w:pStyle w:val="P68B1DB1-Normal33"/>
        <w:spacing w:line="240" w:lineRule="auto"/>
        <w:jc w:val="both"/>
        <w:rPr>
          <w:noProof/>
        </w:rPr>
      </w:pPr>
      <w:r>
        <w:rPr>
          <w:noProof/>
        </w:rPr>
        <w:t>Această reformă urmărește să îmbunătățească gestionarea documentației de către autoritățile publice pentru a îmbunătăți procesele operaționale. Se preconizează că măsura va permite o furnizare mai eficientă a serviciilor administrației publice prin utilizarea soluțiilor TIC puse în aplicare, care asigură interoperabilitatea și schimbul de date, reducerea costurilor, transparența întreprinderilor și protecția drepturilor cetățenilor.</w:t>
      </w:r>
    </w:p>
    <w:p w14:paraId="1528C16F" w14:textId="77777777" w:rsidR="00FA7C11" w:rsidRDefault="00D84965">
      <w:pPr>
        <w:pStyle w:val="P68B1DB1-Normal33"/>
        <w:spacing w:line="240" w:lineRule="auto"/>
        <w:jc w:val="both"/>
        <w:rPr>
          <w:noProof/>
        </w:rPr>
      </w:pPr>
      <w:r>
        <w:rPr>
          <w:noProof/>
        </w:rPr>
        <w:t>În plus, autoritățile intenționează să dezvolte și să instituie un serviciu public digital pentru a oferi acces la bazele digitale de conservare construite pentru siturile culturale și istorice. În plus, elaborarea standardelor și criteriilor necesare îmbunătățește eficiența generală a administrației publice în acest context. Dezvoltarea sistemului informatic al arhivelor naționale, consolidarea infrastructurii și a capacităților umane în arhivele de stat și consolidarea capacității de digitalizare a evidențelor analogice pe suport de hârtie de către creatorii și proprietarii de documente sunt avute în vedere pentru a îmbunătăți serviciile publice digitale printr-un acces mai rapid la documentație și o mai bună aplicare a drepturilor utilizatorilor și ale tuturor cetățenilor interesați.</w:t>
      </w:r>
    </w:p>
    <w:p w14:paraId="57916A68" w14:textId="77777777" w:rsidR="00FA7C11" w:rsidRDefault="00D84965">
      <w:pPr>
        <w:pStyle w:val="P68B1DB1-Normal33"/>
        <w:spacing w:line="240" w:lineRule="auto"/>
        <w:jc w:val="both"/>
        <w:rPr>
          <w:noProof/>
        </w:rPr>
      </w:pPr>
      <w:r>
        <w:rPr>
          <w:noProof/>
        </w:rPr>
        <w:t>Măsura se finalizează până la 30 iunie 2024.</w:t>
      </w:r>
    </w:p>
    <w:p w14:paraId="00AC02A2" w14:textId="77777777" w:rsidR="00FA7C11" w:rsidRDefault="00D84965">
      <w:pPr>
        <w:pStyle w:val="P68B1DB1-Normal96"/>
        <w:keepNext/>
        <w:numPr>
          <w:ilvl w:val="2"/>
          <w:numId w:val="0"/>
        </w:numPr>
        <w:spacing w:line="240" w:lineRule="auto"/>
        <w:ind w:left="851"/>
        <w:jc w:val="both"/>
        <w:outlineLvl w:val="2"/>
        <w:rPr>
          <w:bCs/>
          <w:i/>
          <w:noProof/>
        </w:rPr>
      </w:pPr>
      <w:r>
        <w:rPr>
          <w:noProof/>
        </w:rPr>
        <w:t>Investiția C2.2 R3-I1 – Implementarea infrastructurii digitale și a serviciilor administrației publice prin dezvoltarea unui sistem bazat pe conservare</w:t>
      </w:r>
    </w:p>
    <w:p w14:paraId="61EDB513" w14:textId="77777777" w:rsidR="00FA7C11" w:rsidRDefault="00D84965">
      <w:pPr>
        <w:pStyle w:val="P68B1DB1-Normal33"/>
        <w:spacing w:line="240" w:lineRule="auto"/>
        <w:jc w:val="both"/>
        <w:rPr>
          <w:noProof/>
          <w:highlight w:val="green"/>
        </w:rPr>
      </w:pPr>
      <w:r>
        <w:rPr>
          <w:noProof/>
        </w:rPr>
        <w:t>Această investiție constă în crearea unui nou serviciu public digital legat de serviciile publice digitale existente, cu scopul de a reduce obstacolele administrative și de a permite funcționarilor să prelucreze cauzele mai rapid și mai eficient.</w:t>
      </w:r>
    </w:p>
    <w:p w14:paraId="77488AE4" w14:textId="08AED6EF" w:rsidR="00FA7C11" w:rsidRDefault="00D84965">
      <w:pPr>
        <w:pStyle w:val="P68B1DB1-Normal33"/>
        <w:spacing w:line="240" w:lineRule="auto"/>
        <w:jc w:val="both"/>
        <w:rPr>
          <w:noProof/>
        </w:rPr>
      </w:pPr>
      <w:r>
        <w:rPr>
          <w:noProof/>
        </w:rPr>
        <w:t xml:space="preserve">Această măsură constă în dezvoltarea unor baze digitale de conservare. </w:t>
      </w:r>
    </w:p>
    <w:p w14:paraId="35055533" w14:textId="40D61BA6" w:rsidR="00FA7C11" w:rsidRDefault="00D84965">
      <w:pPr>
        <w:pStyle w:val="P68B1DB1-Normal96"/>
        <w:keepNext/>
        <w:spacing w:line="240" w:lineRule="auto"/>
        <w:ind w:left="851"/>
        <w:jc w:val="both"/>
        <w:outlineLvl w:val="2"/>
        <w:rPr>
          <w:i/>
          <w:iCs/>
          <w:noProof/>
        </w:rPr>
      </w:pPr>
      <w:r>
        <w:rPr>
          <w:noProof/>
        </w:rPr>
        <w:t>Investiția C2.2 R3-I2 – Îmbunătățirea infrastructurii și a serviciilor digitale din sectorul public prin dezvoltarea Sistemului Informatic al Arhivelor Naționale și prin consolidarea rețelei de arhive naționale</w:t>
      </w:r>
    </w:p>
    <w:p w14:paraId="28A24F7C" w14:textId="77777777" w:rsidR="00FA7C11" w:rsidRDefault="00D84965">
      <w:pPr>
        <w:pStyle w:val="P68B1DB1-Normal33"/>
        <w:spacing w:line="240" w:lineRule="auto"/>
        <w:jc w:val="both"/>
        <w:rPr>
          <w:noProof/>
          <w:highlight w:val="green"/>
        </w:rPr>
      </w:pPr>
      <w:r>
        <w:rPr>
          <w:noProof/>
        </w:rPr>
        <w:t xml:space="preserve">Această investiție constă în îmbunătățirea gestionării și arhivării documentelor create de autoritățile publice și de sistemul judiciar, oferind acces tuturor autorităților publice în cauză. </w:t>
      </w:r>
    </w:p>
    <w:p w14:paraId="75D0063C" w14:textId="77777777" w:rsidR="00FA7C11" w:rsidRDefault="00D84965">
      <w:pPr>
        <w:pStyle w:val="P68B1DB1-Normal33"/>
        <w:keepNext/>
        <w:spacing w:line="240" w:lineRule="auto"/>
        <w:jc w:val="both"/>
        <w:outlineLvl w:val="2"/>
        <w:rPr>
          <w:noProof/>
        </w:rPr>
      </w:pPr>
      <w:r>
        <w:rPr>
          <w:noProof/>
        </w:rPr>
        <w:t xml:space="preserve">Investiția constă în dezvoltarea unui sistem informatic național de arhivă și în crearea unui nou serviciu e-Archive, în cadrul infrastructurii informatice de stat. </w:t>
      </w:r>
    </w:p>
    <w:p w14:paraId="488C22DC" w14:textId="77777777" w:rsidR="00FA7C11" w:rsidRDefault="00D84965">
      <w:pPr>
        <w:pStyle w:val="P68B1DB1-Normal96"/>
        <w:keepNext/>
        <w:spacing w:line="240" w:lineRule="auto"/>
        <w:ind w:left="851"/>
        <w:jc w:val="both"/>
        <w:outlineLvl w:val="2"/>
        <w:rPr>
          <w:i/>
          <w:iCs/>
          <w:noProof/>
        </w:rPr>
      </w:pPr>
      <w:r>
        <w:rPr>
          <w:noProof/>
        </w:rPr>
        <w:t xml:space="preserve">Reforma C2.2 R4 – Administrație locală funcțională și durabilă </w:t>
      </w:r>
    </w:p>
    <w:p w14:paraId="43221D86" w14:textId="77777777" w:rsidR="00FA7C11" w:rsidRDefault="00D84965">
      <w:pPr>
        <w:pStyle w:val="P68B1DB1-Normal33"/>
        <w:spacing w:line="240" w:lineRule="auto"/>
        <w:jc w:val="both"/>
        <w:rPr>
          <w:noProof/>
        </w:rPr>
      </w:pPr>
      <w:r>
        <w:rPr>
          <w:noProof/>
        </w:rPr>
        <w:t xml:space="preserve">Această reformă urmărește să instituie un sistem eficient și de înaltă calitate al administrației locale și regionale prin stimularea atât a integrării funcționale, cât și a integrării efective a unităților administrației locale. Se preconizează că reforma va contribui la furnizarea îmbunătățită, eficientă și transparentă a serviciilor publice către cetățeni, oferindu-le șanse egale de a-și satisface nevoile și interesele, indiferent de locul lor de reședință. </w:t>
      </w:r>
    </w:p>
    <w:p w14:paraId="0ED38216" w14:textId="77777777" w:rsidR="00FA7C11" w:rsidRDefault="00D84965">
      <w:pPr>
        <w:pStyle w:val="P68B1DB1-Normal33"/>
        <w:spacing w:line="240" w:lineRule="auto"/>
        <w:jc w:val="both"/>
        <w:rPr>
          <w:noProof/>
        </w:rPr>
      </w:pPr>
      <w:r>
        <w:rPr>
          <w:noProof/>
        </w:rPr>
        <w:t xml:space="preserve">Legislația relevantă, Legea privind execuția bugetului de stat pentru 2022 al Republicii Croația, se modifică și se instituie un mecanism de sprijin financiar pentru a stimula atât fuziunile funcționale, cât și fuziunile efective. În bugetul de stat se asigură resurse suficiente pentru a încuraja din punct de vedere financiar fuziunea efectivă a cel puțin 20 % din unitățile administrației publice locale și fuziunea funcțională a cel puțin 40 % din unitățile administrației publice locale. În faza de proiectare a mecanismului, se identifică o serie de modele de finanțare posibile pentru performanța comună, ținând seama de domeniul de aplicare al serviciilor pe care unitățile administrației publice locale și regionale trebuie să le furnizeze, astfel cum sunt definite prin lege, și de nevoile raportate ale unităților pentru îndeplinirea sarcinilor comune. Finalizarea cu succes a procesului de fuziuni efective sau funcționale este o condiție prealabilă pentru alocarea de resurse suplimentare sau cofinanțarea din bugetul național. </w:t>
      </w:r>
      <w:r>
        <w:rPr>
          <w:noProof/>
          <w:color w:val="000000" w:themeColor="text1"/>
        </w:rPr>
        <w:t>Decizia guvernului croat stabilește criteriile și nivelul stimulentelor, cu stimulente fiscale mai mari pentru fuziunile efective, în timp ce stimulentele pentru fuziunile funcționale depind de numărul și tipul de funcții avute în vedere pentru fuziune.</w:t>
      </w:r>
    </w:p>
    <w:p w14:paraId="633248C0" w14:textId="77777777" w:rsidR="00FA7C11" w:rsidRDefault="00E81876">
      <w:pPr>
        <w:pStyle w:val="P68B1DB1-Normal83"/>
        <w:spacing w:line="240" w:lineRule="auto"/>
        <w:jc w:val="both"/>
        <w:rPr>
          <w:rFonts w:eastAsia="Calibri"/>
          <w:noProof/>
        </w:rPr>
      </w:pPr>
      <w:sdt>
        <w:sdtPr>
          <w:rPr>
            <w:rFonts w:eastAsia="Calibri"/>
            <w:noProof/>
          </w:rPr>
          <w:id w:val="583646262"/>
        </w:sdtPr>
        <w:sdtEndPr/>
        <w:sdtContent>
          <w:r w:rsidR="00D84965">
            <w:rPr>
              <w:noProof/>
            </w:rPr>
            <w:t>Modificări ale regulamentelor privind mecanismul de sprijin financiar pentru autoritățile locale și regionale, care să permită acordarea de stimulente financiare pentru fuziuni.</w:t>
          </w:r>
        </w:sdtContent>
      </w:sdt>
    </w:p>
    <w:p w14:paraId="1B1DE7E3" w14:textId="77777777" w:rsidR="00FA7C11" w:rsidRDefault="00D84965">
      <w:pPr>
        <w:pStyle w:val="P68B1DB1-Normal33"/>
        <w:spacing w:line="240" w:lineRule="auto"/>
        <w:jc w:val="both"/>
        <w:rPr>
          <w:noProof/>
        </w:rPr>
      </w:pPr>
      <w:r>
        <w:rPr>
          <w:noProof/>
        </w:rPr>
        <w:t>Reforma se finalizează până la 31 martie 2022.</w:t>
      </w:r>
    </w:p>
    <w:p w14:paraId="6555A5C9" w14:textId="77777777" w:rsidR="00FA7C11" w:rsidRDefault="00FA7C11">
      <w:pPr>
        <w:spacing w:line="240" w:lineRule="auto"/>
        <w:jc w:val="both"/>
        <w:rPr>
          <w:rFonts w:ascii="Times New Roman" w:eastAsia="Calibri" w:hAnsi="Times New Roman" w:cs="Times New Roman"/>
          <w:noProof/>
          <w:sz w:val="24"/>
          <w:szCs w:val="24"/>
        </w:rPr>
      </w:pPr>
    </w:p>
    <w:p w14:paraId="21C6044F" w14:textId="77777777" w:rsidR="00FA7C11" w:rsidRDefault="00D84965">
      <w:pPr>
        <w:pStyle w:val="P68B1DB1-Normal96"/>
        <w:keepNext/>
        <w:spacing w:before="240" w:after="0"/>
        <w:ind w:left="851"/>
        <w:jc w:val="both"/>
        <w:outlineLvl w:val="2"/>
        <w:rPr>
          <w:noProof/>
        </w:rPr>
      </w:pPr>
      <w:r>
        <w:rPr>
          <w:noProof/>
        </w:rPr>
        <w:t>Investiția C2.2 R4-I1 – Optimizarea și descentralizarea în continuare a unităților administrației locale și regionale prin sprijinirea fuziunilor funcționale și efective</w:t>
      </w:r>
    </w:p>
    <w:p w14:paraId="44A020F1" w14:textId="77777777" w:rsidR="00FA7C11" w:rsidRDefault="00FA7C11">
      <w:pPr>
        <w:spacing w:line="240" w:lineRule="auto"/>
        <w:jc w:val="both"/>
        <w:rPr>
          <w:rFonts w:ascii="Times New Roman" w:eastAsia="Calibri" w:hAnsi="Times New Roman" w:cs="Times New Roman"/>
          <w:noProof/>
          <w:sz w:val="24"/>
          <w:szCs w:val="24"/>
        </w:rPr>
      </w:pPr>
    </w:p>
    <w:p w14:paraId="4E1C9A03" w14:textId="77777777" w:rsidR="00FA7C11" w:rsidRDefault="00D84965">
      <w:pPr>
        <w:pStyle w:val="P68B1DB1-Normal33"/>
        <w:spacing w:line="240" w:lineRule="auto"/>
        <w:jc w:val="both"/>
        <w:rPr>
          <w:noProof/>
        </w:rPr>
      </w:pPr>
      <w:r>
        <w:rPr>
          <w:noProof/>
        </w:rPr>
        <w:t>Obiectivul acestei măsuri este de a oferi sprijin unităților administrației publice locale atunci când iau decizii de a face obiectul unor fuziuni funcționale sau efective pentru a îmbunătăți calitatea serviciilor administrației publice locale.</w:t>
      </w:r>
    </w:p>
    <w:p w14:paraId="3A4D4479" w14:textId="32B4A7DC" w:rsidR="00FA7C11" w:rsidRDefault="00D84965">
      <w:pPr>
        <w:pStyle w:val="P68B1DB1-Normal33"/>
        <w:spacing w:line="240" w:lineRule="auto"/>
        <w:jc w:val="both"/>
        <w:rPr>
          <w:noProof/>
        </w:rPr>
      </w:pPr>
      <w:r>
        <w:rPr>
          <w:noProof/>
        </w:rPr>
        <w:t xml:space="preserve">Această investiție constă în modernizarea sistemului informatic pentru a sprijini reforma aferentă (C2.2 R4) și pentru a institui un sistem de înaltă calitate pentru promovarea fuziunilor funcționale și efective ale unităților administrației publice locale. </w:t>
      </w:r>
    </w:p>
    <w:p w14:paraId="4148B890" w14:textId="77777777" w:rsidR="00FA7C11" w:rsidRDefault="00FA7C11">
      <w:pPr>
        <w:spacing w:line="240" w:lineRule="auto"/>
        <w:jc w:val="both"/>
        <w:rPr>
          <w:rFonts w:ascii="Times New Roman" w:eastAsia="Calibri" w:hAnsi="Times New Roman" w:cs="Times New Roman"/>
          <w:noProof/>
          <w:sz w:val="24"/>
          <w:szCs w:val="24"/>
        </w:rPr>
      </w:pPr>
    </w:p>
    <w:p w14:paraId="1DDD47A7" w14:textId="77777777" w:rsidR="00FA7C11" w:rsidRDefault="00FA7C11">
      <w:pPr>
        <w:spacing w:line="240" w:lineRule="auto"/>
        <w:jc w:val="both"/>
        <w:rPr>
          <w:rFonts w:ascii="Times New Roman" w:eastAsia="Calibri" w:hAnsi="Times New Roman" w:cs="Times New Roman"/>
          <w:noProof/>
          <w:sz w:val="24"/>
          <w:szCs w:val="24"/>
        </w:rPr>
      </w:pPr>
    </w:p>
    <w:p w14:paraId="4D129541" w14:textId="77777777" w:rsidR="00FA7C11" w:rsidRDefault="00FA7C11">
      <w:pPr>
        <w:rPr>
          <w:noProof/>
        </w:rPr>
        <w:sectPr w:rsidR="00FA7C11" w:rsidSect="00FA29B2">
          <w:headerReference w:type="even" r:id="rId146"/>
          <w:headerReference w:type="default" r:id="rId147"/>
          <w:footerReference w:type="even" r:id="rId148"/>
          <w:footerReference w:type="default" r:id="rId149"/>
          <w:headerReference w:type="first" r:id="rId150"/>
          <w:footerReference w:type="first" r:id="rId151"/>
          <w:pgSz w:w="11906" w:h="16838"/>
          <w:pgMar w:top="1134" w:right="1134" w:bottom="1134" w:left="1134" w:header="567" w:footer="567" w:gutter="0"/>
          <w:cols w:space="708"/>
          <w:docGrid w:linePitch="360"/>
        </w:sectPr>
      </w:pPr>
    </w:p>
    <w:p w14:paraId="5CF4B24F" w14:textId="77777777" w:rsidR="00FA7C11" w:rsidRDefault="00D84965">
      <w:pPr>
        <w:pStyle w:val="P68B1DB1-Normal92"/>
        <w:keepNext/>
        <w:tabs>
          <w:tab w:val="num" w:pos="850"/>
        </w:tabs>
        <w:spacing w:before="40" w:after="240"/>
        <w:ind w:left="851"/>
        <w:jc w:val="both"/>
        <w:outlineLvl w:val="1"/>
        <w:rPr>
          <w:noProof/>
        </w:rPr>
      </w:pPr>
      <w:r>
        <w:rPr>
          <w:noProof/>
        </w:rPr>
        <w:t xml:space="preserve">H.2. </w:t>
      </w:r>
      <w:r>
        <w:rPr>
          <w:noProof/>
        </w:rPr>
        <w:tab/>
        <w:t>Jaloane, ținte, indicatori și calendarul de monitorizare și implementare aplicabile sprijinului financiar nerambursabil</w:t>
      </w:r>
    </w:p>
    <w:tbl>
      <w:tblPr>
        <w:tblW w:w="15310" w:type="dxa"/>
        <w:jc w:val="center"/>
        <w:tblLayout w:type="fixed"/>
        <w:tblCellMar>
          <w:top w:w="28" w:type="dxa"/>
          <w:left w:w="28" w:type="dxa"/>
          <w:bottom w:w="28" w:type="dxa"/>
          <w:right w:w="28" w:type="dxa"/>
        </w:tblCellMar>
        <w:tblLook w:val="04A0" w:firstRow="1" w:lastRow="0" w:firstColumn="1" w:lastColumn="0" w:noHBand="0" w:noVBand="1"/>
      </w:tblPr>
      <w:tblGrid>
        <w:gridCol w:w="851"/>
        <w:gridCol w:w="1098"/>
        <w:gridCol w:w="1046"/>
        <w:gridCol w:w="1400"/>
        <w:gridCol w:w="2259"/>
        <w:gridCol w:w="1138"/>
        <w:gridCol w:w="850"/>
        <w:gridCol w:w="567"/>
        <w:gridCol w:w="866"/>
        <w:gridCol w:w="720"/>
        <w:gridCol w:w="4515"/>
      </w:tblGrid>
      <w:tr w:rsidR="00FA7C11" w14:paraId="3929A2A3" w14:textId="77777777">
        <w:trPr>
          <w:trHeight w:val="927"/>
          <w:tblHeader/>
          <w:jc w:val="cent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69566B" w14:textId="77777777" w:rsidR="00FA7C11" w:rsidRDefault="00D84965">
            <w:pPr>
              <w:pStyle w:val="P68B1DB1-Normal58"/>
              <w:spacing w:after="0" w:line="276" w:lineRule="auto"/>
              <w:jc w:val="center"/>
              <w:rPr>
                <w:bCs/>
                <w:noProof/>
              </w:rPr>
            </w:pPr>
            <w:r>
              <w:rPr>
                <w:noProof/>
              </w:rPr>
              <w:t>Număr</w:t>
            </w:r>
          </w:p>
        </w:tc>
        <w:tc>
          <w:tcPr>
            <w:tcW w:w="10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2518EC" w14:textId="77777777" w:rsidR="00FA7C11" w:rsidRDefault="00D84965">
            <w:pPr>
              <w:pStyle w:val="P68B1DB1-Normal58"/>
              <w:spacing w:after="0" w:line="276" w:lineRule="auto"/>
              <w:jc w:val="center"/>
              <w:rPr>
                <w:bCs/>
                <w:noProof/>
              </w:rPr>
            </w:pPr>
            <w:r>
              <w:rPr>
                <w:noProof/>
              </w:rPr>
              <w:t>Măsură</w:t>
            </w:r>
          </w:p>
        </w:tc>
        <w:tc>
          <w:tcPr>
            <w:tcW w:w="10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39C53D" w14:textId="77777777" w:rsidR="00FA7C11" w:rsidRDefault="00D84965">
            <w:pPr>
              <w:pStyle w:val="P68B1DB1-Normal58"/>
              <w:spacing w:after="0" w:line="276" w:lineRule="auto"/>
              <w:jc w:val="center"/>
              <w:rPr>
                <w:bCs/>
                <w:noProof/>
              </w:rPr>
            </w:pPr>
            <w:r>
              <w:rPr>
                <w:noProof/>
              </w:rPr>
              <w:t>Etapă/Obiectiv</w:t>
            </w:r>
          </w:p>
        </w:tc>
        <w:tc>
          <w:tcPr>
            <w:tcW w:w="1400" w:type="dxa"/>
            <w:vMerge w:val="restart"/>
            <w:tcBorders>
              <w:top w:val="single" w:sz="4" w:space="0" w:color="auto"/>
              <w:left w:val="nil"/>
              <w:bottom w:val="single" w:sz="4" w:space="0" w:color="auto"/>
              <w:right w:val="single" w:sz="4" w:space="0" w:color="auto"/>
            </w:tcBorders>
            <w:shd w:val="clear" w:color="auto" w:fill="BDD7EE"/>
            <w:vAlign w:val="center"/>
            <w:hideMark/>
          </w:tcPr>
          <w:p w14:paraId="03509526" w14:textId="77777777" w:rsidR="00FA7C11" w:rsidRDefault="00D84965">
            <w:pPr>
              <w:pStyle w:val="P68B1DB1-Normal58"/>
              <w:spacing w:after="0" w:line="276" w:lineRule="auto"/>
              <w:jc w:val="center"/>
              <w:rPr>
                <w:bCs/>
                <w:noProof/>
              </w:rPr>
            </w:pPr>
            <w:r>
              <w:rPr>
                <w:noProof/>
              </w:rPr>
              <w:t>Nume</w:t>
            </w:r>
          </w:p>
        </w:tc>
        <w:tc>
          <w:tcPr>
            <w:tcW w:w="22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767A11" w14:textId="77777777" w:rsidR="00FA7C11" w:rsidRDefault="00D84965">
            <w:pPr>
              <w:pStyle w:val="P68B1DB1-Normal58"/>
              <w:spacing w:after="0" w:line="276" w:lineRule="auto"/>
              <w:jc w:val="center"/>
              <w:rPr>
                <w:bCs/>
                <w:noProof/>
              </w:rPr>
            </w:pPr>
            <w:r>
              <w:rPr>
                <w:noProof/>
              </w:rPr>
              <w:t xml:space="preserve">Indicatori calitativi </w:t>
            </w:r>
            <w:r>
              <w:rPr>
                <w:noProof/>
              </w:rPr>
              <w:br/>
              <w:t>(pentru jaloane)</w:t>
            </w:r>
          </w:p>
        </w:tc>
        <w:tc>
          <w:tcPr>
            <w:tcW w:w="2555" w:type="dxa"/>
            <w:gridSpan w:val="3"/>
            <w:tcBorders>
              <w:top w:val="single" w:sz="4" w:space="0" w:color="auto"/>
              <w:left w:val="nil"/>
              <w:bottom w:val="single" w:sz="4" w:space="0" w:color="auto"/>
              <w:right w:val="single" w:sz="4" w:space="0" w:color="auto"/>
            </w:tcBorders>
            <w:shd w:val="clear" w:color="auto" w:fill="BDD7EE"/>
            <w:vAlign w:val="center"/>
            <w:hideMark/>
          </w:tcPr>
          <w:p w14:paraId="6D35BEE8" w14:textId="77777777" w:rsidR="00FA7C11" w:rsidRDefault="00D84965">
            <w:pPr>
              <w:pStyle w:val="P68B1DB1-Normal58"/>
              <w:spacing w:after="0" w:line="276" w:lineRule="auto"/>
              <w:jc w:val="center"/>
              <w:rPr>
                <w:bCs/>
                <w:noProof/>
              </w:rPr>
            </w:pPr>
            <w:r>
              <w:rPr>
                <w:noProof/>
              </w:rPr>
              <w:t xml:space="preserve">Indicatori cantitativi </w:t>
            </w:r>
            <w:r>
              <w:rPr>
                <w:noProof/>
              </w:rPr>
              <w:br/>
              <w:t>(pentru obiective)</w:t>
            </w:r>
          </w:p>
        </w:tc>
        <w:tc>
          <w:tcPr>
            <w:tcW w:w="1586" w:type="dxa"/>
            <w:gridSpan w:val="2"/>
            <w:tcBorders>
              <w:top w:val="single" w:sz="4" w:space="0" w:color="auto"/>
              <w:left w:val="nil"/>
              <w:bottom w:val="single" w:sz="4" w:space="0" w:color="auto"/>
              <w:right w:val="single" w:sz="4" w:space="0" w:color="auto"/>
            </w:tcBorders>
            <w:shd w:val="clear" w:color="auto" w:fill="BDD7EE"/>
            <w:vAlign w:val="center"/>
            <w:hideMark/>
          </w:tcPr>
          <w:p w14:paraId="41E9CE3B" w14:textId="77777777" w:rsidR="00FA7C11" w:rsidRDefault="00D84965">
            <w:pPr>
              <w:pStyle w:val="P68B1DB1-Normal58"/>
              <w:spacing w:after="0" w:line="276" w:lineRule="auto"/>
              <w:jc w:val="center"/>
              <w:rPr>
                <w:bCs/>
                <w:noProof/>
              </w:rPr>
            </w:pPr>
            <w:r>
              <w:rPr>
                <w:noProof/>
              </w:rPr>
              <w:t>Timp</w:t>
            </w:r>
          </w:p>
        </w:tc>
        <w:tc>
          <w:tcPr>
            <w:tcW w:w="45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998254"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0F54EB41" w14:textId="77777777">
        <w:trPr>
          <w:trHeight w:val="418"/>
          <w:tblHeader/>
          <w:jc w:val="center"/>
        </w:trPr>
        <w:tc>
          <w:tcPr>
            <w:tcW w:w="851" w:type="dxa"/>
            <w:vMerge/>
            <w:tcBorders>
              <w:top w:val="single" w:sz="4" w:space="0" w:color="auto"/>
              <w:left w:val="single" w:sz="4" w:space="0" w:color="auto"/>
              <w:bottom w:val="single" w:sz="4" w:space="0" w:color="auto"/>
              <w:right w:val="single" w:sz="4" w:space="0" w:color="auto"/>
            </w:tcBorders>
            <w:hideMark/>
          </w:tcPr>
          <w:p w14:paraId="0D51240E"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98" w:type="dxa"/>
            <w:vMerge/>
            <w:tcBorders>
              <w:top w:val="single" w:sz="4" w:space="0" w:color="auto"/>
              <w:left w:val="single" w:sz="4" w:space="0" w:color="auto"/>
              <w:bottom w:val="single" w:sz="4" w:space="0" w:color="auto"/>
              <w:right w:val="single" w:sz="4" w:space="0" w:color="auto"/>
            </w:tcBorders>
            <w:hideMark/>
          </w:tcPr>
          <w:p w14:paraId="7CE0E295"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46" w:type="dxa"/>
            <w:vMerge/>
            <w:tcBorders>
              <w:top w:val="single" w:sz="4" w:space="0" w:color="auto"/>
              <w:left w:val="single" w:sz="4" w:space="0" w:color="auto"/>
              <w:bottom w:val="single" w:sz="4" w:space="0" w:color="auto"/>
              <w:right w:val="single" w:sz="4" w:space="0" w:color="auto"/>
            </w:tcBorders>
            <w:hideMark/>
          </w:tcPr>
          <w:p w14:paraId="5A61627E"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400" w:type="dxa"/>
            <w:vMerge/>
            <w:tcBorders>
              <w:top w:val="single" w:sz="4" w:space="0" w:color="auto"/>
              <w:left w:val="single" w:sz="4" w:space="0" w:color="auto"/>
              <w:bottom w:val="single" w:sz="4" w:space="0" w:color="auto"/>
              <w:right w:val="single" w:sz="4" w:space="0" w:color="auto"/>
            </w:tcBorders>
            <w:hideMark/>
          </w:tcPr>
          <w:p w14:paraId="650C590F" w14:textId="77777777" w:rsidR="00FA7C11" w:rsidRDefault="00FA7C11">
            <w:pPr>
              <w:spacing w:after="0" w:line="276" w:lineRule="auto"/>
              <w:rPr>
                <w:rFonts w:ascii="Times New Roman" w:eastAsia="Times New Roman" w:hAnsi="Times New Roman" w:cs="Times New Roman"/>
                <w:b/>
                <w:noProof/>
                <w:sz w:val="20"/>
                <w:szCs w:val="20"/>
              </w:rPr>
            </w:pPr>
          </w:p>
        </w:tc>
        <w:tc>
          <w:tcPr>
            <w:tcW w:w="2259" w:type="dxa"/>
            <w:vMerge/>
            <w:tcBorders>
              <w:top w:val="single" w:sz="4" w:space="0" w:color="auto"/>
              <w:left w:val="single" w:sz="4" w:space="0" w:color="auto"/>
              <w:bottom w:val="single" w:sz="4" w:space="0" w:color="auto"/>
              <w:right w:val="single" w:sz="4" w:space="0" w:color="auto"/>
            </w:tcBorders>
            <w:hideMark/>
          </w:tcPr>
          <w:p w14:paraId="25C173C3" w14:textId="77777777" w:rsidR="00FA7C11" w:rsidRDefault="00FA7C11">
            <w:pPr>
              <w:spacing w:after="0" w:line="276" w:lineRule="auto"/>
              <w:rPr>
                <w:rFonts w:ascii="Times New Roman" w:eastAsia="Times New Roman" w:hAnsi="Times New Roman" w:cs="Times New Roman"/>
                <w:b/>
                <w:noProof/>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982B51E" w14:textId="77777777" w:rsidR="00FA7C11" w:rsidRDefault="00D84965">
            <w:pPr>
              <w:pStyle w:val="P68B1DB1-Normal58"/>
              <w:spacing w:after="0" w:line="276" w:lineRule="auto"/>
              <w:jc w:val="center"/>
              <w:rPr>
                <w:bCs/>
                <w:noProof/>
              </w:rPr>
            </w:pPr>
            <w:r>
              <w:rPr>
                <w:noProof/>
              </w:rPr>
              <w:t>Unitate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6AF8FE" w14:textId="77777777" w:rsidR="00FA7C11" w:rsidRDefault="00D84965">
            <w:pPr>
              <w:pStyle w:val="P68B1DB1-Normal58"/>
              <w:spacing w:after="0" w:line="276" w:lineRule="auto"/>
              <w:jc w:val="center"/>
              <w:rPr>
                <w:bCs/>
                <w:noProof/>
              </w:rPr>
            </w:pPr>
            <w:r>
              <w:rPr>
                <w:noProof/>
              </w:rPr>
              <w:t>Situația de referință</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0DF11DA" w14:textId="77777777" w:rsidR="00FA7C11" w:rsidRDefault="00D84965">
            <w:pPr>
              <w:pStyle w:val="P68B1DB1-Normal58"/>
              <w:spacing w:after="0" w:line="276" w:lineRule="auto"/>
              <w:jc w:val="center"/>
              <w:rPr>
                <w:bCs/>
                <w:noProof/>
              </w:rPr>
            </w:pPr>
            <w:r>
              <w:rPr>
                <w:noProof/>
              </w:rPr>
              <w:t>Obiectiv</w:t>
            </w:r>
          </w:p>
        </w:tc>
        <w:tc>
          <w:tcPr>
            <w:tcW w:w="86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8BC8921" w14:textId="77777777" w:rsidR="00FA7C11" w:rsidRDefault="00D84965">
            <w:pPr>
              <w:pStyle w:val="P68B1DB1-Normal58"/>
              <w:spacing w:after="0" w:line="276" w:lineRule="auto"/>
              <w:jc w:val="center"/>
              <w:rPr>
                <w:bCs/>
                <w:noProof/>
              </w:rPr>
            </w:pPr>
            <w:r>
              <w:rPr>
                <w:noProof/>
              </w:rPr>
              <w:t>Trimestru</w:t>
            </w:r>
          </w:p>
        </w:tc>
        <w:tc>
          <w:tcPr>
            <w:tcW w:w="7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3E55B8E" w14:textId="77777777" w:rsidR="00FA7C11" w:rsidRDefault="00D84965">
            <w:pPr>
              <w:pStyle w:val="P68B1DB1-Normal58"/>
              <w:spacing w:after="0" w:line="276" w:lineRule="auto"/>
              <w:jc w:val="center"/>
              <w:rPr>
                <w:bCs/>
                <w:noProof/>
              </w:rPr>
            </w:pPr>
            <w:r>
              <w:rPr>
                <w:noProof/>
              </w:rPr>
              <w:t>Anul</w:t>
            </w:r>
          </w:p>
        </w:tc>
        <w:tc>
          <w:tcPr>
            <w:tcW w:w="4515" w:type="dxa"/>
            <w:vMerge/>
            <w:tcBorders>
              <w:top w:val="single" w:sz="4" w:space="0" w:color="auto"/>
              <w:left w:val="single" w:sz="4" w:space="0" w:color="auto"/>
              <w:bottom w:val="single" w:sz="4" w:space="0" w:color="auto"/>
              <w:right w:val="single" w:sz="4" w:space="0" w:color="auto"/>
            </w:tcBorders>
            <w:hideMark/>
          </w:tcPr>
          <w:p w14:paraId="50F62E24"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35C17B7E" w14:textId="77777777">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D1DDBA" w14:textId="77777777" w:rsidR="00FA7C11" w:rsidRDefault="00D84965">
            <w:pPr>
              <w:pStyle w:val="P68B1DB1-Normal66"/>
              <w:spacing w:after="0" w:line="276" w:lineRule="auto"/>
              <w:jc w:val="center"/>
              <w:rPr>
                <w:noProof/>
              </w:rPr>
            </w:pPr>
            <w:r>
              <w:rPr>
                <w:noProof/>
              </w:rPr>
              <w:t>163</w:t>
            </w:r>
          </w:p>
        </w:tc>
        <w:tc>
          <w:tcPr>
            <w:tcW w:w="1098" w:type="dxa"/>
            <w:tcBorders>
              <w:top w:val="single" w:sz="4" w:space="0" w:color="auto"/>
              <w:left w:val="nil"/>
              <w:bottom w:val="single" w:sz="4" w:space="0" w:color="auto"/>
              <w:right w:val="single" w:sz="4" w:space="0" w:color="auto"/>
            </w:tcBorders>
            <w:shd w:val="clear" w:color="auto" w:fill="C6EFCE"/>
            <w:noWrap/>
          </w:tcPr>
          <w:p w14:paraId="5933FC7D" w14:textId="77777777" w:rsidR="00FA7C11" w:rsidRDefault="00D84965">
            <w:pPr>
              <w:pStyle w:val="P68B1DB1-Normal66"/>
              <w:spacing w:after="200" w:line="276" w:lineRule="auto"/>
              <w:jc w:val="center"/>
              <w:rPr>
                <w:noProof/>
              </w:rPr>
            </w:pPr>
            <w:r>
              <w:rPr>
                <w:noProof/>
              </w:rPr>
              <w:t>C2.2. R1</w:t>
            </w:r>
          </w:p>
        </w:tc>
        <w:tc>
          <w:tcPr>
            <w:tcW w:w="1046" w:type="dxa"/>
            <w:tcBorders>
              <w:top w:val="single" w:sz="4" w:space="0" w:color="auto"/>
              <w:left w:val="nil"/>
              <w:bottom w:val="single" w:sz="4" w:space="0" w:color="auto"/>
              <w:right w:val="single" w:sz="4" w:space="0" w:color="auto"/>
            </w:tcBorders>
            <w:shd w:val="clear" w:color="auto" w:fill="C6EFCE"/>
            <w:noWrap/>
          </w:tcPr>
          <w:p w14:paraId="3A6A3209" w14:textId="77777777" w:rsidR="00FA7C11" w:rsidRDefault="00D84965">
            <w:pPr>
              <w:pStyle w:val="P68B1DB1-Normal66"/>
              <w:spacing w:after="200" w:line="276" w:lineRule="auto"/>
              <w:jc w:val="center"/>
              <w:rPr>
                <w:noProof/>
              </w:rPr>
            </w:pPr>
            <w:r>
              <w:rPr>
                <w:noProof/>
              </w:rPr>
              <w:t>M</w:t>
            </w:r>
          </w:p>
        </w:tc>
        <w:tc>
          <w:tcPr>
            <w:tcW w:w="1400" w:type="dxa"/>
            <w:tcBorders>
              <w:top w:val="single" w:sz="4" w:space="0" w:color="auto"/>
              <w:left w:val="nil"/>
              <w:bottom w:val="single" w:sz="4" w:space="0" w:color="auto"/>
              <w:right w:val="single" w:sz="4" w:space="0" w:color="auto"/>
            </w:tcBorders>
            <w:shd w:val="clear" w:color="auto" w:fill="C6EFCE"/>
            <w:noWrap/>
          </w:tcPr>
          <w:p w14:paraId="170E48F5" w14:textId="77777777" w:rsidR="00FA7C11" w:rsidRDefault="00D84965">
            <w:pPr>
              <w:pStyle w:val="P68B1DB1-Normal66"/>
              <w:spacing w:after="240" w:line="276" w:lineRule="auto"/>
              <w:rPr>
                <w:noProof/>
              </w:rPr>
            </w:pPr>
            <w:r>
              <w:rPr>
                <w:noProof/>
              </w:rPr>
              <w:t>Cadrul legislativ modificat pentru un sistem centralizat de selecție în administrația de stat, identificând calificările necesare ale funcționarilor publici și instituind un sistem modern de recrutare</w:t>
            </w:r>
          </w:p>
        </w:tc>
        <w:tc>
          <w:tcPr>
            <w:tcW w:w="2259" w:type="dxa"/>
            <w:tcBorders>
              <w:top w:val="single" w:sz="4" w:space="0" w:color="auto"/>
              <w:left w:val="nil"/>
              <w:bottom w:val="single" w:sz="4" w:space="0" w:color="auto"/>
              <w:right w:val="single" w:sz="4" w:space="0" w:color="auto"/>
            </w:tcBorders>
            <w:shd w:val="clear" w:color="auto" w:fill="C6EFCE"/>
            <w:noWrap/>
          </w:tcPr>
          <w:p w14:paraId="1A118FA3" w14:textId="77777777" w:rsidR="00FA7C11" w:rsidRDefault="00D84965">
            <w:pPr>
              <w:pStyle w:val="P68B1DB1-Normal66"/>
              <w:spacing w:after="240" w:line="276" w:lineRule="auto"/>
              <w:rPr>
                <w:noProof/>
              </w:rPr>
            </w:pPr>
            <w:r>
              <w:rPr>
                <w:noProof/>
              </w:rPr>
              <w:t xml:space="preserve">Intrarea în vigoare a unui cadru legislativ modificat pentru un sistem centralizat de selecție a funcționarilor publici, </w:t>
            </w:r>
          </w:p>
        </w:tc>
        <w:tc>
          <w:tcPr>
            <w:tcW w:w="1138" w:type="dxa"/>
            <w:tcBorders>
              <w:top w:val="single" w:sz="4" w:space="0" w:color="auto"/>
              <w:left w:val="nil"/>
              <w:bottom w:val="single" w:sz="4" w:space="0" w:color="auto"/>
              <w:right w:val="single" w:sz="4" w:space="0" w:color="auto"/>
            </w:tcBorders>
            <w:shd w:val="clear" w:color="auto" w:fill="C6EFCE"/>
            <w:noWrap/>
          </w:tcPr>
          <w:p w14:paraId="2EC00F45" w14:textId="77777777" w:rsidR="00FA7C11" w:rsidRDefault="00D84965">
            <w:pPr>
              <w:pStyle w:val="P68B1DB1-Normal66"/>
              <w:spacing w:after="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1916A69B"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1502484D" w14:textId="77777777" w:rsidR="00FA7C11" w:rsidRDefault="00D84965">
            <w:pPr>
              <w:pStyle w:val="P68B1DB1-Normal66"/>
              <w:spacing w:after="200" w:line="276" w:lineRule="auto"/>
              <w:jc w:val="center"/>
              <w:rPr>
                <w:noProof/>
              </w:rPr>
            </w:pPr>
            <w:r>
              <w:rPr>
                <w:noProof/>
              </w:rPr>
              <w:t> </w:t>
            </w:r>
          </w:p>
        </w:tc>
        <w:tc>
          <w:tcPr>
            <w:tcW w:w="866" w:type="dxa"/>
            <w:tcBorders>
              <w:top w:val="single" w:sz="4" w:space="0" w:color="auto"/>
              <w:left w:val="nil"/>
              <w:bottom w:val="single" w:sz="4" w:space="0" w:color="auto"/>
              <w:right w:val="single" w:sz="4" w:space="0" w:color="auto"/>
            </w:tcBorders>
            <w:shd w:val="clear" w:color="auto" w:fill="C6EFCE"/>
            <w:noWrap/>
          </w:tcPr>
          <w:p w14:paraId="139C6A19" w14:textId="77777777" w:rsidR="00FA7C11" w:rsidRDefault="00D84965">
            <w:pPr>
              <w:pStyle w:val="P68B1DB1-Normal66"/>
              <w:spacing w:after="200" w:line="276" w:lineRule="auto"/>
              <w:jc w:val="center"/>
              <w:rPr>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tcPr>
          <w:p w14:paraId="729EF66E" w14:textId="77777777" w:rsidR="00FA7C11" w:rsidRDefault="00D84965">
            <w:pPr>
              <w:pStyle w:val="P68B1DB1-Normal66"/>
              <w:spacing w:after="200" w:line="276" w:lineRule="auto"/>
              <w:jc w:val="center"/>
              <w:rPr>
                <w:noProof/>
              </w:rPr>
            </w:pPr>
            <w:r>
              <w:rPr>
                <w:noProof/>
              </w:rPr>
              <w:t>2023</w:t>
            </w:r>
          </w:p>
        </w:tc>
        <w:tc>
          <w:tcPr>
            <w:tcW w:w="4515" w:type="dxa"/>
            <w:tcBorders>
              <w:top w:val="single" w:sz="4" w:space="0" w:color="auto"/>
              <w:left w:val="nil"/>
              <w:bottom w:val="single" w:sz="4" w:space="0" w:color="auto"/>
              <w:right w:val="single" w:sz="4" w:space="0" w:color="auto"/>
            </w:tcBorders>
            <w:shd w:val="clear" w:color="auto" w:fill="C6EFCE"/>
            <w:noWrap/>
          </w:tcPr>
          <w:p w14:paraId="5760C063" w14:textId="77777777" w:rsidR="00FA7C11" w:rsidRDefault="00D84965">
            <w:pPr>
              <w:pStyle w:val="P68B1DB1-Normal59"/>
              <w:spacing w:after="24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Legislația revizuită include cel puțin următoarele măsuri:</w:t>
            </w:r>
            <w:r>
              <w:rPr>
                <w:rFonts w:ascii="Times New Roman" w:hAnsi="Times New Roman" w:cs="Times New Roman"/>
                <w:noProof/>
              </w:rPr>
              <w:br/>
            </w:r>
            <w:r>
              <w:rPr>
                <w:rFonts w:ascii="Times New Roman" w:eastAsia="Calibri" w:hAnsi="Times New Roman" w:cs="Times New Roman"/>
                <w:noProof/>
                <w:color w:val="000000" w:themeColor="text1"/>
              </w:rPr>
              <w:t>— Definirea profilurilor profesionale specifice administrației naționale pentru a atrage competențele și aptitudinile necesare;</w:t>
            </w:r>
            <w:r>
              <w:rPr>
                <w:rFonts w:ascii="Times New Roman" w:hAnsi="Times New Roman" w:cs="Times New Roman"/>
                <w:noProof/>
              </w:rPr>
              <w:br/>
            </w:r>
            <w:r>
              <w:rPr>
                <w:rFonts w:ascii="Times New Roman" w:eastAsia="Calibri" w:hAnsi="Times New Roman" w:cs="Times New Roman"/>
                <w:noProof/>
                <w:color w:val="000000" w:themeColor="text1"/>
              </w:rPr>
              <w:t>— Crearea unei platforme unice de ocupare a forței de muncă pentru a centraliza procedurile de recrutare în cadrul unei platforme unice pentru toate administrațiile naționale;</w:t>
            </w:r>
            <w:r>
              <w:rPr>
                <w:rFonts w:ascii="Times New Roman" w:hAnsi="Times New Roman" w:cs="Times New Roman"/>
                <w:noProof/>
              </w:rPr>
              <w:br/>
            </w:r>
            <w:r>
              <w:rPr>
                <w:rFonts w:ascii="Times New Roman" w:eastAsia="Calibri" w:hAnsi="Times New Roman" w:cs="Times New Roman"/>
                <w:noProof/>
                <w:color w:val="000000" w:themeColor="text1"/>
              </w:rPr>
              <w:t xml:space="preserve">— Ajustarea procesului de recrutare pentru: I) trecerea de la un sistem bazat exclusiv pe cunoaștere la un sistem bazat în principal pe competențe și aptitudini adecvate; evaluarea competențelor pentru performanța funcționarilor publici; III) să se facă distincția între recrutările la nivel inițial, care ar trebui să se bazeze exclusiv pe competențe, și recrutarea de profiluri specializate, care ar trebui să combine competențele cu experiența profesională relevantă și să conducă la accesul la cariere la un nivel superior; </w:t>
            </w:r>
            <w:r>
              <w:rPr>
                <w:rFonts w:ascii="Times New Roman" w:hAnsi="Times New Roman" w:cs="Times New Roman"/>
                <w:noProof/>
              </w:rPr>
              <w:br/>
            </w:r>
            <w:r>
              <w:rPr>
                <w:rFonts w:ascii="Times New Roman" w:eastAsia="Calibri" w:hAnsi="Times New Roman" w:cs="Times New Roman"/>
                <w:noProof/>
                <w:color w:val="000000" w:themeColor="text1"/>
              </w:rPr>
              <w:t>— Consolidarea angajamentului față de echilibrul de gen și asigurarea echității de gen în procesul de recrutare, precum și promovarea femeilor în posturile de conducere de nivel superior.</w:t>
            </w:r>
          </w:p>
        </w:tc>
      </w:tr>
      <w:tr w:rsidR="00FA7C11" w14:paraId="2631D608" w14:textId="77777777">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5AAB6F55" w14:textId="77777777" w:rsidR="00FA7C11" w:rsidRDefault="00D84965">
            <w:pPr>
              <w:pStyle w:val="P68B1DB1-Normal66"/>
              <w:spacing w:after="200" w:line="276" w:lineRule="auto"/>
              <w:jc w:val="center"/>
              <w:rPr>
                <w:noProof/>
              </w:rPr>
            </w:pPr>
            <w:r>
              <w:rPr>
                <w:noProof/>
              </w:rPr>
              <w:t>164</w:t>
            </w:r>
          </w:p>
        </w:tc>
        <w:tc>
          <w:tcPr>
            <w:tcW w:w="1098" w:type="dxa"/>
            <w:tcBorders>
              <w:top w:val="nil"/>
              <w:left w:val="nil"/>
              <w:bottom w:val="single" w:sz="4" w:space="0" w:color="auto"/>
              <w:right w:val="single" w:sz="4" w:space="0" w:color="auto"/>
            </w:tcBorders>
            <w:shd w:val="clear" w:color="auto" w:fill="C6EFCE"/>
            <w:noWrap/>
          </w:tcPr>
          <w:p w14:paraId="7DDAF28E" w14:textId="77777777" w:rsidR="00FA7C11" w:rsidRDefault="00D84965">
            <w:pPr>
              <w:pStyle w:val="P68B1DB1-Normal66"/>
              <w:spacing w:after="200" w:line="276" w:lineRule="auto"/>
              <w:jc w:val="center"/>
              <w:rPr>
                <w:noProof/>
              </w:rPr>
            </w:pPr>
            <w:r>
              <w:rPr>
                <w:noProof/>
              </w:rPr>
              <w:t>C2.2. R1-I1</w:t>
            </w:r>
          </w:p>
        </w:tc>
        <w:tc>
          <w:tcPr>
            <w:tcW w:w="1046" w:type="dxa"/>
            <w:tcBorders>
              <w:top w:val="nil"/>
              <w:left w:val="nil"/>
              <w:bottom w:val="single" w:sz="4" w:space="0" w:color="auto"/>
              <w:right w:val="single" w:sz="4" w:space="0" w:color="auto"/>
            </w:tcBorders>
            <w:shd w:val="clear" w:color="auto" w:fill="C6EFCE"/>
            <w:noWrap/>
          </w:tcPr>
          <w:p w14:paraId="53983A41" w14:textId="77777777" w:rsidR="00FA7C11" w:rsidRDefault="00D84965">
            <w:pPr>
              <w:pStyle w:val="P68B1DB1-Normal66"/>
              <w:spacing w:after="200" w:line="276" w:lineRule="auto"/>
              <w:jc w:val="center"/>
              <w:rPr>
                <w:noProof/>
              </w:rPr>
            </w:pPr>
            <w:r>
              <w:rPr>
                <w:noProof/>
              </w:rPr>
              <w:t>T</w:t>
            </w:r>
          </w:p>
        </w:tc>
        <w:tc>
          <w:tcPr>
            <w:tcW w:w="1400" w:type="dxa"/>
            <w:tcBorders>
              <w:top w:val="nil"/>
              <w:left w:val="nil"/>
              <w:bottom w:val="single" w:sz="4" w:space="0" w:color="auto"/>
              <w:right w:val="single" w:sz="4" w:space="0" w:color="auto"/>
            </w:tcBorders>
            <w:shd w:val="clear" w:color="auto" w:fill="C6EFCE"/>
            <w:noWrap/>
          </w:tcPr>
          <w:p w14:paraId="11FFB572" w14:textId="77777777" w:rsidR="00FA7C11" w:rsidRDefault="00D84965">
            <w:pPr>
              <w:pStyle w:val="P68B1DB1-Normal66"/>
              <w:spacing w:after="200" w:line="276" w:lineRule="auto"/>
              <w:rPr>
                <w:noProof/>
              </w:rPr>
            </w:pPr>
            <w:r>
              <w:rPr>
                <w:noProof/>
              </w:rPr>
              <w:t>100 % din totalul funcționarilor publici permanenți nou recrutați din cadrul organismelor guvernamentale sunt angajați exclusiv prin intermediul unui nou sistem centralizat, digitalizat și standardizat de selecție și recrutare, disponibil prin intermediul unei platforme informatice nou dezvoltate.</w:t>
            </w:r>
          </w:p>
        </w:tc>
        <w:tc>
          <w:tcPr>
            <w:tcW w:w="2259" w:type="dxa"/>
            <w:tcBorders>
              <w:top w:val="nil"/>
              <w:left w:val="nil"/>
              <w:bottom w:val="single" w:sz="4" w:space="0" w:color="auto"/>
              <w:right w:val="single" w:sz="4" w:space="0" w:color="auto"/>
            </w:tcBorders>
            <w:shd w:val="clear" w:color="auto" w:fill="C6EFCE"/>
            <w:noWrap/>
          </w:tcPr>
          <w:p w14:paraId="19E0841F" w14:textId="77777777" w:rsidR="00FA7C11" w:rsidRDefault="00D84965">
            <w:pPr>
              <w:pStyle w:val="P68B1DB1-Normal66"/>
              <w:spacing w:after="200" w:line="276" w:lineRule="auto"/>
              <w:rPr>
                <w:noProof/>
              </w:rPr>
            </w:pPr>
            <w:r>
              <w:rPr>
                <w:noProof/>
              </w:rPr>
              <w:t xml:space="preserve"> </w:t>
            </w:r>
          </w:p>
        </w:tc>
        <w:tc>
          <w:tcPr>
            <w:tcW w:w="1138" w:type="dxa"/>
            <w:tcBorders>
              <w:top w:val="nil"/>
              <w:left w:val="nil"/>
              <w:bottom w:val="single" w:sz="4" w:space="0" w:color="auto"/>
              <w:right w:val="single" w:sz="4" w:space="0" w:color="auto"/>
            </w:tcBorders>
            <w:shd w:val="clear" w:color="auto" w:fill="C6EFCE"/>
            <w:noWrap/>
          </w:tcPr>
          <w:p w14:paraId="55396B75" w14:textId="77777777" w:rsidR="00FA7C11" w:rsidRDefault="00D84965">
            <w:pPr>
              <w:pStyle w:val="P68B1DB1-Normal66"/>
              <w:spacing w:after="200" w:line="276" w:lineRule="auto"/>
              <w:jc w:val="center"/>
              <w:rPr>
                <w:noProof/>
              </w:rPr>
            </w:pPr>
            <w:r>
              <w:rPr>
                <w:noProof/>
              </w:rPr>
              <w:t>% (procent)</w:t>
            </w:r>
          </w:p>
        </w:tc>
        <w:tc>
          <w:tcPr>
            <w:tcW w:w="850" w:type="dxa"/>
            <w:tcBorders>
              <w:top w:val="nil"/>
              <w:left w:val="nil"/>
              <w:bottom w:val="single" w:sz="4" w:space="0" w:color="auto"/>
              <w:right w:val="single" w:sz="4" w:space="0" w:color="auto"/>
            </w:tcBorders>
            <w:shd w:val="clear" w:color="auto" w:fill="C6EFCE"/>
            <w:noWrap/>
          </w:tcPr>
          <w:p w14:paraId="16DC4B50" w14:textId="77777777" w:rsidR="00FA7C11" w:rsidRDefault="00D84965">
            <w:pPr>
              <w:pStyle w:val="P68B1DB1-Normal66"/>
              <w:spacing w:after="200" w:line="276" w:lineRule="auto"/>
              <w:jc w:val="center"/>
              <w:rPr>
                <w:noProof/>
              </w:rPr>
            </w:pPr>
            <w:r>
              <w:rPr>
                <w:noProof/>
              </w:rPr>
              <w:t>0</w:t>
            </w:r>
          </w:p>
        </w:tc>
        <w:tc>
          <w:tcPr>
            <w:tcW w:w="567" w:type="dxa"/>
            <w:tcBorders>
              <w:top w:val="nil"/>
              <w:left w:val="nil"/>
              <w:bottom w:val="single" w:sz="4" w:space="0" w:color="auto"/>
              <w:right w:val="single" w:sz="4" w:space="0" w:color="auto"/>
            </w:tcBorders>
            <w:shd w:val="clear" w:color="auto" w:fill="C6EFCE"/>
            <w:noWrap/>
          </w:tcPr>
          <w:p w14:paraId="1C41ED71" w14:textId="77777777" w:rsidR="00FA7C11" w:rsidRDefault="00D84965">
            <w:pPr>
              <w:pStyle w:val="P68B1DB1-Normal66"/>
              <w:spacing w:after="200" w:line="276" w:lineRule="auto"/>
              <w:jc w:val="center"/>
              <w:rPr>
                <w:noProof/>
              </w:rPr>
            </w:pPr>
            <w:r>
              <w:rPr>
                <w:noProof/>
              </w:rPr>
              <w:t>100</w:t>
            </w:r>
          </w:p>
        </w:tc>
        <w:tc>
          <w:tcPr>
            <w:tcW w:w="866" w:type="dxa"/>
            <w:tcBorders>
              <w:top w:val="nil"/>
              <w:left w:val="nil"/>
              <w:bottom w:val="single" w:sz="4" w:space="0" w:color="auto"/>
              <w:right w:val="single" w:sz="4" w:space="0" w:color="auto"/>
            </w:tcBorders>
            <w:shd w:val="clear" w:color="auto" w:fill="C6EFCE"/>
            <w:noWrap/>
          </w:tcPr>
          <w:p w14:paraId="283ED66D" w14:textId="77777777" w:rsidR="00FA7C11" w:rsidRDefault="00D84965">
            <w:pPr>
              <w:pStyle w:val="P68B1DB1-Normal66"/>
              <w:spacing w:after="200" w:line="276" w:lineRule="auto"/>
              <w:jc w:val="center"/>
              <w:rPr>
                <w:noProof/>
              </w:rPr>
            </w:pPr>
            <w:r>
              <w:rPr>
                <w:noProof/>
              </w:rPr>
              <w:t>Î4</w:t>
            </w:r>
          </w:p>
        </w:tc>
        <w:tc>
          <w:tcPr>
            <w:tcW w:w="720" w:type="dxa"/>
            <w:tcBorders>
              <w:top w:val="nil"/>
              <w:left w:val="nil"/>
              <w:bottom w:val="single" w:sz="4" w:space="0" w:color="auto"/>
              <w:right w:val="single" w:sz="4" w:space="0" w:color="auto"/>
            </w:tcBorders>
            <w:shd w:val="clear" w:color="auto" w:fill="C6EFCE"/>
            <w:noWrap/>
          </w:tcPr>
          <w:p w14:paraId="0DB4ED4A" w14:textId="77777777" w:rsidR="00FA7C11" w:rsidRDefault="00D84965">
            <w:pPr>
              <w:pStyle w:val="P68B1DB1-Normal66"/>
              <w:spacing w:after="200" w:line="276" w:lineRule="auto"/>
              <w:jc w:val="center"/>
              <w:rPr>
                <w:noProof/>
              </w:rPr>
            </w:pPr>
            <w:r>
              <w:rPr>
                <w:noProof/>
              </w:rPr>
              <w:t>2024</w:t>
            </w:r>
          </w:p>
        </w:tc>
        <w:tc>
          <w:tcPr>
            <w:tcW w:w="4515" w:type="dxa"/>
            <w:tcBorders>
              <w:top w:val="nil"/>
              <w:left w:val="nil"/>
              <w:bottom w:val="single" w:sz="4" w:space="0" w:color="auto"/>
              <w:right w:val="single" w:sz="4" w:space="0" w:color="auto"/>
            </w:tcBorders>
            <w:shd w:val="clear" w:color="auto" w:fill="C6EFCE"/>
            <w:noWrap/>
          </w:tcPr>
          <w:p w14:paraId="70FFF39E" w14:textId="11054A5C" w:rsidR="00FA7C11" w:rsidRDefault="00D84965">
            <w:pPr>
              <w:pStyle w:val="P68B1DB1-Normal66"/>
              <w:spacing w:after="200" w:line="276" w:lineRule="auto"/>
              <w:rPr>
                <w:noProof/>
              </w:rPr>
            </w:pPr>
            <w:r>
              <w:rPr>
                <w:noProof/>
              </w:rPr>
              <w:t xml:space="preserve">Se introduce și se pune în aplicare un sistem centralizat de selecție a funcționarilor publici, pe baza unor planuri de primire prestabilite, bazate pe analize ale volumului de muncă și pe nevoile reale ale autorităților publice de a recruta un anumit profil de funcționari. Sistemul prevede că, în procesul de recrutare, candidații sunt testați online pentru a se asigura o selecție mai transparentă și mai obiectivă a candidaților. </w:t>
            </w:r>
          </w:p>
        </w:tc>
      </w:tr>
      <w:tr w:rsidR="00FA7C11" w14:paraId="75510B97" w14:textId="77777777">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60ECBE75" w14:textId="77777777" w:rsidR="00FA7C11" w:rsidRDefault="00D84965">
            <w:pPr>
              <w:pStyle w:val="P68B1DB1-Normal66"/>
              <w:spacing w:after="0" w:line="276" w:lineRule="auto"/>
              <w:jc w:val="center"/>
              <w:rPr>
                <w:noProof/>
              </w:rPr>
            </w:pPr>
            <w:r>
              <w:rPr>
                <w:noProof/>
              </w:rPr>
              <w:t>165</w:t>
            </w:r>
          </w:p>
        </w:tc>
        <w:tc>
          <w:tcPr>
            <w:tcW w:w="1098" w:type="dxa"/>
            <w:tcBorders>
              <w:top w:val="nil"/>
              <w:left w:val="nil"/>
              <w:bottom w:val="single" w:sz="4" w:space="0" w:color="auto"/>
              <w:right w:val="single" w:sz="4" w:space="0" w:color="auto"/>
            </w:tcBorders>
            <w:shd w:val="clear" w:color="auto" w:fill="C6EFCE"/>
            <w:noWrap/>
          </w:tcPr>
          <w:p w14:paraId="75536844" w14:textId="77777777" w:rsidR="00FA7C11" w:rsidRDefault="00D84965">
            <w:pPr>
              <w:pStyle w:val="P68B1DB1-Normal66"/>
              <w:spacing w:after="200" w:line="276" w:lineRule="auto"/>
              <w:jc w:val="center"/>
              <w:rPr>
                <w:noProof/>
              </w:rPr>
            </w:pPr>
            <w:r>
              <w:rPr>
                <w:noProof/>
              </w:rPr>
              <w:t>C2.2. R1-I2</w:t>
            </w:r>
          </w:p>
        </w:tc>
        <w:tc>
          <w:tcPr>
            <w:tcW w:w="1046" w:type="dxa"/>
            <w:tcBorders>
              <w:top w:val="nil"/>
              <w:left w:val="nil"/>
              <w:bottom w:val="single" w:sz="4" w:space="0" w:color="auto"/>
              <w:right w:val="single" w:sz="4" w:space="0" w:color="auto"/>
            </w:tcBorders>
            <w:shd w:val="clear" w:color="auto" w:fill="C6EFCE"/>
            <w:noWrap/>
          </w:tcPr>
          <w:p w14:paraId="1BD3E9C6" w14:textId="77777777" w:rsidR="00FA7C11" w:rsidRDefault="00D84965">
            <w:pPr>
              <w:pStyle w:val="P68B1DB1-Normal66"/>
              <w:spacing w:after="200" w:line="276" w:lineRule="auto"/>
              <w:jc w:val="center"/>
              <w:rPr>
                <w:noProof/>
              </w:rPr>
            </w:pPr>
            <w:r>
              <w:rPr>
                <w:noProof/>
              </w:rPr>
              <w:t>T</w:t>
            </w:r>
          </w:p>
        </w:tc>
        <w:tc>
          <w:tcPr>
            <w:tcW w:w="1400" w:type="dxa"/>
            <w:tcBorders>
              <w:top w:val="nil"/>
              <w:left w:val="nil"/>
              <w:bottom w:val="single" w:sz="4" w:space="0" w:color="auto"/>
              <w:right w:val="single" w:sz="4" w:space="0" w:color="auto"/>
            </w:tcBorders>
            <w:shd w:val="clear" w:color="auto" w:fill="C6EFCE"/>
            <w:noWrap/>
          </w:tcPr>
          <w:p w14:paraId="2BBC0827" w14:textId="5C5E7678" w:rsidR="00FA7C11" w:rsidRDefault="00D84965">
            <w:pPr>
              <w:pStyle w:val="P68B1DB1-Normal66"/>
              <w:spacing w:after="240" w:line="276" w:lineRule="auto"/>
              <w:rPr>
                <w:noProof/>
              </w:rPr>
            </w:pPr>
            <w:r>
              <w:rPr>
                <w:noProof/>
              </w:rPr>
              <w:t xml:space="preserve">100 % dintre funcționarii din toate instituțiile publice care trebuie să promoveze examenul de stat trec digital examenul de stat, pe baza unui nou model de examen. </w:t>
            </w:r>
          </w:p>
        </w:tc>
        <w:tc>
          <w:tcPr>
            <w:tcW w:w="2259" w:type="dxa"/>
            <w:tcBorders>
              <w:top w:val="nil"/>
              <w:left w:val="nil"/>
              <w:bottom w:val="single" w:sz="4" w:space="0" w:color="auto"/>
              <w:right w:val="single" w:sz="4" w:space="0" w:color="auto"/>
            </w:tcBorders>
            <w:shd w:val="clear" w:color="auto" w:fill="C6EFCE"/>
            <w:noWrap/>
          </w:tcPr>
          <w:p w14:paraId="679194FC" w14:textId="77777777" w:rsidR="00FA7C11" w:rsidRDefault="00D84965">
            <w:pPr>
              <w:pStyle w:val="P68B1DB1-Normal66"/>
              <w:spacing w:after="240" w:line="276" w:lineRule="auto"/>
              <w:rPr>
                <w:noProof/>
              </w:rPr>
            </w:pPr>
            <w:r>
              <w:rPr>
                <w:noProof/>
              </w:rPr>
              <w:t xml:space="preserve"> </w:t>
            </w:r>
          </w:p>
        </w:tc>
        <w:tc>
          <w:tcPr>
            <w:tcW w:w="1138" w:type="dxa"/>
            <w:tcBorders>
              <w:top w:val="nil"/>
              <w:left w:val="nil"/>
              <w:bottom w:val="single" w:sz="4" w:space="0" w:color="auto"/>
              <w:right w:val="single" w:sz="4" w:space="0" w:color="auto"/>
            </w:tcBorders>
            <w:shd w:val="clear" w:color="auto" w:fill="C6EFCE"/>
            <w:noWrap/>
          </w:tcPr>
          <w:p w14:paraId="570D7910" w14:textId="77777777" w:rsidR="00FA7C11" w:rsidRDefault="00D84965">
            <w:pPr>
              <w:pStyle w:val="P68B1DB1-Normal66"/>
              <w:spacing w:after="0" w:line="276" w:lineRule="auto"/>
              <w:jc w:val="center"/>
              <w:rPr>
                <w:noProof/>
              </w:rPr>
            </w:pPr>
            <w:r>
              <w:rPr>
                <w:noProof/>
              </w:rPr>
              <w:t>% (procent)</w:t>
            </w:r>
          </w:p>
        </w:tc>
        <w:tc>
          <w:tcPr>
            <w:tcW w:w="850" w:type="dxa"/>
            <w:tcBorders>
              <w:top w:val="nil"/>
              <w:left w:val="nil"/>
              <w:bottom w:val="single" w:sz="4" w:space="0" w:color="auto"/>
              <w:right w:val="single" w:sz="4" w:space="0" w:color="auto"/>
            </w:tcBorders>
            <w:shd w:val="clear" w:color="auto" w:fill="C6EFCE"/>
            <w:noWrap/>
          </w:tcPr>
          <w:p w14:paraId="3AEA3BC5" w14:textId="77777777" w:rsidR="00FA7C11" w:rsidRDefault="00D84965">
            <w:pPr>
              <w:pStyle w:val="P68B1DB1-Normal66"/>
              <w:spacing w:after="200" w:line="276" w:lineRule="auto"/>
              <w:jc w:val="center"/>
              <w:rPr>
                <w:noProof/>
              </w:rPr>
            </w:pPr>
            <w:r>
              <w:rPr>
                <w:noProof/>
              </w:rPr>
              <w:t>0</w:t>
            </w:r>
          </w:p>
        </w:tc>
        <w:tc>
          <w:tcPr>
            <w:tcW w:w="567" w:type="dxa"/>
            <w:tcBorders>
              <w:top w:val="nil"/>
              <w:left w:val="nil"/>
              <w:bottom w:val="single" w:sz="4" w:space="0" w:color="auto"/>
              <w:right w:val="single" w:sz="4" w:space="0" w:color="auto"/>
            </w:tcBorders>
            <w:shd w:val="clear" w:color="auto" w:fill="C6EFCE"/>
            <w:noWrap/>
          </w:tcPr>
          <w:p w14:paraId="4703D00E" w14:textId="77777777" w:rsidR="00FA7C11" w:rsidRDefault="00D84965">
            <w:pPr>
              <w:pStyle w:val="P68B1DB1-Normal66"/>
              <w:spacing w:after="200" w:line="276" w:lineRule="auto"/>
              <w:jc w:val="center"/>
              <w:rPr>
                <w:noProof/>
              </w:rPr>
            </w:pPr>
            <w:r>
              <w:rPr>
                <w:noProof/>
              </w:rPr>
              <w:t>100</w:t>
            </w:r>
          </w:p>
        </w:tc>
        <w:tc>
          <w:tcPr>
            <w:tcW w:w="866" w:type="dxa"/>
            <w:tcBorders>
              <w:top w:val="nil"/>
              <w:left w:val="nil"/>
              <w:bottom w:val="single" w:sz="4" w:space="0" w:color="auto"/>
              <w:right w:val="single" w:sz="4" w:space="0" w:color="auto"/>
            </w:tcBorders>
            <w:shd w:val="clear" w:color="auto" w:fill="C6EFCE"/>
            <w:noWrap/>
          </w:tcPr>
          <w:p w14:paraId="78517A9B" w14:textId="77777777" w:rsidR="00FA7C11" w:rsidRDefault="00D84965">
            <w:pPr>
              <w:pStyle w:val="P68B1DB1-Normal66"/>
              <w:spacing w:after="200" w:line="276" w:lineRule="auto"/>
              <w:jc w:val="center"/>
              <w:rPr>
                <w:noProof/>
              </w:rPr>
            </w:pPr>
            <w:r>
              <w:rPr>
                <w:noProof/>
              </w:rPr>
              <w:t>Î4</w:t>
            </w:r>
          </w:p>
        </w:tc>
        <w:tc>
          <w:tcPr>
            <w:tcW w:w="720" w:type="dxa"/>
            <w:tcBorders>
              <w:top w:val="nil"/>
              <w:left w:val="nil"/>
              <w:bottom w:val="single" w:sz="4" w:space="0" w:color="auto"/>
              <w:right w:val="single" w:sz="4" w:space="0" w:color="auto"/>
            </w:tcBorders>
            <w:shd w:val="clear" w:color="auto" w:fill="C6EFCE"/>
            <w:noWrap/>
          </w:tcPr>
          <w:p w14:paraId="68D97E1F" w14:textId="77777777" w:rsidR="00FA7C11" w:rsidRDefault="00D84965">
            <w:pPr>
              <w:pStyle w:val="P68B1DB1-Normal66"/>
              <w:spacing w:after="200" w:line="276" w:lineRule="auto"/>
              <w:jc w:val="center"/>
              <w:rPr>
                <w:noProof/>
              </w:rPr>
            </w:pPr>
            <w:r>
              <w:rPr>
                <w:noProof/>
              </w:rPr>
              <w:t>2022</w:t>
            </w:r>
          </w:p>
        </w:tc>
        <w:tc>
          <w:tcPr>
            <w:tcW w:w="4515" w:type="dxa"/>
            <w:tcBorders>
              <w:top w:val="nil"/>
              <w:left w:val="nil"/>
              <w:bottom w:val="single" w:sz="4" w:space="0" w:color="auto"/>
              <w:right w:val="single" w:sz="4" w:space="0" w:color="auto"/>
            </w:tcBorders>
            <w:shd w:val="clear" w:color="auto" w:fill="C6EFCE"/>
            <w:noWrap/>
          </w:tcPr>
          <w:p w14:paraId="7AC8682A" w14:textId="77777777" w:rsidR="00FA7C11" w:rsidRDefault="00D84965">
            <w:pPr>
              <w:pStyle w:val="P68B1DB1-Normal66"/>
              <w:spacing w:after="240" w:line="276" w:lineRule="auto"/>
              <w:rPr>
                <w:noProof/>
              </w:rPr>
            </w:pPr>
            <w:r>
              <w:rPr>
                <w:noProof/>
              </w:rPr>
              <w:t>100 % dintre funcționarii din toate instituțiile publice, care trebuie să promoveze examenul de stat, trec examenul printr-un model complet digitalizat. Procesul de promovare a examenului de stat este digitalizat pentru ca sistemul de examene să devină mai transparent, mai accesibil (în mai multe locuri din întreaga țară) și mai eficient.</w:t>
            </w:r>
          </w:p>
        </w:tc>
      </w:tr>
      <w:tr w:rsidR="00FA7C11" w14:paraId="3F3FBDD7" w14:textId="77777777">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41369545" w14:textId="77777777" w:rsidR="00FA7C11" w:rsidRDefault="00D84965">
            <w:pPr>
              <w:pStyle w:val="P68B1DB1-Normal66"/>
              <w:spacing w:after="200" w:line="276" w:lineRule="auto"/>
              <w:jc w:val="center"/>
              <w:rPr>
                <w:noProof/>
              </w:rPr>
            </w:pPr>
            <w:r>
              <w:rPr>
                <w:noProof/>
              </w:rPr>
              <w:t>166</w:t>
            </w:r>
          </w:p>
        </w:tc>
        <w:tc>
          <w:tcPr>
            <w:tcW w:w="1098" w:type="dxa"/>
            <w:tcBorders>
              <w:top w:val="nil"/>
              <w:left w:val="nil"/>
              <w:bottom w:val="single" w:sz="4" w:space="0" w:color="auto"/>
              <w:right w:val="single" w:sz="4" w:space="0" w:color="auto"/>
            </w:tcBorders>
            <w:shd w:val="clear" w:color="auto" w:fill="C6EFCE"/>
            <w:noWrap/>
          </w:tcPr>
          <w:p w14:paraId="660943D1" w14:textId="77777777" w:rsidR="00FA7C11" w:rsidRDefault="00D84965">
            <w:pPr>
              <w:pStyle w:val="P68B1DB1-Normal66"/>
              <w:spacing w:after="200" w:line="276" w:lineRule="auto"/>
              <w:jc w:val="center"/>
              <w:rPr>
                <w:noProof/>
              </w:rPr>
            </w:pPr>
            <w:r>
              <w:rPr>
                <w:noProof/>
              </w:rPr>
              <w:t>C2.2. R2</w:t>
            </w:r>
          </w:p>
        </w:tc>
        <w:tc>
          <w:tcPr>
            <w:tcW w:w="1046" w:type="dxa"/>
            <w:tcBorders>
              <w:top w:val="nil"/>
              <w:left w:val="nil"/>
              <w:bottom w:val="single" w:sz="4" w:space="0" w:color="auto"/>
              <w:right w:val="single" w:sz="4" w:space="0" w:color="auto"/>
            </w:tcBorders>
            <w:shd w:val="clear" w:color="auto" w:fill="C6EFCE"/>
            <w:noWrap/>
          </w:tcPr>
          <w:p w14:paraId="0C7B9B45" w14:textId="77777777" w:rsidR="00FA7C11" w:rsidRDefault="00D84965">
            <w:pPr>
              <w:pStyle w:val="P68B1DB1-Normal66"/>
              <w:spacing w:after="200" w:line="276" w:lineRule="auto"/>
              <w:jc w:val="center"/>
              <w:rPr>
                <w:noProof/>
              </w:rPr>
            </w:pPr>
            <w:r>
              <w:rPr>
                <w:noProof/>
              </w:rPr>
              <w:t>M</w:t>
            </w:r>
          </w:p>
        </w:tc>
        <w:tc>
          <w:tcPr>
            <w:tcW w:w="1400" w:type="dxa"/>
            <w:tcBorders>
              <w:top w:val="nil"/>
              <w:left w:val="nil"/>
              <w:bottom w:val="single" w:sz="4" w:space="0" w:color="auto"/>
              <w:right w:val="single" w:sz="4" w:space="0" w:color="auto"/>
            </w:tcBorders>
            <w:shd w:val="clear" w:color="auto" w:fill="C6EFCE"/>
            <w:noWrap/>
          </w:tcPr>
          <w:p w14:paraId="7D006095" w14:textId="77777777" w:rsidR="00FA7C11" w:rsidRDefault="00D84965">
            <w:pPr>
              <w:pStyle w:val="P68B1DB1-Normal66"/>
              <w:spacing w:after="200" w:line="276" w:lineRule="auto"/>
              <w:rPr>
                <w:noProof/>
              </w:rPr>
            </w:pPr>
            <w:r>
              <w:rPr>
                <w:noProof/>
              </w:rPr>
              <w:t>Intrarea în vigoare a legilor privind salariile în administrația de stat și în serviciile publice și a regulamentelor privind mobilitatea</w:t>
            </w:r>
          </w:p>
        </w:tc>
        <w:tc>
          <w:tcPr>
            <w:tcW w:w="2259" w:type="dxa"/>
            <w:tcBorders>
              <w:top w:val="nil"/>
              <w:left w:val="nil"/>
              <w:bottom w:val="single" w:sz="4" w:space="0" w:color="auto"/>
              <w:right w:val="single" w:sz="4" w:space="0" w:color="auto"/>
            </w:tcBorders>
            <w:shd w:val="clear" w:color="auto" w:fill="C6EFCE"/>
            <w:noWrap/>
          </w:tcPr>
          <w:p w14:paraId="12862F04" w14:textId="77777777" w:rsidR="00FA7C11" w:rsidRDefault="00D84965">
            <w:pPr>
              <w:pStyle w:val="P68B1DB1-Normal66"/>
              <w:spacing w:after="200" w:line="276" w:lineRule="auto"/>
              <w:rPr>
                <w:noProof/>
              </w:rPr>
            </w:pPr>
            <w:r>
              <w:rPr>
                <w:noProof/>
              </w:rPr>
              <w:t>Intrarea în vigoare a legilor privind salariile în administrația de stat și în serviciile publice și a regulamentelor privind mobilitatea verticală și orizontală a funcționarilor publici din administrația publică</w:t>
            </w:r>
          </w:p>
        </w:tc>
        <w:tc>
          <w:tcPr>
            <w:tcW w:w="1138" w:type="dxa"/>
            <w:tcBorders>
              <w:top w:val="nil"/>
              <w:left w:val="nil"/>
              <w:bottom w:val="single" w:sz="4" w:space="0" w:color="auto"/>
              <w:right w:val="single" w:sz="4" w:space="0" w:color="auto"/>
            </w:tcBorders>
            <w:shd w:val="clear" w:color="auto" w:fill="C6EFCE"/>
            <w:noWrap/>
          </w:tcPr>
          <w:p w14:paraId="40C65BBC" w14:textId="77777777" w:rsidR="00FA7C11" w:rsidRDefault="00D84965">
            <w:pPr>
              <w:pStyle w:val="P68B1DB1-Normal66"/>
              <w:spacing w:after="200"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14BA0661" w14:textId="77777777" w:rsidR="00FA7C11" w:rsidRDefault="00D84965">
            <w:pPr>
              <w:pStyle w:val="P68B1DB1-Normal66"/>
              <w:spacing w:after="200" w:line="276" w:lineRule="auto"/>
              <w:jc w:val="center"/>
              <w:rPr>
                <w:noProof/>
              </w:rPr>
            </w:pPr>
            <w:r>
              <w:rPr>
                <w:noProof/>
              </w:rPr>
              <w:t> </w:t>
            </w:r>
          </w:p>
        </w:tc>
        <w:tc>
          <w:tcPr>
            <w:tcW w:w="567" w:type="dxa"/>
            <w:tcBorders>
              <w:top w:val="nil"/>
              <w:left w:val="nil"/>
              <w:bottom w:val="single" w:sz="4" w:space="0" w:color="auto"/>
              <w:right w:val="single" w:sz="4" w:space="0" w:color="auto"/>
            </w:tcBorders>
            <w:shd w:val="clear" w:color="auto" w:fill="C6EFCE"/>
            <w:noWrap/>
          </w:tcPr>
          <w:p w14:paraId="3F936ADD" w14:textId="77777777" w:rsidR="00FA7C11" w:rsidRDefault="00D84965">
            <w:pPr>
              <w:pStyle w:val="P68B1DB1-Normal66"/>
              <w:spacing w:after="200" w:line="276" w:lineRule="auto"/>
              <w:jc w:val="center"/>
              <w:rPr>
                <w:noProof/>
              </w:rPr>
            </w:pPr>
            <w:r>
              <w:rPr>
                <w:noProof/>
              </w:rPr>
              <w:t> </w:t>
            </w:r>
          </w:p>
        </w:tc>
        <w:tc>
          <w:tcPr>
            <w:tcW w:w="866" w:type="dxa"/>
            <w:tcBorders>
              <w:top w:val="nil"/>
              <w:left w:val="nil"/>
              <w:bottom w:val="single" w:sz="4" w:space="0" w:color="auto"/>
              <w:right w:val="single" w:sz="4" w:space="0" w:color="auto"/>
            </w:tcBorders>
            <w:shd w:val="clear" w:color="auto" w:fill="C6EFCE"/>
            <w:noWrap/>
          </w:tcPr>
          <w:p w14:paraId="15777FE6" w14:textId="77777777" w:rsidR="00FA7C11" w:rsidRDefault="00D84965">
            <w:pPr>
              <w:pStyle w:val="P68B1DB1-Normal66"/>
              <w:spacing w:after="200" w:line="276" w:lineRule="auto"/>
              <w:jc w:val="center"/>
              <w:rPr>
                <w:noProof/>
              </w:rPr>
            </w:pPr>
            <w:r>
              <w:rPr>
                <w:noProof/>
              </w:rPr>
              <w:t>Î2</w:t>
            </w:r>
          </w:p>
        </w:tc>
        <w:tc>
          <w:tcPr>
            <w:tcW w:w="720" w:type="dxa"/>
            <w:tcBorders>
              <w:top w:val="nil"/>
              <w:left w:val="nil"/>
              <w:bottom w:val="single" w:sz="4" w:space="0" w:color="auto"/>
              <w:right w:val="single" w:sz="4" w:space="0" w:color="auto"/>
            </w:tcBorders>
            <w:shd w:val="clear" w:color="auto" w:fill="C6EFCE"/>
            <w:noWrap/>
          </w:tcPr>
          <w:p w14:paraId="24724557" w14:textId="77777777" w:rsidR="00FA7C11" w:rsidRDefault="00D84965">
            <w:pPr>
              <w:pStyle w:val="P68B1DB1-Normal66"/>
              <w:spacing w:after="200" w:line="276" w:lineRule="auto"/>
              <w:jc w:val="center"/>
              <w:rPr>
                <w:noProof/>
              </w:rPr>
            </w:pPr>
            <w:r>
              <w:rPr>
                <w:noProof/>
              </w:rPr>
              <w:t>2023</w:t>
            </w:r>
          </w:p>
        </w:tc>
        <w:tc>
          <w:tcPr>
            <w:tcW w:w="4515" w:type="dxa"/>
            <w:tcBorders>
              <w:top w:val="nil"/>
              <w:left w:val="nil"/>
              <w:bottom w:val="single" w:sz="4" w:space="0" w:color="auto"/>
              <w:right w:val="single" w:sz="4" w:space="0" w:color="auto"/>
            </w:tcBorders>
            <w:shd w:val="clear" w:color="auto" w:fill="C6EFCE"/>
            <w:noWrap/>
          </w:tcPr>
          <w:p w14:paraId="4EDAE994" w14:textId="77777777"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Noua legislație privind salariile în administrația de stat și în serviciile publice permite o evaluare echitabilă și transparentă a posturilor în conformitate cu criteriile stabilite, asigurând armonizarea gradelor și a primelor în funcția publică și în funcția publică, stabilirea coeficienților la nivel profesional în consultare cu partenerii sociali și instituirea unui sistem de recompensare bazat pe performanță (performanța profesională). Se va crea un nou sistem de plată, iar noile legi privind salariile funcționarilor publici și salariile din serviciile publice vor include dispoziții privind evaluarea echitabilă și transparentă a posturilor în conformitate cu criteriile stabilite și vor asigura armonizarea salariilor din administrația publică și din serviciile publice și vor institui un sistem de recompensare bazat pe performanța profesională.</w:t>
            </w:r>
            <w:r>
              <w:rPr>
                <w:rFonts w:ascii="Times New Roman" w:hAnsi="Times New Roman" w:cs="Times New Roman"/>
                <w:noProof/>
              </w:rPr>
              <w:br/>
            </w:r>
            <w:r>
              <w:rPr>
                <w:rFonts w:ascii="Times New Roman" w:eastAsia="Calibri" w:hAnsi="Times New Roman" w:cs="Times New Roman"/>
                <w:noProof/>
                <w:color w:val="000000" w:themeColor="text1"/>
              </w:rPr>
              <w:t xml:space="preserve">Se modifică cadrul legislativ (Legea privind funcția publică și normele administrative) pentru mobilitatea verticală și orizontală. Aceasta include un plan de carieră care include un posibil acces la posturi de conducere de nivel mediu și superior și consolidarea legăturii dintre evoluția carierei și evaluarea performanței. În plus, stabilirea condițiilor prealabile pentru o piață eficientă a forței de muncă în administrația publică, inclusiv (a) crearea unui sistem de publicitate transparent și uniform pentru toate posturile vacante din administrația publică (b) posibilitatea de a candida pentru orice loc de muncă disponibil oriunde în administrația publică. </w:t>
            </w:r>
          </w:p>
        </w:tc>
      </w:tr>
      <w:tr w:rsidR="00FA7C11" w14:paraId="5035F872" w14:textId="77777777">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B62AA3D" w14:textId="77777777" w:rsidR="00FA7C11" w:rsidRDefault="00D84965">
            <w:pPr>
              <w:pStyle w:val="P68B1DB1-Normal66"/>
              <w:spacing w:after="200" w:line="276" w:lineRule="auto"/>
              <w:jc w:val="center"/>
              <w:rPr>
                <w:noProof/>
              </w:rPr>
            </w:pPr>
            <w:r>
              <w:rPr>
                <w:noProof/>
              </w:rPr>
              <w:t>167</w:t>
            </w:r>
          </w:p>
        </w:tc>
        <w:tc>
          <w:tcPr>
            <w:tcW w:w="1098" w:type="dxa"/>
            <w:tcBorders>
              <w:top w:val="single" w:sz="4" w:space="0" w:color="auto"/>
              <w:left w:val="nil"/>
              <w:bottom w:val="single" w:sz="4" w:space="0" w:color="auto"/>
              <w:right w:val="single" w:sz="4" w:space="0" w:color="auto"/>
            </w:tcBorders>
            <w:shd w:val="clear" w:color="auto" w:fill="C6EFCE"/>
            <w:noWrap/>
          </w:tcPr>
          <w:p w14:paraId="6329A46C" w14:textId="77777777" w:rsidR="00FA7C11" w:rsidRDefault="00D84965">
            <w:pPr>
              <w:pStyle w:val="P68B1DB1-Normal66"/>
              <w:spacing w:after="200" w:line="276" w:lineRule="auto"/>
              <w:jc w:val="center"/>
              <w:rPr>
                <w:noProof/>
              </w:rPr>
            </w:pPr>
            <w:r>
              <w:rPr>
                <w:noProof/>
              </w:rPr>
              <w:t>C2.2. R2-I1</w:t>
            </w:r>
          </w:p>
        </w:tc>
        <w:tc>
          <w:tcPr>
            <w:tcW w:w="1046" w:type="dxa"/>
            <w:tcBorders>
              <w:top w:val="single" w:sz="4" w:space="0" w:color="auto"/>
              <w:left w:val="nil"/>
              <w:bottom w:val="single" w:sz="4" w:space="0" w:color="auto"/>
              <w:right w:val="single" w:sz="4" w:space="0" w:color="auto"/>
            </w:tcBorders>
            <w:shd w:val="clear" w:color="auto" w:fill="C6EFCE"/>
            <w:noWrap/>
          </w:tcPr>
          <w:p w14:paraId="4F95C143" w14:textId="77777777" w:rsidR="00FA7C11" w:rsidRDefault="00D84965">
            <w:pPr>
              <w:pStyle w:val="P68B1DB1-Normal66"/>
              <w:spacing w:after="200" w:line="276" w:lineRule="auto"/>
              <w:jc w:val="center"/>
              <w:rPr>
                <w:noProof/>
              </w:rPr>
            </w:pPr>
            <w:r>
              <w:rPr>
                <w:noProof/>
              </w:rPr>
              <w:t>T</w:t>
            </w:r>
          </w:p>
        </w:tc>
        <w:tc>
          <w:tcPr>
            <w:tcW w:w="1400" w:type="dxa"/>
            <w:tcBorders>
              <w:top w:val="single" w:sz="4" w:space="0" w:color="auto"/>
              <w:left w:val="nil"/>
              <w:bottom w:val="single" w:sz="4" w:space="0" w:color="auto"/>
              <w:right w:val="single" w:sz="4" w:space="0" w:color="auto"/>
            </w:tcBorders>
            <w:shd w:val="clear" w:color="auto" w:fill="C6EFCE"/>
            <w:noWrap/>
          </w:tcPr>
          <w:p w14:paraId="3F24151C" w14:textId="4434152C" w:rsidR="00FA7C11" w:rsidRDefault="00D84965">
            <w:pPr>
              <w:pStyle w:val="P68B1DB1-Normal66"/>
              <w:spacing w:after="200" w:line="276" w:lineRule="auto"/>
              <w:rPr>
                <w:noProof/>
              </w:rPr>
            </w:pPr>
            <w:r>
              <w:rPr>
                <w:noProof/>
              </w:rPr>
              <w:t>Sistemul de gestionare a resurselor umane, Registrul funcționarilor publici și Sistemul salarial centralizat (RegZap – Cop), este completat cu nouă noi funcționalități, digitalizând toate procesele conexe care simplifică și accelerează modificarea sistemului salarial.</w:t>
            </w:r>
          </w:p>
        </w:tc>
        <w:tc>
          <w:tcPr>
            <w:tcW w:w="2259" w:type="dxa"/>
            <w:tcBorders>
              <w:top w:val="single" w:sz="4" w:space="0" w:color="auto"/>
              <w:left w:val="nil"/>
              <w:bottom w:val="single" w:sz="4" w:space="0" w:color="auto"/>
              <w:right w:val="single" w:sz="4" w:space="0" w:color="auto"/>
            </w:tcBorders>
            <w:shd w:val="clear" w:color="auto" w:fill="C6EFCE"/>
            <w:noWrap/>
          </w:tcPr>
          <w:p w14:paraId="664AB0FB" w14:textId="77777777" w:rsidR="00FA7C11" w:rsidRDefault="00D84965">
            <w:pPr>
              <w:pStyle w:val="P68B1DB1-Normal66"/>
              <w:spacing w:after="200" w:line="276" w:lineRule="auto"/>
              <w:rPr>
                <w:noProof/>
              </w:rPr>
            </w:pPr>
            <w:r>
              <w:rPr>
                <w:noProof/>
              </w:rPr>
              <w:t xml:space="preserve"> </w:t>
            </w:r>
          </w:p>
        </w:tc>
        <w:tc>
          <w:tcPr>
            <w:tcW w:w="1138" w:type="dxa"/>
            <w:tcBorders>
              <w:top w:val="single" w:sz="4" w:space="0" w:color="auto"/>
              <w:left w:val="nil"/>
              <w:bottom w:val="single" w:sz="4" w:space="0" w:color="auto"/>
              <w:right w:val="single" w:sz="4" w:space="0" w:color="auto"/>
            </w:tcBorders>
            <w:shd w:val="clear" w:color="auto" w:fill="C6EFCE"/>
            <w:noWrap/>
          </w:tcPr>
          <w:p w14:paraId="5A7476E8" w14:textId="77777777" w:rsidR="00FA7C11" w:rsidRDefault="00D84965">
            <w:pPr>
              <w:pStyle w:val="P68B1DB1-Normal66"/>
              <w:spacing w:after="200" w:line="276" w:lineRule="auto"/>
              <w:jc w:val="center"/>
              <w:rPr>
                <w:noProof/>
              </w:rPr>
            </w:pPr>
            <w:r>
              <w:rPr>
                <w:noProof/>
              </w:rPr>
              <w:t>Număr</w:t>
            </w:r>
          </w:p>
        </w:tc>
        <w:tc>
          <w:tcPr>
            <w:tcW w:w="850" w:type="dxa"/>
            <w:tcBorders>
              <w:top w:val="single" w:sz="4" w:space="0" w:color="auto"/>
              <w:left w:val="nil"/>
              <w:bottom w:val="single" w:sz="4" w:space="0" w:color="auto"/>
              <w:right w:val="single" w:sz="4" w:space="0" w:color="auto"/>
            </w:tcBorders>
            <w:shd w:val="clear" w:color="auto" w:fill="C6EFCE"/>
            <w:noWrap/>
          </w:tcPr>
          <w:p w14:paraId="4102876F"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19128F68" w14:textId="77777777" w:rsidR="00FA7C11" w:rsidRDefault="00D84965">
            <w:pPr>
              <w:pStyle w:val="P68B1DB1-Normal66"/>
              <w:spacing w:after="200" w:line="276" w:lineRule="auto"/>
              <w:jc w:val="center"/>
              <w:rPr>
                <w:noProof/>
              </w:rPr>
            </w:pPr>
            <w:r>
              <w:rPr>
                <w:noProof/>
              </w:rPr>
              <w:t>9</w:t>
            </w:r>
          </w:p>
        </w:tc>
        <w:tc>
          <w:tcPr>
            <w:tcW w:w="866" w:type="dxa"/>
            <w:tcBorders>
              <w:top w:val="single" w:sz="4" w:space="0" w:color="auto"/>
              <w:left w:val="nil"/>
              <w:bottom w:val="single" w:sz="4" w:space="0" w:color="auto"/>
              <w:right w:val="single" w:sz="4" w:space="0" w:color="auto"/>
            </w:tcBorders>
            <w:shd w:val="clear" w:color="auto" w:fill="C6EFCE"/>
            <w:noWrap/>
          </w:tcPr>
          <w:p w14:paraId="781459B3" w14:textId="77777777" w:rsidR="00FA7C11" w:rsidRDefault="00D84965">
            <w:pPr>
              <w:pStyle w:val="P68B1DB1-Normal66"/>
              <w:spacing w:after="200" w:line="276" w:lineRule="auto"/>
              <w:jc w:val="center"/>
              <w:rPr>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tcPr>
          <w:p w14:paraId="3FC22ED3" w14:textId="77777777" w:rsidR="00FA7C11" w:rsidRDefault="00D84965">
            <w:pPr>
              <w:pStyle w:val="P68B1DB1-Normal66"/>
              <w:spacing w:after="200" w:line="276" w:lineRule="auto"/>
              <w:jc w:val="center"/>
              <w:rPr>
                <w:noProof/>
              </w:rPr>
            </w:pPr>
            <w:r>
              <w:rPr>
                <w:noProof/>
              </w:rPr>
              <w:t>2024</w:t>
            </w:r>
          </w:p>
        </w:tc>
        <w:tc>
          <w:tcPr>
            <w:tcW w:w="4515" w:type="dxa"/>
            <w:tcBorders>
              <w:top w:val="single" w:sz="4" w:space="0" w:color="auto"/>
              <w:left w:val="nil"/>
              <w:bottom w:val="single" w:sz="4" w:space="0" w:color="auto"/>
              <w:right w:val="single" w:sz="4" w:space="0" w:color="auto"/>
            </w:tcBorders>
            <w:shd w:val="clear" w:color="auto" w:fill="C6EFCE"/>
            <w:noWrap/>
          </w:tcPr>
          <w:p w14:paraId="178B25CD" w14:textId="77777777" w:rsidR="00FA7C11" w:rsidRDefault="00D84965">
            <w:pPr>
              <w:pStyle w:val="P68B1DB1-Normal66"/>
              <w:spacing w:after="200" w:line="276" w:lineRule="auto"/>
              <w:rPr>
                <w:noProof/>
              </w:rPr>
            </w:pPr>
            <w:r>
              <w:rPr>
                <w:noProof/>
              </w:rPr>
              <w:t>În REGZAP-COP vor fi dezvoltate și implementate nouă funcționalități noi (acestea fiind: elaborarea de acte privind drepturile și obligațiile personalului, evaluarea, fișele de lucru, planificarea și dezvoltarea carierei, piața internă a forței de muncă și abordarea personalizată a sistemului de către funcționari, misiuni) pentru a sprijini punerea în aplicare a modificărilor propuse ale sistemului de salarizare.</w:t>
            </w:r>
          </w:p>
        </w:tc>
      </w:tr>
      <w:tr w:rsidR="00FA7C11" w14:paraId="61E79B9B" w14:textId="77777777">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189187D" w14:textId="77777777" w:rsidR="00FA7C11" w:rsidRDefault="00D84965">
            <w:pPr>
              <w:pStyle w:val="P68B1DB1-Normal66"/>
              <w:spacing w:after="200" w:line="276" w:lineRule="auto"/>
              <w:jc w:val="center"/>
              <w:rPr>
                <w:noProof/>
              </w:rPr>
            </w:pPr>
            <w:r>
              <w:rPr>
                <w:noProof/>
              </w:rPr>
              <w:t>168</w:t>
            </w:r>
          </w:p>
        </w:tc>
        <w:tc>
          <w:tcPr>
            <w:tcW w:w="1098" w:type="dxa"/>
            <w:tcBorders>
              <w:top w:val="single" w:sz="4" w:space="0" w:color="auto"/>
              <w:left w:val="nil"/>
              <w:bottom w:val="single" w:sz="4" w:space="0" w:color="auto"/>
              <w:right w:val="single" w:sz="4" w:space="0" w:color="auto"/>
            </w:tcBorders>
            <w:shd w:val="clear" w:color="auto" w:fill="C6EFCE"/>
            <w:noWrap/>
          </w:tcPr>
          <w:p w14:paraId="437D3C8A" w14:textId="77777777" w:rsidR="00FA7C11" w:rsidRDefault="00D84965">
            <w:pPr>
              <w:pStyle w:val="P68B1DB1-Normal66"/>
              <w:spacing w:after="200" w:line="276" w:lineRule="auto"/>
              <w:jc w:val="center"/>
              <w:rPr>
                <w:noProof/>
              </w:rPr>
            </w:pPr>
            <w:r>
              <w:rPr>
                <w:noProof/>
              </w:rPr>
              <w:t>C2.2. R2-I2</w:t>
            </w:r>
          </w:p>
        </w:tc>
        <w:tc>
          <w:tcPr>
            <w:tcW w:w="1046" w:type="dxa"/>
            <w:tcBorders>
              <w:top w:val="single" w:sz="4" w:space="0" w:color="auto"/>
              <w:left w:val="nil"/>
              <w:bottom w:val="single" w:sz="4" w:space="0" w:color="auto"/>
              <w:right w:val="single" w:sz="4" w:space="0" w:color="auto"/>
            </w:tcBorders>
            <w:shd w:val="clear" w:color="auto" w:fill="C6EFCE"/>
            <w:noWrap/>
          </w:tcPr>
          <w:p w14:paraId="36885EC3" w14:textId="77777777" w:rsidR="00FA7C11" w:rsidRDefault="00D84965">
            <w:pPr>
              <w:pStyle w:val="P68B1DB1-Normal66"/>
              <w:spacing w:after="200" w:line="276" w:lineRule="auto"/>
              <w:jc w:val="center"/>
              <w:rPr>
                <w:noProof/>
              </w:rPr>
            </w:pPr>
            <w:r>
              <w:rPr>
                <w:noProof/>
              </w:rPr>
              <w:t>T</w:t>
            </w:r>
          </w:p>
        </w:tc>
        <w:tc>
          <w:tcPr>
            <w:tcW w:w="1400" w:type="dxa"/>
            <w:tcBorders>
              <w:top w:val="single" w:sz="4" w:space="0" w:color="auto"/>
              <w:left w:val="nil"/>
              <w:bottom w:val="single" w:sz="4" w:space="0" w:color="auto"/>
              <w:right w:val="single" w:sz="4" w:space="0" w:color="auto"/>
            </w:tcBorders>
            <w:shd w:val="clear" w:color="auto" w:fill="C6EFCE"/>
            <w:noWrap/>
          </w:tcPr>
          <w:p w14:paraId="28A83682" w14:textId="77777777" w:rsidR="00FA7C11" w:rsidRDefault="00D84965">
            <w:pPr>
              <w:pStyle w:val="P68B1DB1-Normal66"/>
              <w:spacing w:after="200" w:line="276" w:lineRule="auto"/>
              <w:rPr>
                <w:noProof/>
              </w:rPr>
            </w:pPr>
            <w:r>
              <w:rPr>
                <w:noProof/>
              </w:rPr>
              <w:t xml:space="preserve">Cel puțin 20 % dintre funcționarii publici lucrează în cadrul modelului de lucru inteligent </w:t>
            </w:r>
          </w:p>
        </w:tc>
        <w:tc>
          <w:tcPr>
            <w:tcW w:w="2259" w:type="dxa"/>
            <w:tcBorders>
              <w:top w:val="single" w:sz="4" w:space="0" w:color="auto"/>
              <w:left w:val="nil"/>
              <w:bottom w:val="single" w:sz="4" w:space="0" w:color="auto"/>
              <w:right w:val="single" w:sz="4" w:space="0" w:color="auto"/>
            </w:tcBorders>
            <w:shd w:val="clear" w:color="auto" w:fill="C6EFCE"/>
            <w:noWrap/>
          </w:tcPr>
          <w:p w14:paraId="583FE0A2" w14:textId="77777777" w:rsidR="00FA7C11" w:rsidRDefault="00D84965">
            <w:pPr>
              <w:pStyle w:val="P68B1DB1-Normal66"/>
              <w:spacing w:after="200" w:line="276" w:lineRule="auto"/>
              <w:rPr>
                <w:noProof/>
              </w:rPr>
            </w:pPr>
            <w:r>
              <w:rPr>
                <w:noProof/>
              </w:rPr>
              <w:t xml:space="preserve"> </w:t>
            </w:r>
          </w:p>
        </w:tc>
        <w:tc>
          <w:tcPr>
            <w:tcW w:w="1138" w:type="dxa"/>
            <w:tcBorders>
              <w:top w:val="single" w:sz="4" w:space="0" w:color="auto"/>
              <w:left w:val="nil"/>
              <w:bottom w:val="single" w:sz="4" w:space="0" w:color="auto"/>
              <w:right w:val="single" w:sz="4" w:space="0" w:color="auto"/>
            </w:tcBorders>
            <w:shd w:val="clear" w:color="auto" w:fill="C6EFCE"/>
            <w:noWrap/>
          </w:tcPr>
          <w:p w14:paraId="259984AA" w14:textId="77777777" w:rsidR="00FA7C11" w:rsidRDefault="00D84965">
            <w:pPr>
              <w:pStyle w:val="P68B1DB1-Normal66"/>
              <w:spacing w:after="200" w:line="276" w:lineRule="auto"/>
              <w:jc w:val="center"/>
              <w:rPr>
                <w:noProof/>
              </w:rPr>
            </w:pPr>
            <w:r>
              <w:rPr>
                <w:noProof/>
              </w:rPr>
              <w:t>% (procent)</w:t>
            </w:r>
          </w:p>
        </w:tc>
        <w:tc>
          <w:tcPr>
            <w:tcW w:w="850" w:type="dxa"/>
            <w:tcBorders>
              <w:top w:val="single" w:sz="4" w:space="0" w:color="auto"/>
              <w:left w:val="nil"/>
              <w:bottom w:val="single" w:sz="4" w:space="0" w:color="auto"/>
              <w:right w:val="single" w:sz="4" w:space="0" w:color="auto"/>
            </w:tcBorders>
            <w:shd w:val="clear" w:color="auto" w:fill="C6EFCE"/>
            <w:noWrap/>
          </w:tcPr>
          <w:p w14:paraId="0D83311F"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7D00310C" w14:textId="77777777" w:rsidR="00FA7C11" w:rsidRDefault="00D84965">
            <w:pPr>
              <w:pStyle w:val="P68B1DB1-Normal66"/>
              <w:spacing w:after="200" w:line="276" w:lineRule="auto"/>
              <w:jc w:val="center"/>
              <w:rPr>
                <w:noProof/>
              </w:rPr>
            </w:pPr>
            <w:r>
              <w:rPr>
                <w:noProof/>
              </w:rPr>
              <w:t>20</w:t>
            </w:r>
          </w:p>
        </w:tc>
        <w:tc>
          <w:tcPr>
            <w:tcW w:w="866" w:type="dxa"/>
            <w:tcBorders>
              <w:top w:val="single" w:sz="4" w:space="0" w:color="auto"/>
              <w:left w:val="nil"/>
              <w:bottom w:val="single" w:sz="4" w:space="0" w:color="auto"/>
              <w:right w:val="single" w:sz="4" w:space="0" w:color="auto"/>
            </w:tcBorders>
            <w:shd w:val="clear" w:color="auto" w:fill="C6EFCE"/>
            <w:noWrap/>
          </w:tcPr>
          <w:p w14:paraId="0B66A1CF" w14:textId="77777777" w:rsidR="00FA7C11" w:rsidRDefault="00D84965">
            <w:pPr>
              <w:pStyle w:val="P68B1DB1-Normal66"/>
              <w:spacing w:after="200" w:line="276" w:lineRule="auto"/>
              <w:jc w:val="center"/>
              <w:rPr>
                <w:noProof/>
              </w:rPr>
            </w:pPr>
            <w:r>
              <w:rPr>
                <w:noProof/>
              </w:rPr>
              <w:t>Î3</w:t>
            </w:r>
          </w:p>
        </w:tc>
        <w:tc>
          <w:tcPr>
            <w:tcW w:w="720" w:type="dxa"/>
            <w:tcBorders>
              <w:top w:val="single" w:sz="4" w:space="0" w:color="auto"/>
              <w:left w:val="nil"/>
              <w:bottom w:val="single" w:sz="4" w:space="0" w:color="auto"/>
              <w:right w:val="single" w:sz="4" w:space="0" w:color="auto"/>
            </w:tcBorders>
            <w:shd w:val="clear" w:color="auto" w:fill="C6EFCE"/>
            <w:noWrap/>
          </w:tcPr>
          <w:p w14:paraId="7B5A2CD5" w14:textId="77777777" w:rsidR="00FA7C11" w:rsidRDefault="00D84965">
            <w:pPr>
              <w:pStyle w:val="P68B1DB1-Normal66"/>
              <w:spacing w:after="200" w:line="276" w:lineRule="auto"/>
              <w:jc w:val="center"/>
              <w:rPr>
                <w:noProof/>
              </w:rPr>
            </w:pPr>
            <w:r>
              <w:rPr>
                <w:noProof/>
              </w:rPr>
              <w:t>2023</w:t>
            </w:r>
          </w:p>
        </w:tc>
        <w:tc>
          <w:tcPr>
            <w:tcW w:w="4515" w:type="dxa"/>
            <w:tcBorders>
              <w:top w:val="single" w:sz="4" w:space="0" w:color="auto"/>
              <w:left w:val="nil"/>
              <w:bottom w:val="single" w:sz="4" w:space="0" w:color="auto"/>
              <w:right w:val="single" w:sz="4" w:space="0" w:color="auto"/>
            </w:tcBorders>
            <w:shd w:val="clear" w:color="auto" w:fill="C6EFCE"/>
            <w:noWrap/>
          </w:tcPr>
          <w:p w14:paraId="4D76CEC8" w14:textId="01FD1C95" w:rsidR="00FA7C11" w:rsidRDefault="00D84965">
            <w:pPr>
              <w:pStyle w:val="P68B1DB1-Normal66"/>
              <w:spacing w:after="200" w:line="276" w:lineRule="auto"/>
              <w:rPr>
                <w:noProof/>
              </w:rPr>
            </w:pPr>
            <w:r>
              <w:rPr>
                <w:noProof/>
              </w:rPr>
              <w:t xml:space="preserve">20 % dintre funcționarii publici lucrează deja în modelul muncii inteligente, ceea ce le permite să lucreze de la distanță pentru a oferi un serviciu public continuu, de înaltă calitate, accesibil tuturor și pentru a spori motivația funcționarilor. </w:t>
            </w:r>
          </w:p>
        </w:tc>
      </w:tr>
      <w:tr w:rsidR="00FA7C11" w14:paraId="47BEF391" w14:textId="77777777">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D49780E" w14:textId="77777777" w:rsidR="00FA7C11" w:rsidRDefault="00D84965">
            <w:pPr>
              <w:pStyle w:val="P68B1DB1-Normal66"/>
              <w:spacing w:after="200" w:line="276" w:lineRule="auto"/>
              <w:jc w:val="center"/>
              <w:rPr>
                <w:noProof/>
              </w:rPr>
            </w:pPr>
            <w:r>
              <w:rPr>
                <w:noProof/>
              </w:rPr>
              <w:t>169</w:t>
            </w:r>
          </w:p>
        </w:tc>
        <w:tc>
          <w:tcPr>
            <w:tcW w:w="1098" w:type="dxa"/>
            <w:tcBorders>
              <w:top w:val="single" w:sz="4" w:space="0" w:color="auto"/>
              <w:left w:val="nil"/>
              <w:bottom w:val="single" w:sz="4" w:space="0" w:color="auto"/>
              <w:right w:val="single" w:sz="4" w:space="0" w:color="auto"/>
            </w:tcBorders>
            <w:shd w:val="clear" w:color="auto" w:fill="C6EFCE"/>
            <w:noWrap/>
          </w:tcPr>
          <w:p w14:paraId="568F7665" w14:textId="77777777" w:rsidR="00FA7C11" w:rsidRDefault="00D84965">
            <w:pPr>
              <w:pStyle w:val="P68B1DB1-Normal66"/>
              <w:spacing w:after="200" w:line="276" w:lineRule="auto"/>
              <w:jc w:val="center"/>
              <w:rPr>
                <w:noProof/>
              </w:rPr>
            </w:pPr>
            <w:r>
              <w:rPr>
                <w:noProof/>
              </w:rPr>
              <w:t>C2.2. R2-I2</w:t>
            </w:r>
          </w:p>
        </w:tc>
        <w:tc>
          <w:tcPr>
            <w:tcW w:w="1046" w:type="dxa"/>
            <w:tcBorders>
              <w:top w:val="single" w:sz="4" w:space="0" w:color="auto"/>
              <w:left w:val="nil"/>
              <w:bottom w:val="single" w:sz="4" w:space="0" w:color="auto"/>
              <w:right w:val="single" w:sz="4" w:space="0" w:color="auto"/>
            </w:tcBorders>
            <w:shd w:val="clear" w:color="auto" w:fill="C6EFCE"/>
            <w:noWrap/>
          </w:tcPr>
          <w:p w14:paraId="58BDDB34" w14:textId="77777777" w:rsidR="00FA7C11" w:rsidRDefault="00D84965">
            <w:pPr>
              <w:pStyle w:val="P68B1DB1-Normal66"/>
              <w:spacing w:after="200" w:line="276" w:lineRule="auto"/>
              <w:jc w:val="center"/>
              <w:rPr>
                <w:noProof/>
              </w:rPr>
            </w:pPr>
            <w:r>
              <w:rPr>
                <w:noProof/>
              </w:rPr>
              <w:t>T</w:t>
            </w:r>
          </w:p>
        </w:tc>
        <w:tc>
          <w:tcPr>
            <w:tcW w:w="1400" w:type="dxa"/>
            <w:tcBorders>
              <w:top w:val="single" w:sz="4" w:space="0" w:color="auto"/>
              <w:left w:val="nil"/>
              <w:bottom w:val="single" w:sz="4" w:space="0" w:color="auto"/>
              <w:right w:val="single" w:sz="4" w:space="0" w:color="auto"/>
            </w:tcBorders>
            <w:shd w:val="clear" w:color="auto" w:fill="C6EFCE"/>
            <w:noWrap/>
          </w:tcPr>
          <w:p w14:paraId="068F43EB" w14:textId="7CEC805B" w:rsidR="00FA7C11" w:rsidRDefault="00D84965">
            <w:pPr>
              <w:pStyle w:val="P68B1DB1-Normal66"/>
              <w:spacing w:after="200" w:line="276" w:lineRule="auto"/>
              <w:rPr>
                <w:noProof/>
              </w:rPr>
            </w:pPr>
            <w:r>
              <w:rPr>
                <w:noProof/>
              </w:rPr>
              <w:t xml:space="preserve">Cel puțin 60 % dintre funcționarii publici formați în domeniul metodelor de lucru inteligente </w:t>
            </w:r>
          </w:p>
        </w:tc>
        <w:tc>
          <w:tcPr>
            <w:tcW w:w="2259" w:type="dxa"/>
            <w:tcBorders>
              <w:top w:val="single" w:sz="4" w:space="0" w:color="auto"/>
              <w:left w:val="nil"/>
              <w:bottom w:val="single" w:sz="4" w:space="0" w:color="auto"/>
              <w:right w:val="single" w:sz="4" w:space="0" w:color="auto"/>
            </w:tcBorders>
            <w:shd w:val="clear" w:color="auto" w:fill="C6EFCE"/>
            <w:noWrap/>
          </w:tcPr>
          <w:p w14:paraId="412D42AC" w14:textId="77777777" w:rsidR="00FA7C11" w:rsidRDefault="00D84965">
            <w:pPr>
              <w:pStyle w:val="P68B1DB1-Normal66"/>
              <w:spacing w:after="200" w:line="276" w:lineRule="auto"/>
              <w:rPr>
                <w:noProof/>
              </w:rPr>
            </w:pPr>
            <w:r>
              <w:rPr>
                <w:noProof/>
              </w:rPr>
              <w:t xml:space="preserve"> </w:t>
            </w:r>
          </w:p>
        </w:tc>
        <w:tc>
          <w:tcPr>
            <w:tcW w:w="1138" w:type="dxa"/>
            <w:tcBorders>
              <w:top w:val="single" w:sz="4" w:space="0" w:color="auto"/>
              <w:left w:val="nil"/>
              <w:bottom w:val="single" w:sz="4" w:space="0" w:color="auto"/>
              <w:right w:val="single" w:sz="4" w:space="0" w:color="auto"/>
            </w:tcBorders>
            <w:shd w:val="clear" w:color="auto" w:fill="C6EFCE"/>
            <w:noWrap/>
          </w:tcPr>
          <w:p w14:paraId="00639216" w14:textId="77777777" w:rsidR="00FA7C11" w:rsidRDefault="00D84965">
            <w:pPr>
              <w:pStyle w:val="P68B1DB1-Normal66"/>
              <w:spacing w:after="200" w:line="276" w:lineRule="auto"/>
              <w:jc w:val="center"/>
              <w:rPr>
                <w:noProof/>
              </w:rPr>
            </w:pPr>
            <w:r>
              <w:rPr>
                <w:noProof/>
              </w:rPr>
              <w:t>% (procent)</w:t>
            </w:r>
          </w:p>
        </w:tc>
        <w:tc>
          <w:tcPr>
            <w:tcW w:w="850" w:type="dxa"/>
            <w:tcBorders>
              <w:top w:val="single" w:sz="4" w:space="0" w:color="auto"/>
              <w:left w:val="nil"/>
              <w:bottom w:val="single" w:sz="4" w:space="0" w:color="auto"/>
              <w:right w:val="single" w:sz="4" w:space="0" w:color="auto"/>
            </w:tcBorders>
            <w:shd w:val="clear" w:color="auto" w:fill="C6EFCE"/>
            <w:noWrap/>
          </w:tcPr>
          <w:p w14:paraId="06E8020E"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0DA37F13" w14:textId="77777777" w:rsidR="00FA7C11" w:rsidRDefault="00D84965">
            <w:pPr>
              <w:pStyle w:val="P68B1DB1-Normal66"/>
              <w:spacing w:after="200" w:line="276" w:lineRule="auto"/>
              <w:jc w:val="center"/>
              <w:rPr>
                <w:noProof/>
              </w:rPr>
            </w:pPr>
            <w:r>
              <w:rPr>
                <w:noProof/>
              </w:rPr>
              <w:t>60</w:t>
            </w:r>
          </w:p>
        </w:tc>
        <w:tc>
          <w:tcPr>
            <w:tcW w:w="866" w:type="dxa"/>
            <w:tcBorders>
              <w:top w:val="single" w:sz="4" w:space="0" w:color="auto"/>
              <w:left w:val="nil"/>
              <w:bottom w:val="single" w:sz="4" w:space="0" w:color="auto"/>
              <w:right w:val="single" w:sz="4" w:space="0" w:color="auto"/>
            </w:tcBorders>
            <w:shd w:val="clear" w:color="auto" w:fill="C6EFCE"/>
            <w:noWrap/>
          </w:tcPr>
          <w:p w14:paraId="544EAF4B" w14:textId="77777777" w:rsidR="00FA7C11" w:rsidRDefault="00D84965">
            <w:pPr>
              <w:pStyle w:val="P68B1DB1-Normal66"/>
              <w:spacing w:after="200" w:line="276" w:lineRule="auto"/>
              <w:jc w:val="center"/>
              <w:rPr>
                <w:noProof/>
              </w:rPr>
            </w:pPr>
            <w:r>
              <w:rPr>
                <w:noProof/>
              </w:rPr>
              <w:t>Î3</w:t>
            </w:r>
          </w:p>
        </w:tc>
        <w:tc>
          <w:tcPr>
            <w:tcW w:w="720" w:type="dxa"/>
            <w:tcBorders>
              <w:top w:val="single" w:sz="4" w:space="0" w:color="auto"/>
              <w:left w:val="nil"/>
              <w:bottom w:val="single" w:sz="4" w:space="0" w:color="auto"/>
              <w:right w:val="single" w:sz="4" w:space="0" w:color="auto"/>
            </w:tcBorders>
            <w:shd w:val="clear" w:color="auto" w:fill="C6EFCE"/>
            <w:noWrap/>
          </w:tcPr>
          <w:p w14:paraId="69A7B210" w14:textId="77777777" w:rsidR="00FA7C11" w:rsidRDefault="00D84965">
            <w:pPr>
              <w:pStyle w:val="P68B1DB1-Normal66"/>
              <w:spacing w:after="200" w:line="276" w:lineRule="auto"/>
              <w:jc w:val="center"/>
              <w:rPr>
                <w:noProof/>
              </w:rPr>
            </w:pPr>
            <w:r>
              <w:rPr>
                <w:noProof/>
              </w:rPr>
              <w:t>2023</w:t>
            </w:r>
          </w:p>
        </w:tc>
        <w:tc>
          <w:tcPr>
            <w:tcW w:w="4515" w:type="dxa"/>
            <w:tcBorders>
              <w:top w:val="single" w:sz="4" w:space="0" w:color="auto"/>
              <w:left w:val="nil"/>
              <w:bottom w:val="single" w:sz="4" w:space="0" w:color="auto"/>
              <w:right w:val="single" w:sz="4" w:space="0" w:color="auto"/>
            </w:tcBorders>
            <w:shd w:val="clear" w:color="auto" w:fill="C6EFCE"/>
            <w:noWrap/>
          </w:tcPr>
          <w:p w14:paraId="616701DA" w14:textId="18D5EB20" w:rsidR="00FA7C11" w:rsidRDefault="00D84965">
            <w:pPr>
              <w:pStyle w:val="P68B1DB1-Normal66"/>
              <w:spacing w:after="200" w:line="276" w:lineRule="auto"/>
              <w:rPr>
                <w:noProof/>
              </w:rPr>
            </w:pPr>
            <w:r>
              <w:rPr>
                <w:noProof/>
              </w:rPr>
              <w:t xml:space="preserve">60 % dintre funcționarii publici sunt formați în modelul muncii inteligente și au competențele necesare pentru a lucra de la distanță pentru a oferi un serviciu public continuu, de înaltă calitate, accesibil tuturor și pentru a spori motivația funcționarilor. </w:t>
            </w:r>
          </w:p>
        </w:tc>
      </w:tr>
      <w:tr w:rsidR="00FA7C11" w14:paraId="0304ADDB" w14:textId="77777777">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0392E6AF" w14:textId="77777777" w:rsidR="00FA7C11" w:rsidRDefault="00D84965">
            <w:pPr>
              <w:pStyle w:val="P68B1DB1-Normal66"/>
              <w:spacing w:after="200" w:line="276" w:lineRule="auto"/>
              <w:jc w:val="center"/>
              <w:rPr>
                <w:noProof/>
              </w:rPr>
            </w:pPr>
            <w:r>
              <w:rPr>
                <w:noProof/>
              </w:rPr>
              <w:t>170</w:t>
            </w:r>
          </w:p>
        </w:tc>
        <w:tc>
          <w:tcPr>
            <w:tcW w:w="1098" w:type="dxa"/>
            <w:tcBorders>
              <w:top w:val="nil"/>
              <w:left w:val="nil"/>
              <w:bottom w:val="single" w:sz="4" w:space="0" w:color="auto"/>
              <w:right w:val="single" w:sz="4" w:space="0" w:color="auto"/>
            </w:tcBorders>
            <w:shd w:val="clear" w:color="auto" w:fill="C6EFCE"/>
            <w:noWrap/>
          </w:tcPr>
          <w:p w14:paraId="35A8755B" w14:textId="77777777" w:rsidR="00FA7C11" w:rsidRDefault="00D84965">
            <w:pPr>
              <w:pStyle w:val="P68B1DB1-Normal66"/>
              <w:spacing w:after="200" w:line="276" w:lineRule="auto"/>
              <w:jc w:val="center"/>
              <w:rPr>
                <w:noProof/>
              </w:rPr>
            </w:pPr>
            <w:r>
              <w:rPr>
                <w:noProof/>
              </w:rPr>
              <w:t>C2.2. R3</w:t>
            </w:r>
          </w:p>
        </w:tc>
        <w:tc>
          <w:tcPr>
            <w:tcW w:w="1046" w:type="dxa"/>
            <w:tcBorders>
              <w:top w:val="nil"/>
              <w:left w:val="nil"/>
              <w:bottom w:val="single" w:sz="4" w:space="0" w:color="auto"/>
              <w:right w:val="single" w:sz="4" w:space="0" w:color="auto"/>
            </w:tcBorders>
            <w:shd w:val="clear" w:color="auto" w:fill="C6EFCE"/>
            <w:noWrap/>
          </w:tcPr>
          <w:p w14:paraId="1AAAFD3A" w14:textId="77777777" w:rsidR="00FA7C11" w:rsidRDefault="00D84965">
            <w:pPr>
              <w:pStyle w:val="P68B1DB1-Normal66"/>
              <w:spacing w:after="200" w:line="276" w:lineRule="auto"/>
              <w:jc w:val="center"/>
              <w:rPr>
                <w:noProof/>
              </w:rPr>
            </w:pPr>
            <w:r>
              <w:rPr>
                <w:noProof/>
              </w:rPr>
              <w:t>M</w:t>
            </w:r>
          </w:p>
        </w:tc>
        <w:tc>
          <w:tcPr>
            <w:tcW w:w="1400" w:type="dxa"/>
            <w:tcBorders>
              <w:top w:val="nil"/>
              <w:left w:val="nil"/>
              <w:bottom w:val="single" w:sz="4" w:space="0" w:color="auto"/>
              <w:right w:val="single" w:sz="4" w:space="0" w:color="auto"/>
            </w:tcBorders>
            <w:shd w:val="clear" w:color="auto" w:fill="C6EFCE"/>
            <w:noWrap/>
          </w:tcPr>
          <w:p w14:paraId="2CC15364" w14:textId="77777777" w:rsidR="00FA7C11" w:rsidRDefault="00D84965">
            <w:pPr>
              <w:pStyle w:val="P68B1DB1-Normal66"/>
              <w:spacing w:after="200" w:line="276" w:lineRule="auto"/>
              <w:rPr>
                <w:noProof/>
              </w:rPr>
            </w:pPr>
            <w:r>
              <w:rPr>
                <w:noProof/>
              </w:rPr>
              <w:t>Instituirea unui serviciu de e-conservare</w:t>
            </w:r>
          </w:p>
        </w:tc>
        <w:tc>
          <w:tcPr>
            <w:tcW w:w="2259" w:type="dxa"/>
            <w:tcBorders>
              <w:top w:val="nil"/>
              <w:left w:val="nil"/>
              <w:bottom w:val="single" w:sz="4" w:space="0" w:color="auto"/>
              <w:right w:val="single" w:sz="4" w:space="0" w:color="auto"/>
            </w:tcBorders>
            <w:shd w:val="clear" w:color="auto" w:fill="C6EFCE"/>
            <w:noWrap/>
          </w:tcPr>
          <w:p w14:paraId="0FA8FB72" w14:textId="77777777" w:rsidR="00FA7C11" w:rsidRDefault="00D84965">
            <w:pPr>
              <w:pStyle w:val="P68B1DB1-Normal66"/>
              <w:spacing w:after="200" w:line="276" w:lineRule="auto"/>
              <w:rPr>
                <w:noProof/>
              </w:rPr>
            </w:pPr>
            <w:r>
              <w:rPr>
                <w:noProof/>
              </w:rPr>
              <w:t>Serviciul public digital bazat pe e-conservare pe deplin funcțional și accesibil</w:t>
            </w:r>
          </w:p>
        </w:tc>
        <w:tc>
          <w:tcPr>
            <w:tcW w:w="1138" w:type="dxa"/>
            <w:tcBorders>
              <w:top w:val="nil"/>
              <w:left w:val="nil"/>
              <w:bottom w:val="single" w:sz="4" w:space="0" w:color="auto"/>
              <w:right w:val="single" w:sz="4" w:space="0" w:color="auto"/>
            </w:tcBorders>
            <w:shd w:val="clear" w:color="auto" w:fill="C6EFCE"/>
            <w:noWrap/>
          </w:tcPr>
          <w:p w14:paraId="60C30F44" w14:textId="77777777" w:rsidR="00FA7C11" w:rsidRDefault="00D84965">
            <w:pPr>
              <w:pStyle w:val="P68B1DB1-Normal66"/>
              <w:spacing w:after="200"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362D8F27" w14:textId="77777777" w:rsidR="00FA7C11" w:rsidRDefault="00D84965">
            <w:pPr>
              <w:pStyle w:val="P68B1DB1-Normal66"/>
              <w:spacing w:after="200" w:line="276" w:lineRule="auto"/>
              <w:jc w:val="center"/>
              <w:rPr>
                <w:noProof/>
              </w:rPr>
            </w:pPr>
            <w:r>
              <w:rPr>
                <w:noProof/>
              </w:rPr>
              <w:t> </w:t>
            </w:r>
          </w:p>
        </w:tc>
        <w:tc>
          <w:tcPr>
            <w:tcW w:w="567" w:type="dxa"/>
            <w:tcBorders>
              <w:top w:val="nil"/>
              <w:left w:val="nil"/>
              <w:bottom w:val="single" w:sz="4" w:space="0" w:color="auto"/>
              <w:right w:val="single" w:sz="4" w:space="0" w:color="auto"/>
            </w:tcBorders>
            <w:shd w:val="clear" w:color="auto" w:fill="C6EFCE"/>
            <w:noWrap/>
          </w:tcPr>
          <w:p w14:paraId="0CD990C8" w14:textId="77777777" w:rsidR="00FA7C11" w:rsidRDefault="00D84965">
            <w:pPr>
              <w:pStyle w:val="P68B1DB1-Normal66"/>
              <w:spacing w:after="200" w:line="276" w:lineRule="auto"/>
              <w:jc w:val="center"/>
              <w:rPr>
                <w:noProof/>
              </w:rPr>
            </w:pPr>
            <w:r>
              <w:rPr>
                <w:noProof/>
              </w:rPr>
              <w:t> </w:t>
            </w:r>
          </w:p>
        </w:tc>
        <w:tc>
          <w:tcPr>
            <w:tcW w:w="866" w:type="dxa"/>
            <w:tcBorders>
              <w:top w:val="nil"/>
              <w:left w:val="nil"/>
              <w:bottom w:val="single" w:sz="4" w:space="0" w:color="auto"/>
              <w:right w:val="single" w:sz="4" w:space="0" w:color="auto"/>
            </w:tcBorders>
            <w:shd w:val="clear" w:color="auto" w:fill="C6EFCE"/>
            <w:noWrap/>
          </w:tcPr>
          <w:p w14:paraId="1193F252" w14:textId="77777777" w:rsidR="00FA7C11" w:rsidRDefault="00D84965">
            <w:pPr>
              <w:pStyle w:val="P68B1DB1-Normal66"/>
              <w:spacing w:after="200" w:line="276" w:lineRule="auto"/>
              <w:jc w:val="center"/>
              <w:rPr>
                <w:noProof/>
              </w:rPr>
            </w:pPr>
            <w:r>
              <w:rPr>
                <w:noProof/>
              </w:rPr>
              <w:t>Î4</w:t>
            </w:r>
          </w:p>
        </w:tc>
        <w:tc>
          <w:tcPr>
            <w:tcW w:w="720" w:type="dxa"/>
            <w:tcBorders>
              <w:top w:val="nil"/>
              <w:left w:val="nil"/>
              <w:bottom w:val="single" w:sz="4" w:space="0" w:color="auto"/>
              <w:right w:val="single" w:sz="4" w:space="0" w:color="auto"/>
            </w:tcBorders>
            <w:shd w:val="clear" w:color="auto" w:fill="C6EFCE"/>
            <w:noWrap/>
          </w:tcPr>
          <w:p w14:paraId="73C3E6F6" w14:textId="77777777" w:rsidR="00FA7C11" w:rsidRDefault="00D84965">
            <w:pPr>
              <w:pStyle w:val="P68B1DB1-Normal66"/>
              <w:spacing w:after="200" w:line="276" w:lineRule="auto"/>
              <w:jc w:val="center"/>
              <w:rPr>
                <w:noProof/>
              </w:rPr>
            </w:pPr>
            <w:r>
              <w:rPr>
                <w:noProof/>
              </w:rPr>
              <w:t>2023</w:t>
            </w:r>
          </w:p>
        </w:tc>
        <w:tc>
          <w:tcPr>
            <w:tcW w:w="4515" w:type="dxa"/>
            <w:tcBorders>
              <w:top w:val="nil"/>
              <w:left w:val="nil"/>
              <w:bottom w:val="single" w:sz="4" w:space="0" w:color="auto"/>
              <w:right w:val="single" w:sz="4" w:space="0" w:color="auto"/>
            </w:tcBorders>
            <w:shd w:val="clear" w:color="auto" w:fill="C6EFCE"/>
            <w:noWrap/>
          </w:tcPr>
          <w:p w14:paraId="3D806DE5" w14:textId="77777777"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Prin instituirea infrastructurii digitale și a serviciilor administrației publice, dezvoltarea unui sistem de baze de conservare îmbunătățește gestionarea documentației de către autoritățile publice și de către alți creatori de documente ca funcții de sprijin esențiale pentru toate procesele operaționale. Sistemul de e-conservare permite o furnizare mai eficientă a serviciilor administrației publice, utilizând soluții TIC implementate care asigură interoperabilitatea și schimbul de date, reducerea costurilor, transparența întreprinderilor și protecția drepturilor cetățenilor.</w:t>
            </w:r>
            <w:r>
              <w:rPr>
                <w:rFonts w:ascii="Times New Roman" w:hAnsi="Times New Roman" w:cs="Times New Roman"/>
                <w:noProof/>
              </w:rPr>
              <w:br/>
            </w:r>
            <w:r>
              <w:rPr>
                <w:rFonts w:ascii="Times New Roman" w:eastAsia="Calibri" w:hAnsi="Times New Roman" w:cs="Times New Roman"/>
                <w:noProof/>
                <w:color w:val="000000" w:themeColor="text1"/>
              </w:rPr>
              <w:t>Se instituie serviciul public digital (baza de conservare electronică) legat de serviciile publice digitale existente, eliminând obstacolele administrative din procesul de acordare a licențelor în temeiul Legii privind protecția și conservarea bunurilor culturale.</w:t>
            </w:r>
          </w:p>
        </w:tc>
      </w:tr>
      <w:tr w:rsidR="00FA7C11" w14:paraId="4E85FA2B" w14:textId="77777777">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58E5EDB" w14:textId="77777777" w:rsidR="00FA7C11" w:rsidRDefault="00D84965">
            <w:pPr>
              <w:pStyle w:val="P68B1DB1-Normal66"/>
              <w:spacing w:after="200" w:line="276" w:lineRule="auto"/>
              <w:jc w:val="center"/>
              <w:rPr>
                <w:noProof/>
              </w:rPr>
            </w:pPr>
            <w:r>
              <w:rPr>
                <w:noProof/>
              </w:rPr>
              <w:t>171</w:t>
            </w:r>
          </w:p>
        </w:tc>
        <w:tc>
          <w:tcPr>
            <w:tcW w:w="1098" w:type="dxa"/>
            <w:tcBorders>
              <w:top w:val="single" w:sz="4" w:space="0" w:color="auto"/>
              <w:left w:val="nil"/>
              <w:bottom w:val="single" w:sz="4" w:space="0" w:color="auto"/>
              <w:right w:val="single" w:sz="4" w:space="0" w:color="auto"/>
            </w:tcBorders>
            <w:shd w:val="clear" w:color="auto" w:fill="C6EFCE"/>
            <w:noWrap/>
          </w:tcPr>
          <w:p w14:paraId="21D9EF86" w14:textId="77777777" w:rsidR="00FA7C11" w:rsidRDefault="00D84965">
            <w:pPr>
              <w:pStyle w:val="P68B1DB1-Normal66"/>
              <w:spacing w:after="200" w:line="276" w:lineRule="auto"/>
              <w:jc w:val="center"/>
              <w:rPr>
                <w:noProof/>
              </w:rPr>
            </w:pPr>
            <w:r>
              <w:rPr>
                <w:noProof/>
              </w:rPr>
              <w:t>C2.2. R3</w:t>
            </w:r>
          </w:p>
        </w:tc>
        <w:tc>
          <w:tcPr>
            <w:tcW w:w="1046" w:type="dxa"/>
            <w:tcBorders>
              <w:top w:val="single" w:sz="4" w:space="0" w:color="auto"/>
              <w:left w:val="nil"/>
              <w:bottom w:val="single" w:sz="4" w:space="0" w:color="auto"/>
              <w:right w:val="single" w:sz="4" w:space="0" w:color="auto"/>
            </w:tcBorders>
            <w:shd w:val="clear" w:color="auto" w:fill="C6EFCE"/>
            <w:noWrap/>
          </w:tcPr>
          <w:p w14:paraId="40C6AABE" w14:textId="77777777" w:rsidR="00FA7C11" w:rsidRDefault="00D84965">
            <w:pPr>
              <w:pStyle w:val="P68B1DB1-Normal66"/>
              <w:spacing w:after="200" w:line="276" w:lineRule="auto"/>
              <w:jc w:val="center"/>
              <w:rPr>
                <w:noProof/>
              </w:rPr>
            </w:pPr>
            <w:r>
              <w:rPr>
                <w:noProof/>
              </w:rPr>
              <w:t>M</w:t>
            </w:r>
          </w:p>
        </w:tc>
        <w:tc>
          <w:tcPr>
            <w:tcW w:w="1400" w:type="dxa"/>
            <w:tcBorders>
              <w:top w:val="single" w:sz="4" w:space="0" w:color="auto"/>
              <w:left w:val="nil"/>
              <w:bottom w:val="single" w:sz="4" w:space="0" w:color="auto"/>
              <w:right w:val="single" w:sz="4" w:space="0" w:color="auto"/>
            </w:tcBorders>
            <w:shd w:val="clear" w:color="auto" w:fill="C6EFCE"/>
            <w:noWrap/>
          </w:tcPr>
          <w:p w14:paraId="2091044E" w14:textId="77777777" w:rsidR="00FA7C11" w:rsidRDefault="00D84965">
            <w:pPr>
              <w:pStyle w:val="P68B1DB1-Normal66"/>
              <w:spacing w:after="200" w:line="276" w:lineRule="auto"/>
              <w:rPr>
                <w:noProof/>
              </w:rPr>
            </w:pPr>
            <w:r>
              <w:rPr>
                <w:noProof/>
              </w:rPr>
              <w:t>Crearea unui sistem național de informații privind arhivele</w:t>
            </w:r>
          </w:p>
        </w:tc>
        <w:tc>
          <w:tcPr>
            <w:tcW w:w="2259" w:type="dxa"/>
            <w:tcBorders>
              <w:top w:val="single" w:sz="4" w:space="0" w:color="auto"/>
              <w:left w:val="nil"/>
              <w:bottom w:val="single" w:sz="4" w:space="0" w:color="auto"/>
              <w:right w:val="single" w:sz="4" w:space="0" w:color="auto"/>
            </w:tcBorders>
            <w:shd w:val="clear" w:color="auto" w:fill="C6EFCE"/>
            <w:noWrap/>
          </w:tcPr>
          <w:p w14:paraId="765EF089" w14:textId="77777777" w:rsidR="00FA7C11" w:rsidRDefault="00D84965">
            <w:pPr>
              <w:pStyle w:val="P68B1DB1-Normal66"/>
              <w:spacing w:after="200" w:line="276" w:lineRule="auto"/>
              <w:rPr>
                <w:noProof/>
              </w:rPr>
            </w:pPr>
            <w:r>
              <w:rPr>
                <w:noProof/>
              </w:rPr>
              <w:t xml:space="preserve">Sistemul informatic al arhivelor naționale este pe deplin funcțional și accesibil </w:t>
            </w:r>
          </w:p>
        </w:tc>
        <w:tc>
          <w:tcPr>
            <w:tcW w:w="1138" w:type="dxa"/>
            <w:tcBorders>
              <w:top w:val="single" w:sz="4" w:space="0" w:color="auto"/>
              <w:left w:val="nil"/>
              <w:bottom w:val="single" w:sz="4" w:space="0" w:color="auto"/>
              <w:right w:val="single" w:sz="4" w:space="0" w:color="auto"/>
            </w:tcBorders>
            <w:shd w:val="clear" w:color="auto" w:fill="C6EFCE"/>
            <w:noWrap/>
          </w:tcPr>
          <w:p w14:paraId="333EAD8F"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06950F1C"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1F715594" w14:textId="77777777" w:rsidR="00FA7C11" w:rsidRDefault="00D84965">
            <w:pPr>
              <w:pStyle w:val="P68B1DB1-Normal66"/>
              <w:spacing w:after="200" w:line="276" w:lineRule="auto"/>
              <w:jc w:val="center"/>
              <w:rPr>
                <w:noProof/>
              </w:rPr>
            </w:pPr>
            <w:r>
              <w:rPr>
                <w:noProof/>
              </w:rPr>
              <w:t> </w:t>
            </w:r>
          </w:p>
        </w:tc>
        <w:tc>
          <w:tcPr>
            <w:tcW w:w="866" w:type="dxa"/>
            <w:tcBorders>
              <w:top w:val="single" w:sz="4" w:space="0" w:color="auto"/>
              <w:left w:val="nil"/>
              <w:bottom w:val="single" w:sz="4" w:space="0" w:color="auto"/>
              <w:right w:val="single" w:sz="4" w:space="0" w:color="auto"/>
            </w:tcBorders>
            <w:shd w:val="clear" w:color="auto" w:fill="C6EFCE"/>
            <w:noWrap/>
          </w:tcPr>
          <w:p w14:paraId="59ECCF47" w14:textId="77777777" w:rsidR="00FA7C11" w:rsidRDefault="00D84965">
            <w:pPr>
              <w:pStyle w:val="P68B1DB1-Normal66"/>
              <w:spacing w:after="200" w:line="276" w:lineRule="auto"/>
              <w:jc w:val="center"/>
              <w:rPr>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tcPr>
          <w:p w14:paraId="6CD8BFB1" w14:textId="77777777" w:rsidR="00FA7C11" w:rsidRDefault="00D84965">
            <w:pPr>
              <w:pStyle w:val="P68B1DB1-Normal66"/>
              <w:spacing w:after="200" w:line="276" w:lineRule="auto"/>
              <w:jc w:val="center"/>
              <w:rPr>
                <w:noProof/>
              </w:rPr>
            </w:pPr>
            <w:r>
              <w:rPr>
                <w:noProof/>
              </w:rPr>
              <w:t>2024</w:t>
            </w:r>
          </w:p>
        </w:tc>
        <w:tc>
          <w:tcPr>
            <w:tcW w:w="4515" w:type="dxa"/>
            <w:tcBorders>
              <w:top w:val="single" w:sz="4" w:space="0" w:color="auto"/>
              <w:left w:val="nil"/>
              <w:bottom w:val="single" w:sz="4" w:space="0" w:color="auto"/>
              <w:right w:val="single" w:sz="4" w:space="0" w:color="auto"/>
            </w:tcBorders>
            <w:shd w:val="clear" w:color="auto" w:fill="C6EFCE"/>
            <w:noWrap/>
          </w:tcPr>
          <w:p w14:paraId="523ECE87" w14:textId="77777777" w:rsidR="00FA7C11" w:rsidRDefault="00D84965">
            <w:pPr>
              <w:pStyle w:val="P68B1DB1-Normal66"/>
              <w:spacing w:after="200" w:line="276" w:lineRule="auto"/>
              <w:rPr>
                <w:noProof/>
              </w:rPr>
            </w:pPr>
            <w:r>
              <w:rPr>
                <w:noProof/>
              </w:rPr>
              <w:t xml:space="preserve">Se instituie un sistem informatic național de arhivare pentru a îmbunătăți gestionarea documentației de către autoritățile publice și alți creatori de documente, ca funcție esențială de sprijin pentru toate procesele operaționale. </w:t>
            </w:r>
          </w:p>
        </w:tc>
      </w:tr>
      <w:tr w:rsidR="00FA7C11" w14:paraId="6A10019F" w14:textId="77777777">
        <w:trPr>
          <w:trHeight w:val="283"/>
          <w:jc w:val="center"/>
        </w:trPr>
        <w:tc>
          <w:tcPr>
            <w:tcW w:w="851" w:type="dxa"/>
            <w:tcBorders>
              <w:top w:val="nil"/>
              <w:left w:val="single" w:sz="4" w:space="0" w:color="auto"/>
              <w:bottom w:val="single" w:sz="4" w:space="0" w:color="auto"/>
              <w:right w:val="single" w:sz="4" w:space="0" w:color="auto"/>
            </w:tcBorders>
            <w:shd w:val="clear" w:color="auto" w:fill="C6EFCE"/>
            <w:noWrap/>
          </w:tcPr>
          <w:p w14:paraId="04DB1765" w14:textId="77777777" w:rsidR="00FA7C11" w:rsidRDefault="00D84965">
            <w:pPr>
              <w:pStyle w:val="P68B1DB1-Normal66"/>
              <w:spacing w:after="0" w:line="276" w:lineRule="auto"/>
              <w:jc w:val="center"/>
              <w:rPr>
                <w:noProof/>
              </w:rPr>
            </w:pPr>
            <w:r>
              <w:rPr>
                <w:noProof/>
              </w:rPr>
              <w:t>172</w:t>
            </w:r>
          </w:p>
        </w:tc>
        <w:tc>
          <w:tcPr>
            <w:tcW w:w="1098" w:type="dxa"/>
            <w:tcBorders>
              <w:top w:val="nil"/>
              <w:left w:val="nil"/>
              <w:bottom w:val="single" w:sz="4" w:space="0" w:color="auto"/>
              <w:right w:val="single" w:sz="4" w:space="0" w:color="auto"/>
            </w:tcBorders>
            <w:shd w:val="clear" w:color="auto" w:fill="C6EFCE"/>
            <w:noWrap/>
          </w:tcPr>
          <w:p w14:paraId="641D3403" w14:textId="77777777" w:rsidR="00FA7C11" w:rsidRDefault="00D84965">
            <w:pPr>
              <w:pStyle w:val="P68B1DB1-Normal66"/>
              <w:spacing w:after="200" w:line="276" w:lineRule="auto"/>
              <w:jc w:val="center"/>
              <w:rPr>
                <w:noProof/>
              </w:rPr>
            </w:pPr>
            <w:r>
              <w:rPr>
                <w:noProof/>
              </w:rPr>
              <w:t>C2.2. R3-I1</w:t>
            </w:r>
          </w:p>
        </w:tc>
        <w:tc>
          <w:tcPr>
            <w:tcW w:w="1046" w:type="dxa"/>
            <w:tcBorders>
              <w:top w:val="nil"/>
              <w:left w:val="nil"/>
              <w:bottom w:val="single" w:sz="4" w:space="0" w:color="auto"/>
              <w:right w:val="single" w:sz="4" w:space="0" w:color="auto"/>
            </w:tcBorders>
            <w:shd w:val="clear" w:color="auto" w:fill="C6EFCE"/>
            <w:noWrap/>
          </w:tcPr>
          <w:p w14:paraId="4F614B61" w14:textId="77777777" w:rsidR="00FA7C11" w:rsidRDefault="00D84965">
            <w:pPr>
              <w:pStyle w:val="P68B1DB1-Normal66"/>
              <w:spacing w:after="200" w:line="276" w:lineRule="auto"/>
              <w:jc w:val="center"/>
              <w:rPr>
                <w:noProof/>
              </w:rPr>
            </w:pPr>
            <w:r>
              <w:rPr>
                <w:noProof/>
              </w:rPr>
              <w:t>T</w:t>
            </w:r>
          </w:p>
        </w:tc>
        <w:tc>
          <w:tcPr>
            <w:tcW w:w="1400" w:type="dxa"/>
            <w:tcBorders>
              <w:top w:val="nil"/>
              <w:left w:val="nil"/>
              <w:bottom w:val="single" w:sz="4" w:space="0" w:color="auto"/>
              <w:right w:val="single" w:sz="4" w:space="0" w:color="auto"/>
            </w:tcBorders>
            <w:shd w:val="clear" w:color="auto" w:fill="C6EFCE"/>
            <w:noWrap/>
          </w:tcPr>
          <w:p w14:paraId="62959E7B" w14:textId="77777777" w:rsidR="00FA7C11" w:rsidRDefault="00D84965">
            <w:pPr>
              <w:pStyle w:val="P68B1DB1-Normal66"/>
              <w:spacing w:after="200" w:line="276" w:lineRule="auto"/>
              <w:rPr>
                <w:noProof/>
              </w:rPr>
            </w:pPr>
            <w:r>
              <w:rPr>
                <w:noProof/>
              </w:rPr>
              <w:t xml:space="preserve">Crearea unui set de 60 de baze de conservare accesibile publicului pentru cele mai complexe situri culturale și istorice de mare valoare monumentală </w:t>
            </w:r>
          </w:p>
        </w:tc>
        <w:tc>
          <w:tcPr>
            <w:tcW w:w="2259" w:type="dxa"/>
            <w:tcBorders>
              <w:top w:val="nil"/>
              <w:left w:val="nil"/>
              <w:bottom w:val="single" w:sz="4" w:space="0" w:color="auto"/>
              <w:right w:val="single" w:sz="4" w:space="0" w:color="auto"/>
            </w:tcBorders>
            <w:shd w:val="clear" w:color="auto" w:fill="C6EFCE"/>
            <w:noWrap/>
          </w:tcPr>
          <w:p w14:paraId="20EDB126" w14:textId="77777777" w:rsidR="00FA7C11" w:rsidRDefault="00D84965">
            <w:pPr>
              <w:pStyle w:val="P68B1DB1-Normal66"/>
              <w:spacing w:after="200" w:line="276" w:lineRule="auto"/>
              <w:rPr>
                <w:noProof/>
              </w:rPr>
            </w:pPr>
            <w:r>
              <w:rPr>
                <w:noProof/>
              </w:rPr>
              <w:t xml:space="preserve"> </w:t>
            </w:r>
          </w:p>
        </w:tc>
        <w:tc>
          <w:tcPr>
            <w:tcW w:w="1138" w:type="dxa"/>
            <w:tcBorders>
              <w:top w:val="nil"/>
              <w:left w:val="nil"/>
              <w:bottom w:val="single" w:sz="4" w:space="0" w:color="auto"/>
              <w:right w:val="single" w:sz="4" w:space="0" w:color="auto"/>
            </w:tcBorders>
            <w:shd w:val="clear" w:color="auto" w:fill="C6EFCE"/>
            <w:noWrap/>
          </w:tcPr>
          <w:p w14:paraId="59B1B7D3" w14:textId="77777777" w:rsidR="00FA7C11" w:rsidRDefault="00D84965">
            <w:pPr>
              <w:pStyle w:val="P68B1DB1-Normal66"/>
              <w:spacing w:after="200" w:line="276" w:lineRule="auto"/>
              <w:jc w:val="center"/>
              <w:rPr>
                <w:noProof/>
              </w:rPr>
            </w:pPr>
            <w:r>
              <w:rPr>
                <w:noProof/>
              </w:rPr>
              <w:t>Număr</w:t>
            </w:r>
          </w:p>
        </w:tc>
        <w:tc>
          <w:tcPr>
            <w:tcW w:w="850" w:type="dxa"/>
            <w:tcBorders>
              <w:top w:val="nil"/>
              <w:left w:val="nil"/>
              <w:bottom w:val="single" w:sz="4" w:space="0" w:color="auto"/>
              <w:right w:val="single" w:sz="4" w:space="0" w:color="auto"/>
            </w:tcBorders>
            <w:shd w:val="clear" w:color="auto" w:fill="C6EFCE"/>
            <w:noWrap/>
          </w:tcPr>
          <w:p w14:paraId="11E5FC43" w14:textId="77777777" w:rsidR="00FA7C11" w:rsidRDefault="00D84965">
            <w:pPr>
              <w:pStyle w:val="P68B1DB1-Normal66"/>
              <w:spacing w:after="200" w:line="276" w:lineRule="auto"/>
              <w:jc w:val="center"/>
              <w:rPr>
                <w:noProof/>
              </w:rPr>
            </w:pPr>
            <w:r>
              <w:rPr>
                <w:noProof/>
              </w:rPr>
              <w:t>0</w:t>
            </w:r>
          </w:p>
        </w:tc>
        <w:tc>
          <w:tcPr>
            <w:tcW w:w="567" w:type="dxa"/>
            <w:tcBorders>
              <w:top w:val="nil"/>
              <w:left w:val="nil"/>
              <w:bottom w:val="single" w:sz="4" w:space="0" w:color="auto"/>
              <w:right w:val="single" w:sz="4" w:space="0" w:color="auto"/>
            </w:tcBorders>
            <w:shd w:val="clear" w:color="auto" w:fill="C6EFCE"/>
            <w:noWrap/>
          </w:tcPr>
          <w:p w14:paraId="3F0B4B51" w14:textId="77777777" w:rsidR="00FA7C11" w:rsidRDefault="00D84965">
            <w:pPr>
              <w:pStyle w:val="P68B1DB1-Normal66"/>
              <w:spacing w:after="200" w:line="276" w:lineRule="auto"/>
              <w:jc w:val="center"/>
              <w:rPr>
                <w:noProof/>
              </w:rPr>
            </w:pPr>
            <w:r>
              <w:rPr>
                <w:noProof/>
              </w:rPr>
              <w:t>60</w:t>
            </w:r>
          </w:p>
        </w:tc>
        <w:tc>
          <w:tcPr>
            <w:tcW w:w="866" w:type="dxa"/>
            <w:tcBorders>
              <w:top w:val="nil"/>
              <w:left w:val="nil"/>
              <w:bottom w:val="single" w:sz="4" w:space="0" w:color="auto"/>
              <w:right w:val="single" w:sz="4" w:space="0" w:color="auto"/>
            </w:tcBorders>
            <w:shd w:val="clear" w:color="auto" w:fill="C6EFCE"/>
            <w:noWrap/>
          </w:tcPr>
          <w:p w14:paraId="2F552603" w14:textId="77777777" w:rsidR="00FA7C11" w:rsidRDefault="00D84965">
            <w:pPr>
              <w:pStyle w:val="P68B1DB1-Normal66"/>
              <w:spacing w:after="200" w:line="276" w:lineRule="auto"/>
              <w:jc w:val="center"/>
              <w:rPr>
                <w:noProof/>
              </w:rPr>
            </w:pPr>
            <w:r>
              <w:rPr>
                <w:noProof/>
              </w:rPr>
              <w:t>Î2</w:t>
            </w:r>
          </w:p>
        </w:tc>
        <w:tc>
          <w:tcPr>
            <w:tcW w:w="720" w:type="dxa"/>
            <w:tcBorders>
              <w:top w:val="nil"/>
              <w:left w:val="nil"/>
              <w:bottom w:val="single" w:sz="4" w:space="0" w:color="auto"/>
              <w:right w:val="single" w:sz="4" w:space="0" w:color="auto"/>
            </w:tcBorders>
            <w:shd w:val="clear" w:color="auto" w:fill="C6EFCE"/>
            <w:noWrap/>
          </w:tcPr>
          <w:p w14:paraId="70A014C8" w14:textId="77777777" w:rsidR="00FA7C11" w:rsidRDefault="00D84965">
            <w:pPr>
              <w:pStyle w:val="P68B1DB1-Normal66"/>
              <w:spacing w:after="200" w:line="276" w:lineRule="auto"/>
              <w:jc w:val="center"/>
              <w:rPr>
                <w:noProof/>
              </w:rPr>
            </w:pPr>
            <w:r>
              <w:rPr>
                <w:noProof/>
              </w:rPr>
              <w:t>2026</w:t>
            </w:r>
          </w:p>
        </w:tc>
        <w:tc>
          <w:tcPr>
            <w:tcW w:w="4515" w:type="dxa"/>
            <w:tcBorders>
              <w:top w:val="nil"/>
              <w:left w:val="nil"/>
              <w:bottom w:val="single" w:sz="4" w:space="0" w:color="auto"/>
              <w:right w:val="single" w:sz="4" w:space="0" w:color="auto"/>
            </w:tcBorders>
            <w:shd w:val="clear" w:color="auto" w:fill="C6EFCE"/>
            <w:noWrap/>
          </w:tcPr>
          <w:p w14:paraId="484A38BD" w14:textId="4F3B6047"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A fost creată și făcută publică o platformă informatică cu cel puțin 60 baze electronice de conservare. </w:t>
            </w:r>
            <w:r>
              <w:rPr>
                <w:rFonts w:ascii="Times New Roman" w:hAnsi="Times New Roman" w:cs="Times New Roman"/>
                <w:noProof/>
              </w:rPr>
              <w:br/>
            </w:r>
            <w:r>
              <w:rPr>
                <w:rFonts w:ascii="Times New Roman" w:eastAsia="Calibri" w:hAnsi="Times New Roman" w:cs="Times New Roman"/>
                <w:noProof/>
                <w:color w:val="000000" w:themeColor="text1"/>
              </w:rPr>
              <w:t>Se creează o bază de conservare electronică pentru siturile culturale istorice de mare valoare monumentală care îndeplinesc criteriile de punere în pericol și de urgență pentru finalizare, având în vedere operațiunile de construcție planificate.</w:t>
            </w:r>
          </w:p>
          <w:p w14:paraId="626F7CB4" w14:textId="77777777" w:rsidR="00FA7C11" w:rsidRDefault="00FA7C11">
            <w:pPr>
              <w:spacing w:after="200" w:line="276" w:lineRule="auto"/>
              <w:rPr>
                <w:rFonts w:ascii="Times New Roman" w:eastAsia="Calibri" w:hAnsi="Times New Roman" w:cs="Times New Roman"/>
                <w:noProof/>
                <w:color w:val="000000" w:themeColor="text1"/>
                <w:sz w:val="20"/>
                <w:szCs w:val="20"/>
              </w:rPr>
            </w:pPr>
          </w:p>
        </w:tc>
      </w:tr>
      <w:tr w:rsidR="00FA7C11" w14:paraId="0FF0F257" w14:textId="77777777">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31B10C0" w14:textId="77777777" w:rsidR="00FA7C11" w:rsidRDefault="00D84965">
            <w:pPr>
              <w:pStyle w:val="P68B1DB1-Normal66"/>
              <w:spacing w:after="200" w:line="276" w:lineRule="auto"/>
              <w:jc w:val="center"/>
              <w:rPr>
                <w:noProof/>
              </w:rPr>
            </w:pPr>
            <w:r>
              <w:rPr>
                <w:noProof/>
              </w:rPr>
              <w:t>173</w:t>
            </w:r>
          </w:p>
        </w:tc>
        <w:tc>
          <w:tcPr>
            <w:tcW w:w="1098" w:type="dxa"/>
            <w:tcBorders>
              <w:top w:val="single" w:sz="4" w:space="0" w:color="auto"/>
              <w:left w:val="nil"/>
              <w:bottom w:val="single" w:sz="4" w:space="0" w:color="auto"/>
              <w:right w:val="single" w:sz="4" w:space="0" w:color="auto"/>
            </w:tcBorders>
            <w:shd w:val="clear" w:color="auto" w:fill="C6EFCE"/>
            <w:noWrap/>
          </w:tcPr>
          <w:p w14:paraId="405E3D03" w14:textId="77777777" w:rsidR="00FA7C11" w:rsidRDefault="00D84965">
            <w:pPr>
              <w:pStyle w:val="P68B1DB1-Normal66"/>
              <w:spacing w:after="200" w:line="276" w:lineRule="auto"/>
              <w:jc w:val="center"/>
              <w:rPr>
                <w:noProof/>
              </w:rPr>
            </w:pPr>
            <w:r>
              <w:rPr>
                <w:noProof/>
              </w:rPr>
              <w:t>C2.2. R3-I2</w:t>
            </w:r>
          </w:p>
        </w:tc>
        <w:tc>
          <w:tcPr>
            <w:tcW w:w="1046" w:type="dxa"/>
            <w:tcBorders>
              <w:top w:val="single" w:sz="4" w:space="0" w:color="auto"/>
              <w:left w:val="nil"/>
              <w:bottom w:val="single" w:sz="4" w:space="0" w:color="auto"/>
              <w:right w:val="single" w:sz="4" w:space="0" w:color="auto"/>
            </w:tcBorders>
            <w:shd w:val="clear" w:color="auto" w:fill="C6EFCE"/>
            <w:noWrap/>
          </w:tcPr>
          <w:p w14:paraId="7A577CD2" w14:textId="77777777" w:rsidR="00FA7C11" w:rsidRDefault="00D84965">
            <w:pPr>
              <w:pStyle w:val="P68B1DB1-Normal66"/>
              <w:spacing w:after="200" w:line="276" w:lineRule="auto"/>
              <w:jc w:val="center"/>
              <w:rPr>
                <w:noProof/>
              </w:rPr>
            </w:pPr>
            <w:r>
              <w:rPr>
                <w:noProof/>
              </w:rPr>
              <w:t>T</w:t>
            </w:r>
          </w:p>
        </w:tc>
        <w:tc>
          <w:tcPr>
            <w:tcW w:w="1400" w:type="dxa"/>
            <w:tcBorders>
              <w:top w:val="single" w:sz="4" w:space="0" w:color="auto"/>
              <w:left w:val="nil"/>
              <w:bottom w:val="single" w:sz="4" w:space="0" w:color="auto"/>
              <w:right w:val="single" w:sz="4" w:space="0" w:color="auto"/>
            </w:tcBorders>
            <w:shd w:val="clear" w:color="auto" w:fill="C6EFCE"/>
            <w:noWrap/>
          </w:tcPr>
          <w:p w14:paraId="095C883E" w14:textId="77777777" w:rsidR="00FA7C11" w:rsidRDefault="00D84965">
            <w:pPr>
              <w:pStyle w:val="P68B1DB1-Normal66"/>
              <w:spacing w:after="200" w:line="276" w:lineRule="auto"/>
              <w:rPr>
                <w:noProof/>
              </w:rPr>
            </w:pPr>
            <w:r>
              <w:rPr>
                <w:noProof/>
              </w:rPr>
              <w:t>600 creatorii de documente utilizează sistemul informatic de arhivă</w:t>
            </w:r>
          </w:p>
        </w:tc>
        <w:tc>
          <w:tcPr>
            <w:tcW w:w="2259" w:type="dxa"/>
            <w:tcBorders>
              <w:top w:val="single" w:sz="4" w:space="0" w:color="auto"/>
              <w:left w:val="nil"/>
              <w:bottom w:val="single" w:sz="4" w:space="0" w:color="auto"/>
              <w:right w:val="single" w:sz="4" w:space="0" w:color="auto"/>
            </w:tcBorders>
            <w:shd w:val="clear" w:color="auto" w:fill="C6EFCE"/>
            <w:noWrap/>
          </w:tcPr>
          <w:p w14:paraId="3DE3610E" w14:textId="77777777" w:rsidR="00FA7C11" w:rsidRDefault="00D84965">
            <w:pPr>
              <w:pStyle w:val="P68B1DB1-Normal66"/>
              <w:spacing w:after="200" w:line="276" w:lineRule="auto"/>
              <w:rPr>
                <w:noProof/>
              </w:rPr>
            </w:pPr>
            <w:r>
              <w:rPr>
                <w:noProof/>
              </w:rPr>
              <w:t xml:space="preserve"> </w:t>
            </w:r>
          </w:p>
        </w:tc>
        <w:tc>
          <w:tcPr>
            <w:tcW w:w="1138" w:type="dxa"/>
            <w:tcBorders>
              <w:top w:val="single" w:sz="4" w:space="0" w:color="auto"/>
              <w:left w:val="nil"/>
              <w:bottom w:val="single" w:sz="4" w:space="0" w:color="auto"/>
              <w:right w:val="single" w:sz="4" w:space="0" w:color="auto"/>
            </w:tcBorders>
            <w:shd w:val="clear" w:color="auto" w:fill="C6EFCE"/>
            <w:noWrap/>
          </w:tcPr>
          <w:p w14:paraId="570F2835" w14:textId="77777777" w:rsidR="00FA7C11" w:rsidRDefault="00D84965">
            <w:pPr>
              <w:pStyle w:val="P68B1DB1-Normal66"/>
              <w:spacing w:after="200" w:line="276" w:lineRule="auto"/>
              <w:jc w:val="center"/>
              <w:rPr>
                <w:noProof/>
              </w:rPr>
            </w:pPr>
            <w:r>
              <w:rPr>
                <w:noProof/>
              </w:rPr>
              <w:t>Număr</w:t>
            </w:r>
          </w:p>
        </w:tc>
        <w:tc>
          <w:tcPr>
            <w:tcW w:w="850" w:type="dxa"/>
            <w:tcBorders>
              <w:top w:val="single" w:sz="4" w:space="0" w:color="auto"/>
              <w:left w:val="nil"/>
              <w:bottom w:val="single" w:sz="4" w:space="0" w:color="auto"/>
              <w:right w:val="single" w:sz="4" w:space="0" w:color="auto"/>
            </w:tcBorders>
            <w:shd w:val="clear" w:color="auto" w:fill="C6EFCE"/>
            <w:noWrap/>
          </w:tcPr>
          <w:p w14:paraId="7B865616" w14:textId="77777777" w:rsidR="00FA7C11" w:rsidRDefault="00D84965">
            <w:pPr>
              <w:pStyle w:val="P68B1DB1-Normal66"/>
              <w:spacing w:after="200" w:line="276" w:lineRule="auto"/>
              <w:jc w:val="center"/>
              <w:rPr>
                <w:noProof/>
              </w:rPr>
            </w:pPr>
            <w:r>
              <w:rPr>
                <w:noProof/>
              </w:rPr>
              <w:t>0</w:t>
            </w:r>
          </w:p>
        </w:tc>
        <w:tc>
          <w:tcPr>
            <w:tcW w:w="567" w:type="dxa"/>
            <w:tcBorders>
              <w:top w:val="single" w:sz="4" w:space="0" w:color="auto"/>
              <w:left w:val="nil"/>
              <w:bottom w:val="single" w:sz="4" w:space="0" w:color="auto"/>
              <w:right w:val="single" w:sz="4" w:space="0" w:color="auto"/>
            </w:tcBorders>
            <w:shd w:val="clear" w:color="auto" w:fill="C6EFCE"/>
            <w:noWrap/>
          </w:tcPr>
          <w:p w14:paraId="6BA18C37" w14:textId="77777777" w:rsidR="00FA7C11" w:rsidRDefault="00D84965">
            <w:pPr>
              <w:pStyle w:val="P68B1DB1-Normal66"/>
              <w:spacing w:after="200" w:line="276" w:lineRule="auto"/>
              <w:jc w:val="center"/>
              <w:rPr>
                <w:noProof/>
              </w:rPr>
            </w:pPr>
            <w:r>
              <w:rPr>
                <w:noProof/>
              </w:rPr>
              <w:t>600</w:t>
            </w:r>
          </w:p>
        </w:tc>
        <w:tc>
          <w:tcPr>
            <w:tcW w:w="866" w:type="dxa"/>
            <w:tcBorders>
              <w:top w:val="single" w:sz="4" w:space="0" w:color="auto"/>
              <w:left w:val="nil"/>
              <w:bottom w:val="single" w:sz="4" w:space="0" w:color="auto"/>
              <w:right w:val="single" w:sz="4" w:space="0" w:color="auto"/>
            </w:tcBorders>
            <w:shd w:val="clear" w:color="auto" w:fill="C6EFCE"/>
            <w:noWrap/>
          </w:tcPr>
          <w:p w14:paraId="2F8D0E7F" w14:textId="77777777" w:rsidR="00FA7C11" w:rsidRDefault="00D84965">
            <w:pPr>
              <w:pStyle w:val="P68B1DB1-Normal66"/>
              <w:spacing w:after="200" w:line="276" w:lineRule="auto"/>
              <w:jc w:val="center"/>
              <w:rPr>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tcPr>
          <w:p w14:paraId="5171E2FF" w14:textId="77777777" w:rsidR="00FA7C11" w:rsidRDefault="00D84965">
            <w:pPr>
              <w:pStyle w:val="P68B1DB1-Normal66"/>
              <w:spacing w:after="200" w:line="276" w:lineRule="auto"/>
              <w:jc w:val="center"/>
              <w:rPr>
                <w:noProof/>
              </w:rPr>
            </w:pPr>
            <w:r>
              <w:rPr>
                <w:noProof/>
              </w:rPr>
              <w:t>2026</w:t>
            </w:r>
          </w:p>
        </w:tc>
        <w:tc>
          <w:tcPr>
            <w:tcW w:w="4515" w:type="dxa"/>
            <w:tcBorders>
              <w:top w:val="single" w:sz="4" w:space="0" w:color="auto"/>
              <w:left w:val="nil"/>
              <w:bottom w:val="single" w:sz="4" w:space="0" w:color="auto"/>
              <w:right w:val="single" w:sz="4" w:space="0" w:color="auto"/>
            </w:tcBorders>
            <w:shd w:val="clear" w:color="auto" w:fill="C6EFCE"/>
            <w:noWrap/>
          </w:tcPr>
          <w:p w14:paraId="191E27B5" w14:textId="77777777" w:rsidR="00FA7C11" w:rsidRDefault="00D84965">
            <w:pPr>
              <w:pStyle w:val="P68B1DB1-Normal66"/>
              <w:spacing w:after="200" w:line="276" w:lineRule="auto"/>
              <w:rPr>
                <w:noProof/>
              </w:rPr>
            </w:pPr>
            <w:r>
              <w:rPr>
                <w:noProof/>
              </w:rPr>
              <w:t>Cel puțin 600 de creatori care utilizează sistemul național de informații pentru a gestiona și a stoca documentația. .</w:t>
            </w:r>
          </w:p>
          <w:p w14:paraId="34E600C7" w14:textId="77777777" w:rsidR="00FA7C11" w:rsidRDefault="00D84965">
            <w:pPr>
              <w:pStyle w:val="P68B1DB1-Normal66"/>
              <w:spacing w:after="200" w:line="276" w:lineRule="auto"/>
              <w:rPr>
                <w:noProof/>
                <w:color w:val="000000" w:themeColor="text1"/>
              </w:rPr>
            </w:pPr>
            <w:r>
              <w:rPr>
                <w:noProof/>
              </w:rPr>
              <w:t xml:space="preserve">Crearea sistemului național de informații de arhivă include următoarele activități: </w:t>
            </w:r>
          </w:p>
          <w:p w14:paraId="76B8AAB5" w14:textId="77777777" w:rsidR="00FA7C11" w:rsidRDefault="00D84965">
            <w:pPr>
              <w:pStyle w:val="P68B1DB1-ListParagraph78"/>
              <w:numPr>
                <w:ilvl w:val="0"/>
                <w:numId w:val="58"/>
              </w:numPr>
              <w:spacing w:before="120" w:after="200" w:line="276" w:lineRule="auto"/>
              <w:rPr>
                <w:noProof/>
                <w:color w:val="000000" w:themeColor="text1"/>
              </w:rPr>
            </w:pPr>
            <w:r>
              <w:rPr>
                <w:noProof/>
              </w:rPr>
              <w:t xml:space="preserve">Consolidarea capacității de stocare în 8 arhive ale administrației regionale pentru a transfera arhive permanente pe suport de hârtie; </w:t>
            </w:r>
          </w:p>
          <w:p w14:paraId="2579C87C" w14:textId="1AEABF54" w:rsidR="00FA7C11" w:rsidRDefault="00D84965">
            <w:pPr>
              <w:pStyle w:val="P68B1DB1-ListParagraph78"/>
              <w:numPr>
                <w:ilvl w:val="0"/>
                <w:numId w:val="58"/>
              </w:numPr>
              <w:spacing w:before="120" w:after="200" w:line="276" w:lineRule="auto"/>
              <w:rPr>
                <w:noProof/>
                <w:color w:val="000000" w:themeColor="text1"/>
              </w:rPr>
            </w:pPr>
            <w:r>
              <w:rPr>
                <w:noProof/>
              </w:rPr>
              <w:t xml:space="preserve">WArranging și selectarea documentelor pe suport de hârtie la autoritățile judiciare; </w:t>
            </w:r>
          </w:p>
          <w:p w14:paraId="4C0CF1B9" w14:textId="2779F337" w:rsidR="00FA7C11" w:rsidRDefault="00D84965">
            <w:pPr>
              <w:pStyle w:val="P68B1DB1-ListParagraph78"/>
              <w:numPr>
                <w:ilvl w:val="0"/>
                <w:numId w:val="58"/>
              </w:numPr>
              <w:spacing w:before="120" w:after="200" w:line="276" w:lineRule="auto"/>
              <w:rPr>
                <w:noProof/>
                <w:color w:val="000000" w:themeColor="text1"/>
              </w:rPr>
            </w:pPr>
            <w:r>
              <w:rPr>
                <w:noProof/>
              </w:rPr>
              <w:t xml:space="preserve">Înstrăinarea evidențelor de către autoritățile judiciare care au depășit perioadele de păstrare și care nu mai sunt utilizate pentru procesele comerciale obișnuite; </w:t>
            </w:r>
          </w:p>
          <w:p w14:paraId="27A21449" w14:textId="77777777" w:rsidR="00FA7C11" w:rsidRDefault="00D84965">
            <w:pPr>
              <w:pStyle w:val="P68B1DB1-ListParagraph78"/>
              <w:numPr>
                <w:ilvl w:val="0"/>
                <w:numId w:val="58"/>
              </w:numPr>
              <w:spacing w:before="120" w:after="200" w:line="276" w:lineRule="auto"/>
              <w:rPr>
                <w:noProof/>
                <w:color w:val="000000" w:themeColor="text1"/>
              </w:rPr>
            </w:pPr>
            <w:r>
              <w:rPr>
                <w:noProof/>
              </w:rPr>
              <w:t>Digitalizarea dosarelor pe suport de hârtie selectate care rămân în cadrul autorităților judiciare în conformitate cu orientările profesionale pentru digitalizarea arhivelor și cu legislația în vigoare.</w:t>
            </w:r>
          </w:p>
        </w:tc>
      </w:tr>
      <w:tr w:rsidR="00FA7C11" w14:paraId="47FFF3F6" w14:textId="77777777">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98DA177" w14:textId="77777777" w:rsidR="00FA7C11" w:rsidRDefault="00D84965">
            <w:pPr>
              <w:pStyle w:val="P68B1DB1-Normal66"/>
              <w:spacing w:after="200" w:line="276" w:lineRule="auto"/>
              <w:jc w:val="center"/>
              <w:rPr>
                <w:noProof/>
              </w:rPr>
            </w:pPr>
            <w:r>
              <w:rPr>
                <w:noProof/>
              </w:rPr>
              <w:t>174</w:t>
            </w:r>
          </w:p>
        </w:tc>
        <w:tc>
          <w:tcPr>
            <w:tcW w:w="1098" w:type="dxa"/>
            <w:tcBorders>
              <w:top w:val="single" w:sz="4" w:space="0" w:color="auto"/>
              <w:left w:val="nil"/>
              <w:bottom w:val="single" w:sz="4" w:space="0" w:color="auto"/>
              <w:right w:val="single" w:sz="4" w:space="0" w:color="auto"/>
            </w:tcBorders>
            <w:shd w:val="clear" w:color="auto" w:fill="C6EFCE"/>
            <w:noWrap/>
          </w:tcPr>
          <w:p w14:paraId="39780C00" w14:textId="77777777" w:rsidR="00FA7C11" w:rsidRDefault="00D84965">
            <w:pPr>
              <w:pStyle w:val="P68B1DB1-Normal66"/>
              <w:spacing w:after="200" w:line="276" w:lineRule="auto"/>
              <w:jc w:val="center"/>
              <w:rPr>
                <w:noProof/>
              </w:rPr>
            </w:pPr>
            <w:r>
              <w:rPr>
                <w:noProof/>
              </w:rPr>
              <w:t>C2.2. R4</w:t>
            </w:r>
          </w:p>
        </w:tc>
        <w:tc>
          <w:tcPr>
            <w:tcW w:w="1046" w:type="dxa"/>
            <w:tcBorders>
              <w:top w:val="single" w:sz="4" w:space="0" w:color="auto"/>
              <w:left w:val="nil"/>
              <w:bottom w:val="single" w:sz="4" w:space="0" w:color="auto"/>
              <w:right w:val="single" w:sz="4" w:space="0" w:color="auto"/>
            </w:tcBorders>
            <w:shd w:val="clear" w:color="auto" w:fill="C6EFCE"/>
            <w:noWrap/>
          </w:tcPr>
          <w:p w14:paraId="4D713790" w14:textId="77777777" w:rsidR="00FA7C11" w:rsidRDefault="00D84965">
            <w:pPr>
              <w:pStyle w:val="P68B1DB1-Normal66"/>
              <w:spacing w:after="200" w:line="276" w:lineRule="auto"/>
              <w:jc w:val="center"/>
              <w:rPr>
                <w:noProof/>
              </w:rPr>
            </w:pPr>
            <w:r>
              <w:rPr>
                <w:noProof/>
              </w:rPr>
              <w:t>M</w:t>
            </w:r>
          </w:p>
        </w:tc>
        <w:tc>
          <w:tcPr>
            <w:tcW w:w="1400" w:type="dxa"/>
            <w:tcBorders>
              <w:top w:val="single" w:sz="4" w:space="0" w:color="auto"/>
              <w:left w:val="nil"/>
              <w:bottom w:val="single" w:sz="4" w:space="0" w:color="auto"/>
              <w:right w:val="single" w:sz="4" w:space="0" w:color="auto"/>
            </w:tcBorders>
            <w:shd w:val="clear" w:color="auto" w:fill="C6EFCE"/>
            <w:noWrap/>
          </w:tcPr>
          <w:p w14:paraId="0B6D67CE" w14:textId="77777777" w:rsidR="00FA7C11" w:rsidRDefault="00D84965">
            <w:pPr>
              <w:pStyle w:val="P68B1DB1-Normal66"/>
              <w:spacing w:after="200" w:line="276" w:lineRule="auto"/>
              <w:rPr>
                <w:noProof/>
              </w:rPr>
            </w:pPr>
            <w:r>
              <w:rPr>
                <w:noProof/>
              </w:rPr>
              <w:t>Modificarea cadrelor legislative pentru a încuraja fuziunea voluntară funcțională sau efectivă a unităților administrației publice locale (UAL) și adoptarea unei decizii a guvernului croat privind criteriile de acordare a stimulentelor fiscale pentru fuziunile voluntare funcționale sau efective</w:t>
            </w:r>
          </w:p>
        </w:tc>
        <w:tc>
          <w:tcPr>
            <w:tcW w:w="2259" w:type="dxa"/>
            <w:tcBorders>
              <w:top w:val="single" w:sz="4" w:space="0" w:color="auto"/>
              <w:left w:val="nil"/>
              <w:bottom w:val="single" w:sz="4" w:space="0" w:color="auto"/>
              <w:right w:val="single" w:sz="4" w:space="0" w:color="auto"/>
            </w:tcBorders>
            <w:shd w:val="clear" w:color="auto" w:fill="C6EFCE"/>
            <w:noWrap/>
          </w:tcPr>
          <w:p w14:paraId="7F34112A" w14:textId="62110D64" w:rsidR="00FA7C11" w:rsidRDefault="00D84965">
            <w:pPr>
              <w:pStyle w:val="P68B1DB1-Normal66"/>
              <w:spacing w:after="200" w:line="276" w:lineRule="auto"/>
              <w:rPr>
                <w:noProof/>
              </w:rPr>
            </w:pPr>
            <w:r>
              <w:rPr>
                <w:noProof/>
              </w:rPr>
              <w:t xml:space="preserve">Intrarea în vigoare a cadrului legislativ </w:t>
            </w:r>
          </w:p>
        </w:tc>
        <w:tc>
          <w:tcPr>
            <w:tcW w:w="1138" w:type="dxa"/>
            <w:tcBorders>
              <w:top w:val="single" w:sz="4" w:space="0" w:color="auto"/>
              <w:left w:val="nil"/>
              <w:bottom w:val="single" w:sz="4" w:space="0" w:color="auto"/>
              <w:right w:val="single" w:sz="4" w:space="0" w:color="auto"/>
            </w:tcBorders>
            <w:shd w:val="clear" w:color="auto" w:fill="C6EFCE"/>
            <w:noWrap/>
          </w:tcPr>
          <w:p w14:paraId="0B837577"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4D3E1DC9"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630993C4" w14:textId="77777777" w:rsidR="00FA7C11" w:rsidRDefault="00D84965">
            <w:pPr>
              <w:pStyle w:val="P68B1DB1-Normal66"/>
              <w:spacing w:after="200" w:line="276" w:lineRule="auto"/>
              <w:jc w:val="center"/>
              <w:rPr>
                <w:noProof/>
              </w:rPr>
            </w:pPr>
            <w:r>
              <w:rPr>
                <w:noProof/>
              </w:rPr>
              <w:t> </w:t>
            </w:r>
          </w:p>
        </w:tc>
        <w:tc>
          <w:tcPr>
            <w:tcW w:w="866" w:type="dxa"/>
            <w:tcBorders>
              <w:top w:val="single" w:sz="4" w:space="0" w:color="auto"/>
              <w:left w:val="nil"/>
              <w:bottom w:val="single" w:sz="4" w:space="0" w:color="auto"/>
              <w:right w:val="single" w:sz="4" w:space="0" w:color="auto"/>
            </w:tcBorders>
            <w:shd w:val="clear" w:color="auto" w:fill="C6EFCE"/>
            <w:noWrap/>
          </w:tcPr>
          <w:p w14:paraId="0176A7B0" w14:textId="77777777" w:rsidR="00FA7C11" w:rsidRDefault="00D84965">
            <w:pPr>
              <w:pStyle w:val="P68B1DB1-Normal66"/>
              <w:spacing w:after="200" w:line="276" w:lineRule="auto"/>
              <w:jc w:val="center"/>
              <w:rPr>
                <w:noProof/>
              </w:rPr>
            </w:pPr>
            <w:r>
              <w:rPr>
                <w:noProof/>
              </w:rPr>
              <w:t>Î1</w:t>
            </w:r>
          </w:p>
        </w:tc>
        <w:tc>
          <w:tcPr>
            <w:tcW w:w="720" w:type="dxa"/>
            <w:tcBorders>
              <w:top w:val="single" w:sz="4" w:space="0" w:color="auto"/>
              <w:left w:val="nil"/>
              <w:bottom w:val="single" w:sz="4" w:space="0" w:color="auto"/>
              <w:right w:val="single" w:sz="4" w:space="0" w:color="auto"/>
            </w:tcBorders>
            <w:shd w:val="clear" w:color="auto" w:fill="C6EFCE"/>
            <w:noWrap/>
          </w:tcPr>
          <w:p w14:paraId="400BCA7A" w14:textId="77777777" w:rsidR="00FA7C11" w:rsidRDefault="00D84965">
            <w:pPr>
              <w:pStyle w:val="P68B1DB1-Normal66"/>
              <w:spacing w:after="200" w:line="276" w:lineRule="auto"/>
              <w:jc w:val="center"/>
              <w:rPr>
                <w:noProof/>
              </w:rPr>
            </w:pPr>
            <w:r>
              <w:rPr>
                <w:noProof/>
              </w:rPr>
              <w:t>2022</w:t>
            </w:r>
          </w:p>
        </w:tc>
        <w:tc>
          <w:tcPr>
            <w:tcW w:w="4515" w:type="dxa"/>
            <w:tcBorders>
              <w:top w:val="single" w:sz="4" w:space="0" w:color="auto"/>
              <w:left w:val="nil"/>
              <w:bottom w:val="single" w:sz="4" w:space="0" w:color="auto"/>
              <w:right w:val="single" w:sz="4" w:space="0" w:color="auto"/>
            </w:tcBorders>
            <w:shd w:val="clear" w:color="auto" w:fill="C6EFCE"/>
            <w:noWrap/>
          </w:tcPr>
          <w:p w14:paraId="1F63855D" w14:textId="77777777" w:rsidR="00FA7C11" w:rsidRDefault="00D84965">
            <w:pPr>
              <w:pStyle w:val="P68B1DB1-Normal66"/>
              <w:spacing w:after="200" w:line="276" w:lineRule="auto"/>
              <w:rPr>
                <w:noProof/>
              </w:rPr>
            </w:pPr>
            <w:r>
              <w:rPr>
                <w:noProof/>
              </w:rPr>
              <w:t>Cadrul legislativ modificat și mecanismul de sprijin financiar încurajează o fuziune funcțională și eficace a unităților administrației publice locale (UAL), asigurând în același timp resurse suficiente în bugetul de stat pentru a încuraja din punct de vedere financiar fuziunea efectivă a cel puțin 20 % din UAL, și anume cel puțin 40 % din UAL în perioada de până în 2026. În acest sens, LGU fuzionate funcțional păstrează aceleași resurse bugetare de care dispuneau înainte de fuziune, pentru o perioadă minimă de doi ani, stimulentele acoperă, de asemenea, costurile unice de finanțare mixtă și furnizează resurse suplimentare pe baza economiilor realizate în următorii cinci ani. În plus, stimulentele pentru fuziunile reale ale LGU includ transferuri unice de capital pe o perioadă de cinci ani, care urmează să fie utilizate de LGU dedicate proiectelor de infrastructură. Decizia guvernului croat stabilește criteriile și nivelul stimulentelor, cu stimulente fiscale mai mari pentru fuziunile efective, în timp ce stimulentele pentru fuziunile funcționale depind de numărul și tipul de funcții avute în vedere pentru fuziune. În urma adoptării deciziei Guvernului Republicii Croația, în Jurnalul Oficial se publică o invitație publică adresată LGU de a-și exprima interesul pentru fuziunea funcțională sau efectivă voluntară.</w:t>
            </w:r>
          </w:p>
        </w:tc>
      </w:tr>
      <w:tr w:rsidR="00FA7C11" w14:paraId="47B8C28A" w14:textId="77777777">
        <w:trPr>
          <w:trHeight w:val="28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13F0087" w14:textId="77777777" w:rsidR="00FA7C11" w:rsidRDefault="00D84965">
            <w:pPr>
              <w:pStyle w:val="P68B1DB1-Normal66"/>
              <w:spacing w:after="200" w:line="276" w:lineRule="auto"/>
              <w:jc w:val="center"/>
              <w:rPr>
                <w:noProof/>
              </w:rPr>
            </w:pPr>
            <w:r>
              <w:rPr>
                <w:noProof/>
              </w:rPr>
              <w:t>175</w:t>
            </w:r>
          </w:p>
        </w:tc>
        <w:tc>
          <w:tcPr>
            <w:tcW w:w="1098" w:type="dxa"/>
            <w:tcBorders>
              <w:top w:val="single" w:sz="4" w:space="0" w:color="auto"/>
              <w:left w:val="nil"/>
              <w:bottom w:val="single" w:sz="4" w:space="0" w:color="auto"/>
              <w:right w:val="single" w:sz="4" w:space="0" w:color="auto"/>
            </w:tcBorders>
            <w:shd w:val="clear" w:color="auto" w:fill="C6EFCE"/>
            <w:noWrap/>
          </w:tcPr>
          <w:p w14:paraId="290424EB" w14:textId="77777777" w:rsidR="00FA7C11" w:rsidRDefault="00D84965">
            <w:pPr>
              <w:pStyle w:val="P68B1DB1-Normal66"/>
              <w:spacing w:after="200" w:line="276" w:lineRule="auto"/>
              <w:jc w:val="center"/>
              <w:rPr>
                <w:noProof/>
              </w:rPr>
            </w:pPr>
            <w:r>
              <w:rPr>
                <w:noProof/>
              </w:rPr>
              <w:t>C2.2. R4-I1</w:t>
            </w:r>
          </w:p>
        </w:tc>
        <w:tc>
          <w:tcPr>
            <w:tcW w:w="1046" w:type="dxa"/>
            <w:tcBorders>
              <w:top w:val="single" w:sz="4" w:space="0" w:color="auto"/>
              <w:left w:val="nil"/>
              <w:bottom w:val="single" w:sz="4" w:space="0" w:color="auto"/>
              <w:right w:val="single" w:sz="4" w:space="0" w:color="auto"/>
            </w:tcBorders>
            <w:shd w:val="clear" w:color="auto" w:fill="C6EFCE"/>
            <w:noWrap/>
          </w:tcPr>
          <w:p w14:paraId="1F09181A" w14:textId="77777777" w:rsidR="00FA7C11" w:rsidRDefault="00D84965">
            <w:pPr>
              <w:pStyle w:val="P68B1DB1-Normal66"/>
              <w:spacing w:after="200" w:line="276" w:lineRule="auto"/>
              <w:jc w:val="center"/>
              <w:rPr>
                <w:noProof/>
              </w:rPr>
            </w:pPr>
            <w:r>
              <w:rPr>
                <w:noProof/>
              </w:rPr>
              <w:t>M</w:t>
            </w:r>
          </w:p>
        </w:tc>
        <w:tc>
          <w:tcPr>
            <w:tcW w:w="1400" w:type="dxa"/>
            <w:tcBorders>
              <w:top w:val="single" w:sz="4" w:space="0" w:color="auto"/>
              <w:left w:val="nil"/>
              <w:bottom w:val="single" w:sz="4" w:space="0" w:color="auto"/>
              <w:right w:val="single" w:sz="4" w:space="0" w:color="auto"/>
            </w:tcBorders>
            <w:shd w:val="clear" w:color="auto" w:fill="C6EFCE"/>
            <w:noWrap/>
          </w:tcPr>
          <w:p w14:paraId="3AEE50EC" w14:textId="77777777" w:rsidR="00FA7C11" w:rsidRDefault="00D84965">
            <w:pPr>
              <w:pStyle w:val="P68B1DB1-Normal66"/>
              <w:spacing w:after="200" w:line="276" w:lineRule="auto"/>
              <w:rPr>
                <w:noProof/>
              </w:rPr>
            </w:pPr>
            <w:r>
              <w:rPr>
                <w:noProof/>
              </w:rPr>
              <w:t>Mecanismul de sprijin pentru conexiunile voluntare funcționale și reale și instituirea unui sistem complet de sprijin pentru cuplarea funcțională și eficace a unităților</w:t>
            </w:r>
          </w:p>
        </w:tc>
        <w:tc>
          <w:tcPr>
            <w:tcW w:w="2259" w:type="dxa"/>
            <w:tcBorders>
              <w:top w:val="single" w:sz="4" w:space="0" w:color="auto"/>
              <w:left w:val="nil"/>
              <w:bottom w:val="single" w:sz="4" w:space="0" w:color="auto"/>
              <w:right w:val="single" w:sz="4" w:space="0" w:color="auto"/>
            </w:tcBorders>
            <w:shd w:val="clear" w:color="auto" w:fill="C6EFCE"/>
            <w:noWrap/>
          </w:tcPr>
          <w:p w14:paraId="63A33F68" w14:textId="5F045563" w:rsidR="00FA7C11" w:rsidRDefault="00D84965">
            <w:pPr>
              <w:pStyle w:val="P68B1DB1-Normal66"/>
              <w:spacing w:after="200" w:line="276" w:lineRule="auto"/>
              <w:rPr>
                <w:noProof/>
              </w:rPr>
            </w:pPr>
            <w:r>
              <w:rPr>
                <w:noProof/>
              </w:rPr>
              <w:t xml:space="preserve">Există un mecanism de sprijin cuprinzător pentru fuziunile funcționale/efective ale unităților administrației publice locale </w:t>
            </w:r>
          </w:p>
        </w:tc>
        <w:tc>
          <w:tcPr>
            <w:tcW w:w="1138" w:type="dxa"/>
            <w:tcBorders>
              <w:top w:val="single" w:sz="4" w:space="0" w:color="auto"/>
              <w:left w:val="nil"/>
              <w:bottom w:val="single" w:sz="4" w:space="0" w:color="auto"/>
              <w:right w:val="single" w:sz="4" w:space="0" w:color="auto"/>
            </w:tcBorders>
            <w:shd w:val="clear" w:color="auto" w:fill="C6EFCE"/>
            <w:noWrap/>
          </w:tcPr>
          <w:p w14:paraId="08C4522D"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6E913035"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52F3535E" w14:textId="77777777" w:rsidR="00FA7C11" w:rsidRDefault="00D84965">
            <w:pPr>
              <w:pStyle w:val="P68B1DB1-Normal66"/>
              <w:spacing w:after="200" w:line="276" w:lineRule="auto"/>
              <w:jc w:val="center"/>
              <w:rPr>
                <w:noProof/>
              </w:rPr>
            </w:pPr>
            <w:r>
              <w:rPr>
                <w:noProof/>
              </w:rPr>
              <w:t> </w:t>
            </w:r>
          </w:p>
        </w:tc>
        <w:tc>
          <w:tcPr>
            <w:tcW w:w="866" w:type="dxa"/>
            <w:tcBorders>
              <w:top w:val="single" w:sz="4" w:space="0" w:color="auto"/>
              <w:left w:val="nil"/>
              <w:bottom w:val="single" w:sz="4" w:space="0" w:color="auto"/>
              <w:right w:val="single" w:sz="4" w:space="0" w:color="auto"/>
            </w:tcBorders>
            <w:shd w:val="clear" w:color="auto" w:fill="C6EFCE"/>
            <w:noWrap/>
          </w:tcPr>
          <w:p w14:paraId="5BD22F90" w14:textId="77777777" w:rsidR="00FA7C11" w:rsidRDefault="00D84965">
            <w:pPr>
              <w:pStyle w:val="P68B1DB1-Normal66"/>
              <w:spacing w:after="200" w:line="276" w:lineRule="auto"/>
              <w:jc w:val="center"/>
              <w:rPr>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tcPr>
          <w:p w14:paraId="29778F2A" w14:textId="77777777" w:rsidR="00FA7C11" w:rsidRDefault="00D84965">
            <w:pPr>
              <w:pStyle w:val="P68B1DB1-Normal66"/>
              <w:spacing w:after="200" w:line="276" w:lineRule="auto"/>
              <w:jc w:val="center"/>
              <w:rPr>
                <w:noProof/>
              </w:rPr>
            </w:pPr>
            <w:r>
              <w:rPr>
                <w:noProof/>
              </w:rPr>
              <w:t>2025</w:t>
            </w:r>
          </w:p>
        </w:tc>
        <w:tc>
          <w:tcPr>
            <w:tcW w:w="4515" w:type="dxa"/>
            <w:tcBorders>
              <w:top w:val="single" w:sz="4" w:space="0" w:color="auto"/>
              <w:left w:val="nil"/>
              <w:bottom w:val="single" w:sz="4" w:space="0" w:color="auto"/>
              <w:right w:val="single" w:sz="4" w:space="0" w:color="auto"/>
            </w:tcBorders>
            <w:shd w:val="clear" w:color="auto" w:fill="C6EFCE"/>
            <w:noWrap/>
          </w:tcPr>
          <w:p w14:paraId="6ABC0EA7" w14:textId="77777777" w:rsidR="00FA7C11" w:rsidRDefault="00D84965">
            <w:pPr>
              <w:pStyle w:val="P68B1DB1-Normal66"/>
              <w:spacing w:after="200" w:line="276" w:lineRule="auto"/>
              <w:rPr>
                <w:noProof/>
                <w:color w:val="000000" w:themeColor="text1"/>
              </w:rPr>
            </w:pPr>
            <w:r>
              <w:rPr>
                <w:noProof/>
              </w:rPr>
              <w:t>Un sistem informatic dezvoltat în cadrul proiectului Fondului social european „Optimizarea sistemului de autonomie locală și regională” va fi modernizat pentru a sprijini și a încuraja unitățile administrative locale fie să execute sarcini în comun (fuziune funcțională), fie să fuzioneze efectiv cu alte unități autonome locale.</w:t>
            </w:r>
          </w:p>
          <w:p w14:paraId="4B8B190C" w14:textId="77777777"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Sprijinul pentru continuarea procesului de optimizare funcțională a locurilor de muncă în sfera de competență a unităților locale include:</w:t>
            </w:r>
            <w:r>
              <w:rPr>
                <w:rFonts w:ascii="Times New Roman" w:hAnsi="Times New Roman" w:cs="Times New Roman"/>
                <w:noProof/>
              </w:rPr>
              <w:br/>
            </w:r>
            <w:r>
              <w:rPr>
                <w:rFonts w:ascii="Times New Roman" w:eastAsia="Calibri" w:hAnsi="Times New Roman" w:cs="Times New Roman"/>
                <w:noProof/>
                <w:color w:val="000000" w:themeColor="text1"/>
              </w:rPr>
              <w:t>— Chestionar de (auto) evaluare elaborat și completat de unitățile administrației publice locale pentru a evalua capacitatea unităților de a îndeplini sarcinile care intră în domeniul lor de aplicare și pentru a demonstra necesitatea și interesul pentru îndeplinirea în comun a sarcinilor, și anume fuziunea efectivă, în toate unitățile administrației publice locale;</w:t>
            </w:r>
          </w:p>
          <w:p w14:paraId="324CCF48" w14:textId="77777777" w:rsidR="00FA7C11" w:rsidRDefault="00D84965">
            <w:pPr>
              <w:pStyle w:val="P68B1DB1-Normal59"/>
              <w:spacing w:after="200" w:line="276" w:lineRule="auto"/>
              <w:rPr>
                <w:rFonts w:ascii="Times New Roman" w:eastAsia="Calibri" w:hAnsi="Times New Roman" w:cs="Times New Roman"/>
                <w:noProof/>
              </w:rPr>
            </w:pPr>
            <w:r>
              <w:rPr>
                <w:rFonts w:ascii="Times New Roman" w:hAnsi="Times New Roman" w:cs="Times New Roman"/>
                <w:noProof/>
                <w:color w:val="000000" w:themeColor="text1"/>
              </w:rPr>
              <w:t xml:space="preserve">— Orientări care vor fi elaborate pe baza datelor menționate anterior. </w:t>
            </w:r>
            <w:r>
              <w:rPr>
                <w:rFonts w:ascii="Times New Roman" w:hAnsi="Times New Roman" w:cs="Times New Roman"/>
                <w:noProof/>
              </w:rPr>
              <w:br/>
            </w:r>
            <w:r>
              <w:rPr>
                <w:rFonts w:ascii="Times New Roman" w:eastAsia="Calibri" w:hAnsi="Times New Roman" w:cs="Times New Roman"/>
                <w:noProof/>
                <w:color w:val="000000" w:themeColor="text1"/>
              </w:rPr>
              <w:t>— Identificarea operațiunilor adecvate pentru performanța comună a unităților individuale în vederea îmbunătățirii eficienței, identificarea partenerilor potențiali pentru fuziuni definitive și efective, modele propuse pentru fuziuni.</w:t>
            </w:r>
            <w:r>
              <w:rPr>
                <w:rFonts w:ascii="Times New Roman" w:hAnsi="Times New Roman" w:cs="Times New Roman"/>
                <w:noProof/>
              </w:rPr>
              <w:br/>
            </w:r>
            <w:r>
              <w:rPr>
                <w:rFonts w:ascii="Times New Roman" w:eastAsia="Calibri" w:hAnsi="Times New Roman" w:cs="Times New Roman"/>
                <w:noProof/>
                <w:color w:val="000000" w:themeColor="text1"/>
              </w:rPr>
              <w:t xml:space="preserve">— Punerea în aplicare a unui sistem de asistență informatică pentru corelarea funcțională a sarcinilor unităților administrației publice locale </w:t>
            </w:r>
            <w:r>
              <w:rPr>
                <w:rFonts w:ascii="Times New Roman" w:hAnsi="Times New Roman" w:cs="Times New Roman"/>
                <w:noProof/>
              </w:rPr>
              <w:br/>
              <w:t xml:space="preserve"> </w:t>
            </w:r>
            <w:r>
              <w:rPr>
                <w:rFonts w:ascii="Times New Roman" w:eastAsia="Calibri" w:hAnsi="Times New Roman" w:cs="Times New Roman"/>
                <w:noProof/>
                <w:color w:val="000000" w:themeColor="text1"/>
              </w:rPr>
              <w:t>— Formarea a 50 de funcționari ai administrației de stat pentru a sprijini unitățile administrației locale în ceea ce privește legăturile funcționale și fuziunile efective este finalizată.</w:t>
            </w:r>
            <w:r>
              <w:rPr>
                <w:rFonts w:ascii="Times New Roman" w:hAnsi="Times New Roman" w:cs="Times New Roman"/>
                <w:noProof/>
              </w:rPr>
              <w:br/>
            </w:r>
            <w:r>
              <w:rPr>
                <w:rFonts w:ascii="Times New Roman" w:eastAsia="Calibri" w:hAnsi="Times New Roman" w:cs="Times New Roman"/>
                <w:noProof/>
                <w:color w:val="000000" w:themeColor="text1"/>
              </w:rPr>
              <w:t>— Formarea a 100 funcționari ai unităților administrației locale pentru a îndeplini sarcini comune ca parte a unei legături funcționale finalizate.</w:t>
            </w:r>
          </w:p>
        </w:tc>
      </w:tr>
    </w:tbl>
    <w:p w14:paraId="160C099E" w14:textId="77777777" w:rsidR="00FA7C11" w:rsidRDefault="00FA7C11">
      <w:pPr>
        <w:rPr>
          <w:noProof/>
        </w:rPr>
        <w:sectPr w:rsidR="00FA7C11" w:rsidSect="00FA29B2">
          <w:headerReference w:type="even" r:id="rId152"/>
          <w:headerReference w:type="default" r:id="rId153"/>
          <w:footerReference w:type="even" r:id="rId154"/>
          <w:footerReference w:type="default" r:id="rId155"/>
          <w:headerReference w:type="first" r:id="rId156"/>
          <w:footerReference w:type="first" r:id="rId157"/>
          <w:pgSz w:w="16839" w:h="11907" w:orient="landscape"/>
          <w:pgMar w:top="1134" w:right="1134" w:bottom="1134" w:left="1134" w:header="567" w:footer="567" w:gutter="0"/>
          <w:cols w:space="708"/>
          <w:docGrid w:linePitch="360"/>
        </w:sectPr>
      </w:pPr>
    </w:p>
    <w:p w14:paraId="66D9B1F0" w14:textId="49B7D0DC" w:rsidR="00FA7C11" w:rsidRDefault="00D84965">
      <w:pPr>
        <w:pStyle w:val="paragraph"/>
        <w:spacing w:before="0" w:beforeAutospacing="0" w:after="0" w:afterAutospacing="0"/>
        <w:ind w:left="840"/>
        <w:jc w:val="both"/>
        <w:textAlignment w:val="baseline"/>
        <w:rPr>
          <w:rStyle w:val="eop"/>
          <w:noProof/>
          <w:szCs w:val="24"/>
          <w:u w:val="single"/>
        </w:rPr>
      </w:pPr>
      <w:r>
        <w:rPr>
          <w:rStyle w:val="normaltextrun"/>
          <w:b/>
          <w:noProof/>
          <w:szCs w:val="24"/>
          <w:u w:val="single"/>
        </w:rPr>
        <w:t xml:space="preserve">H.3. </w:t>
      </w:r>
      <w:r>
        <w:rPr>
          <w:noProof/>
          <w:szCs w:val="24"/>
          <w:u w:val="single"/>
        </w:rPr>
        <w:t xml:space="preserve"> </w:t>
      </w:r>
      <w:r>
        <w:rPr>
          <w:rStyle w:val="normaltextrun"/>
          <w:b/>
          <w:noProof/>
          <w:szCs w:val="24"/>
          <w:u w:val="single"/>
        </w:rPr>
        <w:t xml:space="preserve">Descrierea reformelor și a investițiilor pentru împrumut </w:t>
      </w:r>
    </w:p>
    <w:p w14:paraId="488C1F3A" w14:textId="77777777" w:rsidR="00FA7C11" w:rsidRDefault="00FA7C11">
      <w:pPr>
        <w:pStyle w:val="paragraph"/>
        <w:spacing w:before="0" w:beforeAutospacing="0" w:after="0" w:afterAutospacing="0"/>
        <w:ind w:left="840"/>
        <w:jc w:val="both"/>
        <w:textAlignment w:val="baseline"/>
        <w:rPr>
          <w:noProof/>
          <w:szCs w:val="24"/>
        </w:rPr>
      </w:pPr>
    </w:p>
    <w:p w14:paraId="4296C225" w14:textId="0DA8E829" w:rsidR="00FA7C11" w:rsidRDefault="00D84965">
      <w:pPr>
        <w:pStyle w:val="P68B1DB1-Normal96"/>
        <w:keepNext/>
        <w:spacing w:line="240" w:lineRule="auto"/>
        <w:ind w:left="851"/>
        <w:jc w:val="both"/>
        <w:outlineLvl w:val="2"/>
        <w:rPr>
          <w:i/>
          <w:iCs/>
          <w:noProof/>
        </w:rPr>
      </w:pPr>
      <w:r>
        <w:rPr>
          <w:noProof/>
        </w:rPr>
        <w:t xml:space="preserve">Reforma C2.2 R5 – Noi modele salariale și de muncă în administrația publică – creșterea nivelului de ambiție al reformei prin stipularea unor cerințe specifice suplimentare privind conținutul reglementărilor </w:t>
      </w:r>
    </w:p>
    <w:p w14:paraId="2CA2E99F" w14:textId="77777777" w:rsidR="00FA7C11" w:rsidRDefault="00D84965">
      <w:pPr>
        <w:pStyle w:val="P68B1DB1-Normal46"/>
        <w:spacing w:line="240" w:lineRule="auto"/>
        <w:jc w:val="both"/>
        <w:rPr>
          <w:rFonts w:eastAsia="Calibri"/>
          <w:noProof/>
        </w:rPr>
      </w:pPr>
      <w:r>
        <w:rPr>
          <w:noProof/>
        </w:rPr>
        <w:t>Această reformă urmărește să sporească nivelul de ambiție al punerii în aplicare a reformei R2 Noi modele salariale și de muncă în administrația publică și în administrația publică, prin adăugarea unor cerințe specifice privind conținutul reglementărilor care însoțesc Legea privind salariile în administrația publică și în administrația publică, adoptată în temeiul R2.</w:t>
      </w:r>
    </w:p>
    <w:p w14:paraId="00E94CFC" w14:textId="44EEEB65" w:rsidR="00FA7C11" w:rsidRDefault="00D84965">
      <w:pPr>
        <w:pStyle w:val="P68B1DB1-Normal33"/>
        <w:spacing w:line="240" w:lineRule="auto"/>
        <w:jc w:val="both"/>
        <w:rPr>
          <w:noProof/>
        </w:rPr>
      </w:pPr>
      <w:r>
        <w:rPr>
          <w:noProof/>
        </w:rPr>
        <w:t xml:space="preserve">Decretele guvernamentale care sprijină Legea privind salariile din serviciile civile și publice definesc în detaliu intervalele de coeficienți și grupele de salarizare din grila uniformă de salarizare pentru organismele de stat și serviciile publice. </w:t>
      </w:r>
    </w:p>
    <w:p w14:paraId="113B1952" w14:textId="77777777" w:rsidR="00FA7C11" w:rsidRDefault="00D84965">
      <w:pPr>
        <w:pStyle w:val="P68B1DB1-Normal33"/>
        <w:spacing w:line="240" w:lineRule="auto"/>
        <w:jc w:val="both"/>
        <w:rPr>
          <w:noProof/>
        </w:rPr>
      </w:pPr>
      <w:r>
        <w:rPr>
          <w:noProof/>
        </w:rPr>
        <w:t xml:space="preserve">În plus, un regulament guvernamental stabilește titlurile posturilor, condițiile de repartizare pe un anumit post, clasificarea posturilor, gradul de salarizare în cauză și coeficienții de calcul al salariilor în cadrul gradului respectiv. </w:t>
      </w:r>
    </w:p>
    <w:p w14:paraId="234713FE" w14:textId="77777777" w:rsidR="00FA7C11" w:rsidRDefault="00D84965">
      <w:pPr>
        <w:pStyle w:val="P68B1DB1-Normal33"/>
        <w:spacing w:line="240" w:lineRule="auto"/>
        <w:jc w:val="both"/>
        <w:rPr>
          <w:noProof/>
        </w:rPr>
      </w:pPr>
      <w:r>
        <w:rPr>
          <w:noProof/>
        </w:rPr>
        <w:t>Coeficienții de calcul al salariilor se stabilesc pe baza unui exercițiu de evaluare a postului, luând în considerare criteriile standard de evaluare și clasificare a postului, astfel cum sunt definite în Legea privind salariile din serviciile civile și publice (cum ar fi complexitatea postului, experiența profesională necesară, autonomia muncii și competențele și autorizațiile suplimentare necesare). Modul în care trebuie aplicate criteriile standard în procesul de evaluare și clasificare a locurilor de muncă va fi stabilit prin regulamente guvernamentale.</w:t>
      </w:r>
    </w:p>
    <w:p w14:paraId="78D6B4E6" w14:textId="77777777" w:rsidR="00FA7C11" w:rsidRDefault="00D84965">
      <w:pPr>
        <w:pStyle w:val="P68B1DB1-Normal33"/>
        <w:spacing w:line="240" w:lineRule="auto"/>
        <w:jc w:val="both"/>
        <w:rPr>
          <w:noProof/>
        </w:rPr>
      </w:pPr>
      <w:r>
        <w:rPr>
          <w:noProof/>
        </w:rPr>
        <w:t xml:space="preserve">Analiza comparativă a locurilor de muncă urmărește să asigure punerea în aplicare a principiului egalității de remunerare pentru aceeași muncă sau pentru o muncă de aceeași valoare prin aplicarea unor criterii de referință standard uniforme și să elimine practica de până acum potrivit căreia locurile de muncă cu aceleași locuri de muncă sau cu locuri de muncă similare, dar în organisme de stat sau servicii publice diferite, sunt plătite în mod diferit. </w:t>
      </w:r>
    </w:p>
    <w:p w14:paraId="5FE6D7E6" w14:textId="74505BFF" w:rsidR="00FA7C11" w:rsidRDefault="00D84965">
      <w:pPr>
        <w:pStyle w:val="P68B1DB1-Normal33"/>
        <w:spacing w:line="240" w:lineRule="auto"/>
        <w:jc w:val="both"/>
        <w:rPr>
          <w:noProof/>
        </w:rPr>
      </w:pPr>
      <w:r>
        <w:rPr>
          <w:noProof/>
        </w:rPr>
        <w:t xml:space="preserve">În cele din urmă, statutele urmăresc să asigure faptul că același grad este clasificat ca posturi de aceeași valoare sau aproape de aceeași valoare în ceea ce privește complexitatea locului de muncă, responsabilitățile, autonomia muncii și alte criterii standard. </w:t>
      </w:r>
    </w:p>
    <w:p w14:paraId="35F569D9" w14:textId="77777777" w:rsidR="00FA7C11" w:rsidRDefault="00D84965">
      <w:pPr>
        <w:pStyle w:val="P68B1DB1-Normal33"/>
        <w:spacing w:line="240" w:lineRule="auto"/>
        <w:jc w:val="both"/>
        <w:rPr>
          <w:noProof/>
        </w:rPr>
      </w:pPr>
      <w:r>
        <w:rPr>
          <w:noProof/>
        </w:rPr>
        <w:t>Măsura se finalizează până la 30 iunie 2024.</w:t>
      </w:r>
    </w:p>
    <w:p w14:paraId="22EA74C3" w14:textId="77777777" w:rsidR="00FA7C11" w:rsidRDefault="00FA7C11">
      <w:pPr>
        <w:spacing w:line="240" w:lineRule="auto"/>
        <w:jc w:val="both"/>
        <w:rPr>
          <w:rFonts w:eastAsia="Calibri"/>
          <w:noProof/>
          <w:szCs w:val="24"/>
        </w:rPr>
      </w:pPr>
    </w:p>
    <w:p w14:paraId="178E28E5" w14:textId="77777777" w:rsidR="00FA7C11" w:rsidRDefault="00FA7C11">
      <w:pPr>
        <w:pStyle w:val="paragraph"/>
        <w:spacing w:before="0" w:beforeAutospacing="0" w:after="0" w:afterAutospacing="0"/>
        <w:ind w:left="840"/>
        <w:jc w:val="both"/>
        <w:textAlignment w:val="baseline"/>
        <w:rPr>
          <w:rFonts w:ascii="Segoe UI" w:hAnsi="Segoe UI" w:cs="Segoe UI"/>
          <w:noProof/>
          <w:sz w:val="18"/>
          <w:szCs w:val="18"/>
        </w:rPr>
      </w:pPr>
    </w:p>
    <w:p w14:paraId="43C39AAE" w14:textId="77777777" w:rsidR="00FA7C11" w:rsidRDefault="00FA7C11">
      <w:pPr>
        <w:pStyle w:val="paragraph"/>
        <w:spacing w:before="0" w:beforeAutospacing="0" w:after="0" w:afterAutospacing="0"/>
        <w:ind w:left="840"/>
        <w:jc w:val="both"/>
        <w:textAlignment w:val="baseline"/>
        <w:rPr>
          <w:rStyle w:val="normaltextrun"/>
          <w:b/>
          <w:bCs/>
          <w:noProof/>
        </w:rPr>
        <w:sectPr w:rsidR="00FA7C11" w:rsidSect="00FA29B2">
          <w:headerReference w:type="even" r:id="rId158"/>
          <w:headerReference w:type="default" r:id="rId159"/>
          <w:footerReference w:type="even" r:id="rId160"/>
          <w:footerReference w:type="default" r:id="rId161"/>
          <w:headerReference w:type="first" r:id="rId162"/>
          <w:footerReference w:type="first" r:id="rId163"/>
          <w:pgSz w:w="11907" w:h="16839"/>
          <w:pgMar w:top="1134" w:right="1134" w:bottom="1134" w:left="1134" w:header="567" w:footer="567" w:gutter="0"/>
          <w:cols w:space="708"/>
          <w:docGrid w:linePitch="360"/>
        </w:sectPr>
      </w:pPr>
    </w:p>
    <w:p w14:paraId="4211D59C" w14:textId="21B8FECA" w:rsidR="00FA7C11" w:rsidRDefault="00D84965">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H.4. Jaloane, ținte, indicatori și calendarul de monitorizare și implementare aplicabile împrumutului </w:t>
      </w:r>
    </w:p>
    <w:p w14:paraId="413C97B1" w14:textId="6C33DA83" w:rsidR="00FA7C11" w:rsidRDefault="00D84965">
      <w:pPr>
        <w:pStyle w:val="paragraph"/>
        <w:spacing w:before="0" w:beforeAutospacing="0" w:after="0" w:afterAutospacing="0"/>
        <w:ind w:left="840"/>
        <w:jc w:val="both"/>
        <w:textAlignment w:val="baseline"/>
        <w:rPr>
          <w:rFonts w:ascii="Segoe UI" w:hAnsi="Segoe UI" w:cs="Segoe UI"/>
          <w:noProof/>
          <w:sz w:val="18"/>
          <w:szCs w:val="18"/>
        </w:rPr>
      </w:pPr>
      <w:r>
        <w:rPr>
          <w:rStyle w:val="normaltextrun"/>
          <w:i/>
          <w:noProof/>
          <w:color w:val="4F81BD"/>
        </w:rPr>
        <w:t xml:space="preserve">. </w:t>
      </w:r>
    </w:p>
    <w:tbl>
      <w:tblPr>
        <w:tblW w:w="15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78"/>
        <w:gridCol w:w="1034"/>
        <w:gridCol w:w="1345"/>
        <w:gridCol w:w="1829"/>
        <w:gridCol w:w="12"/>
        <w:gridCol w:w="2256"/>
        <w:gridCol w:w="851"/>
        <w:gridCol w:w="897"/>
        <w:gridCol w:w="851"/>
        <w:gridCol w:w="919"/>
        <w:gridCol w:w="850"/>
        <w:gridCol w:w="4385"/>
      </w:tblGrid>
      <w:tr w:rsidR="00FA7C11" w14:paraId="2489924E" w14:textId="77777777">
        <w:trPr>
          <w:trHeight w:val="693"/>
          <w:tblHeader/>
          <w:jc w:val="center"/>
        </w:trPr>
        <w:tc>
          <w:tcPr>
            <w:tcW w:w="778" w:type="dxa"/>
            <w:vMerge w:val="restart"/>
            <w:shd w:val="clear" w:color="auto" w:fill="BDD7EE"/>
            <w:vAlign w:val="center"/>
            <w:hideMark/>
          </w:tcPr>
          <w:p w14:paraId="4C9428DB" w14:textId="77777777" w:rsidR="00FA7C11" w:rsidRDefault="00D84965">
            <w:pPr>
              <w:pStyle w:val="P68B1DB1-Normal58"/>
              <w:spacing w:after="0" w:line="276" w:lineRule="auto"/>
              <w:jc w:val="center"/>
              <w:rPr>
                <w:bCs/>
                <w:noProof/>
              </w:rPr>
            </w:pPr>
            <w:r>
              <w:rPr>
                <w:noProof/>
              </w:rPr>
              <w:t>Număr</w:t>
            </w:r>
          </w:p>
        </w:tc>
        <w:tc>
          <w:tcPr>
            <w:tcW w:w="1034" w:type="dxa"/>
            <w:vMerge w:val="restart"/>
            <w:shd w:val="clear" w:color="auto" w:fill="BDD7EE"/>
            <w:vAlign w:val="center"/>
            <w:hideMark/>
          </w:tcPr>
          <w:p w14:paraId="6AF0454E" w14:textId="77777777" w:rsidR="00FA7C11" w:rsidRDefault="00D84965">
            <w:pPr>
              <w:pStyle w:val="P68B1DB1-Normal58"/>
              <w:spacing w:after="0" w:line="276" w:lineRule="auto"/>
              <w:jc w:val="center"/>
              <w:rPr>
                <w:bCs/>
                <w:noProof/>
              </w:rPr>
            </w:pPr>
            <w:r>
              <w:rPr>
                <w:noProof/>
              </w:rPr>
              <w:t>Măsură</w:t>
            </w:r>
          </w:p>
        </w:tc>
        <w:tc>
          <w:tcPr>
            <w:tcW w:w="1063" w:type="dxa"/>
            <w:vMerge w:val="restart"/>
            <w:shd w:val="clear" w:color="auto" w:fill="BDD7EE"/>
            <w:vAlign w:val="center"/>
            <w:hideMark/>
          </w:tcPr>
          <w:p w14:paraId="1E9FA2D2" w14:textId="77777777" w:rsidR="00FA7C11" w:rsidRDefault="00D84965">
            <w:pPr>
              <w:pStyle w:val="P68B1DB1-Normal58"/>
              <w:spacing w:after="0" w:line="276" w:lineRule="auto"/>
              <w:jc w:val="center"/>
              <w:rPr>
                <w:bCs/>
                <w:noProof/>
              </w:rPr>
            </w:pPr>
            <w:r>
              <w:rPr>
                <w:noProof/>
              </w:rPr>
              <w:t>Etapă/Obiectiv</w:t>
            </w:r>
          </w:p>
        </w:tc>
        <w:tc>
          <w:tcPr>
            <w:tcW w:w="1829" w:type="dxa"/>
            <w:vMerge w:val="restart"/>
            <w:shd w:val="clear" w:color="auto" w:fill="BDD7EE"/>
            <w:vAlign w:val="center"/>
            <w:hideMark/>
          </w:tcPr>
          <w:p w14:paraId="6D3611E7" w14:textId="77777777" w:rsidR="00FA7C11" w:rsidRDefault="00D84965">
            <w:pPr>
              <w:pStyle w:val="P68B1DB1-Normal58"/>
              <w:spacing w:after="0" w:line="276" w:lineRule="auto"/>
              <w:jc w:val="center"/>
              <w:rPr>
                <w:bCs/>
                <w:noProof/>
              </w:rPr>
            </w:pPr>
            <w:r>
              <w:rPr>
                <w:noProof/>
              </w:rPr>
              <w:t>Nume</w:t>
            </w:r>
          </w:p>
        </w:tc>
        <w:tc>
          <w:tcPr>
            <w:tcW w:w="2268" w:type="dxa"/>
            <w:gridSpan w:val="2"/>
            <w:vMerge w:val="restart"/>
            <w:shd w:val="clear" w:color="auto" w:fill="BDD7EE"/>
            <w:vAlign w:val="center"/>
            <w:hideMark/>
          </w:tcPr>
          <w:p w14:paraId="4E59ACEC" w14:textId="77777777" w:rsidR="00FA7C11" w:rsidRDefault="00D84965">
            <w:pPr>
              <w:pStyle w:val="P68B1DB1-Normal58"/>
              <w:spacing w:after="0" w:line="276" w:lineRule="auto"/>
              <w:jc w:val="center"/>
              <w:rPr>
                <w:bCs/>
                <w:noProof/>
              </w:rPr>
            </w:pPr>
            <w:r>
              <w:rPr>
                <w:noProof/>
              </w:rPr>
              <w:t xml:space="preserve">Indicatori calitativi </w:t>
            </w:r>
            <w:r>
              <w:rPr>
                <w:noProof/>
              </w:rPr>
              <w:br/>
              <w:t>(pentru jaloane)</w:t>
            </w:r>
          </w:p>
        </w:tc>
        <w:tc>
          <w:tcPr>
            <w:tcW w:w="2599" w:type="dxa"/>
            <w:gridSpan w:val="3"/>
            <w:shd w:val="clear" w:color="auto" w:fill="BDD7EE"/>
            <w:vAlign w:val="center"/>
            <w:hideMark/>
          </w:tcPr>
          <w:p w14:paraId="614BCA0D" w14:textId="77777777" w:rsidR="00FA7C11" w:rsidRDefault="00D84965">
            <w:pPr>
              <w:pStyle w:val="P68B1DB1-Normal58"/>
              <w:spacing w:after="0" w:line="276" w:lineRule="auto"/>
              <w:jc w:val="center"/>
              <w:rPr>
                <w:bCs/>
                <w:noProof/>
              </w:rPr>
            </w:pPr>
            <w:r>
              <w:rPr>
                <w:noProof/>
              </w:rPr>
              <w:t xml:space="preserve">Indicatori cantitativi </w:t>
            </w:r>
            <w:r>
              <w:rPr>
                <w:noProof/>
              </w:rPr>
              <w:br/>
              <w:t>(pentru obiective)</w:t>
            </w:r>
          </w:p>
        </w:tc>
        <w:tc>
          <w:tcPr>
            <w:tcW w:w="1606" w:type="dxa"/>
            <w:gridSpan w:val="2"/>
            <w:shd w:val="clear" w:color="auto" w:fill="BDD7EE"/>
            <w:vAlign w:val="center"/>
            <w:hideMark/>
          </w:tcPr>
          <w:p w14:paraId="33933947" w14:textId="77777777" w:rsidR="00FA7C11" w:rsidRDefault="00D84965">
            <w:pPr>
              <w:pStyle w:val="P68B1DB1-Normal58"/>
              <w:spacing w:after="0" w:line="276" w:lineRule="auto"/>
              <w:jc w:val="center"/>
              <w:rPr>
                <w:bCs/>
                <w:noProof/>
              </w:rPr>
            </w:pPr>
            <w:r>
              <w:rPr>
                <w:noProof/>
              </w:rPr>
              <w:t>Timp</w:t>
            </w:r>
          </w:p>
        </w:tc>
        <w:tc>
          <w:tcPr>
            <w:tcW w:w="4385" w:type="dxa"/>
            <w:vMerge w:val="restart"/>
            <w:shd w:val="clear" w:color="auto" w:fill="BDD7EE"/>
            <w:vAlign w:val="center"/>
            <w:hideMark/>
          </w:tcPr>
          <w:p w14:paraId="3209297E"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718A21CB" w14:textId="77777777">
        <w:trPr>
          <w:trHeight w:val="55"/>
          <w:tblHeader/>
          <w:jc w:val="center"/>
        </w:trPr>
        <w:tc>
          <w:tcPr>
            <w:tcW w:w="778" w:type="dxa"/>
            <w:vMerge/>
            <w:hideMark/>
          </w:tcPr>
          <w:p w14:paraId="4CBE7168"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34" w:type="dxa"/>
            <w:vMerge/>
            <w:hideMark/>
          </w:tcPr>
          <w:p w14:paraId="41119007"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63" w:type="dxa"/>
            <w:vMerge/>
            <w:hideMark/>
          </w:tcPr>
          <w:p w14:paraId="59CF2FF0"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829" w:type="dxa"/>
            <w:vMerge/>
            <w:hideMark/>
          </w:tcPr>
          <w:p w14:paraId="7C6EEA64" w14:textId="77777777" w:rsidR="00FA7C11" w:rsidRDefault="00FA7C11">
            <w:pPr>
              <w:spacing w:after="0" w:line="276" w:lineRule="auto"/>
              <w:rPr>
                <w:rFonts w:ascii="Times New Roman" w:eastAsia="Times New Roman" w:hAnsi="Times New Roman" w:cs="Times New Roman"/>
                <w:b/>
                <w:noProof/>
                <w:sz w:val="20"/>
                <w:szCs w:val="20"/>
              </w:rPr>
            </w:pPr>
          </w:p>
        </w:tc>
        <w:tc>
          <w:tcPr>
            <w:tcW w:w="2268" w:type="dxa"/>
            <w:gridSpan w:val="2"/>
            <w:vMerge/>
            <w:hideMark/>
          </w:tcPr>
          <w:p w14:paraId="46230739" w14:textId="77777777" w:rsidR="00FA7C11" w:rsidRDefault="00FA7C11">
            <w:pPr>
              <w:spacing w:after="0" w:line="276" w:lineRule="auto"/>
              <w:rPr>
                <w:rFonts w:ascii="Times New Roman" w:eastAsia="Times New Roman" w:hAnsi="Times New Roman" w:cs="Times New Roman"/>
                <w:b/>
                <w:noProof/>
                <w:sz w:val="20"/>
                <w:szCs w:val="20"/>
              </w:rPr>
            </w:pPr>
          </w:p>
        </w:tc>
        <w:tc>
          <w:tcPr>
            <w:tcW w:w="851" w:type="dxa"/>
            <w:shd w:val="clear" w:color="auto" w:fill="BDD7EE"/>
            <w:vAlign w:val="center"/>
            <w:hideMark/>
          </w:tcPr>
          <w:p w14:paraId="48D8EA27" w14:textId="77777777" w:rsidR="00FA7C11" w:rsidRDefault="00D84965">
            <w:pPr>
              <w:pStyle w:val="P68B1DB1-Normal58"/>
              <w:spacing w:after="0" w:line="276" w:lineRule="auto"/>
              <w:jc w:val="center"/>
              <w:rPr>
                <w:bCs/>
                <w:noProof/>
              </w:rPr>
            </w:pPr>
            <w:r>
              <w:rPr>
                <w:noProof/>
              </w:rPr>
              <w:t>Unitate</w:t>
            </w:r>
          </w:p>
        </w:tc>
        <w:tc>
          <w:tcPr>
            <w:tcW w:w="897" w:type="dxa"/>
            <w:shd w:val="clear" w:color="auto" w:fill="BDD7EE"/>
            <w:vAlign w:val="center"/>
            <w:hideMark/>
          </w:tcPr>
          <w:p w14:paraId="449BA8D8" w14:textId="77777777" w:rsidR="00FA7C11" w:rsidRDefault="00D84965">
            <w:pPr>
              <w:pStyle w:val="P68B1DB1-Normal58"/>
              <w:spacing w:after="0" w:line="276" w:lineRule="auto"/>
              <w:jc w:val="center"/>
              <w:rPr>
                <w:bCs/>
                <w:noProof/>
              </w:rPr>
            </w:pPr>
            <w:r>
              <w:rPr>
                <w:noProof/>
              </w:rPr>
              <w:t>Situația de referință</w:t>
            </w:r>
          </w:p>
        </w:tc>
        <w:tc>
          <w:tcPr>
            <w:tcW w:w="851" w:type="dxa"/>
            <w:shd w:val="clear" w:color="auto" w:fill="BDD7EE"/>
            <w:vAlign w:val="center"/>
            <w:hideMark/>
          </w:tcPr>
          <w:p w14:paraId="22A935AC" w14:textId="77777777" w:rsidR="00FA7C11" w:rsidRDefault="00D84965">
            <w:pPr>
              <w:pStyle w:val="P68B1DB1-Normal58"/>
              <w:spacing w:after="0" w:line="276" w:lineRule="auto"/>
              <w:jc w:val="center"/>
              <w:rPr>
                <w:bCs/>
                <w:noProof/>
              </w:rPr>
            </w:pPr>
            <w:r>
              <w:rPr>
                <w:noProof/>
              </w:rPr>
              <w:t>Obiectiv</w:t>
            </w:r>
          </w:p>
        </w:tc>
        <w:tc>
          <w:tcPr>
            <w:tcW w:w="756" w:type="dxa"/>
            <w:shd w:val="clear" w:color="auto" w:fill="BDD7EE"/>
            <w:vAlign w:val="center"/>
            <w:hideMark/>
          </w:tcPr>
          <w:p w14:paraId="507CBABC" w14:textId="77777777" w:rsidR="00FA7C11" w:rsidRDefault="00D84965">
            <w:pPr>
              <w:pStyle w:val="P68B1DB1-Normal58"/>
              <w:spacing w:after="0" w:line="276" w:lineRule="auto"/>
              <w:jc w:val="center"/>
              <w:rPr>
                <w:bCs/>
                <w:noProof/>
              </w:rPr>
            </w:pPr>
            <w:r>
              <w:rPr>
                <w:noProof/>
              </w:rPr>
              <w:t>Trimestru</w:t>
            </w:r>
          </w:p>
        </w:tc>
        <w:tc>
          <w:tcPr>
            <w:tcW w:w="850" w:type="dxa"/>
            <w:shd w:val="clear" w:color="auto" w:fill="BDD7EE"/>
            <w:vAlign w:val="center"/>
            <w:hideMark/>
          </w:tcPr>
          <w:p w14:paraId="5C14A16D" w14:textId="77777777" w:rsidR="00FA7C11" w:rsidRDefault="00D84965">
            <w:pPr>
              <w:pStyle w:val="P68B1DB1-Normal58"/>
              <w:spacing w:after="0" w:line="276" w:lineRule="auto"/>
              <w:jc w:val="center"/>
              <w:rPr>
                <w:bCs/>
                <w:noProof/>
              </w:rPr>
            </w:pPr>
            <w:r>
              <w:rPr>
                <w:noProof/>
              </w:rPr>
              <w:t>Anul</w:t>
            </w:r>
          </w:p>
        </w:tc>
        <w:tc>
          <w:tcPr>
            <w:tcW w:w="4385" w:type="dxa"/>
            <w:vMerge/>
            <w:hideMark/>
          </w:tcPr>
          <w:p w14:paraId="1E81B85A"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6C8F5BFF" w14:textId="77777777">
        <w:trPr>
          <w:trHeight w:val="283"/>
          <w:jc w:val="center"/>
        </w:trPr>
        <w:tc>
          <w:tcPr>
            <w:tcW w:w="778" w:type="dxa"/>
            <w:shd w:val="clear" w:color="auto" w:fill="C6EFCE"/>
            <w:noWrap/>
          </w:tcPr>
          <w:p w14:paraId="5B3F656D" w14:textId="77777777" w:rsidR="00FA7C11" w:rsidRDefault="00D84965">
            <w:pPr>
              <w:pStyle w:val="P68B1DB1-Normal70"/>
              <w:spacing w:after="0" w:line="276" w:lineRule="auto"/>
              <w:jc w:val="center"/>
              <w:rPr>
                <w:noProof/>
              </w:rPr>
            </w:pPr>
            <w:r>
              <w:rPr>
                <w:noProof/>
              </w:rPr>
              <w:t>393</w:t>
            </w:r>
          </w:p>
        </w:tc>
        <w:tc>
          <w:tcPr>
            <w:tcW w:w="1034" w:type="dxa"/>
            <w:shd w:val="clear" w:color="auto" w:fill="C6EFCE"/>
            <w:noWrap/>
          </w:tcPr>
          <w:p w14:paraId="2A22EA07" w14:textId="77777777" w:rsidR="00FA7C11" w:rsidRDefault="00D84965">
            <w:pPr>
              <w:pStyle w:val="P68B1DB1-Normal66"/>
              <w:spacing w:after="200" w:line="276" w:lineRule="auto"/>
              <w:jc w:val="center"/>
              <w:rPr>
                <w:noProof/>
              </w:rPr>
            </w:pPr>
            <w:r>
              <w:rPr>
                <w:noProof/>
              </w:rPr>
              <w:t>C2.2.R5</w:t>
            </w:r>
          </w:p>
        </w:tc>
        <w:tc>
          <w:tcPr>
            <w:tcW w:w="1063" w:type="dxa"/>
            <w:shd w:val="clear" w:color="auto" w:fill="C6EFCE"/>
            <w:noWrap/>
          </w:tcPr>
          <w:p w14:paraId="1878E9CF" w14:textId="77777777" w:rsidR="00FA7C11" w:rsidRDefault="00D84965">
            <w:pPr>
              <w:pStyle w:val="P68B1DB1-Normal66"/>
              <w:spacing w:after="200" w:line="276" w:lineRule="auto"/>
              <w:jc w:val="center"/>
              <w:rPr>
                <w:noProof/>
              </w:rPr>
            </w:pPr>
            <w:r>
              <w:rPr>
                <w:noProof/>
              </w:rPr>
              <w:t>M</w:t>
            </w:r>
          </w:p>
        </w:tc>
        <w:tc>
          <w:tcPr>
            <w:tcW w:w="1841" w:type="dxa"/>
            <w:gridSpan w:val="2"/>
            <w:shd w:val="clear" w:color="auto" w:fill="C6EFCE"/>
            <w:noWrap/>
          </w:tcPr>
          <w:p w14:paraId="71AE66D0" w14:textId="77777777" w:rsidR="00FA7C11" w:rsidRDefault="00D84965">
            <w:pPr>
              <w:pStyle w:val="P68B1DB1-Normal66"/>
              <w:spacing w:after="240" w:line="276" w:lineRule="auto"/>
              <w:rPr>
                <w:noProof/>
              </w:rPr>
            </w:pPr>
            <w:r>
              <w:rPr>
                <w:noProof/>
              </w:rPr>
              <w:t>Intrarea în vigoare a reglementărilor care reglementează noile modele salariale și sistemul centralizat de selecție în serviciile civile și publice</w:t>
            </w:r>
          </w:p>
        </w:tc>
        <w:tc>
          <w:tcPr>
            <w:tcW w:w="2256" w:type="dxa"/>
            <w:shd w:val="clear" w:color="auto" w:fill="C6EFCE"/>
            <w:noWrap/>
          </w:tcPr>
          <w:p w14:paraId="4AAB37BE" w14:textId="77777777" w:rsidR="00FA7C11" w:rsidRDefault="00D84965">
            <w:pPr>
              <w:pStyle w:val="P68B1DB1-Normal66"/>
              <w:spacing w:after="240" w:line="276" w:lineRule="auto"/>
              <w:rPr>
                <w:noProof/>
              </w:rPr>
            </w:pPr>
            <w:r>
              <w:rPr>
                <w:noProof/>
              </w:rPr>
              <w:t>Intrarea în vigoare a reglementărilor guvernamentale care stabilesc criteriile de reglementare a noilor modele salariale în serviciile civile și publice</w:t>
            </w:r>
          </w:p>
        </w:tc>
        <w:tc>
          <w:tcPr>
            <w:tcW w:w="851" w:type="dxa"/>
            <w:shd w:val="clear" w:color="auto" w:fill="C6EFCE"/>
            <w:noWrap/>
          </w:tcPr>
          <w:p w14:paraId="2586495E" w14:textId="77777777" w:rsidR="00FA7C11" w:rsidRDefault="00D84965">
            <w:pPr>
              <w:pStyle w:val="P68B1DB1-Normal66"/>
              <w:spacing w:after="0" w:line="276" w:lineRule="auto"/>
              <w:jc w:val="center"/>
              <w:rPr>
                <w:noProof/>
                <w:color w:val="000000" w:themeColor="text1"/>
              </w:rPr>
            </w:pPr>
            <w:r>
              <w:rPr>
                <w:noProof/>
              </w:rPr>
              <w:t> </w:t>
            </w:r>
          </w:p>
        </w:tc>
        <w:tc>
          <w:tcPr>
            <w:tcW w:w="897" w:type="dxa"/>
            <w:shd w:val="clear" w:color="auto" w:fill="C6EFCE"/>
            <w:noWrap/>
          </w:tcPr>
          <w:p w14:paraId="2BB970B8" w14:textId="77777777" w:rsidR="00FA7C11" w:rsidRDefault="00D84965">
            <w:pPr>
              <w:pStyle w:val="P68B1DB1-Normal66"/>
              <w:spacing w:after="200" w:line="276" w:lineRule="auto"/>
              <w:jc w:val="center"/>
              <w:rPr>
                <w:noProof/>
                <w:color w:val="000000" w:themeColor="text1"/>
              </w:rPr>
            </w:pPr>
            <w:r>
              <w:rPr>
                <w:noProof/>
              </w:rPr>
              <w:t> </w:t>
            </w:r>
          </w:p>
        </w:tc>
        <w:tc>
          <w:tcPr>
            <w:tcW w:w="851" w:type="dxa"/>
            <w:shd w:val="clear" w:color="auto" w:fill="C6EFCE"/>
            <w:noWrap/>
          </w:tcPr>
          <w:p w14:paraId="042606F5" w14:textId="77777777" w:rsidR="00FA7C11" w:rsidRDefault="00D84965">
            <w:pPr>
              <w:pStyle w:val="P68B1DB1-Normal66"/>
              <w:spacing w:after="200" w:line="276" w:lineRule="auto"/>
              <w:jc w:val="center"/>
              <w:rPr>
                <w:noProof/>
                <w:color w:val="000000" w:themeColor="text1"/>
              </w:rPr>
            </w:pPr>
            <w:r>
              <w:rPr>
                <w:noProof/>
              </w:rPr>
              <w:t> </w:t>
            </w:r>
          </w:p>
        </w:tc>
        <w:tc>
          <w:tcPr>
            <w:tcW w:w="756" w:type="dxa"/>
            <w:shd w:val="clear" w:color="auto" w:fill="C6EFCE"/>
            <w:noWrap/>
          </w:tcPr>
          <w:p w14:paraId="41E59CC0" w14:textId="77777777" w:rsidR="00FA7C11" w:rsidRDefault="00D84965">
            <w:pPr>
              <w:pStyle w:val="P68B1DB1-Normal66"/>
              <w:spacing w:after="200" w:line="276" w:lineRule="auto"/>
              <w:jc w:val="center"/>
              <w:rPr>
                <w:noProof/>
              </w:rPr>
            </w:pPr>
            <w:r>
              <w:rPr>
                <w:noProof/>
              </w:rPr>
              <w:t>Î2</w:t>
            </w:r>
          </w:p>
        </w:tc>
        <w:tc>
          <w:tcPr>
            <w:tcW w:w="850" w:type="dxa"/>
            <w:shd w:val="clear" w:color="auto" w:fill="C6EFCE"/>
            <w:noWrap/>
          </w:tcPr>
          <w:p w14:paraId="20BB50FC" w14:textId="77777777" w:rsidR="00FA7C11" w:rsidRDefault="00D84965">
            <w:pPr>
              <w:pStyle w:val="P68B1DB1-Normal66"/>
              <w:spacing w:after="200" w:line="276" w:lineRule="auto"/>
              <w:jc w:val="center"/>
              <w:rPr>
                <w:noProof/>
              </w:rPr>
            </w:pPr>
            <w:r>
              <w:rPr>
                <w:noProof/>
              </w:rPr>
              <w:t>2024</w:t>
            </w:r>
          </w:p>
        </w:tc>
        <w:tc>
          <w:tcPr>
            <w:tcW w:w="4385" w:type="dxa"/>
            <w:shd w:val="clear" w:color="auto" w:fill="C6EFCE"/>
            <w:noWrap/>
          </w:tcPr>
          <w:p w14:paraId="4D1EA837" w14:textId="2D9466F3" w:rsidR="00FA7C11" w:rsidRDefault="00D84965">
            <w:pPr>
              <w:pStyle w:val="P68B1DB1-Normal66"/>
              <w:spacing w:after="0" w:line="276" w:lineRule="auto"/>
              <w:rPr>
                <w:noProof/>
                <w:color w:val="000000" w:themeColor="text1"/>
              </w:rPr>
            </w:pPr>
            <w:r>
              <w:rPr>
                <w:noProof/>
              </w:rPr>
              <w:t xml:space="preserve">Intrarea în vigoare a șase regulamente care detaliază sistemul de remunerare a gradelor de remunerare și a coeficienților pentru angajații din serviciile publice și publice, precum și procedura, criteriile și metoda de evaluare a performanței funcționarilor publici și a angajaților din organismele de stat și din serviciile publice. Statutul ține seama, după caz, de analiza efectuată de Banca Mondială în cadrul investiției C2.2.R2-I1. </w:t>
            </w:r>
          </w:p>
          <w:p w14:paraId="2C282990" w14:textId="77777777" w:rsidR="00FA7C11" w:rsidRDefault="00D84965">
            <w:pPr>
              <w:pStyle w:val="P68B1DB1-Normal66"/>
              <w:spacing w:after="0" w:line="276" w:lineRule="auto"/>
              <w:rPr>
                <w:noProof/>
              </w:rPr>
            </w:pPr>
            <w:r>
              <w:rPr>
                <w:noProof/>
              </w:rPr>
              <w:t xml:space="preserve">Statutul definește: </w:t>
            </w:r>
          </w:p>
          <w:p w14:paraId="1BCF3C27" w14:textId="77777777" w:rsidR="00FA7C11" w:rsidRDefault="00D84965">
            <w:pPr>
              <w:pStyle w:val="P68B1DB1-Normal66"/>
              <w:spacing w:after="0" w:line="276" w:lineRule="auto"/>
              <w:rPr>
                <w:noProof/>
                <w:color w:val="000000" w:themeColor="text1"/>
              </w:rPr>
            </w:pPr>
            <w:r>
              <w:rPr>
                <w:noProof/>
              </w:rPr>
              <w:t xml:space="preserve">— metoda de aplicare a criteriilor standard, prevăzute de Legea privind salariile în serviciile civile și publice, în procedura de evaluare și clasificare a posturilor în organismele de stat și în serviciile publice (echipele de experți din cadrul administrației de stat și al serviciilor publice vor evalua posturile și, în cooperare cu Ministerul Justiției și Administrației sau cu Ministerul Muncii, Sistemului de Pensii, Familiei și Politicii Sociale, vor efectua o analiză care trebuie luată în considerare la stabilirea coeficienților de salarizare); </w:t>
            </w:r>
          </w:p>
          <w:p w14:paraId="7843588A" w14:textId="77777777" w:rsidR="00FA7C11" w:rsidRDefault="00D84965">
            <w:pPr>
              <w:pStyle w:val="P68B1DB1-Normal66"/>
              <w:spacing w:after="0" w:line="276" w:lineRule="auto"/>
              <w:rPr>
                <w:noProof/>
                <w:u w:val="single"/>
              </w:rPr>
            </w:pPr>
            <w:r>
              <w:rPr>
                <w:noProof/>
              </w:rPr>
              <w:t>— titlurile posturilor, condițiile de selecție în posturi, clasificarea posturilor și gradele salariale în cauză, precum și coeficienții de salarizare în funcția publică (în urma consolidării sau reducerii numărului de posturi);</w:t>
            </w:r>
            <w:r>
              <w:rPr>
                <w:noProof/>
                <w:u w:val="single"/>
              </w:rPr>
              <w:t xml:space="preserve"> </w:t>
            </w:r>
          </w:p>
          <w:p w14:paraId="4AA8A510" w14:textId="77777777" w:rsidR="00FA7C11" w:rsidRDefault="00D84965">
            <w:pPr>
              <w:pStyle w:val="P68B1DB1-Normal66"/>
              <w:spacing w:after="0" w:line="276" w:lineRule="auto"/>
              <w:rPr>
                <w:noProof/>
              </w:rPr>
            </w:pPr>
            <w:r>
              <w:rPr>
                <w:noProof/>
              </w:rPr>
              <w:t>— intervalele coeficienților din gradele salariale ale grilei uniforme de remunerare pentru serviciile civile și publice;</w:t>
            </w:r>
          </w:p>
          <w:p w14:paraId="42D12543" w14:textId="77777777" w:rsidR="00FA7C11" w:rsidRDefault="00D84965">
            <w:pPr>
              <w:pStyle w:val="P68B1DB1-Normal66"/>
              <w:spacing w:after="0" w:line="276" w:lineRule="auto"/>
              <w:rPr>
                <w:noProof/>
              </w:rPr>
            </w:pPr>
            <w:r>
              <w:rPr>
                <w:noProof/>
              </w:rPr>
              <w:t>— procedura, criteriile și metoda de evaluare a performanței funcționarilor (inclusiv a celor aflați în funcții de conducere) și a angajaților din administrația publică.</w:t>
            </w:r>
          </w:p>
        </w:tc>
      </w:tr>
    </w:tbl>
    <w:p w14:paraId="52C92B9D" w14:textId="77777777" w:rsidR="00FA7C11" w:rsidRDefault="00FA7C11">
      <w:pPr>
        <w:pStyle w:val="paragraph"/>
        <w:spacing w:before="0" w:beforeAutospacing="0" w:after="0" w:afterAutospacing="0"/>
        <w:jc w:val="both"/>
        <w:rPr>
          <w:rStyle w:val="eop"/>
          <w:noProof/>
          <w:color w:val="4F81BD"/>
        </w:rPr>
      </w:pPr>
    </w:p>
    <w:p w14:paraId="0A9B081F" w14:textId="77777777" w:rsidR="00FA7C11" w:rsidRDefault="00FA7C11">
      <w:pPr>
        <w:rPr>
          <w:noProof/>
        </w:rPr>
      </w:pPr>
    </w:p>
    <w:p w14:paraId="789337D1" w14:textId="77777777" w:rsidR="00FA7C11" w:rsidRDefault="00FA7C11">
      <w:pPr>
        <w:rPr>
          <w:noProof/>
        </w:rPr>
        <w:sectPr w:rsidR="00FA7C11" w:rsidSect="00FA29B2">
          <w:headerReference w:type="even" r:id="rId164"/>
          <w:headerReference w:type="default" r:id="rId165"/>
          <w:footerReference w:type="even" r:id="rId166"/>
          <w:footerReference w:type="default" r:id="rId167"/>
          <w:headerReference w:type="first" r:id="rId168"/>
          <w:footerReference w:type="first" r:id="rId169"/>
          <w:pgSz w:w="16838" w:h="11906" w:orient="landscape"/>
          <w:pgMar w:top="1134" w:right="1134" w:bottom="1134" w:left="1134" w:header="567" w:footer="567" w:gutter="0"/>
          <w:cols w:space="708"/>
          <w:docGrid w:linePitch="360"/>
        </w:sectPr>
      </w:pPr>
    </w:p>
    <w:p w14:paraId="42D153B9" w14:textId="6F0B03DC" w:rsidR="00FA7C11" w:rsidRDefault="00D84965">
      <w:pPr>
        <w:pStyle w:val="P68B1DB1-Normal32"/>
        <w:keepNext/>
        <w:tabs>
          <w:tab w:val="left" w:pos="850"/>
        </w:tabs>
        <w:spacing w:before="360" w:line="240" w:lineRule="auto"/>
        <w:ind w:left="850" w:hanging="850"/>
        <w:jc w:val="both"/>
        <w:outlineLvl w:val="0"/>
        <w:rPr>
          <w:bCs/>
          <w:noProof/>
        </w:rPr>
      </w:pPr>
      <w:r>
        <w:rPr>
          <w:noProof/>
        </w:rPr>
        <w:t xml:space="preserve">    I. COMPONENTA 2.3: TRANZIȚIA DIGITALĂ A SOCIETĂȚII ȘI A ADMINISTRAȚIEI PUBLICE</w:t>
      </w:r>
    </w:p>
    <w:p w14:paraId="7385B15A" w14:textId="77777777" w:rsidR="00FA7C11" w:rsidRDefault="00D84965">
      <w:pPr>
        <w:pStyle w:val="P68B1DB1-Normal33"/>
        <w:spacing w:after="100" w:line="240" w:lineRule="auto"/>
        <w:jc w:val="both"/>
        <w:rPr>
          <w:noProof/>
        </w:rPr>
      </w:pPr>
      <w:r>
        <w:rPr>
          <w:noProof/>
        </w:rPr>
        <w:t>Croația se situează pe locul 20</w:t>
      </w:r>
      <w:r>
        <w:rPr>
          <w:noProof/>
          <w:vertAlign w:val="superscript"/>
        </w:rPr>
        <w:t xml:space="preserve"> în</w:t>
      </w:r>
      <w:r>
        <w:rPr>
          <w:noProof/>
        </w:rPr>
        <w:t xml:space="preserve"> 2020 în ceea ce privește indicele economiei și societății digitale (DESI), cu posibilități semnificative de îmbunătățire a accesibilității online a serviciilor publice. Conectivitatea digitală scăzută a Croației împiedică, de asemenea, dezvoltarea în continuare a economiei digitale a țării și contribuie la decalajul digital dintre zonele urbane și cele rurale. </w:t>
      </w:r>
    </w:p>
    <w:p w14:paraId="6AF1BF08" w14:textId="77777777" w:rsidR="00FA7C11" w:rsidRDefault="00D84965">
      <w:pPr>
        <w:pStyle w:val="P68B1DB1-Normal33"/>
        <w:spacing w:after="100" w:line="240" w:lineRule="auto"/>
        <w:jc w:val="both"/>
        <w:rPr>
          <w:noProof/>
        </w:rPr>
      </w:pPr>
      <w:r>
        <w:rPr>
          <w:noProof/>
        </w:rPr>
        <w:t xml:space="preserve">Obiectivul acestei componente este de a sprijini tranziția digitală a economiei și a societății croate. Acesta include reforme și investiții menite să digitalizeze administrația publică, să sporească furnizarea de servicii publice online și să ofere acces la rețele de conectivitate la nivel de gigabit în zonele afectate de disfuncționalități ale pieței, inclusiv în zonele rurale. </w:t>
      </w:r>
    </w:p>
    <w:p w14:paraId="573A8121" w14:textId="77777777" w:rsidR="00FA7C11" w:rsidRDefault="00D84965">
      <w:pPr>
        <w:pStyle w:val="P68B1DB1-Normal34"/>
        <w:spacing w:after="100" w:line="240" w:lineRule="auto"/>
        <w:jc w:val="both"/>
        <w:rPr>
          <w:rFonts w:ascii="Times New Roman" w:eastAsia="Times New Roman," w:hAnsi="Times New Roman" w:cs="Times New Roman"/>
          <w:i/>
          <w:iCs/>
          <w:noProof/>
        </w:rPr>
      </w:pPr>
      <w:r>
        <w:rPr>
          <w:rFonts w:ascii="Times New Roman" w:eastAsia="Calibri" w:hAnsi="Times New Roman" w:cs="Times New Roman"/>
          <w:noProof/>
        </w:rPr>
        <w:t>Această componentă contribuie la punerea în aplicare a recomandărilor specifice fiecărei țări privind necesitatea de a „consolida</w:t>
      </w:r>
      <w:r>
        <w:rPr>
          <w:rFonts w:ascii="Times New Roman" w:eastAsia="Calibri" w:hAnsi="Times New Roman" w:cs="Times New Roman"/>
          <w:i/>
          <w:noProof/>
        </w:rPr>
        <w:t xml:space="preserve"> prestațiile sociale și de a îmbunătăți capacitatea acestora de a reduce sărăcia</w:t>
      </w:r>
      <w:r>
        <w:rPr>
          <w:rFonts w:ascii="Times New Roman" w:eastAsia="Calibri" w:hAnsi="Times New Roman" w:cs="Times New Roman"/>
          <w:noProof/>
        </w:rPr>
        <w:t>” (recomandările specifice fiecărei țări 2 și 2019), de a „spori</w:t>
      </w:r>
      <w:r>
        <w:rPr>
          <w:rFonts w:ascii="Times New Roman" w:eastAsia="Times New Roman," w:hAnsi="Times New Roman" w:cs="Times New Roman"/>
          <w:i/>
          <w:noProof/>
        </w:rPr>
        <w:t xml:space="preserve"> accesul la infrastructura și serviciile digitale”</w:t>
      </w:r>
      <w:r>
        <w:rPr>
          <w:rFonts w:ascii="Times New Roman" w:eastAsia="Times New Roman," w:hAnsi="Times New Roman" w:cs="Times New Roman"/>
          <w:noProof/>
        </w:rPr>
        <w:t xml:space="preserve"> (recomandările specifice fiecărei țări 2 și 2020) și de a </w:t>
      </w:r>
      <w:r>
        <w:rPr>
          <w:rFonts w:ascii="Times New Roman" w:eastAsia="Times New Roman," w:hAnsi="Times New Roman" w:cs="Times New Roman"/>
          <w:i/>
          <w:noProof/>
        </w:rPr>
        <w:t>„concentra investițiile asupra tranziției verzi și digitale, în special asupra benzii largi de mare viteză”</w:t>
      </w:r>
      <w:r>
        <w:rPr>
          <w:rFonts w:ascii="Times New Roman" w:eastAsia="Times New Roman," w:hAnsi="Times New Roman" w:cs="Times New Roman"/>
          <w:noProof/>
        </w:rPr>
        <w:t xml:space="preserve"> (recomandările specifice fiecărei țări 3 și 2020)</w:t>
      </w:r>
      <w:r>
        <w:rPr>
          <w:rFonts w:ascii="Times New Roman" w:eastAsia="Times New Roman," w:hAnsi="Times New Roman" w:cs="Times New Roman"/>
          <w:i/>
          <w:noProof/>
        </w:rPr>
        <w:t>.</w:t>
      </w:r>
    </w:p>
    <w:p w14:paraId="7A78A620" w14:textId="77777777" w:rsidR="00FA7C11" w:rsidRDefault="00D84965">
      <w:pPr>
        <w:pStyle w:val="P68B1DB1-Normal119"/>
        <w:spacing w:before="40" w:after="0"/>
        <w:jc w:val="both"/>
        <w:rPr>
          <w:noProof/>
        </w:rPr>
      </w:pPr>
      <w:r>
        <w:rPr>
          <w:noProof/>
        </w:rPr>
        <w:t>Componenta include patru reforme și douăzeci de investiții.</w:t>
      </w:r>
    </w:p>
    <w:p w14:paraId="018A2359" w14:textId="77777777" w:rsidR="00FA7C11" w:rsidRDefault="00FA7C11">
      <w:pPr>
        <w:spacing w:line="240" w:lineRule="auto"/>
        <w:jc w:val="both"/>
        <w:rPr>
          <w:rFonts w:ascii="Times New Roman" w:eastAsia="Calibri" w:hAnsi="Times New Roman" w:cs="Times New Roman"/>
          <w:noProof/>
          <w:sz w:val="24"/>
          <w:szCs w:val="24"/>
        </w:rPr>
      </w:pPr>
    </w:p>
    <w:p w14:paraId="2B7ABB6A" w14:textId="77777777" w:rsidR="00FA7C11" w:rsidRDefault="00D84965">
      <w:pPr>
        <w:pStyle w:val="P68B1DB1-Normal57"/>
        <w:keepNext/>
        <w:spacing w:before="40" w:after="0" w:line="360" w:lineRule="auto"/>
        <w:ind w:left="425"/>
        <w:jc w:val="both"/>
        <w:outlineLvl w:val="1"/>
        <w:rPr>
          <w:noProof/>
        </w:rPr>
      </w:pPr>
      <w:r>
        <w:rPr>
          <w:noProof/>
        </w:rPr>
        <w:t xml:space="preserve">I.1. </w:t>
      </w:r>
      <w:r>
        <w:rPr>
          <w:noProof/>
        </w:rPr>
        <w:tab/>
        <w:t>Descrierea reformelor și a investițiilor pentru sprijinul financiar nerambursabil</w:t>
      </w:r>
    </w:p>
    <w:p w14:paraId="1E74A030" w14:textId="77777777" w:rsidR="00FA7C11" w:rsidRDefault="00D84965">
      <w:pPr>
        <w:pStyle w:val="P68B1DB1-Normal42"/>
        <w:spacing w:line="240" w:lineRule="auto"/>
        <w:jc w:val="both"/>
        <w:rPr>
          <w:noProof/>
        </w:rPr>
      </w:pPr>
      <w:r>
        <w:rPr>
          <w:noProof/>
        </w:rPr>
        <w:t>Reforma C2.3 R1 – Strategia privind Croația digitală și consolidarea cooperării și coordonării interinstituționale pentru o tranziție digitală de succes a societății și a economiei</w:t>
      </w:r>
    </w:p>
    <w:p w14:paraId="7B3205C6" w14:textId="77777777" w:rsidR="00FA7C11" w:rsidRDefault="00D84965">
      <w:pPr>
        <w:pStyle w:val="P68B1DB1-Normal33"/>
        <w:spacing w:after="100" w:line="240" w:lineRule="auto"/>
        <w:jc w:val="both"/>
        <w:rPr>
          <w:noProof/>
        </w:rPr>
      </w:pPr>
      <w:r>
        <w:rPr>
          <w:noProof/>
        </w:rPr>
        <w:t>Obiectivul acestei reforme este de a orienta transformarea digitală a societății și a economiei Croației pentru următorul deceniu. Acesta oferă un cadru strategic, „Strategia digitală a Croației pentru 2030”, care stabilește cadrul pentru investițiile în tranziția digitală și definește obiective strategice în următoarele domenii: (I) tranziția digitală a economiei, (ii) digitalizarea administrației publice și a justiției, (iii) conectivitatea digitală/dezvoltarea rețelelor de comunicații electronice în bandă largă și (iv) dezvoltarea competențelor digitale și a locurilor de muncă în domeniul digital.</w:t>
      </w:r>
    </w:p>
    <w:p w14:paraId="49146531" w14:textId="77777777" w:rsidR="00FA7C11" w:rsidRDefault="00D84965">
      <w:pPr>
        <w:pStyle w:val="P68B1DB1-Normal33"/>
        <w:spacing w:after="100" w:line="240" w:lineRule="auto"/>
        <w:jc w:val="both"/>
        <w:rPr>
          <w:noProof/>
        </w:rPr>
      </w:pPr>
      <w:r>
        <w:rPr>
          <w:noProof/>
        </w:rPr>
        <w:t>Reforma instituie, de asemenea, un mecanism de coordonare a pregătirii și punerii în aplicare a proiectelor care sprijină transformarea digitală a societății și a economiei la nivel național, regional și local, cu orientări pentru stabilirea clară a priorităților și criterii de evaluare pentru investiții.</w:t>
      </w:r>
    </w:p>
    <w:p w14:paraId="2E7AEC62" w14:textId="77777777" w:rsidR="00FA7C11" w:rsidRDefault="00D84965">
      <w:pPr>
        <w:pStyle w:val="P68B1DB1-Normal42"/>
        <w:spacing w:line="240" w:lineRule="auto"/>
        <w:ind w:left="851"/>
        <w:jc w:val="both"/>
        <w:rPr>
          <w:noProof/>
        </w:rPr>
      </w:pPr>
      <w:r>
        <w:rPr>
          <w:noProof/>
        </w:rPr>
        <w:t>Reforma C2.3 R2 – Îmbunătățirea interoperabilității sistemelor de informații</w:t>
      </w:r>
    </w:p>
    <w:p w14:paraId="3CCB2E70" w14:textId="77777777" w:rsidR="00FA7C11" w:rsidRDefault="00D84965">
      <w:pPr>
        <w:pStyle w:val="P68B1DB1-Normal33"/>
        <w:spacing w:after="100" w:line="240" w:lineRule="auto"/>
        <w:jc w:val="both"/>
        <w:rPr>
          <w:noProof/>
        </w:rPr>
      </w:pPr>
      <w:r>
        <w:rPr>
          <w:noProof/>
        </w:rPr>
        <w:t>Obiectivul acestei reforme este de a sprijini furnizarea de servicii publice digitale și de a facilita interacțiunea dintre cetățeni/întreprinderi și administrația publică. Reforma urmărește, de asemenea, să introducă o analiză avansată a datelor în administrația națională, cu scopul de a sprijini procesul decizional bazat pe date la toate nivelurile administrației.</w:t>
      </w:r>
    </w:p>
    <w:p w14:paraId="59C1596D" w14:textId="77777777" w:rsidR="00FA7C11" w:rsidRDefault="00D84965">
      <w:pPr>
        <w:pStyle w:val="P68B1DB1-Normal33"/>
        <w:spacing w:after="100" w:line="240" w:lineRule="auto"/>
        <w:jc w:val="both"/>
        <w:rPr>
          <w:noProof/>
        </w:rPr>
      </w:pPr>
      <w:r>
        <w:rPr>
          <w:noProof/>
        </w:rPr>
        <w:t xml:space="preserve">Deși autoritățile publice din Croația utilizează în prezent sute de registre și baze de date diferite, se preconizează că reforma va crea condițiile prealabile pentru instituirea unui registru central (sistem central interoperabil) care să interconecteze registrele centrale (investiția C2.3.R2.I1), precum și pentru instituirea unei baze de date centrale care să permită utilizarea analizei avansate a datelor pentru autoritățile competente (investiția C2.3.R2.I2). </w:t>
      </w:r>
    </w:p>
    <w:p w14:paraId="69908329" w14:textId="77777777" w:rsidR="00FA7C11" w:rsidRDefault="00D84965">
      <w:pPr>
        <w:pStyle w:val="P68B1DB1-Normal33"/>
        <w:spacing w:after="100" w:line="240" w:lineRule="auto"/>
        <w:jc w:val="both"/>
        <w:rPr>
          <w:noProof/>
        </w:rPr>
      </w:pPr>
      <w:r>
        <w:rPr>
          <w:noProof/>
        </w:rPr>
        <w:t xml:space="preserve">Se preconizează că reforma va aduce schimbări sistemice, în direcția dezvoltării unor sisteme interoperabile la nivel național și a unui proces decizional bazat pe date. De asemenea, se preconizează că aceasta va îmbunătăți furnizarea online de servicii publice de calitate pentru întreprinderi și cetățeni. </w:t>
      </w:r>
    </w:p>
    <w:p w14:paraId="6804B08E" w14:textId="77777777" w:rsidR="00FA7C11" w:rsidRDefault="00D84965">
      <w:pPr>
        <w:pStyle w:val="P68B1DB1-Normal33"/>
        <w:spacing w:after="100" w:line="240" w:lineRule="auto"/>
        <w:jc w:val="both"/>
        <w:rPr>
          <w:noProof/>
        </w:rPr>
      </w:pPr>
      <w:r>
        <w:rPr>
          <w:noProof/>
        </w:rPr>
        <w:t>Măsura definește o structură organizațională și de gestionare pentru gestionarea sistemului central de interoperabilitate, precum și catalogul serviciilor electronice care urmează să fie conectate la sistemul central de interoperabilitate. Aceasta dezvoltă, de asemenea, ecosistemul pentru colectarea, prelucrarea, analizarea, afișarea și schimbul de date, în vederea introducerii analizei datelor în administrația națională ca o nouă modalitate de lucru la toate nivelurile procesului decizional.</w:t>
      </w:r>
    </w:p>
    <w:p w14:paraId="16F630AC" w14:textId="77777777" w:rsidR="00FA7C11" w:rsidRDefault="00D84965">
      <w:pPr>
        <w:pStyle w:val="P68B1DB1-Normal33"/>
        <w:spacing w:line="240" w:lineRule="auto"/>
        <w:jc w:val="both"/>
        <w:rPr>
          <w:noProof/>
        </w:rPr>
      </w:pPr>
      <w:r>
        <w:rPr>
          <w:noProof/>
        </w:rPr>
        <w:t>Această reformă se finalizează până la 31 decembrie 2024.</w:t>
      </w:r>
    </w:p>
    <w:p w14:paraId="7DB5FE56" w14:textId="77777777" w:rsidR="00FA7C11" w:rsidRDefault="00D84965">
      <w:pPr>
        <w:pStyle w:val="P68B1DB1-Normal42"/>
        <w:spacing w:line="240" w:lineRule="auto"/>
        <w:ind w:left="851"/>
        <w:jc w:val="both"/>
        <w:rPr>
          <w:noProof/>
        </w:rPr>
      </w:pPr>
      <w:r>
        <w:rPr>
          <w:noProof/>
        </w:rPr>
        <w:t>Investiția C2.3 R2-I1 – Instituirea unui sistem central de interoperabilitate</w:t>
      </w:r>
    </w:p>
    <w:p w14:paraId="49EB30DD" w14:textId="77777777" w:rsidR="00FA7C11" w:rsidRDefault="00D84965">
      <w:pPr>
        <w:pStyle w:val="P68B1DB1-Normal33"/>
        <w:spacing w:line="240" w:lineRule="auto"/>
        <w:jc w:val="both"/>
        <w:rPr>
          <w:iCs/>
          <w:noProof/>
        </w:rPr>
      </w:pPr>
      <w:r>
        <w:rPr>
          <w:noProof/>
        </w:rPr>
        <w:t xml:space="preserve">Obiectivul acestei investiții este de a remedia fragmentarea actuală a registrelor, în conformitate cu Cadrul european de interoperabilitate (EIF). </w:t>
      </w:r>
    </w:p>
    <w:p w14:paraId="5EBE5F6E" w14:textId="77777777" w:rsidR="00FA7C11" w:rsidRDefault="00D84965">
      <w:pPr>
        <w:pStyle w:val="P68B1DB1-Normal33"/>
        <w:spacing w:line="240" w:lineRule="auto"/>
        <w:jc w:val="both"/>
        <w:rPr>
          <w:iCs/>
          <w:noProof/>
        </w:rPr>
      </w:pPr>
      <w:r>
        <w:rPr>
          <w:noProof/>
        </w:rPr>
        <w:t>Măsura constă în instituirea sistemului central de interoperabilitate. </w:t>
      </w:r>
    </w:p>
    <w:p w14:paraId="485FF44C" w14:textId="77777777" w:rsidR="00FA7C11" w:rsidRDefault="00D84965">
      <w:pPr>
        <w:pStyle w:val="P68B1DB1-Normal42"/>
        <w:spacing w:line="240" w:lineRule="auto"/>
        <w:ind w:left="851"/>
        <w:jc w:val="both"/>
        <w:rPr>
          <w:noProof/>
        </w:rPr>
      </w:pPr>
      <w:r>
        <w:rPr>
          <w:noProof/>
        </w:rPr>
        <w:t>Investiția C2.3 R2-I2 – Înființarea unui registru central de date și a unui sistem de analiză a activității</w:t>
      </w:r>
    </w:p>
    <w:p w14:paraId="242BF2AF" w14:textId="77777777" w:rsidR="00FA7C11" w:rsidRDefault="00D84965">
      <w:pPr>
        <w:pStyle w:val="P68B1DB1-Normal33"/>
        <w:spacing w:after="100" w:line="240" w:lineRule="auto"/>
        <w:jc w:val="both"/>
        <w:rPr>
          <w:noProof/>
        </w:rPr>
      </w:pPr>
      <w:r>
        <w:rPr>
          <w:noProof/>
        </w:rPr>
        <w:t>Obiectivul acestei investiții este de a construi un depozit central de date (DWH) pentru autoritățile guvernamentale, care se preconizează că va îmbunătăți sistemul de gestionare a datelor, prin facilitarea colectării de date în formate standardizate, a prelucrării, a analizării și a schimbului de date între autoritățile publice (cum ar fi unitățile administrației publice de stat și locale). Platforma permite analiza datelor în timp real și produce instrumente avansate de analiză a datelor (cum ar fi indicatori economici predefiniți, tablouri de bord și rapoarte zilnice), care se preconizează că vor îmbunătăți în mod semnificativ procesul decizional bazat pe date la toate nivelurile administrației naționale.</w:t>
      </w:r>
    </w:p>
    <w:p w14:paraId="4509ECB4" w14:textId="77777777" w:rsidR="00FA7C11" w:rsidRDefault="00D84965">
      <w:pPr>
        <w:pStyle w:val="P68B1DB1-Normal33"/>
        <w:spacing w:after="100" w:line="240" w:lineRule="auto"/>
        <w:jc w:val="both"/>
        <w:rPr>
          <w:noProof/>
        </w:rPr>
      </w:pPr>
      <w:r>
        <w:rPr>
          <w:noProof/>
        </w:rPr>
        <w:t xml:space="preserve">O parte a depozitului de date este, de asemenea, accesibilă cetățenilor și întreprinderilor, pentru a permite sectorului privat să construiască și să dezvolte servicii cu valoare adăugată privind datele și instrumentele analitice care le sunt puse la dispoziție. </w:t>
      </w:r>
    </w:p>
    <w:p w14:paraId="28CA9A05" w14:textId="77777777" w:rsidR="00FA7C11" w:rsidRDefault="00D84965">
      <w:pPr>
        <w:pStyle w:val="P68B1DB1-Normal33"/>
        <w:spacing w:line="240" w:lineRule="auto"/>
        <w:jc w:val="both"/>
        <w:rPr>
          <w:noProof/>
        </w:rPr>
      </w:pPr>
      <w:r>
        <w:rPr>
          <w:noProof/>
        </w:rPr>
        <w:t>Această investiție se finalizează până la 31 decembrie 2024.</w:t>
      </w:r>
    </w:p>
    <w:p w14:paraId="7F83897B" w14:textId="77777777" w:rsidR="00FA7C11" w:rsidRDefault="00D84965">
      <w:pPr>
        <w:pStyle w:val="P68B1DB1-Normal42"/>
        <w:spacing w:line="240" w:lineRule="auto"/>
        <w:ind w:left="851"/>
        <w:jc w:val="both"/>
        <w:rPr>
          <w:iCs/>
          <w:noProof/>
        </w:rPr>
      </w:pPr>
      <w:r>
        <w:rPr>
          <w:noProof/>
        </w:rPr>
        <w:t>Investiția C2.3 R3-I1 – Modernizarea Centrului de servicii partajate</w:t>
      </w:r>
    </w:p>
    <w:p w14:paraId="743E2173" w14:textId="77777777" w:rsidR="00FA7C11" w:rsidRDefault="00D84965">
      <w:pPr>
        <w:pStyle w:val="P68B1DB1-Normal33"/>
        <w:spacing w:line="240" w:lineRule="auto"/>
        <w:jc w:val="both"/>
        <w:rPr>
          <w:noProof/>
        </w:rPr>
      </w:pPr>
      <w:r>
        <w:rPr>
          <w:noProof/>
        </w:rPr>
        <w:t>Obiectivul acestei investiții este de a extinde capacitatea cloudului de stat (Centrul de servicii partajate, „CDU”).</w:t>
      </w:r>
    </w:p>
    <w:p w14:paraId="0E963D07" w14:textId="77777777" w:rsidR="00FA7C11" w:rsidRDefault="00D84965">
      <w:pPr>
        <w:pStyle w:val="P68B1DB1-Normal33"/>
        <w:spacing w:line="240" w:lineRule="auto"/>
        <w:jc w:val="both"/>
        <w:rPr>
          <w:noProof/>
        </w:rPr>
      </w:pPr>
      <w:r>
        <w:rPr>
          <w:noProof/>
        </w:rPr>
        <w:t>Măsura constă în modernizarea cloudului de stat și în creșterea numărului de utilizatori ai acestuia.</w:t>
      </w:r>
    </w:p>
    <w:p w14:paraId="34AFFFF3" w14:textId="77777777" w:rsidR="00FA7C11" w:rsidRDefault="00D84965">
      <w:pPr>
        <w:pStyle w:val="P68B1DB1-Normal42"/>
        <w:spacing w:line="240" w:lineRule="auto"/>
        <w:ind w:left="851"/>
        <w:jc w:val="both"/>
        <w:rPr>
          <w:noProof/>
        </w:rPr>
      </w:pPr>
      <w:r>
        <w:rPr>
          <w:noProof/>
        </w:rPr>
        <w:t>Investiția C2.3 R3-I2 – Consolidarea capacității poliției de a combate criminalitatea informatică</w:t>
      </w:r>
    </w:p>
    <w:p w14:paraId="5EFACEEA" w14:textId="77777777" w:rsidR="00FA7C11" w:rsidRDefault="00D84965">
      <w:pPr>
        <w:pStyle w:val="P68B1DB1-Normal33"/>
        <w:spacing w:line="240" w:lineRule="auto"/>
        <w:jc w:val="both"/>
        <w:rPr>
          <w:iCs/>
          <w:noProof/>
        </w:rPr>
      </w:pPr>
      <w:r>
        <w:rPr>
          <w:noProof/>
        </w:rPr>
        <w:t xml:space="preserve">Obiectivul investiției este de a consolida capacitatea Ministerului de Interne de a combate criminalitatea informatică. </w:t>
      </w:r>
    </w:p>
    <w:p w14:paraId="56E0C557" w14:textId="77777777" w:rsidR="00FA7C11" w:rsidRDefault="00D84965">
      <w:pPr>
        <w:pStyle w:val="P68B1DB1-Normal33"/>
        <w:spacing w:line="240" w:lineRule="auto"/>
        <w:jc w:val="both"/>
        <w:rPr>
          <w:iCs/>
          <w:noProof/>
        </w:rPr>
      </w:pPr>
      <w:r>
        <w:rPr>
          <w:noProof/>
        </w:rPr>
        <w:t xml:space="preserve">Investiția include achiziționarea de echipamente specializate pentru poliție pentru analiza probelor digitale, formarea specializată a ofițerilor de poliție pentru detectarea și combaterea atacurilor cibernetice și punerea în aplicare a unei campanii publice de prevenire care să vizeze întreprinderile și cetățenii pentru a sensibiliza publicul cu privire la criminalitatea informatică. </w:t>
      </w:r>
    </w:p>
    <w:p w14:paraId="07FF8EC0" w14:textId="77777777" w:rsidR="00FA7C11" w:rsidRDefault="00D84965">
      <w:pPr>
        <w:pStyle w:val="P68B1DB1-Normal33"/>
        <w:spacing w:line="240" w:lineRule="auto"/>
        <w:jc w:val="both"/>
        <w:rPr>
          <w:noProof/>
        </w:rPr>
      </w:pPr>
      <w:r>
        <w:rPr>
          <w:noProof/>
        </w:rPr>
        <w:t>Această investiție se finalizează până la 31 decembrie 2024.</w:t>
      </w:r>
    </w:p>
    <w:p w14:paraId="7213FDB1" w14:textId="77777777" w:rsidR="00FA7C11" w:rsidRDefault="00D84965">
      <w:pPr>
        <w:pStyle w:val="P68B1DB1-Normal42"/>
        <w:spacing w:line="240" w:lineRule="auto"/>
        <w:ind w:left="851"/>
        <w:jc w:val="both"/>
        <w:rPr>
          <w:noProof/>
        </w:rPr>
      </w:pPr>
      <w:r>
        <w:rPr>
          <w:noProof/>
        </w:rPr>
        <w:t>Investiția C2.3 R3-I3 – Crearea unui ghișeu unic pentru toate serviciile de asistență publică electronică</w:t>
      </w:r>
    </w:p>
    <w:p w14:paraId="03F85402" w14:textId="77777777" w:rsidR="00FA7C11" w:rsidRDefault="00D84965">
      <w:pPr>
        <w:pStyle w:val="P68B1DB1-Normal33"/>
        <w:spacing w:line="240" w:lineRule="auto"/>
        <w:jc w:val="both"/>
        <w:rPr>
          <w:iCs/>
          <w:noProof/>
        </w:rPr>
      </w:pPr>
      <w:r>
        <w:rPr>
          <w:noProof/>
        </w:rPr>
        <w:t xml:space="preserve">Obiectivul investiției este de a crea un ghișeu unic (JKC) care să armonizeze și să centralizeze sistemul de asistență al tuturor serviciilor online ale administrațiilor publice. Se preconizează că ghișeul unic va oferi un serviciu nou și îmbunătățit pentru ca cetățenii și întreprinderile să comunice cu administrațiile publice și va permite utilizatorilor să găsească cu ușurință informațiile solicitate. Ghișeul unic are, de asemenea, caracteristici care să le permită utilizatorilor să trimită feedback, să evalueze calitatea interacțiunii cu funcționarii publici și post-evaluarea, ceea ce se preconizează că va transforma interacțiunea dintre administrația publică din Croația și utilizatorii săi. </w:t>
      </w:r>
    </w:p>
    <w:p w14:paraId="68BB88FF" w14:textId="77777777" w:rsidR="00FA7C11" w:rsidRDefault="00D84965">
      <w:pPr>
        <w:pStyle w:val="P68B1DB1-Normal33"/>
        <w:spacing w:line="240" w:lineRule="auto"/>
        <w:jc w:val="both"/>
        <w:rPr>
          <w:noProof/>
        </w:rPr>
      </w:pPr>
      <w:r>
        <w:rPr>
          <w:noProof/>
        </w:rPr>
        <w:t>Această investiție se finalizează până la 31 decembrie 2023.</w:t>
      </w:r>
    </w:p>
    <w:p w14:paraId="7D838848" w14:textId="77777777" w:rsidR="00FA7C11" w:rsidRDefault="00FA7C11">
      <w:pPr>
        <w:spacing w:line="240" w:lineRule="auto"/>
        <w:jc w:val="both"/>
        <w:rPr>
          <w:rFonts w:ascii="Times New Roman" w:eastAsia="Calibri" w:hAnsi="Times New Roman" w:cs="Times New Roman"/>
          <w:noProof/>
          <w:sz w:val="24"/>
          <w:szCs w:val="24"/>
        </w:rPr>
      </w:pPr>
    </w:p>
    <w:p w14:paraId="3A1036B5" w14:textId="77777777" w:rsidR="00FA7C11" w:rsidRDefault="00D84965">
      <w:pPr>
        <w:pStyle w:val="P68B1DB1-Normal42"/>
        <w:spacing w:line="240" w:lineRule="auto"/>
        <w:ind w:left="851"/>
        <w:jc w:val="both"/>
        <w:rPr>
          <w:noProof/>
        </w:rPr>
      </w:pPr>
      <w:r>
        <w:rPr>
          <w:noProof/>
        </w:rPr>
        <w:t>Investiția C2.3 R3-I4 – Consolidarea sistemelor de infrastructură de informații privind sănătatea ale CEZIH</w:t>
      </w:r>
    </w:p>
    <w:p w14:paraId="1B0F7DAC" w14:textId="77777777" w:rsidR="00FA7C11" w:rsidRDefault="00D84965">
      <w:pPr>
        <w:pStyle w:val="P68B1DB1-Normal33"/>
        <w:spacing w:after="100" w:line="240" w:lineRule="auto"/>
        <w:jc w:val="both"/>
        <w:rPr>
          <w:noProof/>
        </w:rPr>
      </w:pPr>
      <w:r>
        <w:rPr>
          <w:noProof/>
        </w:rPr>
        <w:t>Obiectivul investiției este de a moderniza sistemul central de informații și sănătate al Republicii Croația (CEZIH), care este utilizat de toți actorii din sistemul de sănătate (cum ar fi spitalele, personalul medical, școlile medicale, instituțiile de sănătate publică, farmaciile, laboratoarele).</w:t>
      </w:r>
    </w:p>
    <w:p w14:paraId="3C54E0A3" w14:textId="77777777" w:rsidR="00FA7C11" w:rsidRDefault="00D84965">
      <w:pPr>
        <w:pStyle w:val="P68B1DB1-Normal33"/>
        <w:spacing w:after="100" w:line="240" w:lineRule="auto"/>
        <w:jc w:val="both"/>
        <w:rPr>
          <w:noProof/>
        </w:rPr>
      </w:pPr>
      <w:r>
        <w:rPr>
          <w:noProof/>
        </w:rPr>
        <w:t xml:space="preserve">Investiția trebuie, în special, să migreze sistemul în cloudul de stat (Centrul de servicii partajate) și să stabilească soluții de recuperare în caz de dezastru, pentru a asigura continuitatea activității și a oferi un mod continuu, fiabil și sigur de funcționare a sistemului central de informații privind sănătatea. </w:t>
      </w:r>
    </w:p>
    <w:p w14:paraId="1F3AAD0D" w14:textId="77777777" w:rsidR="00FA7C11" w:rsidRDefault="00D84965">
      <w:pPr>
        <w:pStyle w:val="P68B1DB1-Normal33"/>
        <w:spacing w:line="240" w:lineRule="auto"/>
        <w:jc w:val="both"/>
        <w:rPr>
          <w:noProof/>
        </w:rPr>
      </w:pPr>
      <w:r>
        <w:rPr>
          <w:noProof/>
        </w:rPr>
        <w:t>Această investiție se finalizează până la 30 iunie 2024.</w:t>
      </w:r>
    </w:p>
    <w:p w14:paraId="290D8B6A" w14:textId="77777777" w:rsidR="00FA7C11" w:rsidRDefault="00D84965">
      <w:pPr>
        <w:pStyle w:val="P68B1DB1-Normal42"/>
        <w:spacing w:line="240" w:lineRule="auto"/>
        <w:ind w:left="851"/>
        <w:jc w:val="both"/>
        <w:rPr>
          <w:noProof/>
        </w:rPr>
      </w:pPr>
      <w:r>
        <w:rPr>
          <w:noProof/>
        </w:rPr>
        <w:t>Investiția C2.3 R3-I5 – Proiect de implementare a cărții de identitate digitale</w:t>
      </w:r>
    </w:p>
    <w:p w14:paraId="07AA241F" w14:textId="77777777" w:rsidR="00FA7C11" w:rsidRDefault="00D84965">
      <w:pPr>
        <w:pStyle w:val="P68B1DB1-Normal33"/>
        <w:spacing w:line="240" w:lineRule="auto"/>
        <w:jc w:val="both"/>
        <w:rPr>
          <w:noProof/>
        </w:rPr>
      </w:pPr>
      <w:r>
        <w:rPr>
          <w:noProof/>
        </w:rPr>
        <w:t>Obiectivul investiției este de a promova utilizarea semnăturilor electronice în interacțiunea cetățenilor cu administrația publică. Se preconizează că măsura va permite utilizatorilor de e-ID să semneze documente pe platformele mobile prin utilizarea aplicației mobile Certilia.</w:t>
      </w:r>
    </w:p>
    <w:p w14:paraId="25387F19" w14:textId="77777777" w:rsidR="00FA7C11" w:rsidRDefault="00D84965">
      <w:pPr>
        <w:pStyle w:val="P68B1DB1-Normal33"/>
        <w:spacing w:line="240" w:lineRule="auto"/>
        <w:jc w:val="both"/>
        <w:rPr>
          <w:iCs/>
          <w:noProof/>
        </w:rPr>
      </w:pPr>
      <w:r>
        <w:rPr>
          <w:noProof/>
        </w:rPr>
        <w:t>Aceasta instituie un sistem de gestionare a identității digitale (Digital Identity Management System – IDP) și un sistem mobil de semnătură pentru a elibera certificate la distanță pentru o semnătură electronică calificată la distanță. Eliberarea unui astfel de certificat este o condiție prealabilă pentru semnarea electronică a documentelor pe platformele mobile sau în aplicațiile de semnătură mobilă.</w:t>
      </w:r>
    </w:p>
    <w:p w14:paraId="0370A0A7" w14:textId="77777777" w:rsidR="00FA7C11" w:rsidRDefault="00D84965">
      <w:pPr>
        <w:pStyle w:val="P68B1DB1-Normal33"/>
        <w:spacing w:line="240" w:lineRule="auto"/>
        <w:jc w:val="both"/>
        <w:rPr>
          <w:noProof/>
        </w:rPr>
      </w:pPr>
      <w:r>
        <w:rPr>
          <w:noProof/>
        </w:rPr>
        <w:t>Această investiție se finalizează până la 31 decembrie 2024.</w:t>
      </w:r>
    </w:p>
    <w:p w14:paraId="12CFCD7C" w14:textId="77777777" w:rsidR="00FA7C11" w:rsidRDefault="00D84965">
      <w:pPr>
        <w:pStyle w:val="P68B1DB1-Normal42"/>
        <w:spacing w:line="240" w:lineRule="auto"/>
        <w:ind w:left="851"/>
        <w:jc w:val="both"/>
        <w:rPr>
          <w:noProof/>
        </w:rPr>
      </w:pPr>
      <w:r>
        <w:rPr>
          <w:noProof/>
        </w:rPr>
        <w:t>Investiția C2.3 R3-I6 – Investiții în rețeaua de infrastructură informațională de stat</w:t>
      </w:r>
    </w:p>
    <w:p w14:paraId="490AC4F8" w14:textId="77777777" w:rsidR="00FA7C11" w:rsidRDefault="00D84965">
      <w:pPr>
        <w:pStyle w:val="P68B1DB1-Normal33"/>
        <w:spacing w:after="100" w:line="240" w:lineRule="auto"/>
        <w:jc w:val="both"/>
        <w:rPr>
          <w:noProof/>
        </w:rPr>
      </w:pPr>
      <w:r>
        <w:rPr>
          <w:noProof/>
        </w:rPr>
        <w:t xml:space="preserve">Obiectivul acestei investiții este de a moderniza și de a extinde capacitatea rețelei infrastructurii informatice de stat (rețeaua DII). </w:t>
      </w:r>
    </w:p>
    <w:p w14:paraId="3D333D67" w14:textId="77777777" w:rsidR="00FA7C11" w:rsidRDefault="00D84965">
      <w:pPr>
        <w:pStyle w:val="P68B1DB1-Normal33"/>
        <w:spacing w:after="100" w:line="240" w:lineRule="auto"/>
        <w:jc w:val="both"/>
        <w:rPr>
          <w:noProof/>
        </w:rPr>
      </w:pPr>
      <w:r>
        <w:rPr>
          <w:noProof/>
        </w:rPr>
        <w:t>Măsura constă în modernizarea rețelei DII și în conectarea noilor utilizatori la rețeaua DII.</w:t>
      </w:r>
    </w:p>
    <w:p w14:paraId="71C7740D" w14:textId="77777777" w:rsidR="00FA7C11" w:rsidRDefault="00D84965">
      <w:pPr>
        <w:pStyle w:val="P68B1DB1-Normal42"/>
        <w:spacing w:line="240" w:lineRule="auto"/>
        <w:ind w:left="851"/>
        <w:jc w:val="both"/>
        <w:rPr>
          <w:noProof/>
        </w:rPr>
      </w:pPr>
      <w:r>
        <w:rPr>
          <w:noProof/>
        </w:rPr>
        <w:t>Investiția C2.3 R3-I7 – Îmbunătățirea sistemului de amenajare a teritoriului, construcții și active de stat prin digitalizare</w:t>
      </w:r>
    </w:p>
    <w:p w14:paraId="0BBC1C8C" w14:textId="5A0120ED" w:rsidR="00FA7C11" w:rsidRDefault="00D84965">
      <w:pPr>
        <w:pStyle w:val="P68B1DB1-Normal33"/>
        <w:spacing w:after="100" w:line="240" w:lineRule="auto"/>
        <w:jc w:val="both"/>
        <w:rPr>
          <w:noProof/>
        </w:rPr>
      </w:pPr>
      <w:r>
        <w:rPr>
          <w:noProof/>
        </w:rPr>
        <w:t xml:space="preserve">Obiectivul acestei investiții este de a moderniza Sistemul de informații privind planurile spațiale (ISPU) într-un sistem integrat de informații pentru amenajarea teritoriului și de a permite digitalizarea procedurilor legate de pregătirea și punerea în aplicare a proiectelor individuale. </w:t>
      </w:r>
    </w:p>
    <w:p w14:paraId="4A9FEA38" w14:textId="77777777" w:rsidR="00FA7C11" w:rsidRDefault="00D84965">
      <w:pPr>
        <w:pStyle w:val="P68B1DB1-Normal33"/>
        <w:spacing w:after="100" w:line="240" w:lineRule="auto"/>
        <w:jc w:val="both"/>
        <w:rPr>
          <w:noProof/>
        </w:rPr>
      </w:pPr>
      <w:r>
        <w:rPr>
          <w:noProof/>
        </w:rPr>
        <w:t>Măsura constă în crearea unor planuri spațiale de nouă generație și în modernizarea ISPU.</w:t>
      </w:r>
    </w:p>
    <w:p w14:paraId="73E94B7E" w14:textId="77777777" w:rsidR="00FA7C11" w:rsidRDefault="00D84965">
      <w:pPr>
        <w:pStyle w:val="P68B1DB1-Normal42"/>
        <w:spacing w:line="240" w:lineRule="auto"/>
        <w:ind w:left="851"/>
        <w:jc w:val="both"/>
        <w:rPr>
          <w:noProof/>
        </w:rPr>
      </w:pPr>
      <w:r>
        <w:rPr>
          <w:noProof/>
        </w:rPr>
        <w:t>Investiția C2.3 R3-I8 – Crearea unei platforme mobile digitale</w:t>
      </w:r>
    </w:p>
    <w:p w14:paraId="58022937" w14:textId="77777777" w:rsidR="00FA7C11" w:rsidRDefault="00D84965">
      <w:pPr>
        <w:pStyle w:val="P68B1DB1-Normal33"/>
        <w:spacing w:after="100" w:line="240" w:lineRule="auto"/>
        <w:jc w:val="both"/>
        <w:rPr>
          <w:noProof/>
        </w:rPr>
      </w:pPr>
      <w:r>
        <w:rPr>
          <w:noProof/>
        </w:rPr>
        <w:t>Obiectivul acestei investiții este de a crea o platformă mobilă de servicii publice digitale care să le permită cetățenilor să utilizeze cu ușurință serviciile publice online pe telefoanele lor inteligente. Actualele „servicii eCitizens” au fost dezvoltate pentru calculatoarele personale și, în prezent, nu sunt adaptate la dispozitivele mobile, de unde necesitatea unei platforme adaptate la aplicațiile mobile.</w:t>
      </w:r>
    </w:p>
    <w:p w14:paraId="65F41A57" w14:textId="77777777" w:rsidR="00FA7C11" w:rsidRDefault="00D84965">
      <w:pPr>
        <w:pStyle w:val="P68B1DB1-Normal33"/>
        <w:spacing w:after="100" w:line="240" w:lineRule="auto"/>
        <w:jc w:val="both"/>
        <w:rPr>
          <w:noProof/>
        </w:rPr>
      </w:pPr>
      <w:r>
        <w:rPr>
          <w:noProof/>
        </w:rPr>
        <w:t>Această investiție, care utilizează tehnologii și standarde de ultimă generație, creează o platformă care oferă o modalitate standardizată de a oferi servicii publice pe platformele mobile (cum ar fi cererea de certificat de naștere, cererea de dovadă a reședinței, înregistrarea unei schimbări de adresă; înmatricularea unui autovehicul). Acesta conectează toate registrele și bazele de date conexe la magistrala centrală de schimb de date (Central Data Interchange Bus – GSB). Investiția permite, de asemenea, actualizarea Sistemului național de autentificare a identificării (National Identification Authentication System – NIAS) în funcție de cele mai recente tendințe în materie de autentificare pentru platformele mobile, implementând metode moderne de aplicare biometrică.</w:t>
      </w:r>
    </w:p>
    <w:p w14:paraId="60A36301" w14:textId="77777777" w:rsidR="00FA7C11" w:rsidRDefault="00D84965">
      <w:pPr>
        <w:pStyle w:val="P68B1DB1-Normal33"/>
        <w:spacing w:line="240" w:lineRule="auto"/>
        <w:jc w:val="both"/>
        <w:rPr>
          <w:noProof/>
        </w:rPr>
      </w:pPr>
      <w:r>
        <w:rPr>
          <w:noProof/>
        </w:rPr>
        <w:t>Această investiție se finalizează până la 31 decembrie 2024.</w:t>
      </w:r>
    </w:p>
    <w:p w14:paraId="771A10AD" w14:textId="77777777" w:rsidR="00FA7C11" w:rsidRDefault="00FA7C11">
      <w:pPr>
        <w:spacing w:line="240" w:lineRule="auto"/>
        <w:jc w:val="both"/>
        <w:rPr>
          <w:rFonts w:ascii="Times New Roman" w:eastAsia="Calibri" w:hAnsi="Times New Roman" w:cs="Times New Roman"/>
          <w:noProof/>
          <w:sz w:val="24"/>
          <w:szCs w:val="24"/>
        </w:rPr>
      </w:pPr>
    </w:p>
    <w:p w14:paraId="3DFEAB98" w14:textId="77777777" w:rsidR="00FA7C11" w:rsidRDefault="00D84965">
      <w:pPr>
        <w:pStyle w:val="P68B1DB1-Normal42"/>
        <w:spacing w:line="240" w:lineRule="auto"/>
        <w:ind w:left="851"/>
        <w:jc w:val="both"/>
        <w:rPr>
          <w:noProof/>
        </w:rPr>
      </w:pPr>
      <w:r>
        <w:rPr>
          <w:noProof/>
        </w:rPr>
        <w:t>Investiția C2.3 R3-I9 – Instituirea unei noi platforme pentru Buletinul electronic al achizițiilor publice al Republicii Croația</w:t>
      </w:r>
    </w:p>
    <w:p w14:paraId="6E09ABAD" w14:textId="77777777" w:rsidR="00FA7C11" w:rsidRDefault="00D84965">
      <w:pPr>
        <w:pStyle w:val="P68B1DB1-Normal33"/>
        <w:spacing w:after="100" w:line="240" w:lineRule="auto"/>
        <w:jc w:val="both"/>
        <w:rPr>
          <w:noProof/>
        </w:rPr>
      </w:pPr>
      <w:r>
        <w:rPr>
          <w:noProof/>
        </w:rPr>
        <w:t>Obiectivul acestei investiții este de a institui o nouă platformă informatică pentru sistemul de achiziții publice electronice, cu scopul de a sprijini digitalizarea procesului de achiziții publice și de a pune în aplicare noile formulare standard pentru publicarea anunțurilor în domeniul achizițiilor publice prevăzute în regulamentul de punere în aplicare (UE) 2019/1780 al Comisiei (formulare electronice).</w:t>
      </w:r>
    </w:p>
    <w:p w14:paraId="040BF44D" w14:textId="77777777" w:rsidR="00FA7C11" w:rsidRDefault="00D84965">
      <w:pPr>
        <w:pStyle w:val="P68B1DB1-Normal33"/>
        <w:spacing w:after="100" w:line="240" w:lineRule="auto"/>
        <w:jc w:val="both"/>
        <w:rPr>
          <w:noProof/>
        </w:rPr>
      </w:pPr>
      <w:r>
        <w:rPr>
          <w:noProof/>
        </w:rPr>
        <w:t>Investiția modernizează platforma informatică a sistemului croat de publicare electronică a anunțurilor de achiziții publice (EOJN), care se bazează în prezent pe o tehnologie învechită și nu sprijină în mod corespunzător desfășurarea eficientă a procedurilor de achiziții publice. În special, măsura permite corelarea tuturor proceselor de achiziții publice (de la planul de achiziții publice, prin desfășurarea procedurii, la datele privind plățile bazate pe contractele încheiate) și introduce căi de atac online (căi de atac electronice) ca fiind obligatorii, precum și posibilitatea plății online a taxelor. Investiția stabilește, de asemenea, un cadru pentru monitorizarea respectării anumitor criterii și obiective minime obligatorii (cum ar fi achizițiile publice strategice, verzi sau inovatoare).</w:t>
      </w:r>
    </w:p>
    <w:p w14:paraId="59A7E98A" w14:textId="77777777" w:rsidR="00FA7C11" w:rsidRDefault="00D84965">
      <w:pPr>
        <w:pStyle w:val="P68B1DB1-Normal33"/>
        <w:spacing w:line="240" w:lineRule="auto"/>
        <w:jc w:val="both"/>
        <w:rPr>
          <w:noProof/>
        </w:rPr>
      </w:pPr>
      <w:r>
        <w:rPr>
          <w:noProof/>
        </w:rPr>
        <w:t>Această investiție se finalizează până la 31 decembrie 2023.</w:t>
      </w:r>
    </w:p>
    <w:p w14:paraId="19B73C7C" w14:textId="77777777" w:rsidR="00FA7C11" w:rsidRDefault="00D84965">
      <w:pPr>
        <w:pStyle w:val="P68B1DB1-Normal42"/>
        <w:spacing w:line="240" w:lineRule="auto"/>
        <w:ind w:left="851"/>
        <w:jc w:val="both"/>
        <w:rPr>
          <w:noProof/>
        </w:rPr>
      </w:pPr>
      <w:r>
        <w:rPr>
          <w:noProof/>
        </w:rPr>
        <w:t>Investiția C2.3 R3-I10 – Digitalizarea CES (eHZZ)</w:t>
      </w:r>
    </w:p>
    <w:p w14:paraId="2598235C" w14:textId="77777777" w:rsidR="00FA7C11" w:rsidRDefault="00D84965">
      <w:pPr>
        <w:pStyle w:val="P68B1DB1-Normal33"/>
        <w:spacing w:after="100" w:line="240" w:lineRule="auto"/>
        <w:jc w:val="both"/>
        <w:rPr>
          <w:noProof/>
        </w:rPr>
      </w:pPr>
      <w:r>
        <w:rPr>
          <w:noProof/>
        </w:rPr>
        <w:t>Obiectivul acestei investiții este digitalizarea Serviciului de ocupare a forței de muncă din Croația (CES – HZZ).</w:t>
      </w:r>
    </w:p>
    <w:p w14:paraId="589150BE" w14:textId="77777777" w:rsidR="00FA7C11" w:rsidRDefault="00D84965">
      <w:pPr>
        <w:pStyle w:val="P68B1DB1-Normal33"/>
        <w:spacing w:after="100" w:line="240" w:lineRule="auto"/>
        <w:jc w:val="both"/>
        <w:rPr>
          <w:noProof/>
        </w:rPr>
      </w:pPr>
      <w:r>
        <w:rPr>
          <w:noProof/>
        </w:rPr>
        <w:t xml:space="preserve">Măsura constă în punerea în funcțiune a sistemului de gestionare a identității digitale al CES și a sistemului digital de gestionare a resurselor umane, precum și în modernizarea digitalizării SEC. </w:t>
      </w:r>
    </w:p>
    <w:p w14:paraId="59D37E6F" w14:textId="77777777" w:rsidR="00FA7C11" w:rsidRDefault="00D84965">
      <w:pPr>
        <w:pStyle w:val="P68B1DB1-Normal42"/>
        <w:spacing w:line="240" w:lineRule="auto"/>
        <w:ind w:left="851"/>
        <w:jc w:val="both"/>
        <w:rPr>
          <w:noProof/>
        </w:rPr>
      </w:pPr>
      <w:r>
        <w:rPr>
          <w:noProof/>
        </w:rPr>
        <w:t>Investiția C2.3 R3-I11 – Modernizarea HZMO (eHZMO) în sprijinul TIC</w:t>
      </w:r>
    </w:p>
    <w:p w14:paraId="21A65A5E" w14:textId="77777777" w:rsidR="00FA7C11" w:rsidRDefault="00D84965">
      <w:pPr>
        <w:pStyle w:val="P68B1DB1-Normal33"/>
        <w:spacing w:after="100" w:line="240" w:lineRule="auto"/>
        <w:jc w:val="both"/>
        <w:rPr>
          <w:noProof/>
        </w:rPr>
      </w:pPr>
      <w:r>
        <w:rPr>
          <w:noProof/>
        </w:rPr>
        <w:t xml:space="preserve">Obiectivul acestei investiții este de a moderniza sistemul informatic al Institutului Croat de Asigurări de Pensii (HZMO) și de a digitaliza principalele procese operaționale ale acestuia. </w:t>
      </w:r>
    </w:p>
    <w:p w14:paraId="05E58D29" w14:textId="77777777" w:rsidR="00FA7C11" w:rsidRDefault="00D84965">
      <w:pPr>
        <w:pStyle w:val="P68B1DB1-Normal33"/>
        <w:spacing w:after="100" w:line="240" w:lineRule="auto"/>
        <w:jc w:val="both"/>
        <w:rPr>
          <w:noProof/>
        </w:rPr>
      </w:pPr>
      <w:r>
        <w:rPr>
          <w:noProof/>
        </w:rPr>
        <w:t>Măsura constă în modernizarea sistemului informatic al HZMO.</w:t>
      </w:r>
    </w:p>
    <w:p w14:paraId="52651C89" w14:textId="77777777" w:rsidR="00FA7C11" w:rsidRDefault="00D84965">
      <w:pPr>
        <w:pStyle w:val="P68B1DB1-Normal42"/>
        <w:spacing w:line="240" w:lineRule="auto"/>
        <w:ind w:left="851"/>
        <w:jc w:val="both"/>
        <w:rPr>
          <w:noProof/>
        </w:rPr>
      </w:pPr>
      <w:r>
        <w:rPr>
          <w:noProof/>
        </w:rPr>
        <w:t>Investiția C2.3 R3-I12 – Digitalizarea arhivelor HZMO (eArhiva)</w:t>
      </w:r>
    </w:p>
    <w:p w14:paraId="0C0487EB" w14:textId="77777777" w:rsidR="00FA7C11" w:rsidRDefault="00D84965">
      <w:pPr>
        <w:pStyle w:val="P68B1DB1-Normal33"/>
        <w:spacing w:after="100" w:line="240" w:lineRule="auto"/>
        <w:jc w:val="both"/>
        <w:rPr>
          <w:noProof/>
        </w:rPr>
      </w:pPr>
      <w:r>
        <w:rPr>
          <w:noProof/>
        </w:rPr>
        <w:t xml:space="preserve">Obiectivul acestei investiții este de a digitaliza arhivele Institutului Croat de Asigurări de Pensii (HZMO) și de a îmbunătăți performanța generală a activității HZMO și raportul cost-eficacitate al arhivelor. </w:t>
      </w:r>
    </w:p>
    <w:p w14:paraId="24DEF52D" w14:textId="77777777" w:rsidR="00FA7C11" w:rsidRDefault="00D84965">
      <w:pPr>
        <w:pStyle w:val="P68B1DB1-Normal33"/>
        <w:spacing w:after="100" w:line="240" w:lineRule="auto"/>
        <w:jc w:val="both"/>
        <w:rPr>
          <w:noProof/>
        </w:rPr>
      </w:pPr>
      <w:r>
        <w:rPr>
          <w:noProof/>
        </w:rPr>
        <w:t>Măsura constă în punerea în funcțiune a arhivelor digitale (sistemul de gestionare a arhivelor digitale) și în scanarea și indexarea digitală a paginilor din arhiva națională.</w:t>
      </w:r>
    </w:p>
    <w:p w14:paraId="187078AC" w14:textId="77777777" w:rsidR="00FA7C11" w:rsidRDefault="00D84965">
      <w:pPr>
        <w:pStyle w:val="P68B1DB1-Normal42"/>
        <w:spacing w:line="240" w:lineRule="auto"/>
        <w:ind w:left="851"/>
        <w:jc w:val="both"/>
        <w:rPr>
          <w:noProof/>
        </w:rPr>
      </w:pPr>
      <w:r>
        <w:rPr>
          <w:noProof/>
        </w:rPr>
        <w:t>Investiția C2.3 R3-I13 – Transformarea digitală a administrației fiscale</w:t>
      </w:r>
    </w:p>
    <w:p w14:paraId="2DD2103D" w14:textId="77777777" w:rsidR="00FA7C11" w:rsidRDefault="00D84965">
      <w:pPr>
        <w:pStyle w:val="P68B1DB1-Normal33"/>
        <w:spacing w:after="100" w:line="240" w:lineRule="auto"/>
        <w:jc w:val="both"/>
        <w:rPr>
          <w:noProof/>
        </w:rPr>
      </w:pPr>
      <w:r>
        <w:rPr>
          <w:noProof/>
        </w:rPr>
        <w:t xml:space="preserve">Obiectivul acestei investiții este de a moderniza sistemul de informații al administrației fiscale și de a spori eficiența administrației fiscale. </w:t>
      </w:r>
    </w:p>
    <w:p w14:paraId="6EC5BF03" w14:textId="77777777" w:rsidR="00FA7C11" w:rsidRDefault="00D84965">
      <w:pPr>
        <w:pStyle w:val="P68B1DB1-Normal33"/>
        <w:spacing w:after="100" w:line="240" w:lineRule="auto"/>
        <w:jc w:val="both"/>
        <w:rPr>
          <w:noProof/>
        </w:rPr>
      </w:pPr>
      <w:r>
        <w:rPr>
          <w:noProof/>
        </w:rPr>
        <w:t>Măsura constă în a pune la dispoziție online sistemul de informații actualizat al administrației fiscale și în a-l face accesibil.</w:t>
      </w:r>
    </w:p>
    <w:p w14:paraId="333DC18A" w14:textId="77777777" w:rsidR="00FA7C11" w:rsidRDefault="00D84965">
      <w:pPr>
        <w:pStyle w:val="P68B1DB1-Normal42"/>
        <w:spacing w:line="240" w:lineRule="auto"/>
        <w:ind w:left="851"/>
        <w:jc w:val="both"/>
        <w:rPr>
          <w:noProof/>
        </w:rPr>
      </w:pPr>
      <w:r>
        <w:rPr>
          <w:noProof/>
        </w:rPr>
        <w:t>Investiția C2.3 R3-I14 – Punerea în aplicare a sistemului de plată fără numerar în economie prin facturi electronice cu arhive electronice integrate și contabilitate fiscală activă</w:t>
      </w:r>
    </w:p>
    <w:p w14:paraId="633690E4" w14:textId="77777777" w:rsidR="00FA7C11" w:rsidRDefault="00D84965">
      <w:pPr>
        <w:pStyle w:val="P68B1DB1-Normal33"/>
        <w:spacing w:after="100" w:line="240" w:lineRule="auto"/>
        <w:jc w:val="both"/>
        <w:rPr>
          <w:noProof/>
        </w:rPr>
      </w:pPr>
      <w:r>
        <w:rPr>
          <w:noProof/>
        </w:rPr>
        <w:t xml:space="preserve">Obiectivul acestei investiții este de a institui un sistem de contabilitate fiscală online cu scopul de a reduce sarcina administrativă a contribuabililor. </w:t>
      </w:r>
    </w:p>
    <w:p w14:paraId="3F6158CA" w14:textId="77777777" w:rsidR="00FA7C11" w:rsidRDefault="00D84965">
      <w:pPr>
        <w:pStyle w:val="P68B1DB1-Normal33"/>
        <w:spacing w:after="100" w:line="240" w:lineRule="auto"/>
        <w:jc w:val="both"/>
        <w:rPr>
          <w:noProof/>
        </w:rPr>
      </w:pPr>
      <w:r>
        <w:rPr>
          <w:noProof/>
        </w:rPr>
        <w:t xml:space="preserve">Investiția instituie un nou sistem informatic pentru înregistrarea facturilor electronice (facturi electronice) emise de autoritățile publice pentru plăți fără numerar în Sistemul de informații al administrației fiscale. Investiția instituie, de asemenea, un sistem de contabilitate online avansat în materie de TVA; </w:t>
      </w:r>
    </w:p>
    <w:p w14:paraId="14980EAF" w14:textId="77777777" w:rsidR="00FA7C11" w:rsidRDefault="00D84965">
      <w:pPr>
        <w:pStyle w:val="P68B1DB1-Normal33"/>
        <w:spacing w:after="100" w:line="240" w:lineRule="auto"/>
        <w:jc w:val="both"/>
        <w:rPr>
          <w:noProof/>
        </w:rPr>
      </w:pPr>
      <w:r>
        <w:rPr>
          <w:noProof/>
        </w:rPr>
        <w:t xml:space="preserve">Se preconizează că investiția va contribui la simplificarea declarațiilor fiscale prin reducerea numărului de formulare necesare și va sprijini respectarea obligațiilor fiscale. </w:t>
      </w:r>
    </w:p>
    <w:p w14:paraId="28780620" w14:textId="77777777" w:rsidR="00FA7C11" w:rsidRDefault="00D84965">
      <w:pPr>
        <w:pStyle w:val="P68B1DB1-Normal33"/>
        <w:spacing w:after="100" w:line="240" w:lineRule="auto"/>
        <w:jc w:val="both"/>
        <w:rPr>
          <w:noProof/>
        </w:rPr>
      </w:pPr>
      <w:r>
        <w:rPr>
          <w:noProof/>
        </w:rPr>
        <w:t xml:space="preserve">Investiția se finalizează până la 31 decembrie 2024. </w:t>
      </w:r>
    </w:p>
    <w:p w14:paraId="1F8FB618" w14:textId="77777777" w:rsidR="00FA7C11" w:rsidRDefault="00D84965">
      <w:pPr>
        <w:pStyle w:val="P68B1DB1-Normal42"/>
        <w:spacing w:line="240" w:lineRule="auto"/>
        <w:ind w:left="851"/>
        <w:jc w:val="both"/>
        <w:rPr>
          <w:noProof/>
        </w:rPr>
      </w:pPr>
      <w:r>
        <w:rPr>
          <w:noProof/>
        </w:rPr>
        <w:t xml:space="preserve">Investiția C2.3 R3-I15 – Stabilirea unor soluții pentru aplicațiile turistice </w:t>
      </w:r>
    </w:p>
    <w:p w14:paraId="67498099" w14:textId="77777777" w:rsidR="00FA7C11" w:rsidRDefault="00D84965">
      <w:pPr>
        <w:pStyle w:val="P68B1DB1-Normal33"/>
        <w:spacing w:after="100" w:line="240" w:lineRule="auto"/>
        <w:jc w:val="both"/>
        <w:rPr>
          <w:noProof/>
        </w:rPr>
      </w:pPr>
      <w:r>
        <w:rPr>
          <w:noProof/>
        </w:rPr>
        <w:t xml:space="preserve">Obiectivul acestei investiții este de a dezvolta noi instrumente informatice pentru a contribui la gestionarea eficace a dezvoltării turismului și pentru a sprijini sustenabilitatea sectorului. </w:t>
      </w:r>
    </w:p>
    <w:p w14:paraId="09D74B2C" w14:textId="50814E99" w:rsidR="00FA7C11" w:rsidRDefault="00D84965">
      <w:pPr>
        <w:pStyle w:val="P68B1DB1-Normal33"/>
        <w:spacing w:after="100" w:line="240" w:lineRule="auto"/>
        <w:jc w:val="both"/>
        <w:rPr>
          <w:noProof/>
        </w:rPr>
      </w:pPr>
      <w:r>
        <w:rPr>
          <w:noProof/>
        </w:rPr>
        <w:t>Măsura constă în furnizarea a patru instrumente informatice.</w:t>
      </w:r>
    </w:p>
    <w:p w14:paraId="236B8571" w14:textId="77777777" w:rsidR="00FA7C11" w:rsidRDefault="00D84965">
      <w:pPr>
        <w:pStyle w:val="P68B1DB1-Normal42"/>
        <w:spacing w:line="240" w:lineRule="auto"/>
        <w:ind w:left="851"/>
        <w:jc w:val="both"/>
        <w:rPr>
          <w:noProof/>
        </w:rPr>
      </w:pPr>
      <w:r>
        <w:rPr>
          <w:noProof/>
        </w:rPr>
        <w:t>Investiția C2.3 R3-I16 – Digitalizarea proceselor din sport și recreere la nivel local și regional</w:t>
      </w:r>
    </w:p>
    <w:p w14:paraId="6EEB0B34" w14:textId="089CD72A" w:rsidR="00FA7C11" w:rsidRDefault="00D84965">
      <w:pPr>
        <w:pStyle w:val="P68B1DB1-Normal33"/>
        <w:spacing w:after="100" w:line="240" w:lineRule="auto"/>
        <w:jc w:val="both"/>
        <w:rPr>
          <w:noProof/>
        </w:rPr>
      </w:pPr>
      <w:r>
        <w:rPr>
          <w:noProof/>
        </w:rPr>
        <w:t xml:space="preserve">Obiectivul acestei investiții este de a moderniza sistemul de informații în sport (ISS) și de a facilita accesul la sistem pentru toate părțile interesate relevante. </w:t>
      </w:r>
    </w:p>
    <w:p w14:paraId="4A19AAD9" w14:textId="77777777" w:rsidR="00FA7C11" w:rsidRDefault="00D84965">
      <w:pPr>
        <w:pStyle w:val="P68B1DB1-Normal33"/>
        <w:spacing w:after="100" w:line="240" w:lineRule="auto"/>
        <w:jc w:val="both"/>
        <w:rPr>
          <w:noProof/>
        </w:rPr>
      </w:pPr>
      <w:r>
        <w:rPr>
          <w:noProof/>
        </w:rPr>
        <w:t>Măsura constă în integrarea a trei noi module de aplicații în SSI modernizată.</w:t>
      </w:r>
    </w:p>
    <w:p w14:paraId="55BC2278" w14:textId="77777777" w:rsidR="00FA7C11" w:rsidRDefault="00D84965">
      <w:pPr>
        <w:pStyle w:val="P68B1DB1-Normal42"/>
        <w:spacing w:before="240" w:after="100" w:line="240" w:lineRule="auto"/>
        <w:ind w:left="851"/>
        <w:jc w:val="both"/>
        <w:rPr>
          <w:noProof/>
        </w:rPr>
      </w:pPr>
      <w:r>
        <w:rPr>
          <w:noProof/>
        </w:rPr>
        <w:t>Investiția C2.3 R3-I18 – Contribuții voluntare la întreprinderea comună EuroHPC pentru gigafabrica de IA sau pentru o infrastructură de IA echivalentă</w:t>
      </w:r>
    </w:p>
    <w:p w14:paraId="2D83350E" w14:textId="0C3FF452" w:rsidR="00FA7C11" w:rsidRDefault="00D84965">
      <w:pPr>
        <w:pStyle w:val="P68B1DB1-Normal33"/>
        <w:spacing w:after="100" w:line="240" w:lineRule="auto"/>
        <w:jc w:val="both"/>
        <w:rPr>
          <w:noProof/>
        </w:rPr>
      </w:pPr>
      <w:r>
        <w:rPr>
          <w:noProof/>
        </w:rPr>
        <w:t>Această măsură urmărește să sprijine înființarea de către Croația a gigafabricilor de inteligență artificială și a serviciilor acestora, precum și accesul Croației la acestea. Măsura constă într-o contribuție voluntară de 39 000 000,00 EUR la întreprinderea comună EuroHPC. Contribuția sprijină înființarea în Uniune a unei gigafabrici de IA sau a unei infrastructuri de IA și a unor tehnologii cuantice echivalente.</w:t>
      </w:r>
    </w:p>
    <w:p w14:paraId="1D971D4D" w14:textId="77777777" w:rsidR="00FA7C11" w:rsidRDefault="00D84965">
      <w:pPr>
        <w:pStyle w:val="P68B1DB1-Normal42"/>
        <w:spacing w:line="240" w:lineRule="auto"/>
        <w:ind w:left="851"/>
        <w:jc w:val="both"/>
        <w:rPr>
          <w:noProof/>
        </w:rPr>
      </w:pPr>
      <w:r>
        <w:rPr>
          <w:noProof/>
        </w:rPr>
        <w:t>Reforma C2.3 R4 – Consolidarea conectivității ca piatră de temelie a tranziției digitale a societății și a economiei</w:t>
      </w:r>
    </w:p>
    <w:p w14:paraId="494BC3D3" w14:textId="77777777" w:rsidR="00FA7C11" w:rsidRDefault="00D84965">
      <w:pPr>
        <w:pStyle w:val="P68B1DB1-Normal33"/>
        <w:spacing w:after="100" w:line="240" w:lineRule="auto"/>
        <w:jc w:val="both"/>
        <w:rPr>
          <w:noProof/>
        </w:rPr>
      </w:pPr>
      <w:r>
        <w:rPr>
          <w:noProof/>
        </w:rPr>
        <w:t>Obiectivul acestei reforme este de a pregăti terenul pentru asigurarea disponibilității rețelelor de comunicații electronice care oferă conectivitate la nivel de gigabit gospodăriilor și factorilor socioeconomici, în conformitate cu obiectivele societății europene a gigabiților.</w:t>
      </w:r>
    </w:p>
    <w:p w14:paraId="7AA45FF9" w14:textId="77777777" w:rsidR="00FA7C11" w:rsidRDefault="00D84965">
      <w:pPr>
        <w:pStyle w:val="P68B1DB1-Normal33"/>
        <w:spacing w:after="100" w:line="240" w:lineRule="auto"/>
        <w:jc w:val="both"/>
        <w:rPr>
          <w:noProof/>
        </w:rPr>
      </w:pPr>
      <w:r>
        <w:rPr>
          <w:noProof/>
        </w:rPr>
        <w:t xml:space="preserve">Această reformă urmărește să asigure punerea în aplicare la timp și cuprinzătoare a cadrului strategic și de reglementare în domeniul comunicațiilor electronice, prin adoptarea Legii comunicațiilor electronice, în conformitate cu dispozițiile Directivei (UE) 2018/1972 de instituire a Codului european al comunicațiilor electronice, precum și punerea în aplicare a obiectivelor Planului național privind banda largă în Croația pentru perioada 2021-2027. </w:t>
      </w:r>
    </w:p>
    <w:p w14:paraId="0F02C9FF" w14:textId="77777777" w:rsidR="00FA7C11" w:rsidRDefault="00D84965">
      <w:pPr>
        <w:pStyle w:val="P68B1DB1-Normal33"/>
        <w:spacing w:after="100" w:line="240" w:lineRule="auto"/>
        <w:jc w:val="both"/>
        <w:rPr>
          <w:noProof/>
        </w:rPr>
      </w:pPr>
      <w:r>
        <w:rPr>
          <w:noProof/>
        </w:rPr>
        <w:t xml:space="preserve">Se preconizează că reforma va identifica și va aborda sarcina administrativă și barierele de reglementare legate de construirea rețelelor de conectivitate la nivel de gigabit, inclusiv a rețelelor 5G, pentru a încuraja investițiile în implementarea rețelelor 5G. </w:t>
      </w:r>
    </w:p>
    <w:p w14:paraId="790BFCE5" w14:textId="77777777" w:rsidR="00FA7C11" w:rsidRDefault="00D84965">
      <w:pPr>
        <w:pStyle w:val="P68B1DB1-Normal33"/>
        <w:spacing w:after="100" w:line="240" w:lineRule="auto"/>
        <w:jc w:val="both"/>
        <w:rPr>
          <w:noProof/>
        </w:rPr>
      </w:pPr>
      <w:r>
        <w:rPr>
          <w:noProof/>
        </w:rPr>
        <w:t xml:space="preserve">Această reformă este complementară investițiilor în conectivitatea digitală prin conexiuni în bandă largă în rețele fixe și în rețele wireless și mobile avansate, inclusiv prin utilizarea tehnologiilor 5G. </w:t>
      </w:r>
    </w:p>
    <w:p w14:paraId="5BF1E569" w14:textId="77777777" w:rsidR="00FA7C11" w:rsidRDefault="00D84965">
      <w:pPr>
        <w:pStyle w:val="P68B1DB1-Normal33"/>
        <w:spacing w:after="100" w:line="240" w:lineRule="auto"/>
        <w:jc w:val="both"/>
        <w:rPr>
          <w:noProof/>
        </w:rPr>
      </w:pPr>
      <w:r>
        <w:rPr>
          <w:noProof/>
        </w:rPr>
        <w:t>Această investiție se finalizează până la 30 iunie 2026.</w:t>
      </w:r>
    </w:p>
    <w:p w14:paraId="412188FA" w14:textId="77777777" w:rsidR="00FA7C11" w:rsidRDefault="00D84965">
      <w:pPr>
        <w:pStyle w:val="P68B1DB1-Normal42"/>
        <w:spacing w:after="100" w:line="240" w:lineRule="auto"/>
        <w:ind w:left="720"/>
        <w:jc w:val="both"/>
        <w:rPr>
          <w:noProof/>
        </w:rPr>
      </w:pPr>
      <w:r>
        <w:rPr>
          <w:noProof/>
        </w:rPr>
        <w:t xml:space="preserve">Investiția C2.3 R4-I1 – Punerea în aplicare a proiectelor din cadrul Programului-cadru național pentru dezvoltarea infrastructurii de bandă largă </w:t>
      </w:r>
    </w:p>
    <w:p w14:paraId="55FDF437" w14:textId="1109D448" w:rsidR="00FA7C11" w:rsidRDefault="00D84965">
      <w:pPr>
        <w:pStyle w:val="P68B1DB1-Normal33"/>
        <w:spacing w:after="100" w:line="240" w:lineRule="auto"/>
        <w:jc w:val="both"/>
        <w:rPr>
          <w:noProof/>
        </w:rPr>
      </w:pPr>
      <w:r>
        <w:rPr>
          <w:noProof/>
        </w:rPr>
        <w:t>Obiectivul acestei investiții este de a spori acoperirea națională în bandă largă cu conectivitate la nivel de gigabit în zonele în care nu există un interes comercial suficient, în conformitate cu Programul-cadru național pentru dezvoltarea infrastructurii de acces în bandă largă.</w:t>
      </w:r>
    </w:p>
    <w:p w14:paraId="0A8ED00E" w14:textId="77777777" w:rsidR="00FA7C11" w:rsidRDefault="00D84965">
      <w:pPr>
        <w:pStyle w:val="P68B1DB1-Normal33"/>
        <w:spacing w:after="200" w:line="276" w:lineRule="auto"/>
        <w:jc w:val="both"/>
        <w:rPr>
          <w:noProof/>
        </w:rPr>
      </w:pPr>
      <w:r>
        <w:rPr>
          <w:noProof/>
        </w:rPr>
        <w:t>Măsura constă în semnarea de acorduri de grant pentru punerea în aplicare a proiectelor în temeiul Cadrului național pentru dezvoltarea infrastructurii de acces în bandă largă (ONP) și în furnizarea de acces în bandă largă pentru gospodăriile din zonele NGA albe.</w:t>
      </w:r>
    </w:p>
    <w:p w14:paraId="23D0560C" w14:textId="77777777" w:rsidR="00FA7C11" w:rsidRDefault="00D84965">
      <w:pPr>
        <w:pStyle w:val="P68B1DB1-Normal42"/>
        <w:spacing w:line="240" w:lineRule="auto"/>
        <w:ind w:left="851"/>
        <w:jc w:val="both"/>
        <w:rPr>
          <w:noProof/>
        </w:rPr>
      </w:pPr>
      <w:r>
        <w:rPr>
          <w:noProof/>
        </w:rPr>
        <w:t>Investiția C2.3 R4-I2 – Construirea unei infrastructuri pasive de comunicații electronice</w:t>
      </w:r>
    </w:p>
    <w:p w14:paraId="0A81BD3D" w14:textId="77777777" w:rsidR="00FA7C11" w:rsidRDefault="00D84965">
      <w:pPr>
        <w:pStyle w:val="P68B1DB1-Normal33"/>
        <w:spacing w:after="100" w:line="240" w:lineRule="auto"/>
        <w:jc w:val="both"/>
        <w:rPr>
          <w:noProof/>
        </w:rPr>
      </w:pPr>
      <w:r>
        <w:rPr>
          <w:noProof/>
        </w:rPr>
        <w:t>Obiectivul acestei investiții este de a spori disponibilitatea rețelelor gigabit în zonele rurale și slab populate în care nu există niciun interes comercial pentru construirea acestor rețele.</w:t>
      </w:r>
    </w:p>
    <w:p w14:paraId="2E458D73" w14:textId="77777777" w:rsidR="00FA7C11" w:rsidRDefault="00D84965">
      <w:pPr>
        <w:pStyle w:val="P68B1DB1-Normal33"/>
        <w:spacing w:after="100" w:line="240" w:lineRule="auto"/>
        <w:jc w:val="both"/>
        <w:rPr>
          <w:noProof/>
        </w:rPr>
      </w:pPr>
      <w:r>
        <w:rPr>
          <w:noProof/>
        </w:rPr>
        <w:t>Măsura constă în semnarea unui acord de grant pentru construirea unei infrastructuri pasive de comunicații electronice și asigurarea accesului la tehnologia 5G pentru zonele rurale și slab populate.</w:t>
      </w:r>
    </w:p>
    <w:p w14:paraId="3D5048C6" w14:textId="77777777" w:rsidR="00FA7C11" w:rsidRDefault="00FA7C11">
      <w:pPr>
        <w:spacing w:after="100" w:line="298" w:lineRule="exact"/>
        <w:jc w:val="both"/>
        <w:rPr>
          <w:rFonts w:eastAsia="Calibri"/>
          <w:noProof/>
          <w:szCs w:val="24"/>
        </w:rPr>
      </w:pPr>
    </w:p>
    <w:p w14:paraId="4C049F28" w14:textId="77777777" w:rsidR="00FA7C11" w:rsidRDefault="00FA7C11">
      <w:pPr>
        <w:rPr>
          <w:noProof/>
        </w:rPr>
        <w:sectPr w:rsidR="00FA7C11" w:rsidSect="00FA29B2">
          <w:headerReference w:type="even" r:id="rId170"/>
          <w:headerReference w:type="default" r:id="rId171"/>
          <w:footerReference w:type="even" r:id="rId172"/>
          <w:footerReference w:type="default" r:id="rId173"/>
          <w:headerReference w:type="first" r:id="rId174"/>
          <w:footerReference w:type="first" r:id="rId175"/>
          <w:pgSz w:w="11906" w:h="16838"/>
          <w:pgMar w:top="1134" w:right="1134" w:bottom="1134" w:left="1134" w:header="567" w:footer="567" w:gutter="0"/>
          <w:cols w:space="708"/>
          <w:docGrid w:linePitch="360"/>
        </w:sectPr>
      </w:pPr>
    </w:p>
    <w:p w14:paraId="685AA974" w14:textId="77777777" w:rsidR="00FA7C11" w:rsidRDefault="00D84965">
      <w:pPr>
        <w:pStyle w:val="P68B1DB1-Normal57"/>
        <w:keepNext/>
        <w:tabs>
          <w:tab w:val="num" w:pos="850"/>
        </w:tabs>
        <w:spacing w:before="40" w:after="240"/>
        <w:ind w:left="851"/>
        <w:jc w:val="both"/>
        <w:outlineLvl w:val="1"/>
        <w:rPr>
          <w:noProof/>
        </w:rPr>
      </w:pPr>
      <w:r>
        <w:rPr>
          <w:noProof/>
        </w:rPr>
        <w:t xml:space="preserve">I.2. </w:t>
      </w:r>
      <w:r>
        <w:rPr>
          <w:noProof/>
        </w:rPr>
        <w:tab/>
        <w:t>Jaloane, ținte, indicatori și calendarul de monitorizare și implementare aplicabile sprijinului financiar nerambursabil</w:t>
      </w:r>
    </w:p>
    <w:tbl>
      <w:tblPr>
        <w:tblW w:w="15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8"/>
        <w:gridCol w:w="1274"/>
        <w:gridCol w:w="1345"/>
        <w:gridCol w:w="1793"/>
        <w:gridCol w:w="2056"/>
        <w:gridCol w:w="1067"/>
        <w:gridCol w:w="916"/>
        <w:gridCol w:w="1134"/>
        <w:gridCol w:w="967"/>
        <w:gridCol w:w="707"/>
        <w:gridCol w:w="4092"/>
      </w:tblGrid>
      <w:tr w:rsidR="00FA7C11" w14:paraId="62D6C693" w14:textId="77777777">
        <w:trPr>
          <w:trHeight w:val="300"/>
          <w:tblHeader/>
          <w:jc w:val="center"/>
        </w:trPr>
        <w:tc>
          <w:tcPr>
            <w:tcW w:w="768" w:type="dxa"/>
            <w:vMerge w:val="restart"/>
            <w:shd w:val="clear" w:color="auto" w:fill="BDD7EE"/>
            <w:vAlign w:val="center"/>
            <w:hideMark/>
          </w:tcPr>
          <w:p w14:paraId="7923C4DE" w14:textId="77777777" w:rsidR="00FA7C11" w:rsidRDefault="00D84965">
            <w:pPr>
              <w:pStyle w:val="P68B1DB1-Normal58"/>
              <w:spacing w:after="0" w:line="276" w:lineRule="auto"/>
              <w:jc w:val="center"/>
              <w:rPr>
                <w:bCs/>
                <w:noProof/>
              </w:rPr>
            </w:pPr>
            <w:r>
              <w:rPr>
                <w:noProof/>
              </w:rPr>
              <w:t>Număr</w:t>
            </w:r>
          </w:p>
        </w:tc>
        <w:tc>
          <w:tcPr>
            <w:tcW w:w="1274" w:type="dxa"/>
            <w:vMerge w:val="restart"/>
            <w:shd w:val="clear" w:color="auto" w:fill="BDD7EE"/>
            <w:vAlign w:val="center"/>
            <w:hideMark/>
          </w:tcPr>
          <w:p w14:paraId="6C4470E8" w14:textId="77777777" w:rsidR="00FA7C11" w:rsidRDefault="00D84965">
            <w:pPr>
              <w:pStyle w:val="P68B1DB1-Normal58"/>
              <w:spacing w:after="0" w:line="276" w:lineRule="auto"/>
              <w:jc w:val="center"/>
              <w:rPr>
                <w:noProof/>
              </w:rPr>
            </w:pPr>
            <w:r>
              <w:rPr>
                <w:noProof/>
              </w:rPr>
              <w:t>Măsură</w:t>
            </w:r>
          </w:p>
        </w:tc>
        <w:tc>
          <w:tcPr>
            <w:tcW w:w="1193" w:type="dxa"/>
            <w:vMerge w:val="restart"/>
            <w:shd w:val="clear" w:color="auto" w:fill="BDD7EE"/>
            <w:vAlign w:val="center"/>
            <w:hideMark/>
          </w:tcPr>
          <w:p w14:paraId="18AC62A7" w14:textId="77777777" w:rsidR="00FA7C11" w:rsidRDefault="00D84965">
            <w:pPr>
              <w:pStyle w:val="P68B1DB1-Normal58"/>
              <w:spacing w:after="0" w:line="276" w:lineRule="auto"/>
              <w:jc w:val="center"/>
              <w:rPr>
                <w:noProof/>
              </w:rPr>
            </w:pPr>
            <w:r>
              <w:rPr>
                <w:noProof/>
              </w:rPr>
              <w:t>Etapă/Obiectiv</w:t>
            </w:r>
          </w:p>
        </w:tc>
        <w:tc>
          <w:tcPr>
            <w:tcW w:w="1793" w:type="dxa"/>
            <w:vMerge w:val="restart"/>
            <w:shd w:val="clear" w:color="auto" w:fill="BDD7EE"/>
            <w:vAlign w:val="center"/>
            <w:hideMark/>
          </w:tcPr>
          <w:p w14:paraId="28516993" w14:textId="77777777" w:rsidR="00FA7C11" w:rsidRDefault="00D84965">
            <w:pPr>
              <w:pStyle w:val="P68B1DB1-Normal58"/>
              <w:spacing w:after="0" w:line="276" w:lineRule="auto"/>
              <w:jc w:val="center"/>
              <w:rPr>
                <w:noProof/>
              </w:rPr>
            </w:pPr>
            <w:r>
              <w:rPr>
                <w:noProof/>
              </w:rPr>
              <w:t>Nume</w:t>
            </w:r>
          </w:p>
        </w:tc>
        <w:tc>
          <w:tcPr>
            <w:tcW w:w="2056" w:type="dxa"/>
            <w:vMerge w:val="restart"/>
            <w:shd w:val="clear" w:color="auto" w:fill="BDD7EE"/>
            <w:vAlign w:val="center"/>
            <w:hideMark/>
          </w:tcPr>
          <w:p w14:paraId="564BFC20" w14:textId="77777777" w:rsidR="00FA7C11" w:rsidRDefault="00D84965">
            <w:pPr>
              <w:pStyle w:val="P68B1DB1-Normal58"/>
              <w:spacing w:after="0" w:line="276" w:lineRule="auto"/>
              <w:jc w:val="center"/>
              <w:rPr>
                <w:noProof/>
              </w:rPr>
            </w:pPr>
            <w:r>
              <w:rPr>
                <w:noProof/>
              </w:rPr>
              <w:t xml:space="preserve">Indicatori calitativi </w:t>
            </w:r>
            <w:r>
              <w:rPr>
                <w:noProof/>
              </w:rPr>
              <w:br/>
              <w:t>(pentru jaloane)</w:t>
            </w:r>
          </w:p>
        </w:tc>
        <w:tc>
          <w:tcPr>
            <w:tcW w:w="3117" w:type="dxa"/>
            <w:gridSpan w:val="3"/>
            <w:shd w:val="clear" w:color="auto" w:fill="BDD7EE"/>
            <w:vAlign w:val="center"/>
            <w:hideMark/>
          </w:tcPr>
          <w:p w14:paraId="3C143BA8" w14:textId="77777777" w:rsidR="00FA7C11" w:rsidRDefault="00D84965">
            <w:pPr>
              <w:pStyle w:val="P68B1DB1-Normal58"/>
              <w:spacing w:after="0" w:line="276" w:lineRule="auto"/>
              <w:jc w:val="center"/>
              <w:rPr>
                <w:noProof/>
              </w:rPr>
            </w:pPr>
            <w:r>
              <w:rPr>
                <w:noProof/>
              </w:rPr>
              <w:t xml:space="preserve">Indicatori cantitativi </w:t>
            </w:r>
            <w:r>
              <w:rPr>
                <w:noProof/>
              </w:rPr>
              <w:br/>
              <w:t>(pentru obiective)</w:t>
            </w:r>
          </w:p>
        </w:tc>
        <w:tc>
          <w:tcPr>
            <w:tcW w:w="1674" w:type="dxa"/>
            <w:gridSpan w:val="2"/>
            <w:shd w:val="clear" w:color="auto" w:fill="BDD7EE"/>
            <w:vAlign w:val="center"/>
            <w:hideMark/>
          </w:tcPr>
          <w:p w14:paraId="6F416250" w14:textId="77777777" w:rsidR="00FA7C11" w:rsidRDefault="00D84965">
            <w:pPr>
              <w:pStyle w:val="P68B1DB1-Normal58"/>
              <w:spacing w:after="0" w:line="276" w:lineRule="auto"/>
              <w:jc w:val="center"/>
              <w:rPr>
                <w:noProof/>
              </w:rPr>
            </w:pPr>
            <w:r>
              <w:rPr>
                <w:noProof/>
              </w:rPr>
              <w:t>Timp</w:t>
            </w:r>
          </w:p>
        </w:tc>
        <w:tc>
          <w:tcPr>
            <w:tcW w:w="4092" w:type="dxa"/>
            <w:vMerge w:val="restart"/>
            <w:shd w:val="clear" w:color="auto" w:fill="BDD7EE"/>
            <w:vAlign w:val="center"/>
            <w:hideMark/>
          </w:tcPr>
          <w:p w14:paraId="3A657F70" w14:textId="77777777" w:rsidR="00FA7C11" w:rsidRDefault="00D84965">
            <w:pPr>
              <w:pStyle w:val="P68B1DB1-Normal58"/>
              <w:spacing w:after="0" w:line="276" w:lineRule="auto"/>
              <w:jc w:val="center"/>
              <w:rPr>
                <w:noProof/>
              </w:rPr>
            </w:pPr>
            <w:r>
              <w:rPr>
                <w:noProof/>
              </w:rPr>
              <w:t>Descrierea fiecărui jalon și a fiecărei ținte</w:t>
            </w:r>
          </w:p>
        </w:tc>
      </w:tr>
      <w:tr w:rsidR="00FA7C11" w14:paraId="49A36FEE" w14:textId="77777777">
        <w:trPr>
          <w:trHeight w:val="300"/>
          <w:tblHeader/>
          <w:jc w:val="center"/>
        </w:trPr>
        <w:tc>
          <w:tcPr>
            <w:tcW w:w="768" w:type="dxa"/>
            <w:vMerge/>
            <w:hideMark/>
          </w:tcPr>
          <w:p w14:paraId="648CDBE7"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274" w:type="dxa"/>
            <w:vMerge/>
            <w:hideMark/>
          </w:tcPr>
          <w:p w14:paraId="0ADD1958"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93" w:type="dxa"/>
            <w:vMerge/>
            <w:hideMark/>
          </w:tcPr>
          <w:p w14:paraId="5F21F213"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793" w:type="dxa"/>
            <w:vMerge/>
            <w:hideMark/>
          </w:tcPr>
          <w:p w14:paraId="3450AA14" w14:textId="77777777" w:rsidR="00FA7C11" w:rsidRDefault="00FA7C11">
            <w:pPr>
              <w:spacing w:after="0" w:line="276" w:lineRule="auto"/>
              <w:rPr>
                <w:rFonts w:ascii="Times New Roman" w:eastAsia="Times New Roman" w:hAnsi="Times New Roman" w:cs="Times New Roman"/>
                <w:b/>
                <w:noProof/>
                <w:sz w:val="20"/>
                <w:szCs w:val="20"/>
              </w:rPr>
            </w:pPr>
          </w:p>
        </w:tc>
        <w:tc>
          <w:tcPr>
            <w:tcW w:w="0" w:type="auto"/>
            <w:vMerge/>
            <w:hideMark/>
          </w:tcPr>
          <w:p w14:paraId="15999FAE" w14:textId="77777777" w:rsidR="00FA7C11" w:rsidRDefault="00FA7C11">
            <w:pPr>
              <w:spacing w:after="0" w:line="276" w:lineRule="auto"/>
              <w:rPr>
                <w:rFonts w:ascii="Times New Roman" w:eastAsia="Times New Roman" w:hAnsi="Times New Roman" w:cs="Times New Roman"/>
                <w:b/>
                <w:noProof/>
                <w:sz w:val="20"/>
                <w:szCs w:val="20"/>
              </w:rPr>
            </w:pPr>
          </w:p>
        </w:tc>
        <w:tc>
          <w:tcPr>
            <w:tcW w:w="1067" w:type="dxa"/>
            <w:shd w:val="clear" w:color="auto" w:fill="BDD7EE"/>
            <w:hideMark/>
          </w:tcPr>
          <w:p w14:paraId="418F8497" w14:textId="77777777" w:rsidR="00FA7C11" w:rsidRDefault="00D84965">
            <w:pPr>
              <w:pStyle w:val="P68B1DB1-Normal58"/>
              <w:spacing w:after="0" w:line="276" w:lineRule="auto"/>
              <w:jc w:val="center"/>
              <w:rPr>
                <w:noProof/>
              </w:rPr>
            </w:pPr>
            <w:r>
              <w:rPr>
                <w:noProof/>
              </w:rPr>
              <w:t>Unitate</w:t>
            </w:r>
          </w:p>
        </w:tc>
        <w:tc>
          <w:tcPr>
            <w:tcW w:w="916" w:type="dxa"/>
            <w:shd w:val="clear" w:color="auto" w:fill="BDD7EE"/>
            <w:hideMark/>
          </w:tcPr>
          <w:p w14:paraId="39DE7F67" w14:textId="77777777" w:rsidR="00FA7C11" w:rsidRDefault="00D84965">
            <w:pPr>
              <w:pStyle w:val="P68B1DB1-Normal58"/>
              <w:spacing w:after="0" w:line="276" w:lineRule="auto"/>
              <w:jc w:val="center"/>
              <w:rPr>
                <w:noProof/>
              </w:rPr>
            </w:pPr>
            <w:r>
              <w:rPr>
                <w:noProof/>
              </w:rPr>
              <w:t>Situația de referință</w:t>
            </w:r>
          </w:p>
        </w:tc>
        <w:tc>
          <w:tcPr>
            <w:tcW w:w="1134" w:type="dxa"/>
            <w:shd w:val="clear" w:color="auto" w:fill="BDD7EE"/>
            <w:hideMark/>
          </w:tcPr>
          <w:p w14:paraId="27CA777F" w14:textId="77777777" w:rsidR="00FA7C11" w:rsidRDefault="00D84965">
            <w:pPr>
              <w:pStyle w:val="P68B1DB1-Normal58"/>
              <w:spacing w:after="0" w:line="276" w:lineRule="auto"/>
              <w:jc w:val="center"/>
              <w:rPr>
                <w:noProof/>
              </w:rPr>
            </w:pPr>
            <w:r>
              <w:rPr>
                <w:noProof/>
              </w:rPr>
              <w:t>Obiectiv</w:t>
            </w:r>
          </w:p>
        </w:tc>
        <w:tc>
          <w:tcPr>
            <w:tcW w:w="967" w:type="dxa"/>
            <w:shd w:val="clear" w:color="auto" w:fill="BDD7EE"/>
            <w:hideMark/>
          </w:tcPr>
          <w:p w14:paraId="1D571E41" w14:textId="77777777" w:rsidR="00FA7C11" w:rsidRDefault="00D84965">
            <w:pPr>
              <w:pStyle w:val="P68B1DB1-Normal58"/>
              <w:spacing w:after="0" w:line="276" w:lineRule="auto"/>
              <w:jc w:val="center"/>
              <w:rPr>
                <w:noProof/>
              </w:rPr>
            </w:pPr>
            <w:r>
              <w:rPr>
                <w:noProof/>
              </w:rPr>
              <w:t>Trimestru</w:t>
            </w:r>
          </w:p>
        </w:tc>
        <w:tc>
          <w:tcPr>
            <w:tcW w:w="707" w:type="dxa"/>
            <w:shd w:val="clear" w:color="auto" w:fill="BDD7EE"/>
            <w:hideMark/>
          </w:tcPr>
          <w:p w14:paraId="3230524B" w14:textId="77777777" w:rsidR="00FA7C11" w:rsidRDefault="00D84965">
            <w:pPr>
              <w:pStyle w:val="P68B1DB1-Normal58"/>
              <w:spacing w:after="0" w:line="276" w:lineRule="auto"/>
              <w:jc w:val="center"/>
              <w:rPr>
                <w:noProof/>
              </w:rPr>
            </w:pPr>
            <w:r>
              <w:rPr>
                <w:noProof/>
              </w:rPr>
              <w:t>Anul</w:t>
            </w:r>
          </w:p>
        </w:tc>
        <w:tc>
          <w:tcPr>
            <w:tcW w:w="4092" w:type="dxa"/>
            <w:vMerge/>
            <w:hideMark/>
          </w:tcPr>
          <w:p w14:paraId="02D1E74F"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6039CC2E"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E09DA14" w14:textId="77777777" w:rsidR="00FA7C11" w:rsidRDefault="00D84965">
            <w:pPr>
              <w:pStyle w:val="P68B1DB1-Normal66"/>
              <w:spacing w:after="0" w:line="276" w:lineRule="auto"/>
              <w:jc w:val="center"/>
              <w:rPr>
                <w:noProof/>
              </w:rPr>
            </w:pPr>
            <w:r>
              <w:rPr>
                <w:noProof/>
              </w:rPr>
              <w:t>176</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7AFFE8DC" w14:textId="77777777" w:rsidR="00FA7C11" w:rsidRDefault="00D84965">
            <w:pPr>
              <w:pStyle w:val="P68B1DB1-Normal66"/>
              <w:spacing w:after="200" w:line="276" w:lineRule="auto"/>
              <w:jc w:val="center"/>
              <w:rPr>
                <w:noProof/>
              </w:rPr>
            </w:pPr>
            <w:r>
              <w:rPr>
                <w:noProof/>
              </w:rPr>
              <w:t>C2.3. R1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6953795"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5822C1D" w14:textId="77777777" w:rsidR="00FA7C11" w:rsidRDefault="00D84965">
            <w:pPr>
              <w:pStyle w:val="P68B1DB1-Normal66"/>
              <w:spacing w:after="200" w:line="276" w:lineRule="auto"/>
              <w:rPr>
                <w:noProof/>
              </w:rPr>
            </w:pPr>
            <w:r>
              <w:rPr>
                <w:noProof/>
              </w:rPr>
              <w:t xml:space="preserve"> Strategia digitală pentru Croația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4DE33E55" w14:textId="77777777" w:rsidR="00FA7C11" w:rsidRDefault="00D84965">
            <w:pPr>
              <w:pStyle w:val="P68B1DB1-Normal66"/>
              <w:spacing w:after="200" w:line="276" w:lineRule="auto"/>
              <w:rPr>
                <w:noProof/>
              </w:rPr>
            </w:pPr>
            <w:r>
              <w:rPr>
                <w:noProof/>
              </w:rPr>
              <w:t>Intrarea în vigoare a Strategiei digitale pentru Croația</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1DB2F01"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70A6F0F5"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F76DEAA"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E48FCBF"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114EED2" w14:textId="77777777" w:rsidR="00FA7C11" w:rsidRDefault="00D84965">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B1ADA69" w14:textId="77777777" w:rsidR="00FA7C11" w:rsidRDefault="00D84965">
            <w:pPr>
              <w:pStyle w:val="P68B1DB1-Normal66"/>
              <w:spacing w:after="200" w:line="276" w:lineRule="auto"/>
              <w:rPr>
                <w:noProof/>
              </w:rPr>
            </w:pPr>
            <w:r>
              <w:rPr>
                <w:noProof/>
              </w:rPr>
              <w:t>„Strategia digitală pentru Croația 2030” definește în mod clar obiectivele și prioritățile strategice care vor sta la baza definirii acțiunilor în următoarele domenii: digitalizarea administrației publice și a sistemului judiciar; dezvoltarea rețelelor de comunicații electronice în bandă largă; dezvoltarea competențelor digitale și a locurilor de muncă în sectorul digital.</w:t>
            </w:r>
          </w:p>
        </w:tc>
      </w:tr>
      <w:tr w:rsidR="00FA7C11" w14:paraId="4D32A56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45AD8FA" w14:textId="77777777" w:rsidR="00FA7C11" w:rsidRDefault="00D84965">
            <w:pPr>
              <w:pStyle w:val="P68B1DB1-Normal66"/>
              <w:spacing w:after="200" w:line="276" w:lineRule="auto"/>
              <w:jc w:val="center"/>
              <w:rPr>
                <w:noProof/>
              </w:rPr>
            </w:pPr>
            <w:r>
              <w:rPr>
                <w:noProof/>
              </w:rPr>
              <w:t>177</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C42C79C" w14:textId="77777777" w:rsidR="00FA7C11" w:rsidRDefault="00D84965">
            <w:pPr>
              <w:pStyle w:val="P68B1DB1-Normal66"/>
              <w:spacing w:after="200" w:line="276" w:lineRule="auto"/>
              <w:jc w:val="center"/>
              <w:rPr>
                <w:noProof/>
              </w:rPr>
            </w:pPr>
            <w:r>
              <w:rPr>
                <w:noProof/>
              </w:rPr>
              <w:t>C2.3. R2</w:t>
            </w:r>
            <w:r>
              <w:rPr>
                <w:noProof/>
              </w:rPr>
              <w:br/>
              <w:t>C2.3. R2.I2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38F08EE1"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7FA61418" w14:textId="77777777" w:rsidR="00FA7C11" w:rsidRDefault="00D84965">
            <w:pPr>
              <w:pStyle w:val="P68B1DB1-Normal66"/>
              <w:spacing w:after="200" w:line="276" w:lineRule="auto"/>
              <w:rPr>
                <w:noProof/>
              </w:rPr>
            </w:pPr>
            <w:r>
              <w:rPr>
                <w:noProof/>
              </w:rPr>
              <w:t xml:space="preserve">Crearea platformelor pentru sistemul central de interoperabilitate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215DCC10" w14:textId="77777777" w:rsidR="00FA7C11" w:rsidRDefault="00D84965">
            <w:pPr>
              <w:pStyle w:val="P68B1DB1-Normal66"/>
              <w:spacing w:after="200" w:line="276" w:lineRule="auto"/>
              <w:rPr>
                <w:noProof/>
              </w:rPr>
            </w:pPr>
            <w:r>
              <w:rPr>
                <w:noProof/>
              </w:rPr>
              <w:t>Raport al Biroului central pentru dezvoltarea societății digitale (SDURDD) potrivit căruia platformele sunt operaționale și testate pentru utilizare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66A58A8"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58D7EC83"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E99425E"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0893F5C1"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F47AC47" w14:textId="77777777" w:rsidR="00FA7C11" w:rsidRDefault="00D84965">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6BA8FE5A" w14:textId="77777777" w:rsidR="00FA7C11" w:rsidRDefault="00D84965">
            <w:pPr>
              <w:pStyle w:val="P68B1DB1-Normal66"/>
              <w:spacing w:after="200" w:line="276" w:lineRule="auto"/>
              <w:rPr>
                <w:noProof/>
              </w:rPr>
            </w:pPr>
            <w:r>
              <w:rPr>
                <w:noProof/>
              </w:rPr>
              <w:t>Portalul național central de interoperabilitate furnizează un catalog al tuturor serviciilor disponibile, iar depozitul de date (DWH) este operațional pentru utilizare.</w:t>
            </w:r>
          </w:p>
        </w:tc>
      </w:tr>
      <w:tr w:rsidR="00FA7C11" w14:paraId="7757A84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AFF3642" w14:textId="77777777" w:rsidR="00FA7C11" w:rsidRDefault="00D84965">
            <w:pPr>
              <w:pStyle w:val="P68B1DB1-Normal66"/>
              <w:spacing w:after="200" w:line="276" w:lineRule="auto"/>
              <w:jc w:val="center"/>
              <w:rPr>
                <w:noProof/>
              </w:rPr>
            </w:pPr>
            <w:r>
              <w:rPr>
                <w:noProof/>
              </w:rPr>
              <w:t>178</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1BD14869" w14:textId="77777777" w:rsidR="00FA7C11" w:rsidRDefault="00D84965">
            <w:pPr>
              <w:pStyle w:val="P68B1DB1-Normal66"/>
              <w:spacing w:after="200" w:line="276" w:lineRule="auto"/>
              <w:jc w:val="center"/>
              <w:rPr>
                <w:noProof/>
              </w:rPr>
            </w:pPr>
            <w:r>
              <w:rPr>
                <w:noProof/>
              </w:rPr>
              <w:t>C2.3. R2-I1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6D3B418"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2B0CF4A" w14:textId="77777777" w:rsidR="00FA7C11" w:rsidRDefault="00D84965">
            <w:pPr>
              <w:pStyle w:val="P68B1DB1-Normal66"/>
              <w:spacing w:after="200" w:line="276" w:lineRule="auto"/>
              <w:rPr>
                <w:noProof/>
              </w:rPr>
            </w:pPr>
            <w:r>
              <w:rPr>
                <w:noProof/>
              </w:rPr>
              <w:t xml:space="preserve">Instituirea sistemului central de interoperabilitate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40D2A2B" w14:textId="77777777" w:rsidR="00FA7C11" w:rsidRDefault="00D84965">
            <w:pPr>
              <w:pStyle w:val="P68B1DB1-Normal66"/>
              <w:spacing w:after="200" w:line="276" w:lineRule="auto"/>
              <w:rPr>
                <w:noProof/>
              </w:rPr>
            </w:pPr>
            <w:r>
              <w:rPr>
                <w:noProof/>
              </w:rPr>
              <w:t>Raport al Biroului central pentru dezvoltarea societății digitale (SDURDD) potrivit căruia sistemul este operațional și testat pentru utilizare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581776C1"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1733C0BA"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77567A7"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E164178" w14:textId="77777777" w:rsidR="00FA7C11" w:rsidRDefault="00D84965">
            <w:pPr>
              <w:pStyle w:val="P68B1DB1-Normal66"/>
              <w:spacing w:after="200" w:line="276" w:lineRule="auto"/>
              <w:jc w:val="center"/>
              <w:rPr>
                <w:noProof/>
                <w:color w:val="000000" w:themeColor="text1"/>
              </w:rPr>
            </w:pPr>
            <w:r>
              <w:rPr>
                <w:noProof/>
              </w:rPr>
              <w:t>Î3</w:t>
            </w:r>
          </w:p>
          <w:p w14:paraId="26DA5D3B" w14:textId="77777777" w:rsidR="00FA7C11" w:rsidRDefault="00D84965">
            <w:pPr>
              <w:pStyle w:val="P68B1DB1-Normal70"/>
              <w:tabs>
                <w:tab w:val="left" w:pos="740"/>
              </w:tabs>
              <w:rPr>
                <w:noProof/>
              </w:rPr>
            </w:pPr>
            <w:r>
              <w:rPr>
                <w:noProof/>
              </w:rPr>
              <w:tab/>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2376299" w14:textId="77777777" w:rsidR="00FA7C11" w:rsidRDefault="00D84965">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1CE49F8" w14:textId="77777777" w:rsidR="00FA7C11" w:rsidRDefault="00D84965">
            <w:pPr>
              <w:pStyle w:val="P68B1DB1-Normal66"/>
              <w:spacing w:after="200" w:line="276" w:lineRule="auto"/>
              <w:rPr>
                <w:noProof/>
              </w:rPr>
            </w:pPr>
            <w:r>
              <w:rPr>
                <w:noProof/>
              </w:rPr>
              <w:t>Sistemul central interoperabil, care asigură interoperabilitatea registrelor, este online și accesibil. Acesta trebuie:</w:t>
            </w:r>
          </w:p>
          <w:p w14:paraId="21F88663" w14:textId="77777777" w:rsidR="00FA7C11" w:rsidRDefault="00D84965">
            <w:pPr>
              <w:pStyle w:val="P68B1DB1-ListParagraph78"/>
              <w:numPr>
                <w:ilvl w:val="0"/>
                <w:numId w:val="59"/>
              </w:numPr>
              <w:spacing w:after="0" w:line="240" w:lineRule="auto"/>
              <w:ind w:left="414" w:hanging="284"/>
              <w:rPr>
                <w:noProof/>
              </w:rPr>
            </w:pPr>
            <w:r>
              <w:rPr>
                <w:noProof/>
              </w:rPr>
              <w:t xml:space="preserve">să asigure furnizarea online către utilizatorii transfrontalieri din UE a </w:t>
            </w:r>
            <w:r>
              <w:rPr>
                <w:noProof/>
                <w:u w:val="single"/>
              </w:rPr>
              <w:t>19</w:t>
            </w:r>
            <w:r>
              <w:rPr>
                <w:noProof/>
              </w:rPr>
              <w:t xml:space="preserve"> de proceduri administrative enumerate în anexa II la Regulamentul privind portalul digital unic;</w:t>
            </w:r>
          </w:p>
          <w:p w14:paraId="56484EE4" w14:textId="77777777" w:rsidR="00FA7C11" w:rsidRDefault="00D84965">
            <w:pPr>
              <w:pStyle w:val="P68B1DB1-ListParagraph78"/>
              <w:numPr>
                <w:ilvl w:val="0"/>
                <w:numId w:val="59"/>
              </w:numPr>
              <w:spacing w:after="0" w:line="240" w:lineRule="auto"/>
              <w:ind w:left="414" w:hanging="340"/>
              <w:rPr>
                <w:noProof/>
              </w:rPr>
            </w:pPr>
            <w:r>
              <w:rPr>
                <w:noProof/>
              </w:rPr>
              <w:t>să includă portalul național central;</w:t>
            </w:r>
          </w:p>
          <w:p w14:paraId="2F07733F" w14:textId="3BE7B8D8" w:rsidR="00FA7C11" w:rsidRDefault="00D84965">
            <w:pPr>
              <w:pStyle w:val="P68B1DB1-ListParagraph78"/>
              <w:numPr>
                <w:ilvl w:val="0"/>
                <w:numId w:val="59"/>
              </w:numPr>
              <w:spacing w:after="0" w:line="240" w:lineRule="auto"/>
              <w:ind w:left="414" w:hanging="340"/>
              <w:rPr>
                <w:noProof/>
              </w:rPr>
            </w:pPr>
            <w:r>
              <w:rPr>
                <w:noProof/>
              </w:rPr>
              <w:t>să integreze și să interconecteze în sistem cel puțin opt registre publice principale suplimentare existente;</w:t>
            </w:r>
          </w:p>
          <w:p w14:paraId="4BDCF960" w14:textId="77777777" w:rsidR="00FA7C11" w:rsidRDefault="00D84965">
            <w:pPr>
              <w:pStyle w:val="P68B1DB1-ListParagraph78"/>
              <w:numPr>
                <w:ilvl w:val="0"/>
                <w:numId w:val="59"/>
              </w:numPr>
              <w:spacing w:after="0" w:line="240" w:lineRule="auto"/>
              <w:ind w:left="414" w:hanging="340"/>
              <w:rPr>
                <w:noProof/>
              </w:rPr>
            </w:pPr>
            <w:r>
              <w:rPr>
                <w:noProof/>
              </w:rPr>
              <w:t>să se asigure că informațiile din diferitele registre sunt consolidate într-un singur loc și sunt puse la dispoziția administrațiilor publice, a cetățenilor și a întreprinderilor.</w:t>
            </w:r>
          </w:p>
        </w:tc>
      </w:tr>
      <w:tr w:rsidR="00FA7C11" w14:paraId="7C2BE10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8DF5B72" w14:textId="77777777" w:rsidR="00FA7C11" w:rsidRDefault="00D84965">
            <w:pPr>
              <w:pStyle w:val="P68B1DB1-Normal66"/>
              <w:spacing w:after="200" w:line="276" w:lineRule="auto"/>
              <w:jc w:val="center"/>
              <w:rPr>
                <w:noProof/>
              </w:rPr>
            </w:pPr>
            <w:r>
              <w:rPr>
                <w:noProof/>
              </w:rPr>
              <w:t>179</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BC41256" w14:textId="77777777" w:rsidR="00FA7C11" w:rsidRDefault="00D84965">
            <w:pPr>
              <w:pStyle w:val="P68B1DB1-Normal66"/>
              <w:spacing w:after="200" w:line="276" w:lineRule="auto"/>
              <w:jc w:val="center"/>
              <w:rPr>
                <w:noProof/>
              </w:rPr>
            </w:pPr>
            <w:r>
              <w:rPr>
                <w:noProof/>
              </w:rPr>
              <w:t>C2.3. R3-I1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1C0032B4" w14:textId="77777777" w:rsidR="00FA7C11" w:rsidRDefault="00D84965">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EA5E57A" w14:textId="77777777" w:rsidR="00FA7C11" w:rsidRDefault="00D84965">
            <w:pPr>
              <w:pStyle w:val="P68B1DB1-Normal66"/>
              <w:spacing w:after="200" w:line="276" w:lineRule="auto"/>
              <w:rPr>
                <w:noProof/>
              </w:rPr>
            </w:pPr>
            <w:r>
              <w:rPr>
                <w:noProof/>
              </w:rPr>
              <w:t xml:space="preserve">Modernizarea cloudului de stat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4D615B1A" w14:textId="1646E53C" w:rsidR="00FA7C11" w:rsidRDefault="00D84965">
            <w:pPr>
              <w:pStyle w:val="P68B1DB1-Normal66"/>
              <w:spacing w:after="200" w:line="276" w:lineRule="auto"/>
              <w:rPr>
                <w:noProof/>
              </w:rPr>
            </w:pPr>
            <w:r>
              <w:rPr>
                <w:noProof/>
              </w:rPr>
              <w:t xml:space="preserve">Raportul Biroului central pentru dezvoltarea societății digitale (SDURDD)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AF0CFDC" w14:textId="77777777" w:rsidR="00FA7C11" w:rsidRDefault="00D84965">
            <w:pPr>
              <w:pStyle w:val="P68B1DB1-Normal66"/>
              <w:spacing w:after="200" w:line="276" w:lineRule="auto"/>
              <w:jc w:val="center"/>
              <w:rPr>
                <w:noProof/>
              </w:rPr>
            </w:pPr>
            <w:r>
              <w:rPr>
                <w:noProof/>
              </w:rPr>
              <w:t>Număr</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7362F579" w14:textId="77777777" w:rsidR="00FA7C11" w:rsidRDefault="00D84965">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67018E5" w14:textId="77777777" w:rsidR="00FA7C11" w:rsidRDefault="00D84965">
            <w:pPr>
              <w:pStyle w:val="P68B1DB1-Normal66"/>
              <w:spacing w:after="200" w:line="276" w:lineRule="auto"/>
              <w:jc w:val="center"/>
              <w:rPr>
                <w:noProof/>
              </w:rPr>
            </w:pPr>
            <w:r>
              <w:rPr>
                <w:noProof/>
              </w:rPr>
              <w:t>6</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0577DF70"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62C381C9" w14:textId="77777777" w:rsidR="00FA7C11" w:rsidRDefault="00D84965">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0156DB68" w14:textId="77777777" w:rsidR="00FA7C11" w:rsidRDefault="00D84965">
            <w:pPr>
              <w:pStyle w:val="P68B1DB1-Normal66"/>
              <w:spacing w:after="200" w:line="276" w:lineRule="auto"/>
              <w:rPr>
                <w:noProof/>
              </w:rPr>
            </w:pPr>
            <w:r>
              <w:rPr>
                <w:noProof/>
              </w:rPr>
              <w:t>6 noile funcționalități trebuie să fie operaționale pentru a fi utilizate în cloudul de stat (CDU) și accesibile utilizatorilor:</w:t>
            </w:r>
            <w:r>
              <w:rPr>
                <w:noProof/>
              </w:rPr>
              <w:br/>
              <w:t xml:space="preserve">— O platformă pentru dezvoltarea, implementarea și testarea aplicațiilor pentru utilizatori; </w:t>
            </w:r>
            <w:r>
              <w:rPr>
                <w:noProof/>
              </w:rPr>
              <w:br/>
              <w:t xml:space="preserve">— O platformă de sprijin TIC; </w:t>
            </w:r>
            <w:r>
              <w:rPr>
                <w:noProof/>
              </w:rPr>
              <w:br/>
              <w:t xml:space="preserve">— Un sistem central de monitorizare a securității informațiilor pentru gestionarea potențialelor evenimente de securitate; </w:t>
            </w:r>
            <w:r>
              <w:rPr>
                <w:noProof/>
              </w:rPr>
              <w:br/>
              <w:t xml:space="preserve">— O platformă de autentificare biometrică, </w:t>
            </w:r>
            <w:r>
              <w:rPr>
                <w:noProof/>
              </w:rPr>
              <w:br/>
              <w:t xml:space="preserve">— O platformă de gestionare a conținutului digital al site-urilor web; </w:t>
            </w:r>
            <w:r>
              <w:rPr>
                <w:noProof/>
              </w:rPr>
              <w:br/>
              <w:t>— O platformă pentru dezvoltarea tehnologiilor blockchain pentru cloudul de stat.</w:t>
            </w:r>
          </w:p>
        </w:tc>
      </w:tr>
      <w:tr w:rsidR="00FA7C11" w14:paraId="3BDAF1C6"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A647E85" w14:textId="77777777" w:rsidR="00FA7C11" w:rsidRDefault="00D84965">
            <w:pPr>
              <w:pStyle w:val="P68B1DB1-Normal66"/>
              <w:spacing w:after="200" w:line="276" w:lineRule="auto"/>
              <w:jc w:val="center"/>
              <w:rPr>
                <w:noProof/>
              </w:rPr>
            </w:pPr>
            <w:r>
              <w:rPr>
                <w:noProof/>
              </w:rPr>
              <w:t>180</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C568384" w14:textId="77777777" w:rsidR="00FA7C11" w:rsidRDefault="00D84965">
            <w:pPr>
              <w:pStyle w:val="P68B1DB1-Normal66"/>
              <w:spacing w:after="200" w:line="276" w:lineRule="auto"/>
              <w:jc w:val="center"/>
              <w:rPr>
                <w:noProof/>
              </w:rPr>
            </w:pPr>
            <w:r>
              <w:rPr>
                <w:noProof/>
              </w:rPr>
              <w:t>C2.3. R3-I1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E003891" w14:textId="77777777" w:rsidR="00FA7C11" w:rsidRDefault="00D84965">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986F5CE" w14:textId="77777777" w:rsidR="00FA7C11" w:rsidRDefault="00D84965">
            <w:pPr>
              <w:pStyle w:val="P68B1DB1-Normal66"/>
              <w:spacing w:after="200" w:line="276" w:lineRule="auto"/>
              <w:rPr>
                <w:noProof/>
              </w:rPr>
            </w:pPr>
            <w:r>
              <w:rPr>
                <w:noProof/>
              </w:rPr>
              <w:t>Creșterea numărului de utilizatori în cadrul Centrului de servicii partajate</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990C596" w14:textId="77777777" w:rsidR="00FA7C11" w:rsidRDefault="00D84965">
            <w:pPr>
              <w:pStyle w:val="P68B1DB1-Normal66"/>
              <w:spacing w:after="200" w:line="276" w:lineRule="auto"/>
              <w:rPr>
                <w:noProof/>
              </w:rPr>
            </w:pPr>
            <w:r>
              <w:rPr>
                <w:noProof/>
              </w:rPr>
              <w:t xml:space="preserv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1F8FEF5" w14:textId="77777777" w:rsidR="00FA7C11" w:rsidRDefault="00D84965">
            <w:pPr>
              <w:pStyle w:val="P68B1DB1-Normal66"/>
              <w:spacing w:after="200" w:line="276" w:lineRule="auto"/>
              <w:jc w:val="center"/>
              <w:rPr>
                <w:noProof/>
              </w:rPr>
            </w:pPr>
            <w:r>
              <w:rPr>
                <w:noProof/>
              </w:rPr>
              <w:t>Număr</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6859D352" w14:textId="77777777" w:rsidR="00FA7C11" w:rsidRDefault="00D84965">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90CD438" w14:textId="77777777" w:rsidR="00FA7C11" w:rsidRDefault="00D84965">
            <w:pPr>
              <w:pStyle w:val="P68B1DB1-Normal66"/>
              <w:spacing w:after="200" w:line="276" w:lineRule="auto"/>
              <w:jc w:val="center"/>
              <w:rPr>
                <w:noProof/>
              </w:rPr>
            </w:pPr>
            <w:r>
              <w:rPr>
                <w:noProof/>
              </w:rPr>
              <w:t>450</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C36439B"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8CC744A"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69612B3" w14:textId="77777777" w:rsidR="00FA7C11" w:rsidRDefault="00D84965">
            <w:pPr>
              <w:pStyle w:val="P68B1DB1-Normal66"/>
              <w:spacing w:after="200" w:line="276" w:lineRule="auto"/>
              <w:rPr>
                <w:noProof/>
              </w:rPr>
            </w:pPr>
            <w:r>
              <w:rPr>
                <w:noProof/>
              </w:rPr>
              <w:t>450 noi utilizatori vor fi integrați în Centrul de servicii partajate.</w:t>
            </w:r>
          </w:p>
          <w:p w14:paraId="06583260" w14:textId="77777777" w:rsidR="00FA7C11" w:rsidRDefault="00D84965">
            <w:pPr>
              <w:pStyle w:val="P68B1DB1-Normal66"/>
              <w:spacing w:after="0" w:line="276" w:lineRule="auto"/>
              <w:rPr>
                <w:noProof/>
              </w:rPr>
            </w:pPr>
            <w:r>
              <w:rPr>
                <w:noProof/>
              </w:rPr>
              <w:t>A început integrarea platformei Centrului de servicii partajate în spațiile europene comune ale datelor, astfel cum a fost confirmat de furnizorul tehnologiei relevante care permite integrarea, recunoscând că:</w:t>
            </w:r>
          </w:p>
          <w:p w14:paraId="00913C16" w14:textId="77777777" w:rsidR="00FA7C11" w:rsidRDefault="00D84965">
            <w:pPr>
              <w:pStyle w:val="P68B1DB1-ListParagraph78"/>
              <w:numPr>
                <w:ilvl w:val="0"/>
                <w:numId w:val="60"/>
              </w:numPr>
              <w:spacing w:after="0" w:line="276" w:lineRule="auto"/>
              <w:rPr>
                <w:noProof/>
              </w:rPr>
            </w:pPr>
            <w:r>
              <w:rPr>
                <w:noProof/>
              </w:rPr>
              <w:t>metacatalogul de date privind sănătatea situate în lacul de date a fost pregătit din punct de vedere tehnic și</w:t>
            </w:r>
          </w:p>
          <w:p w14:paraId="5EBAB5BD" w14:textId="77777777" w:rsidR="00FA7C11" w:rsidRDefault="00D84965">
            <w:pPr>
              <w:pStyle w:val="P68B1DB1-ListParagraph78"/>
              <w:numPr>
                <w:ilvl w:val="0"/>
                <w:numId w:val="60"/>
              </w:numPr>
              <w:spacing w:after="0" w:line="276" w:lineRule="auto"/>
              <w:rPr>
                <w:noProof/>
              </w:rPr>
            </w:pPr>
            <w:r>
              <w:rPr>
                <w:noProof/>
              </w:rPr>
              <w:t xml:space="preserve"> dacă SPE (Secure Processing Environment – mediul de prelucrare securizat) a fost securizat. </w:t>
            </w:r>
          </w:p>
        </w:tc>
      </w:tr>
      <w:tr w:rsidR="00FA7C11" w14:paraId="11105BD9"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979FD43" w14:textId="77777777" w:rsidR="00FA7C11" w:rsidRDefault="00D84965">
            <w:pPr>
              <w:pStyle w:val="P68B1DB1-Normal66"/>
              <w:spacing w:after="200" w:line="276" w:lineRule="auto"/>
              <w:jc w:val="center"/>
              <w:rPr>
                <w:noProof/>
              </w:rPr>
            </w:pPr>
            <w:r>
              <w:rPr>
                <w:noProof/>
              </w:rPr>
              <w:t>181</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7F5E65B" w14:textId="77777777" w:rsidR="00FA7C11" w:rsidRDefault="00D84965">
            <w:pPr>
              <w:pStyle w:val="P68B1DB1-Normal66"/>
              <w:spacing w:after="200" w:line="276" w:lineRule="auto"/>
              <w:jc w:val="center"/>
              <w:rPr>
                <w:noProof/>
              </w:rPr>
            </w:pPr>
            <w:r>
              <w:rPr>
                <w:noProof/>
              </w:rPr>
              <w:t>C2.3. R3-I2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6F9303ED"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760A9740" w14:textId="77777777" w:rsidR="00FA7C11" w:rsidRDefault="00D84965">
            <w:pPr>
              <w:pStyle w:val="P68B1DB1-Normal66"/>
              <w:spacing w:after="200" w:line="276" w:lineRule="auto"/>
              <w:rPr>
                <w:noProof/>
              </w:rPr>
            </w:pPr>
            <w:r>
              <w:rPr>
                <w:noProof/>
              </w:rPr>
              <w:t>Proiect-pilot privind securitatea cibernetică</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0F5971B5" w14:textId="77777777" w:rsidR="00FA7C11" w:rsidRDefault="00D84965">
            <w:pPr>
              <w:pStyle w:val="P68B1DB1-Normal66"/>
              <w:spacing w:after="200" w:line="276" w:lineRule="auto"/>
              <w:rPr>
                <w:noProof/>
              </w:rPr>
            </w:pPr>
            <w:r>
              <w:rPr>
                <w:noProof/>
              </w:rPr>
              <w:t>Raportul Ministerului de Interne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56BDF2D"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65DCAEA"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73E5FBB"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EEB51EA"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34B254B3" w14:textId="77777777" w:rsidR="00FA7C11" w:rsidRDefault="00D84965">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86836F0" w14:textId="77777777" w:rsidR="00FA7C11" w:rsidRDefault="00D84965">
            <w:pPr>
              <w:pStyle w:val="P68B1DB1-Normal66"/>
              <w:spacing w:after="200" w:line="276" w:lineRule="auto"/>
              <w:rPr>
                <w:noProof/>
              </w:rPr>
            </w:pPr>
            <w:r>
              <w:rPr>
                <w:noProof/>
              </w:rPr>
              <w:t xml:space="preserve">Se va desfășura un proiect-pilot pentru testul de rezistență a sistemului – cu simularea infracțiunilor „dependente de mediul cibernetic” și „facilitate de mediul cibernetic”. </w:t>
            </w:r>
            <w:r>
              <w:rPr>
                <w:noProof/>
              </w:rPr>
              <w:br/>
            </w:r>
            <w:r>
              <w:rPr>
                <w:noProof/>
              </w:rPr>
              <w:br/>
              <w:t xml:space="preserve">Sistemul este echipat cu componente software și hardware specifice pentru investigarea criminalității informatice, căutarea cu sursă deschisă pe internet și criminalistica digitală, precum și cu seturi de analiză a investigațiilor pentru analiza probelor digitale. Punerea în aplicare a proiectului îndeplinește condiția prealabilă necesară pentru modernizarea instrumentelor și sistemelor criminalistice, precum și a sistemelor secrete de supraveghere pentru rețelele și serviciile de comunicații electronice, necesare pentru creșterea nivelului de securitate cibernetică în Croația și în UE. Odată ce echipamentele au fost achiziționate și pe deplin operaționale, se desfășoară un proiect-pilot de simulare a cercetării în domeniul criminalității informatice sub forma unui exercițiu de simulare pe calculator (Tabletop Exercise), pentru a evalua contribuția echipamentelor la realizarea măsurilor și a obiectivelor proiectului de aplicare a legii în domeniul cibernetic. </w:t>
            </w:r>
          </w:p>
        </w:tc>
      </w:tr>
      <w:tr w:rsidR="00FA7C11" w14:paraId="60A39769"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BA05253" w14:textId="77777777" w:rsidR="00FA7C11" w:rsidRDefault="00D84965">
            <w:pPr>
              <w:pStyle w:val="P68B1DB1-Normal66"/>
              <w:spacing w:after="200" w:line="276" w:lineRule="auto"/>
              <w:jc w:val="center"/>
              <w:rPr>
                <w:noProof/>
              </w:rPr>
            </w:pPr>
            <w:r>
              <w:rPr>
                <w:noProof/>
              </w:rPr>
              <w:t>182</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1083005D" w14:textId="77777777" w:rsidR="00FA7C11" w:rsidRDefault="00D84965">
            <w:pPr>
              <w:pStyle w:val="P68B1DB1-Normal66"/>
              <w:spacing w:after="200" w:line="276" w:lineRule="auto"/>
              <w:jc w:val="center"/>
              <w:rPr>
                <w:noProof/>
              </w:rPr>
            </w:pPr>
            <w:r>
              <w:rPr>
                <w:noProof/>
              </w:rPr>
              <w:t>C2.3. R3-I2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0CB1AAD5"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6F365F4" w14:textId="77777777" w:rsidR="00FA7C11" w:rsidRDefault="00D84965">
            <w:pPr>
              <w:pStyle w:val="P68B1DB1-Normal66"/>
              <w:spacing w:after="200" w:line="276" w:lineRule="auto"/>
              <w:rPr>
                <w:noProof/>
              </w:rPr>
            </w:pPr>
            <w:r>
              <w:rPr>
                <w:noProof/>
              </w:rPr>
              <w:t xml:space="preserve">Campanie publică de prevenire a securității cibernetice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29AFA70" w14:textId="77777777" w:rsidR="00FA7C11" w:rsidRDefault="00D84965">
            <w:pPr>
              <w:pStyle w:val="P68B1DB1-Normal66"/>
              <w:spacing w:after="200" w:line="276" w:lineRule="auto"/>
              <w:rPr>
                <w:noProof/>
              </w:rPr>
            </w:pPr>
            <w:r>
              <w:rPr>
                <w:noProof/>
              </w:rPr>
              <w:t>Raportul Ministerului de Interne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5E866863"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655F85AA"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97B396"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02D13965" w14:textId="77777777" w:rsidR="00FA7C11" w:rsidRDefault="00D84965">
            <w:pPr>
              <w:pStyle w:val="P68B1DB1-Normal66"/>
              <w:spacing w:after="200" w:line="276" w:lineRule="auto"/>
              <w:jc w:val="center"/>
              <w:rPr>
                <w:noProof/>
              </w:rPr>
            </w:pPr>
            <w:r>
              <w:rPr>
                <w:noProof/>
              </w:rPr>
              <w:t>Î1</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F937823" w14:textId="77777777" w:rsidR="00FA7C11" w:rsidRDefault="00D84965">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774A325" w14:textId="77777777" w:rsidR="00FA7C11" w:rsidRDefault="00D84965">
            <w:pPr>
              <w:pStyle w:val="P68B1DB1-Normal66"/>
              <w:spacing w:after="200" w:line="276" w:lineRule="auto"/>
              <w:rPr>
                <w:noProof/>
              </w:rPr>
            </w:pPr>
            <w:r>
              <w:rPr>
                <w:noProof/>
              </w:rPr>
              <w:t>Se desfășoară o campanie publică de prevenire a manifestărilor și a măsurilor de prevenire a criminalității informatice, monitorizată de următorii indicatori:</w:t>
            </w:r>
            <w:r>
              <w:rPr>
                <w:noProof/>
              </w:rPr>
              <w:br/>
              <w:t xml:space="preserve">numărul de activități preventive de sensibilizare și educare desfășurate de diferite grupuri-țintă cu privire la măsurile de comportament de autoprotecție în legătură cu riscurile criminalității informatice </w:t>
            </w:r>
            <w:r>
              <w:rPr>
                <w:noProof/>
              </w:rPr>
              <w:br/>
              <w:t xml:space="preserve">numărul de participanți la activități </w:t>
            </w:r>
            <w:r>
              <w:rPr>
                <w:noProof/>
              </w:rPr>
              <w:br/>
              <w:t xml:space="preserve">— numărul de materiale preventive distribuite </w:t>
            </w:r>
            <w:r>
              <w:rPr>
                <w:noProof/>
              </w:rPr>
              <w:br/>
              <w:t xml:space="preserve">numărul de postări în mass-media (inclusiv toate mijloacele de informare în masă) </w:t>
            </w:r>
            <w:r>
              <w:rPr>
                <w:noProof/>
              </w:rPr>
              <w:br/>
              <w:t xml:space="preserve">numărul de răspunsuri ale grupurilor-țintă pe platformele de comunicare socială </w:t>
            </w:r>
            <w:r>
              <w:rPr>
                <w:noProof/>
              </w:rPr>
              <w:br/>
              <w:t xml:space="preserve">— numărul și rezultatele prelucrate ale anchetelor online efectuate prin intermediul rețelelor sociale </w:t>
            </w:r>
            <w:r>
              <w:rPr>
                <w:noProof/>
              </w:rPr>
              <w:br/>
              <w:t>numărul de evaluări ale grupurilor-țintă efectuate prin metode cantitative</w:t>
            </w:r>
          </w:p>
        </w:tc>
      </w:tr>
      <w:tr w:rsidR="00FA7C11" w14:paraId="107ECE2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EF4703B" w14:textId="77777777" w:rsidR="00FA7C11" w:rsidRDefault="00D84965">
            <w:pPr>
              <w:pStyle w:val="P68B1DB1-Normal66"/>
              <w:spacing w:after="200" w:line="276" w:lineRule="auto"/>
              <w:jc w:val="center"/>
              <w:rPr>
                <w:noProof/>
              </w:rPr>
            </w:pPr>
            <w:r>
              <w:rPr>
                <w:noProof/>
              </w:rPr>
              <w:t>183</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2828684" w14:textId="77777777" w:rsidR="00FA7C11" w:rsidRDefault="00D84965">
            <w:pPr>
              <w:pStyle w:val="P68B1DB1-Normal66"/>
              <w:spacing w:after="200" w:line="276" w:lineRule="auto"/>
              <w:jc w:val="center"/>
              <w:rPr>
                <w:noProof/>
              </w:rPr>
            </w:pPr>
            <w:r>
              <w:rPr>
                <w:noProof/>
              </w:rPr>
              <w:t>C2.3. R3-I3</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646F2BD3"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7F12E80" w14:textId="77777777" w:rsidR="00FA7C11" w:rsidRDefault="00D84965">
            <w:pPr>
              <w:pStyle w:val="P68B1DB1-Normal66"/>
              <w:spacing w:after="200" w:line="276" w:lineRule="auto"/>
              <w:rPr>
                <w:noProof/>
              </w:rPr>
            </w:pPr>
            <w:r>
              <w:rPr>
                <w:noProof/>
              </w:rPr>
              <w:t>Înființarea unui ghișeu unic</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A919DBF" w14:textId="77777777" w:rsidR="00FA7C11" w:rsidRDefault="00D84965">
            <w:pPr>
              <w:pStyle w:val="P68B1DB1-Normal66"/>
              <w:spacing w:after="200" w:line="276" w:lineRule="auto"/>
              <w:rPr>
                <w:noProof/>
              </w:rPr>
            </w:pPr>
            <w:r>
              <w:rPr>
                <w:noProof/>
              </w:rPr>
              <w:t>Raport din partea Biroului central pentru dezvoltarea societății digitale (SDURDD) potrivit căruia ghișeul unic este înființat și operațional pentru utilizare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5F5D7988"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00C4BBF"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C2A319"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FF7BF36"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6E6F5F3E" w14:textId="77777777" w:rsidR="00FA7C11" w:rsidRDefault="00D84965">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1A5CB8E" w14:textId="77777777" w:rsidR="00FA7C11" w:rsidRDefault="00D84965">
            <w:pPr>
              <w:pStyle w:val="P68B1DB1-Normal66"/>
              <w:spacing w:after="200" w:line="276" w:lineRule="auto"/>
              <w:rPr>
                <w:noProof/>
              </w:rPr>
            </w:pPr>
            <w:r>
              <w:rPr>
                <w:noProof/>
              </w:rPr>
              <w:t xml:space="preserve">Platforma ghișeului unic (JKC), care oferă informații și asistență pentru clienți cetățenilor și întreprinderilor într-un singur loc centralizat, este instituită și operațională pentru a fi utilizată. </w:t>
            </w:r>
          </w:p>
        </w:tc>
      </w:tr>
      <w:tr w:rsidR="00FA7C11" w14:paraId="21B011B2"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BB726D3" w14:textId="77777777" w:rsidR="00FA7C11" w:rsidRDefault="00D84965">
            <w:pPr>
              <w:pStyle w:val="P68B1DB1-Normal66"/>
              <w:spacing w:after="200" w:line="276" w:lineRule="auto"/>
              <w:jc w:val="center"/>
              <w:rPr>
                <w:noProof/>
              </w:rPr>
            </w:pPr>
            <w:r>
              <w:rPr>
                <w:noProof/>
              </w:rPr>
              <w:t>184</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6C594E22" w14:textId="77777777" w:rsidR="00FA7C11" w:rsidRDefault="00D84965">
            <w:pPr>
              <w:pStyle w:val="P68B1DB1-Normal66"/>
              <w:spacing w:after="200" w:line="276" w:lineRule="auto"/>
              <w:jc w:val="center"/>
              <w:rPr>
                <w:noProof/>
              </w:rPr>
            </w:pPr>
            <w:r>
              <w:rPr>
                <w:noProof/>
              </w:rPr>
              <w:t>C2.3. R3-I4</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39175454"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F0AFC99" w14:textId="77777777" w:rsidR="00FA7C11" w:rsidRDefault="00D84965">
            <w:pPr>
              <w:pStyle w:val="P68B1DB1-Normal66"/>
              <w:spacing w:after="200" w:line="276" w:lineRule="auto"/>
              <w:rPr>
                <w:noProof/>
              </w:rPr>
            </w:pPr>
            <w:r>
              <w:rPr>
                <w:noProof/>
              </w:rPr>
              <w:t>Sistemul informatic CEZIH</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73894A80" w14:textId="77777777" w:rsidR="00FA7C11" w:rsidRDefault="00D84965">
            <w:pPr>
              <w:pStyle w:val="P68B1DB1-Normal66"/>
              <w:spacing w:after="200" w:line="276" w:lineRule="auto"/>
              <w:rPr>
                <w:noProof/>
              </w:rPr>
            </w:pPr>
            <w:r>
              <w:rPr>
                <w:noProof/>
              </w:rPr>
              <w:t>Raportul Ministerului Sănătății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4FC174B"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06168FC3"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A95D487"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1070AB8"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6332038" w14:textId="77777777" w:rsidR="00FA7C11" w:rsidRDefault="00D84965">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267C2FC" w14:textId="77777777" w:rsidR="00FA7C11" w:rsidRDefault="00D84965">
            <w:pPr>
              <w:pStyle w:val="P68B1DB1-Normal66"/>
              <w:spacing w:after="200" w:line="276" w:lineRule="auto"/>
              <w:rPr>
                <w:noProof/>
              </w:rPr>
            </w:pPr>
            <w:r>
              <w:rPr>
                <w:noProof/>
              </w:rPr>
              <w:t>Sistemul central de informații privind sănătatea din Croația este operațional pentru a fi utilizat în cloudul de stat (CDU).</w:t>
            </w:r>
          </w:p>
        </w:tc>
      </w:tr>
      <w:tr w:rsidR="00FA7C11" w14:paraId="2D43EAF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AA38C76" w14:textId="77777777" w:rsidR="00FA7C11" w:rsidRDefault="00D84965">
            <w:pPr>
              <w:pStyle w:val="P68B1DB1-Normal66"/>
              <w:spacing w:after="200" w:line="276" w:lineRule="auto"/>
              <w:jc w:val="center"/>
              <w:rPr>
                <w:noProof/>
              </w:rPr>
            </w:pPr>
            <w:r>
              <w:rPr>
                <w:noProof/>
              </w:rPr>
              <w:t>185</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6F5090E9" w14:textId="77777777" w:rsidR="00FA7C11" w:rsidRDefault="00D84965">
            <w:pPr>
              <w:pStyle w:val="P68B1DB1-Normal66"/>
              <w:spacing w:after="200" w:line="276" w:lineRule="auto"/>
              <w:jc w:val="center"/>
              <w:rPr>
                <w:noProof/>
              </w:rPr>
            </w:pPr>
            <w:r>
              <w:rPr>
                <w:noProof/>
              </w:rPr>
              <w:t>C2.3. R3-I5</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00D43934" w14:textId="77777777" w:rsidR="00FA7C11" w:rsidRDefault="00D84965">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8A32B6C" w14:textId="77777777" w:rsidR="00FA7C11" w:rsidRDefault="00D84965">
            <w:pPr>
              <w:pStyle w:val="P68B1DB1-Normal66"/>
              <w:spacing w:after="200" w:line="276" w:lineRule="auto"/>
              <w:rPr>
                <w:noProof/>
              </w:rPr>
            </w:pPr>
            <w:r>
              <w:rPr>
                <w:noProof/>
              </w:rPr>
              <w:t>Semnătură electronică pentru cartea de identitate digitală</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6C5BC87" w14:textId="77777777" w:rsidR="00FA7C11" w:rsidRDefault="00D84965">
            <w:pPr>
              <w:pStyle w:val="P68B1DB1-Normal66"/>
              <w:spacing w:after="200" w:line="276" w:lineRule="auto"/>
              <w:rPr>
                <w:noProof/>
              </w:rPr>
            </w:pPr>
            <w:r>
              <w:rPr>
                <w:noProof/>
              </w:rPr>
              <w:t>Raportul Agenției pentru Securitate Digitală (AKD)</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ADE7ABB" w14:textId="77777777" w:rsidR="00FA7C11" w:rsidRDefault="00D84965">
            <w:pPr>
              <w:pStyle w:val="P68B1DB1-Normal66"/>
              <w:spacing w:after="200" w:line="276" w:lineRule="auto"/>
              <w:jc w:val="center"/>
              <w:rPr>
                <w:noProof/>
              </w:rPr>
            </w:pPr>
            <w:r>
              <w:rPr>
                <w:noProof/>
              </w:rPr>
              <w:t>Număr</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4174328" w14:textId="77777777" w:rsidR="00FA7C11" w:rsidRDefault="00D84965">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B782CAC" w14:textId="77777777" w:rsidR="00FA7C11" w:rsidRDefault="00D84965">
            <w:pPr>
              <w:pStyle w:val="P68B1DB1-Normal66"/>
              <w:spacing w:after="200" w:line="276" w:lineRule="auto"/>
              <w:jc w:val="center"/>
              <w:rPr>
                <w:noProof/>
              </w:rPr>
            </w:pPr>
            <w:r>
              <w:rPr>
                <w:noProof/>
              </w:rPr>
              <w:t>300 000</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C56A5D6"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0324FD67" w14:textId="77777777" w:rsidR="00FA7C11" w:rsidRDefault="00D84965">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D1A1928" w14:textId="77777777" w:rsidR="00FA7C11" w:rsidRDefault="00D84965">
            <w:pPr>
              <w:pStyle w:val="P68B1DB1-Normal66"/>
              <w:spacing w:after="200" w:line="276" w:lineRule="auto"/>
              <w:rPr>
                <w:noProof/>
                <w:color w:val="000000" w:themeColor="text1"/>
              </w:rPr>
            </w:pPr>
            <w:r>
              <w:rPr>
                <w:noProof/>
              </w:rPr>
              <w:t>Aplicația pentru dispozitive mobile Certilia se descarcă de 300 000 de ori prin Google Play Store și App Store. În plus, se eliberează 100 000 certificate pentru semnătura electronică calificată la distanță. Aplicația mobilă Certilia și acreditările mobile personale permit unui număr de cel puțin 50 000 de utilizatori unici să execute procesul de autentificare de cel puțin 700 000 ori.</w:t>
            </w:r>
          </w:p>
        </w:tc>
      </w:tr>
      <w:tr w:rsidR="00FA7C11" w14:paraId="4CC801A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19A4254" w14:textId="77777777" w:rsidR="00FA7C11" w:rsidRDefault="00D84965">
            <w:pPr>
              <w:pStyle w:val="P68B1DB1-Normal66"/>
              <w:spacing w:after="200" w:line="276" w:lineRule="auto"/>
              <w:jc w:val="center"/>
              <w:rPr>
                <w:noProof/>
              </w:rPr>
            </w:pPr>
            <w:r>
              <w:rPr>
                <w:noProof/>
              </w:rPr>
              <w:t>186</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5EF4B43" w14:textId="77777777" w:rsidR="00FA7C11" w:rsidRDefault="00D84965">
            <w:pPr>
              <w:pStyle w:val="P68B1DB1-Normal66"/>
              <w:spacing w:after="200" w:line="276" w:lineRule="auto"/>
              <w:jc w:val="center"/>
              <w:rPr>
                <w:noProof/>
              </w:rPr>
            </w:pPr>
            <w:r>
              <w:rPr>
                <w:noProof/>
              </w:rPr>
              <w:t>C2.3. R3-I6</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38270C67"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D1394B3" w14:textId="77777777" w:rsidR="00FA7C11" w:rsidRDefault="00D84965">
            <w:pPr>
              <w:pStyle w:val="P68B1DB1-Normal66"/>
              <w:spacing w:after="200" w:line="276" w:lineRule="auto"/>
              <w:rPr>
                <w:noProof/>
              </w:rPr>
            </w:pPr>
            <w:r>
              <w:rPr>
                <w:noProof/>
              </w:rPr>
              <w:t>Modernizarea infrastructurii de informații de stat (DII)</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033C633C" w14:textId="77777777" w:rsidR="00FA7C11" w:rsidRDefault="00D84965">
            <w:pPr>
              <w:pStyle w:val="P68B1DB1-Normal70"/>
              <w:spacing w:after="200" w:line="276" w:lineRule="auto"/>
              <w:rPr>
                <w:noProof/>
                <w:color w:val="000000"/>
              </w:rPr>
            </w:pPr>
            <w:r>
              <w:rPr>
                <w:noProof/>
              </w:rPr>
              <w:t>DII modernizată online și accesibilă</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EB79DDC"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52FC915"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541F209"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3DEF2115" w14:textId="77777777" w:rsidR="00FA7C11" w:rsidRDefault="00D84965">
            <w:pPr>
              <w:pStyle w:val="P68B1DB1-Normal66"/>
              <w:spacing w:after="200" w:line="276" w:lineRule="auto"/>
              <w:jc w:val="center"/>
              <w:rPr>
                <w:noProof/>
              </w:rPr>
            </w:pPr>
            <w:r>
              <w:rPr>
                <w:noProof/>
              </w:rPr>
              <w:t>Î3</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9D4E5FE" w14:textId="77777777" w:rsidR="00FA7C11" w:rsidRDefault="00D84965">
            <w:pPr>
              <w:pStyle w:val="P68B1DB1-Normal66"/>
              <w:spacing w:after="200" w:line="276" w:lineRule="auto"/>
              <w:jc w:val="center"/>
              <w:rPr>
                <w:noProof/>
              </w:rPr>
            </w:pPr>
            <w:r>
              <w:rPr>
                <w:noProof/>
              </w:rPr>
              <w:t>2025</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17880011" w14:textId="77777777" w:rsidR="00FA7C11" w:rsidRDefault="00D84965">
            <w:pPr>
              <w:pStyle w:val="P68B1DB1-Normal66"/>
              <w:spacing w:after="200" w:line="276" w:lineRule="auto"/>
              <w:rPr>
                <w:noProof/>
              </w:rPr>
            </w:pPr>
            <w:r>
              <w:rPr>
                <w:noProof/>
              </w:rPr>
              <w:t>Rețeaua modernizată a infrastructurii informatice de stat (DII) trebuie să fie online și accesibilă pentru utilizare.</w:t>
            </w:r>
          </w:p>
          <w:p w14:paraId="577747E4" w14:textId="77777777" w:rsidR="00FA7C11" w:rsidRDefault="00D84965">
            <w:pPr>
              <w:pStyle w:val="P68B1DB1-Normal70"/>
              <w:spacing w:after="0" w:line="276" w:lineRule="auto"/>
              <w:rPr>
                <w:noProof/>
              </w:rPr>
            </w:pPr>
            <w:r>
              <w:rPr>
                <w:noProof/>
              </w:rPr>
              <w:t>Rețeaua:</w:t>
            </w:r>
          </w:p>
          <w:p w14:paraId="160DED1E" w14:textId="77777777" w:rsidR="00FA7C11" w:rsidRDefault="00D84965">
            <w:pPr>
              <w:pStyle w:val="P68B1DB1-Normal70"/>
              <w:numPr>
                <w:ilvl w:val="0"/>
                <w:numId w:val="61"/>
              </w:numPr>
              <w:spacing w:after="0" w:line="276" w:lineRule="auto"/>
              <w:ind w:left="449" w:hanging="425"/>
              <w:rPr>
                <w:noProof/>
              </w:rPr>
            </w:pPr>
            <w:r>
              <w:rPr>
                <w:noProof/>
              </w:rPr>
              <w:t>Asigurarea posibilității</w:t>
            </w:r>
            <w:r>
              <w:rPr>
                <w:b/>
                <w:noProof/>
              </w:rPr>
              <w:t xml:space="preserve"> </w:t>
            </w:r>
            <w:r>
              <w:rPr>
                <w:noProof/>
              </w:rPr>
              <w:t>de acces</w:t>
            </w:r>
            <w:r>
              <w:rPr>
                <w:b/>
                <w:noProof/>
              </w:rPr>
              <w:t xml:space="preserve"> </w:t>
            </w:r>
            <w:r>
              <w:rPr>
                <w:noProof/>
              </w:rPr>
              <w:t>în bandă largă la o rețea de foarte mare capacitate pentru toate autoritățile publice</w:t>
            </w:r>
          </w:p>
          <w:p w14:paraId="2F4E51F8" w14:textId="3C40AAC6" w:rsidR="00FA7C11" w:rsidRDefault="00D84965">
            <w:pPr>
              <w:pStyle w:val="P68B1DB1-Normal70"/>
              <w:numPr>
                <w:ilvl w:val="0"/>
                <w:numId w:val="61"/>
              </w:numPr>
              <w:spacing w:after="0" w:line="276" w:lineRule="auto"/>
              <w:ind w:left="449" w:hanging="425"/>
              <w:rPr>
                <w:noProof/>
              </w:rPr>
            </w:pPr>
            <w:r>
              <w:rPr>
                <w:noProof/>
              </w:rPr>
              <w:t xml:space="preserve">să asigure conectivitatea continuă a tuturor instituțiilor din sistem prin intermediul unui program care să sprijine supravegherea funcționării rețelei de către Centrul de monitorizare a rețelei electronice (NOC) și </w:t>
            </w:r>
          </w:p>
          <w:p w14:paraId="6AAB682A" w14:textId="17E4339E" w:rsidR="00FA7C11" w:rsidRDefault="00D84965">
            <w:pPr>
              <w:pStyle w:val="P68B1DB1-Normal70"/>
              <w:numPr>
                <w:ilvl w:val="0"/>
                <w:numId w:val="61"/>
              </w:numPr>
              <w:spacing w:after="0" w:line="276" w:lineRule="auto"/>
              <w:ind w:left="449" w:hanging="425"/>
              <w:rPr>
                <w:noProof/>
              </w:rPr>
            </w:pPr>
            <w:r>
              <w:rPr>
                <w:noProof/>
              </w:rPr>
              <w:t>conține un sistem, disponibil 24 de ore pe zi și 7 zile pe săptămână, pentru asigurarea depanării tehnice și a asistenței pentru utilizatori.</w:t>
            </w:r>
          </w:p>
        </w:tc>
      </w:tr>
      <w:tr w:rsidR="00FA7C11" w14:paraId="6C377C8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FF34652" w14:textId="77777777" w:rsidR="00FA7C11" w:rsidRDefault="00D84965">
            <w:pPr>
              <w:pStyle w:val="P68B1DB1-Normal66"/>
              <w:spacing w:after="200" w:line="276" w:lineRule="auto"/>
              <w:jc w:val="center"/>
              <w:rPr>
                <w:noProof/>
              </w:rPr>
            </w:pPr>
            <w:r>
              <w:rPr>
                <w:noProof/>
              </w:rPr>
              <w:t>187</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2DD808C" w14:textId="77777777" w:rsidR="00FA7C11" w:rsidRDefault="00D84965">
            <w:pPr>
              <w:pStyle w:val="P68B1DB1-Normal66"/>
              <w:spacing w:after="200" w:line="276" w:lineRule="auto"/>
              <w:jc w:val="center"/>
              <w:rPr>
                <w:noProof/>
              </w:rPr>
            </w:pPr>
            <w:r>
              <w:rPr>
                <w:noProof/>
              </w:rPr>
              <w:t>C2.3. R3-I6</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26993CA6" w14:textId="77777777" w:rsidR="00FA7C11" w:rsidRDefault="00D84965">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5FB87236" w14:textId="77777777" w:rsidR="00FA7C11" w:rsidRDefault="00D84965">
            <w:pPr>
              <w:pStyle w:val="P68B1DB1-Normal66"/>
              <w:spacing w:after="200" w:line="276" w:lineRule="auto"/>
              <w:rPr>
                <w:noProof/>
              </w:rPr>
            </w:pPr>
            <w:r>
              <w:rPr>
                <w:noProof/>
              </w:rPr>
              <w:t>Noi utilizatori ai rețelei publice de infrastructură de informații (DII)</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42026D84" w14:textId="77777777" w:rsidR="00FA7C11" w:rsidRDefault="00FA7C11">
            <w:pPr>
              <w:spacing w:after="200" w:line="276" w:lineRule="auto"/>
              <w:rPr>
                <w:rFonts w:ascii="Times New Roman" w:eastAsia="Calibri" w:hAnsi="Times New Roman" w:cs="Times New Roman"/>
                <w:noProof/>
                <w:sz w:val="20"/>
                <w:szCs w:val="20"/>
              </w:rPr>
            </w:pP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2302A01" w14:textId="77777777" w:rsidR="00FA7C11" w:rsidRDefault="00D84965">
            <w:pPr>
              <w:pStyle w:val="P68B1DB1-Normal66"/>
              <w:spacing w:after="200" w:line="276" w:lineRule="auto"/>
              <w:jc w:val="center"/>
              <w:rPr>
                <w:noProof/>
              </w:rPr>
            </w:pPr>
            <w:r>
              <w:rPr>
                <w:noProof/>
              </w:rPr>
              <w:t>Număr</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CC86C63" w14:textId="77777777" w:rsidR="00FA7C11" w:rsidRDefault="00D84965">
            <w:pPr>
              <w:pStyle w:val="P68B1DB1-Normal66"/>
              <w:spacing w:after="200" w:line="276" w:lineRule="auto"/>
              <w:jc w:val="center"/>
              <w:rPr>
                <w:noProof/>
              </w:rPr>
            </w:pPr>
            <w:r>
              <w:rPr>
                <w:noProof/>
              </w:rPr>
              <w:t>36</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FF2EDE6" w14:textId="77777777" w:rsidR="00FA7C11" w:rsidRDefault="00D84965">
            <w:pPr>
              <w:pStyle w:val="P68B1DB1-Normal66"/>
              <w:spacing w:after="200" w:line="276" w:lineRule="auto"/>
              <w:jc w:val="center"/>
              <w:rPr>
                <w:noProof/>
              </w:rPr>
            </w:pPr>
            <w:r>
              <w:rPr>
                <w:noProof/>
              </w:rPr>
              <w:t>136</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59D8BE3"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80C5CB5" w14:textId="77777777" w:rsidR="00FA7C11" w:rsidRDefault="00D84965">
            <w:pPr>
              <w:pStyle w:val="P68B1DB1-Normal66"/>
              <w:spacing w:after="200" w:line="276" w:lineRule="auto"/>
              <w:jc w:val="center"/>
              <w:rPr>
                <w:noProof/>
              </w:rPr>
            </w:pPr>
            <w:r>
              <w:rPr>
                <w:noProof/>
              </w:rPr>
              <w:t>2025</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2D4D4C0B" w14:textId="77777777" w:rsidR="00FA7C11" w:rsidRDefault="00D84965">
            <w:pPr>
              <w:pStyle w:val="P68B1DB1-Normal66"/>
              <w:spacing w:after="200" w:line="276" w:lineRule="auto"/>
              <w:rPr>
                <w:noProof/>
                <w:color w:val="000000" w:themeColor="text1"/>
              </w:rPr>
            </w:pPr>
            <w:r>
              <w:rPr>
                <w:noProof/>
              </w:rPr>
              <w:t>Cel puțin 100 de utilizatori noi sunt conectați la rețeaua de infrastructură informațională de stat.</w:t>
            </w:r>
          </w:p>
          <w:p w14:paraId="096B15FF" w14:textId="77777777" w:rsidR="00FA7C11" w:rsidRDefault="00D84965">
            <w:pPr>
              <w:pStyle w:val="P68B1DB1-Normal66"/>
              <w:spacing w:after="200" w:line="276" w:lineRule="auto"/>
              <w:rPr>
                <w:noProof/>
              </w:rPr>
            </w:pPr>
            <w:r>
              <w:rPr>
                <w:noProof/>
              </w:rPr>
              <w:t xml:space="preserve">Infrastructura de fibră optică, precum și echipamentele terminale sunt puse la dispoziția fiecărui amplasament. </w:t>
            </w:r>
          </w:p>
        </w:tc>
      </w:tr>
      <w:tr w:rsidR="00FA7C11" w14:paraId="7492D993"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7B0226D" w14:textId="77777777" w:rsidR="00FA7C11" w:rsidRDefault="00D84965">
            <w:pPr>
              <w:pStyle w:val="P68B1DB1-Normal66"/>
              <w:spacing w:after="200" w:line="276" w:lineRule="auto"/>
              <w:jc w:val="center"/>
              <w:rPr>
                <w:noProof/>
              </w:rPr>
            </w:pPr>
            <w:r>
              <w:rPr>
                <w:noProof/>
              </w:rPr>
              <w:t>188</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B25870A" w14:textId="77777777" w:rsidR="00FA7C11" w:rsidRDefault="00D84965">
            <w:pPr>
              <w:pStyle w:val="P68B1DB1-Normal66"/>
              <w:spacing w:after="200" w:line="276" w:lineRule="auto"/>
              <w:jc w:val="center"/>
              <w:rPr>
                <w:noProof/>
              </w:rPr>
            </w:pPr>
            <w:r>
              <w:rPr>
                <w:noProof/>
              </w:rPr>
              <w:t>C2.3. R3-I7</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9BA637F"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5E87E94F" w14:textId="77777777" w:rsidR="00FA7C11" w:rsidRDefault="00D84965">
            <w:pPr>
              <w:pStyle w:val="P68B1DB1-Normal66"/>
              <w:spacing w:after="200" w:line="276" w:lineRule="auto"/>
              <w:rPr>
                <w:noProof/>
              </w:rPr>
            </w:pPr>
            <w:r>
              <w:rPr>
                <w:noProof/>
              </w:rPr>
              <w:t xml:space="preserve">Planuri digitale de amenajare a teritoriului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F0E644D" w14:textId="77777777" w:rsidR="00FA7C11" w:rsidRDefault="00D84965">
            <w:pPr>
              <w:pStyle w:val="P68B1DB1-Normal66"/>
              <w:spacing w:after="200" w:line="276" w:lineRule="auto"/>
              <w:rPr>
                <w:noProof/>
              </w:rPr>
            </w:pPr>
            <w:r>
              <w:rPr>
                <w:noProof/>
              </w:rPr>
              <w:t>Au fost create planuri digitale de amenajare a teritoriului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62AA755" w14:textId="77777777" w:rsidR="00FA7C11" w:rsidRDefault="00FA7C11">
            <w:pPr>
              <w:spacing w:after="200" w:line="276" w:lineRule="auto"/>
              <w:rPr>
                <w:rFonts w:ascii="Times New Roman" w:eastAsia="Calibri" w:hAnsi="Times New Roman" w:cs="Times New Roman"/>
                <w:noProof/>
                <w:sz w:val="20"/>
                <w:szCs w:val="20"/>
              </w:rPr>
            </w:pP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D6214B0" w14:textId="77777777" w:rsidR="00FA7C11" w:rsidRDefault="00FA7C11">
            <w:pPr>
              <w:spacing w:after="200" w:line="276" w:lineRule="auto"/>
              <w:rPr>
                <w:rFonts w:ascii="Times New Roman" w:eastAsia="Calibri"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6C06F3E" w14:textId="77777777" w:rsidR="00FA7C11" w:rsidRDefault="00FA7C11">
            <w:pPr>
              <w:spacing w:after="200" w:line="276" w:lineRule="auto"/>
              <w:jc w:val="center"/>
              <w:rPr>
                <w:rFonts w:ascii="Times New Roman" w:eastAsia="Calibri" w:hAnsi="Times New Roman" w:cs="Times New Roman"/>
                <w:noProof/>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3F78660E"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08EFFA56" w14:textId="77777777" w:rsidR="00FA7C11" w:rsidRDefault="00D84965">
            <w:pPr>
              <w:pStyle w:val="P68B1DB1-Normal66"/>
              <w:spacing w:after="200" w:line="276" w:lineRule="auto"/>
              <w:jc w:val="center"/>
              <w:rPr>
                <w:noProof/>
              </w:rPr>
            </w:pPr>
            <w:r>
              <w:rPr>
                <w:noProof/>
              </w:rPr>
              <w:t>2025</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79636126" w14:textId="77777777" w:rsidR="00FA7C11" w:rsidRDefault="00D84965">
            <w:pPr>
              <w:pStyle w:val="P68B1DB1-Normal66"/>
              <w:spacing w:after="200" w:line="276" w:lineRule="auto"/>
              <w:rPr>
                <w:noProof/>
              </w:rPr>
            </w:pPr>
            <w:r>
              <w:rPr>
                <w:noProof/>
              </w:rPr>
              <w:t xml:space="preserve">Certificat de predare de către contractant pentru elaborarea și furnizarea a 570 planuri de amenajare a teritoriului de nouă generație (planuri de amenajare a teritoriului în format digital). </w:t>
            </w:r>
          </w:p>
        </w:tc>
      </w:tr>
      <w:tr w:rsidR="00FA7C11" w14:paraId="6F0CDA72"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0B1D676" w14:textId="77777777" w:rsidR="00FA7C11" w:rsidRDefault="00D84965">
            <w:pPr>
              <w:pStyle w:val="P68B1DB1-Normal66"/>
              <w:spacing w:after="200" w:line="276" w:lineRule="auto"/>
              <w:jc w:val="center"/>
              <w:rPr>
                <w:noProof/>
              </w:rPr>
            </w:pPr>
            <w:r>
              <w:rPr>
                <w:noProof/>
              </w:rPr>
              <w:t>189</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17D42AA" w14:textId="77777777" w:rsidR="00FA7C11" w:rsidRDefault="00D84965">
            <w:pPr>
              <w:pStyle w:val="P68B1DB1-Normal66"/>
              <w:spacing w:after="200" w:line="276" w:lineRule="auto"/>
              <w:jc w:val="center"/>
              <w:rPr>
                <w:noProof/>
              </w:rPr>
            </w:pPr>
            <w:r>
              <w:rPr>
                <w:noProof/>
              </w:rPr>
              <w:t>C2.3. R3-I7</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3D732669"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05955BE5" w14:textId="77777777" w:rsidR="00FA7C11" w:rsidRDefault="00D84965">
            <w:pPr>
              <w:pStyle w:val="P68B1DB1-Normal66"/>
              <w:spacing w:after="200" w:line="276" w:lineRule="auto"/>
              <w:rPr>
                <w:noProof/>
              </w:rPr>
            </w:pPr>
            <w:r>
              <w:rPr>
                <w:noProof/>
              </w:rPr>
              <w:t>Modernizarea sistemului de informații privind planurile spațiale</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4DF325A6" w14:textId="5A7DA327" w:rsidR="00FA7C11" w:rsidRDefault="00D84965">
            <w:pPr>
              <w:pStyle w:val="P68B1DB1-Normal66"/>
              <w:spacing w:after="200" w:line="276" w:lineRule="auto"/>
              <w:rPr>
                <w:noProof/>
              </w:rPr>
            </w:pPr>
            <w:r>
              <w:rPr>
                <w:noProof/>
              </w:rPr>
              <w:t>Module electronice online și accesibile și imagini prin satelit achiziționate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3F839C2"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64CC82E5"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4C6669B"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A5B12DD"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32EF77DC" w14:textId="77777777" w:rsidR="00FA7C11" w:rsidRDefault="00D84965">
            <w:pPr>
              <w:pStyle w:val="P68B1DB1-Normal66"/>
              <w:spacing w:after="200" w:line="276" w:lineRule="auto"/>
              <w:jc w:val="center"/>
              <w:rPr>
                <w:noProof/>
              </w:rPr>
            </w:pPr>
            <w:r>
              <w:rPr>
                <w:noProof/>
              </w:rPr>
              <w:t>2025</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27D60904" w14:textId="77777777" w:rsidR="00FA7C11" w:rsidRDefault="00D84965">
            <w:pPr>
              <w:pStyle w:val="P68B1DB1-Normal66"/>
              <w:spacing w:after="200" w:line="276" w:lineRule="auto"/>
              <w:rPr>
                <w:noProof/>
              </w:rPr>
            </w:pPr>
            <w:r>
              <w:rPr>
                <w:noProof/>
              </w:rPr>
              <w:t>Modulele electronice, care digitalizează procedurile în materie de amenajare a teritoriului, construcții și active de stat ca parte a Sistemului de informații privind planurile de amenajare a teritoriului, trebuie să fie online și accesibile.</w:t>
            </w:r>
          </w:p>
          <w:p w14:paraId="5924ACFA" w14:textId="77777777" w:rsidR="00FA7C11" w:rsidRDefault="00D84965">
            <w:pPr>
              <w:pStyle w:val="P68B1DB1-Normal70"/>
              <w:spacing w:after="200" w:line="276" w:lineRule="auto"/>
              <w:rPr>
                <w:noProof/>
              </w:rPr>
            </w:pPr>
            <w:r>
              <w:rPr>
                <w:noProof/>
              </w:rPr>
              <w:t>Se achiziționează imagini prin satelit ale zonei de înaltă rezoluție din Croația.</w:t>
            </w:r>
          </w:p>
        </w:tc>
      </w:tr>
      <w:tr w:rsidR="00FA7C11" w14:paraId="1121580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B252945" w14:textId="77777777" w:rsidR="00FA7C11" w:rsidRDefault="00D84965">
            <w:pPr>
              <w:pStyle w:val="P68B1DB1-Normal66"/>
              <w:spacing w:after="200" w:line="276" w:lineRule="auto"/>
              <w:jc w:val="center"/>
              <w:rPr>
                <w:noProof/>
              </w:rPr>
            </w:pPr>
            <w:r>
              <w:rPr>
                <w:noProof/>
              </w:rPr>
              <w:t>190</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BAD1E99" w14:textId="77777777" w:rsidR="00FA7C11" w:rsidRDefault="00D84965">
            <w:pPr>
              <w:pStyle w:val="P68B1DB1-Normal66"/>
              <w:spacing w:after="200" w:line="276" w:lineRule="auto"/>
              <w:jc w:val="center"/>
              <w:rPr>
                <w:noProof/>
              </w:rPr>
            </w:pPr>
            <w:r>
              <w:rPr>
                <w:noProof/>
              </w:rPr>
              <w:t>C2.3. R3-I8</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B7BA7F3" w14:textId="77777777" w:rsidR="00FA7C11" w:rsidRDefault="00D84965">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51E70359" w14:textId="2284C04C" w:rsidR="00FA7C11" w:rsidRDefault="00D84965">
            <w:pPr>
              <w:pStyle w:val="P68B1DB1-Normal66"/>
              <w:spacing w:after="200" w:line="276" w:lineRule="auto"/>
              <w:rPr>
                <w:noProof/>
              </w:rPr>
            </w:pPr>
            <w:r>
              <w:rPr>
                <w:noProof/>
              </w:rPr>
              <w:t xml:space="preserve">Integrarea serviciilor publice electronice digitale în noua platformă mobilă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267840BB" w14:textId="77777777" w:rsidR="00FA7C11" w:rsidRDefault="00D84965">
            <w:pPr>
              <w:pStyle w:val="P68B1DB1-Normal66"/>
              <w:spacing w:after="200" w:line="276" w:lineRule="auto"/>
              <w:rPr>
                <w:noProof/>
              </w:rPr>
            </w:pPr>
            <w:r>
              <w:rPr>
                <w:noProof/>
              </w:rPr>
              <w:t>Raport din partea SDURDD potrivit căruia cele 20 servicii electronice sunt integrate și operaționale pentru utilizare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E57FFC7" w14:textId="77777777" w:rsidR="00FA7C11" w:rsidRDefault="00D84965">
            <w:pPr>
              <w:pStyle w:val="P68B1DB1-Normal66"/>
              <w:spacing w:after="200" w:line="276" w:lineRule="auto"/>
              <w:jc w:val="center"/>
              <w:rPr>
                <w:noProof/>
              </w:rPr>
            </w:pPr>
            <w:r>
              <w:rPr>
                <w:noProof/>
              </w:rPr>
              <w:t>Număr</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0FC57D3" w14:textId="77777777" w:rsidR="00FA7C11" w:rsidRDefault="00D84965">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BC20E19" w14:textId="77777777" w:rsidR="00FA7C11" w:rsidRDefault="00D84965">
            <w:pPr>
              <w:pStyle w:val="P68B1DB1-Normal66"/>
              <w:spacing w:after="200" w:line="276" w:lineRule="auto"/>
              <w:jc w:val="center"/>
              <w:rPr>
                <w:noProof/>
              </w:rPr>
            </w:pPr>
            <w:r>
              <w:rPr>
                <w:noProof/>
              </w:rPr>
              <w:t>20</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EA3A3C2"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6CE18AC" w14:textId="77777777" w:rsidR="00FA7C11" w:rsidRDefault="00D84965">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5B957E76" w14:textId="0B0B699D" w:rsidR="00FA7C11" w:rsidRDefault="00D84965">
            <w:pPr>
              <w:pStyle w:val="P68B1DB1-Normal66"/>
              <w:spacing w:after="200" w:line="276" w:lineRule="auto"/>
              <w:rPr>
                <w:noProof/>
              </w:rPr>
            </w:pPr>
            <w:r>
              <w:rPr>
                <w:noProof/>
              </w:rPr>
              <w:t xml:space="preserve">Cel puțin 20 servicii electronice sunt integrate în platforma mobilă și sunt operaționale pentru utilizare, inclusiv: 1) cerere de certificat de naștere, 2) cerere de dovadă a reședinței, 3) dosar privind statutul studenților, 4) cerere inițială de admitere într-o instituție publică de învățământ superior, 5) cerere de recunoaștere academică a diplomelor, certificatelor sau a altor dovezi de studii sau cursuri, 6) serviciu de asistență socială online, 7) cerere de eliberare a unui card european de asigurări sociale de sănătate, 8) cerere de eliberare a unui card fiscal (PK), 9) înregistrare a unei schimbări de adresă, 10) înmatriculare a unui autovehicul originar dintr-un stat membru sau deja înmatriculat într-un stat membru, proceduri standard, 11) căsuță poștală electronică pentru utilizatori, 12) comunicare electronică cu instanțele, 13) contul meu – Regos, 14) cerere de informații privind pensiile din sistemele obligatorii, 15) calendar pentru plata taxelor obligatorii, 16) asigurarea cererilor de muncă, 17) carnet de muncă electronic – înregistrare electronică a statutului de eliberare, 18) proceduri administrative electronice, 19) asigurarea că nu există proceduri penale pendinte, 20) card electronic pentru copii – Mudrica. </w:t>
            </w:r>
          </w:p>
        </w:tc>
      </w:tr>
      <w:tr w:rsidR="00FA7C11" w14:paraId="7C444B6D"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739B764" w14:textId="77777777" w:rsidR="00FA7C11" w:rsidRDefault="00D84965">
            <w:pPr>
              <w:pStyle w:val="P68B1DB1-Normal66"/>
              <w:spacing w:after="200" w:line="276" w:lineRule="auto"/>
              <w:jc w:val="center"/>
              <w:rPr>
                <w:noProof/>
              </w:rPr>
            </w:pPr>
            <w:r>
              <w:rPr>
                <w:noProof/>
              </w:rPr>
              <w:t>191</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C3D446F" w14:textId="77777777" w:rsidR="00FA7C11" w:rsidRDefault="00D84965">
            <w:pPr>
              <w:pStyle w:val="P68B1DB1-Normal66"/>
              <w:spacing w:after="200" w:line="276" w:lineRule="auto"/>
              <w:jc w:val="center"/>
              <w:rPr>
                <w:noProof/>
              </w:rPr>
            </w:pPr>
            <w:r>
              <w:rPr>
                <w:noProof/>
              </w:rPr>
              <w:t>C2.3. R3-I9</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25770648"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238B539" w14:textId="77777777" w:rsidR="00FA7C11" w:rsidRDefault="00D84965">
            <w:pPr>
              <w:pStyle w:val="P68B1DB1-Normal66"/>
              <w:spacing w:after="200" w:line="276" w:lineRule="auto"/>
              <w:rPr>
                <w:noProof/>
              </w:rPr>
            </w:pPr>
            <w:r>
              <w:rPr>
                <w:noProof/>
              </w:rPr>
              <w:t>Crearea unei noi platforme de achiziții publice și a unei noi aplicații mobile</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48D26F9" w14:textId="77777777" w:rsidR="00FA7C11" w:rsidRDefault="00D84965">
            <w:pPr>
              <w:pStyle w:val="P68B1DB1-Normal66"/>
              <w:spacing w:after="200" w:line="276" w:lineRule="auto"/>
              <w:rPr>
                <w:noProof/>
              </w:rPr>
            </w:pPr>
            <w:r>
              <w:rPr>
                <w:noProof/>
              </w:rPr>
              <w:t>Prima procedură de achiziții publice lansată pe noua platformă de licitație electronică</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61CDB13"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C0D3FB8"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3524B2F"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671B4601" w14:textId="77777777" w:rsidR="00FA7C11" w:rsidRDefault="00D84965">
            <w:pPr>
              <w:pStyle w:val="P68B1DB1-Normal66"/>
              <w:spacing w:after="200" w:line="276" w:lineRule="auto"/>
              <w:jc w:val="center"/>
              <w:rPr>
                <w:noProof/>
              </w:rPr>
            </w:pPr>
            <w:r>
              <w:rPr>
                <w:noProof/>
              </w:rPr>
              <w:t>Î3</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C597ED7" w14:textId="77777777" w:rsidR="00FA7C11" w:rsidRDefault="00D84965">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063B5DA" w14:textId="77777777" w:rsidR="00FA7C11" w:rsidRDefault="00D84965">
            <w:pPr>
              <w:pStyle w:val="P68B1DB1-Normal66"/>
              <w:spacing w:after="200" w:line="276" w:lineRule="auto"/>
              <w:rPr>
                <w:noProof/>
              </w:rPr>
            </w:pPr>
            <w:r>
              <w:rPr>
                <w:noProof/>
              </w:rPr>
              <w:t xml:space="preserve">Noua platformă pentru desfășurarea procedurilor de achiziții publice și aplicația mobilă vor fi operaționale, procedura de achiziții publice fiind lansată pe noua platformă de licitație electronică. </w:t>
            </w:r>
          </w:p>
        </w:tc>
      </w:tr>
      <w:tr w:rsidR="00FA7C11" w14:paraId="4E6F9C04"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30E8FA1" w14:textId="77777777" w:rsidR="00FA7C11" w:rsidRDefault="00D84965">
            <w:pPr>
              <w:pStyle w:val="P68B1DB1-Normal66"/>
              <w:spacing w:after="200" w:line="276" w:lineRule="auto"/>
              <w:jc w:val="center"/>
              <w:rPr>
                <w:noProof/>
              </w:rPr>
            </w:pPr>
            <w:r>
              <w:rPr>
                <w:noProof/>
              </w:rPr>
              <w:t>192</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0A8F738" w14:textId="77777777" w:rsidR="00FA7C11" w:rsidRDefault="00D84965">
            <w:pPr>
              <w:pStyle w:val="P68B1DB1-Normal66"/>
              <w:spacing w:after="200" w:line="276" w:lineRule="auto"/>
              <w:jc w:val="center"/>
              <w:rPr>
                <w:noProof/>
              </w:rPr>
            </w:pPr>
            <w:r>
              <w:rPr>
                <w:noProof/>
              </w:rPr>
              <w:t>C2.3. R3-I10</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2D20F01E"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3A88165" w14:textId="496B1EB9" w:rsidR="00FA7C11" w:rsidRDefault="00D84965">
            <w:pPr>
              <w:pStyle w:val="P68B1DB1-Normal66"/>
              <w:spacing w:after="200" w:line="276" w:lineRule="auto"/>
              <w:rPr>
                <w:noProof/>
              </w:rPr>
            </w:pPr>
            <w:r>
              <w:rPr>
                <w:noProof/>
              </w:rPr>
              <w:t xml:space="preserve">Identitatea digitală a CES și sistemele de gestionare a resurselor umane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278D901" w14:textId="77777777" w:rsidR="00FA7C11" w:rsidRDefault="00D84965">
            <w:pPr>
              <w:pStyle w:val="P68B1DB1-Normal66"/>
              <w:spacing w:after="200" w:line="276" w:lineRule="auto"/>
              <w:rPr>
                <w:noProof/>
              </w:rPr>
            </w:pPr>
            <w:r>
              <w:rPr>
                <w:noProof/>
              </w:rPr>
              <w:t>Raportul CES/HZZ</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129E8FD"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FDBDB6C"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07D89D6"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B1DC69D"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60592FDA" w14:textId="77777777" w:rsidR="00FA7C11" w:rsidRDefault="00D84965">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588DAE96" w14:textId="77777777" w:rsidR="00FA7C11" w:rsidRDefault="00D84965">
            <w:pPr>
              <w:pStyle w:val="P68B1DB1-Normal66"/>
              <w:spacing w:after="200" w:line="276" w:lineRule="auto"/>
              <w:rPr>
                <w:noProof/>
              </w:rPr>
            </w:pPr>
            <w:r>
              <w:rPr>
                <w:noProof/>
              </w:rPr>
              <w:t xml:space="preserve">Sistemul de gestionare a identității digitale și sistemul de gestionare a resurselor umane digitale ale CES sunt instituite și operaționale. </w:t>
            </w:r>
          </w:p>
        </w:tc>
      </w:tr>
      <w:tr w:rsidR="00FA7C11" w14:paraId="466FAC05"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AC11208" w14:textId="77777777" w:rsidR="00FA7C11" w:rsidRDefault="00D84965">
            <w:pPr>
              <w:pStyle w:val="P68B1DB1-Normal66"/>
              <w:spacing w:after="200" w:line="276" w:lineRule="auto"/>
              <w:jc w:val="center"/>
              <w:rPr>
                <w:noProof/>
              </w:rPr>
            </w:pPr>
            <w:r>
              <w:rPr>
                <w:noProof/>
              </w:rPr>
              <w:t>193</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BDD88CF" w14:textId="77777777" w:rsidR="00FA7C11" w:rsidRDefault="00D84965">
            <w:pPr>
              <w:pStyle w:val="P68B1DB1-Normal66"/>
              <w:spacing w:after="200" w:line="276" w:lineRule="auto"/>
              <w:jc w:val="center"/>
              <w:rPr>
                <w:noProof/>
              </w:rPr>
            </w:pPr>
            <w:r>
              <w:rPr>
                <w:noProof/>
              </w:rPr>
              <w:t>C2.3. R3-I10</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0CD6471E"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372FC2E" w14:textId="77777777" w:rsidR="00FA7C11" w:rsidRDefault="00D84965">
            <w:pPr>
              <w:pStyle w:val="P68B1DB1-Normal66"/>
              <w:spacing w:after="200" w:line="276" w:lineRule="auto"/>
              <w:rPr>
                <w:noProof/>
              </w:rPr>
            </w:pPr>
            <w:r>
              <w:rPr>
                <w:noProof/>
              </w:rPr>
              <w:t xml:space="preserve">Modernizarea digitalizării CES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D411F9E" w14:textId="77777777" w:rsidR="00FA7C11" w:rsidRDefault="00D84965">
            <w:pPr>
              <w:pStyle w:val="P68B1DB1-Normal66"/>
              <w:spacing w:after="200" w:line="276" w:lineRule="auto"/>
              <w:rPr>
                <w:noProof/>
              </w:rPr>
            </w:pPr>
            <w:r>
              <w:rPr>
                <w:noProof/>
              </w:rPr>
              <w:t>Digitalizarea proceselor operaționale ale CES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666BF01"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EBA2B3B"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719542B"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61BED860"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17FC426"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D94C783" w14:textId="77777777" w:rsidR="00FA7C11" w:rsidRDefault="00D84965">
            <w:pPr>
              <w:pStyle w:val="P68B1DB1-Normal66"/>
              <w:spacing w:after="0" w:line="276" w:lineRule="auto"/>
              <w:rPr>
                <w:noProof/>
              </w:rPr>
            </w:pPr>
            <w:r>
              <w:rPr>
                <w:noProof/>
              </w:rPr>
              <w:t xml:space="preserve">Automatizarea și digitalizarea proceselor operaționale ale CES, care permit circulația și prelucrarea centralizată a documentelor electronice, sunt furnizate de contractant. Ea cuprinde: </w:t>
            </w:r>
          </w:p>
          <w:p w14:paraId="5FB6C108" w14:textId="77777777" w:rsidR="00FA7C11" w:rsidRDefault="00D84965">
            <w:pPr>
              <w:pStyle w:val="P68B1DB1-ListParagraph78"/>
              <w:numPr>
                <w:ilvl w:val="0"/>
                <w:numId w:val="62"/>
              </w:numPr>
              <w:spacing w:after="0" w:line="276" w:lineRule="auto"/>
              <w:ind w:left="291" w:hanging="284"/>
              <w:rPr>
                <w:noProof/>
              </w:rPr>
            </w:pPr>
            <w:r>
              <w:rPr>
                <w:noProof/>
              </w:rPr>
              <w:t>licențe software pentru sistemul de gestionare a incidentelor de securitate și a evenimentelor</w:t>
            </w:r>
          </w:p>
          <w:p w14:paraId="011844F3" w14:textId="77777777" w:rsidR="00FA7C11" w:rsidRDefault="00D84965">
            <w:pPr>
              <w:pStyle w:val="P68B1DB1-ListParagraph78"/>
              <w:numPr>
                <w:ilvl w:val="0"/>
                <w:numId w:val="62"/>
              </w:numPr>
              <w:spacing w:after="0" w:line="276" w:lineRule="auto"/>
              <w:ind w:left="291" w:hanging="284"/>
              <w:rPr>
                <w:noProof/>
              </w:rPr>
            </w:pPr>
            <w:r>
              <w:rPr>
                <w:noProof/>
              </w:rPr>
              <w:t xml:space="preserve"> un sistem de asistență pentru procesul principal</w:t>
            </w:r>
          </w:p>
          <w:p w14:paraId="1B19C71E" w14:textId="1D627611" w:rsidR="00FA7C11" w:rsidRDefault="00D84965">
            <w:pPr>
              <w:pStyle w:val="P68B1DB1-ListParagraph78"/>
              <w:numPr>
                <w:ilvl w:val="0"/>
                <w:numId w:val="62"/>
              </w:numPr>
              <w:spacing w:after="0" w:line="276" w:lineRule="auto"/>
              <w:ind w:left="291" w:hanging="284"/>
              <w:rPr>
                <w:noProof/>
              </w:rPr>
            </w:pPr>
            <w:r>
              <w:rPr>
                <w:noProof/>
              </w:rPr>
              <w:t xml:space="preserve">sistemul e_Advisor (care include funcționalitatea de semnătură digitală și biometrică) </w:t>
            </w:r>
          </w:p>
          <w:p w14:paraId="46F87D27" w14:textId="77777777" w:rsidR="00FA7C11" w:rsidRDefault="00D84965">
            <w:pPr>
              <w:pStyle w:val="P68B1DB1-ListParagraph78"/>
              <w:numPr>
                <w:ilvl w:val="0"/>
                <w:numId w:val="62"/>
              </w:numPr>
              <w:spacing w:after="0" w:line="240" w:lineRule="auto"/>
              <w:ind w:left="291" w:hanging="284"/>
              <w:rPr>
                <w:noProof/>
              </w:rPr>
            </w:pPr>
            <w:r>
              <w:rPr>
                <w:noProof/>
              </w:rPr>
              <w:t xml:space="preserve"> arhivele digitale; </w:t>
            </w:r>
          </w:p>
          <w:p w14:paraId="45E60970" w14:textId="00092642" w:rsidR="00FA7C11" w:rsidRDefault="00D84965">
            <w:pPr>
              <w:pStyle w:val="P68B1DB1-Normal66"/>
              <w:spacing w:after="0" w:line="240" w:lineRule="auto"/>
              <w:rPr>
                <w:noProof/>
              </w:rPr>
            </w:pPr>
            <w:r>
              <w:rPr>
                <w:noProof/>
              </w:rPr>
              <w:t>VI) un sistem de contabilitate</w:t>
            </w:r>
          </w:p>
          <w:p w14:paraId="2504DBC4" w14:textId="77777777" w:rsidR="00FA7C11" w:rsidRDefault="00D84965">
            <w:pPr>
              <w:pStyle w:val="P68B1DB1-Normal66"/>
              <w:spacing w:after="0" w:line="240" w:lineRule="auto"/>
              <w:rPr>
                <w:noProof/>
              </w:rPr>
            </w:pPr>
            <w:r>
              <w:rPr>
                <w:noProof/>
              </w:rPr>
              <w:t>VII) un sistem digital de gestionare a documentelor.</w:t>
            </w:r>
          </w:p>
        </w:tc>
      </w:tr>
      <w:tr w:rsidR="00FA7C11" w14:paraId="1BAB490D"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5271009" w14:textId="77777777" w:rsidR="00FA7C11" w:rsidRDefault="00D84965">
            <w:pPr>
              <w:pStyle w:val="P68B1DB1-Normal66"/>
              <w:spacing w:after="200" w:line="276" w:lineRule="auto"/>
              <w:jc w:val="center"/>
              <w:rPr>
                <w:noProof/>
              </w:rPr>
            </w:pPr>
            <w:r>
              <w:rPr>
                <w:noProof/>
              </w:rPr>
              <w:t>194</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69F0968" w14:textId="77777777" w:rsidR="00FA7C11" w:rsidRDefault="00D84965">
            <w:pPr>
              <w:pStyle w:val="P68B1DB1-Normal66"/>
              <w:spacing w:after="200" w:line="276" w:lineRule="auto"/>
              <w:jc w:val="center"/>
              <w:rPr>
                <w:noProof/>
              </w:rPr>
            </w:pPr>
            <w:r>
              <w:rPr>
                <w:noProof/>
              </w:rPr>
              <w:t>C2.3. R3-I11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1E388FFC"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7AF868AC" w14:textId="77777777" w:rsidR="00FA7C11" w:rsidRDefault="00D84965">
            <w:pPr>
              <w:pStyle w:val="P68B1DB1-Normal66"/>
              <w:spacing w:after="200" w:line="276" w:lineRule="auto"/>
              <w:rPr>
                <w:noProof/>
              </w:rPr>
            </w:pPr>
            <w:r>
              <w:rPr>
                <w:noProof/>
              </w:rPr>
              <w:t xml:space="preserve">Modernizarea sistemului informatic al Institutului Croat de Asigurări de Pensii (HZMO)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26D47C2E" w14:textId="77777777" w:rsidR="00FA7C11" w:rsidRDefault="00D84965">
            <w:pPr>
              <w:pStyle w:val="P68B1DB1-Normal66"/>
              <w:spacing w:after="200" w:line="276" w:lineRule="auto"/>
              <w:rPr>
                <w:noProof/>
              </w:rPr>
            </w:pPr>
            <w:r>
              <w:rPr>
                <w:noProof/>
              </w:rPr>
              <w:t>Se pune la dispoziție sistemul informatic modernizat al Institutului Croat de Asigurări de Pensii.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0ACC78E"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F705A11"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43C22F4"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215D03F"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39E2C00D"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AEE9148" w14:textId="77777777" w:rsidR="00FA7C11" w:rsidRDefault="00D84965">
            <w:pPr>
              <w:pStyle w:val="P68B1DB1-Normal66"/>
              <w:spacing w:after="200" w:line="276" w:lineRule="auto"/>
              <w:rPr>
                <w:noProof/>
              </w:rPr>
            </w:pPr>
            <w:r>
              <w:rPr>
                <w:noProof/>
              </w:rPr>
              <w:t xml:space="preserve">Sistemul informatic și procesele operaționale de bază ale Institutului Croat de Asigurări de Pensii (HZMO) sunt furnizate de contractant. </w:t>
            </w:r>
          </w:p>
          <w:p w14:paraId="3D4859D6" w14:textId="77777777" w:rsidR="00FA7C11" w:rsidRDefault="00D84965">
            <w:pPr>
              <w:pStyle w:val="P68B1DB1-Normal66"/>
              <w:spacing w:after="200" w:line="276" w:lineRule="auto"/>
              <w:rPr>
                <w:noProof/>
              </w:rPr>
            </w:pPr>
            <w:r>
              <w:rPr>
                <w:noProof/>
              </w:rPr>
              <w:t>Sistemul informatic livrat include module pentru gestionarea: calculele pentru pensii și alocațiile pentru copii, ii) contribuțiile și evidențele plăților, iii) datele beneficiarilor, iv) căile de atac, procedurile de revizuire și litigiile, v) documentația și arhivele digitale, vi) datele analitice și contabile, vii) operațiunile financiare, vii) procesele de achiziții, contractare și comandă, viii) datoriile și datoriile (cumpărători/furnizori), ix) gestionarea activelor.</w:t>
            </w:r>
          </w:p>
        </w:tc>
      </w:tr>
      <w:tr w:rsidR="00FA7C11" w14:paraId="5E16035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51E3731" w14:textId="77777777" w:rsidR="00FA7C11" w:rsidRDefault="00D84965">
            <w:pPr>
              <w:pStyle w:val="P68B1DB1-Normal66"/>
              <w:spacing w:after="200" w:line="276" w:lineRule="auto"/>
              <w:jc w:val="center"/>
              <w:rPr>
                <w:noProof/>
              </w:rPr>
            </w:pPr>
            <w:r>
              <w:rPr>
                <w:noProof/>
              </w:rPr>
              <w:t>195</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3380082" w14:textId="77777777" w:rsidR="00FA7C11" w:rsidRDefault="00D84965">
            <w:pPr>
              <w:pStyle w:val="P68B1DB1-Normal66"/>
              <w:spacing w:after="200" w:line="276" w:lineRule="auto"/>
              <w:jc w:val="center"/>
              <w:rPr>
                <w:noProof/>
              </w:rPr>
            </w:pPr>
            <w:r>
              <w:rPr>
                <w:noProof/>
              </w:rPr>
              <w:t>C2.3. R3-I12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6784D6C"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603F0C0A" w14:textId="77777777" w:rsidR="00FA7C11" w:rsidRDefault="00D84965">
            <w:pPr>
              <w:pStyle w:val="P68B1DB1-Normal66"/>
              <w:spacing w:after="200" w:line="276" w:lineRule="auto"/>
              <w:rPr>
                <w:noProof/>
              </w:rPr>
            </w:pPr>
            <w:r>
              <w:rPr>
                <w:noProof/>
              </w:rPr>
              <w:t>Arhivele digitale ale Institutului Croat de Asigurări de Pensii (HZMO)</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6DBDB35F" w14:textId="77777777" w:rsidR="00FA7C11" w:rsidRDefault="00D84965">
            <w:pPr>
              <w:pStyle w:val="P68B1DB1-Normal66"/>
              <w:spacing w:after="200" w:line="276" w:lineRule="auto"/>
              <w:rPr>
                <w:noProof/>
              </w:rPr>
            </w:pPr>
            <w:r>
              <w:rPr>
                <w:noProof/>
              </w:rPr>
              <w:t>Registrul HZMO de predare a sistemului de operare pentru gestionarea arhivelor digitale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21973841"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155C917"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3104908"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72CE6AEE"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3E9210C" w14:textId="77777777" w:rsidR="00FA7C11" w:rsidRDefault="00D84965">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51A5BB79" w14:textId="77777777" w:rsidR="00FA7C11" w:rsidRDefault="00D84965">
            <w:pPr>
              <w:pStyle w:val="P68B1DB1-Normal66"/>
              <w:spacing w:after="200" w:line="276" w:lineRule="auto"/>
              <w:rPr>
                <w:noProof/>
              </w:rPr>
            </w:pPr>
            <w:r>
              <w:rPr>
                <w:noProof/>
              </w:rPr>
              <w:t>Sistemul de gestionare a arhivelor digitale (sistemul de gestionare a arhivelor digitale) este operațional</w:t>
            </w:r>
          </w:p>
        </w:tc>
      </w:tr>
      <w:tr w:rsidR="00FA7C11" w14:paraId="53B295B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D8C3B5E" w14:textId="77777777" w:rsidR="00FA7C11" w:rsidRDefault="00D84965">
            <w:pPr>
              <w:pStyle w:val="P68B1DB1-Normal66"/>
              <w:spacing w:after="200" w:line="276" w:lineRule="auto"/>
              <w:jc w:val="center"/>
              <w:rPr>
                <w:noProof/>
              </w:rPr>
            </w:pPr>
            <w:r>
              <w:rPr>
                <w:noProof/>
              </w:rPr>
              <w:t>196</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57CE2F2F" w14:textId="77777777" w:rsidR="00FA7C11" w:rsidRDefault="00D84965">
            <w:pPr>
              <w:pStyle w:val="P68B1DB1-Normal66"/>
              <w:spacing w:after="200" w:line="276" w:lineRule="auto"/>
              <w:jc w:val="center"/>
              <w:rPr>
                <w:noProof/>
              </w:rPr>
            </w:pPr>
            <w:r>
              <w:rPr>
                <w:noProof/>
              </w:rPr>
              <w:t>C2.3. R3-I12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1BF4F418"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F450447" w14:textId="6F616028" w:rsidR="00FA7C11" w:rsidRDefault="00D84965">
            <w:pPr>
              <w:pStyle w:val="P68B1DB1-Normal66"/>
              <w:spacing w:after="200" w:line="276" w:lineRule="auto"/>
              <w:rPr>
                <w:noProof/>
              </w:rPr>
            </w:pPr>
            <w:r>
              <w:rPr>
                <w:noProof/>
              </w:rPr>
              <w:t xml:space="preserve">Arhivele digitale ale Institutului Croat de Asigurări de Pensii (HZMO)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5C1DD2D" w14:textId="77777777" w:rsidR="00FA7C11" w:rsidRDefault="00D84965">
            <w:pPr>
              <w:pStyle w:val="P68B1DB1-Normal66"/>
              <w:spacing w:after="200" w:line="276" w:lineRule="auto"/>
              <w:rPr>
                <w:noProof/>
              </w:rPr>
            </w:pPr>
            <w:r>
              <w:rPr>
                <w:noProof/>
              </w:rPr>
              <w:t xml:space="preserve">Arhive scanate și indexate </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694EE8D4" w14:textId="77777777" w:rsidR="00FA7C11" w:rsidRDefault="00FA7C11">
            <w:pPr>
              <w:spacing w:after="200" w:line="276" w:lineRule="auto"/>
              <w:jc w:val="center"/>
              <w:rPr>
                <w:rFonts w:ascii="Times New Roman" w:eastAsia="Calibri" w:hAnsi="Times New Roman" w:cs="Times New Roman"/>
                <w:noProof/>
                <w:sz w:val="20"/>
                <w:szCs w:val="20"/>
              </w:rPr>
            </w:pP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1346F2EC" w14:textId="77777777" w:rsidR="00FA7C11" w:rsidRDefault="00FA7C11">
            <w:pPr>
              <w:spacing w:after="200" w:line="276" w:lineRule="auto"/>
              <w:jc w:val="center"/>
              <w:rPr>
                <w:rFonts w:ascii="Times New Roman" w:eastAsia="Calibri"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3E1FC69" w14:textId="77777777" w:rsidR="00FA7C11" w:rsidRDefault="00FA7C11">
            <w:pPr>
              <w:spacing w:after="200" w:line="276" w:lineRule="auto"/>
              <w:rPr>
                <w:rFonts w:ascii="Times New Roman" w:eastAsia="Calibri" w:hAnsi="Times New Roman" w:cs="Times New Roman"/>
                <w:noProof/>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F9D1639"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386A4686"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602056E6" w14:textId="6557214D" w:rsidR="00FA7C11" w:rsidRDefault="00D84965">
            <w:pPr>
              <w:spacing w:after="200" w:line="276" w:lineRule="auto"/>
              <w:rPr>
                <w:rFonts w:ascii="Times New Roman" w:eastAsia="Calibri" w:hAnsi="Times New Roman" w:cs="Times New Roman"/>
                <w:noProof/>
                <w:color w:val="000000"/>
                <w:sz w:val="20"/>
                <w:szCs w:val="20"/>
              </w:rPr>
            </w:pPr>
            <w:r>
              <w:rPr>
                <w:rFonts w:ascii="Times New Roman" w:eastAsia="Calibri" w:hAnsi="Times New Roman" w:cs="Times New Roman"/>
                <w:noProof/>
                <w:color w:val="000000" w:themeColor="text1"/>
                <w:sz w:val="20"/>
                <w:szCs w:val="20"/>
              </w:rPr>
              <w:t>Certificat de predare de către contractant pentru finalizarea lucrărilor de digitalizare și indexare a 50</w:t>
            </w:r>
            <w:r>
              <w:rPr>
                <w:rFonts w:ascii="Times New Roman" w:hAnsi="Times New Roman" w:cs="Times New Roman"/>
                <w:noProof/>
              </w:rPr>
              <w:t xml:space="preserve"> 000 000 de pagini din arhiva națională în noile arhive digitale. </w:t>
            </w:r>
            <w:r>
              <w:rPr>
                <w:rFonts w:ascii="Times New Roman" w:eastAsia="Calibri" w:hAnsi="Times New Roman" w:cs="Times New Roman"/>
                <w:noProof/>
                <w:sz w:val="20"/>
                <w:szCs w:val="20"/>
              </w:rPr>
              <w:t xml:space="preserve"> </w:t>
            </w:r>
          </w:p>
        </w:tc>
      </w:tr>
      <w:tr w:rsidR="00FA7C11" w14:paraId="5EEB9FF7"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5255C81" w14:textId="77777777" w:rsidR="00FA7C11" w:rsidRDefault="00D84965">
            <w:pPr>
              <w:pStyle w:val="P68B1DB1-Normal66"/>
              <w:spacing w:after="200" w:line="276" w:lineRule="auto"/>
              <w:jc w:val="center"/>
              <w:rPr>
                <w:noProof/>
              </w:rPr>
            </w:pPr>
            <w:r>
              <w:rPr>
                <w:noProof/>
              </w:rPr>
              <w:t>197</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55A72FF" w14:textId="77777777" w:rsidR="00FA7C11" w:rsidRDefault="00D84965">
            <w:pPr>
              <w:pStyle w:val="P68B1DB1-Normal66"/>
              <w:spacing w:after="200" w:line="276" w:lineRule="auto"/>
              <w:jc w:val="center"/>
              <w:rPr>
                <w:noProof/>
              </w:rPr>
            </w:pPr>
            <w:r>
              <w:rPr>
                <w:noProof/>
              </w:rPr>
              <w:t>C2.3. R3-I13</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9FA419A"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0B3AE27" w14:textId="77777777" w:rsidR="00FA7C11" w:rsidRDefault="00D84965">
            <w:pPr>
              <w:pStyle w:val="P68B1DB1-Normal66"/>
              <w:spacing w:after="200" w:line="276" w:lineRule="auto"/>
              <w:rPr>
                <w:noProof/>
              </w:rPr>
            </w:pPr>
            <w:r>
              <w:rPr>
                <w:noProof/>
              </w:rPr>
              <w:t xml:space="preserve">Modernizarea sistemului de informații privind administrația fiscală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82CD5B9" w14:textId="77777777" w:rsidR="00FA7C11" w:rsidRDefault="00D84965">
            <w:pPr>
              <w:pStyle w:val="P68B1DB1-Normal66"/>
              <w:spacing w:after="200" w:line="276" w:lineRule="auto"/>
              <w:rPr>
                <w:noProof/>
              </w:rPr>
            </w:pPr>
            <w:r>
              <w:rPr>
                <w:noProof/>
              </w:rPr>
              <w:t>Sistemul de informații actualizat privind administrația fiscală este online și accesibil</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B1005F4"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0C1431F"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138E22A"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0E49404D"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2B3471B0"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15FA2AC2" w14:textId="77777777" w:rsidR="00FA7C11" w:rsidRDefault="00D84965">
            <w:pPr>
              <w:pStyle w:val="P68B1DB1-Normal66"/>
              <w:spacing w:after="200" w:line="276" w:lineRule="auto"/>
              <w:rPr>
                <w:noProof/>
              </w:rPr>
            </w:pPr>
            <w:r>
              <w:rPr>
                <w:noProof/>
              </w:rPr>
              <w:t>Sistemul îmbunătățit de informații privind administrația fiscală este disponibil online și accesibil.</w:t>
            </w:r>
          </w:p>
          <w:p w14:paraId="39470255" w14:textId="77777777" w:rsidR="00FA7C11" w:rsidRDefault="00D84965">
            <w:pPr>
              <w:pStyle w:val="P68B1DB1-Normal66"/>
              <w:spacing w:after="200" w:line="276" w:lineRule="auto"/>
              <w:rPr>
                <w:noProof/>
              </w:rPr>
            </w:pPr>
            <w:r>
              <w:rPr>
                <w:noProof/>
              </w:rPr>
              <w:t>Sistemul cuprinde:</w:t>
            </w:r>
          </w:p>
          <w:p w14:paraId="74315702" w14:textId="77777777" w:rsidR="00FA7C11" w:rsidRDefault="00D84965">
            <w:pPr>
              <w:pStyle w:val="P68B1DB1-ListParagraph78"/>
              <w:numPr>
                <w:ilvl w:val="0"/>
                <w:numId w:val="63"/>
              </w:numPr>
              <w:spacing w:after="0" w:line="240" w:lineRule="auto"/>
              <w:rPr>
                <w:noProof/>
                <w:color w:val="000000" w:themeColor="text1"/>
              </w:rPr>
            </w:pPr>
            <w:r>
              <w:rPr>
                <w:noProof/>
              </w:rPr>
              <w:t>O platformă care: (a) permite automatizarea proceselor operaționale ale administrației fiscale și (b) furnizează analize ale datelor.</w:t>
            </w:r>
          </w:p>
          <w:p w14:paraId="23E3E9A7" w14:textId="260B12F7" w:rsidR="00FA7C11" w:rsidRDefault="00D84965">
            <w:pPr>
              <w:pStyle w:val="P68B1DB1-ListParagraph78"/>
              <w:numPr>
                <w:ilvl w:val="0"/>
                <w:numId w:val="63"/>
              </w:numPr>
              <w:spacing w:after="0" w:line="240" w:lineRule="auto"/>
              <w:rPr>
                <w:noProof/>
                <w:color w:val="000000" w:themeColor="text1"/>
              </w:rPr>
            </w:pPr>
            <w:r>
              <w:rPr>
                <w:noProof/>
              </w:rPr>
              <w:t>Digitalizarea procedurilor de stabilire și colectare din 340, inclusiv a procedurilor privind evaluarea și colectarea taxei pe valoarea adăugată, a contribuțiilor sociale și a impozitului pe profit, precum și a evidențelor contabile fiscale, a operațiunilor de plată și a sistemelor pentru schimbul european și internațional de date fiscale, dovedită printr-un certificat de predare din partea unui contractant.</w:t>
            </w:r>
          </w:p>
          <w:p w14:paraId="7987844E" w14:textId="77777777" w:rsidR="00FA7C11" w:rsidRDefault="00D84965">
            <w:pPr>
              <w:pStyle w:val="P68B1DB1-ListParagraph78"/>
              <w:numPr>
                <w:ilvl w:val="0"/>
                <w:numId w:val="63"/>
              </w:numPr>
              <w:spacing w:after="0" w:line="276" w:lineRule="auto"/>
              <w:rPr>
                <w:noProof/>
              </w:rPr>
            </w:pPr>
            <w:r>
              <w:rPr>
                <w:noProof/>
              </w:rPr>
              <w:t>Infrastructură TIC de securitate care: (a) consolidează și modernizează infrastructura TIC, (b) crește nivelul de securitate TIC și (c) asigură continuitatea activității.</w:t>
            </w:r>
          </w:p>
        </w:tc>
      </w:tr>
      <w:tr w:rsidR="00FA7C11" w14:paraId="7942E3BF"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064BBD9" w14:textId="77777777" w:rsidR="00FA7C11" w:rsidRDefault="00D84965">
            <w:pPr>
              <w:pStyle w:val="P68B1DB1-Normal66"/>
              <w:spacing w:after="200" w:line="276" w:lineRule="auto"/>
              <w:jc w:val="center"/>
              <w:rPr>
                <w:noProof/>
              </w:rPr>
            </w:pPr>
            <w:r>
              <w:rPr>
                <w:noProof/>
              </w:rPr>
              <w:t>199</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38723A4" w14:textId="77777777" w:rsidR="00FA7C11" w:rsidRDefault="00D84965">
            <w:pPr>
              <w:pStyle w:val="P68B1DB1-Normal66"/>
              <w:spacing w:after="200" w:line="276" w:lineRule="auto"/>
              <w:jc w:val="center"/>
              <w:rPr>
                <w:noProof/>
              </w:rPr>
            </w:pPr>
            <w:r>
              <w:rPr>
                <w:noProof/>
              </w:rPr>
              <w:t>C2.3. R3-I14</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26EF9B5"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266E7843" w14:textId="77777777" w:rsidR="00FA7C11" w:rsidRDefault="00D84965">
            <w:pPr>
              <w:pStyle w:val="P68B1DB1-Normal66"/>
              <w:spacing w:after="200" w:line="276" w:lineRule="auto"/>
              <w:rPr>
                <w:noProof/>
              </w:rPr>
            </w:pPr>
            <w:r>
              <w:rPr>
                <w:noProof/>
              </w:rPr>
              <w:t xml:space="preserve">Sistemul de facturi electronice și contabilitatea TVA online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77085E34" w14:textId="77777777" w:rsidR="00FA7C11" w:rsidRDefault="00D84965">
            <w:pPr>
              <w:pStyle w:val="P68B1DB1-Normal66"/>
              <w:spacing w:after="200" w:line="276" w:lineRule="auto"/>
              <w:rPr>
                <w:noProof/>
              </w:rPr>
            </w:pPr>
            <w:r>
              <w:rPr>
                <w:noProof/>
              </w:rPr>
              <w:t>Raport al Ministerului Finanțelor – Administrația fiscală</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1712F61E"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4D788EE0"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50E0723"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6348270" w14:textId="77777777" w:rsidR="00FA7C11" w:rsidRDefault="00D84965">
            <w:pPr>
              <w:pStyle w:val="P68B1DB1-Normal66"/>
              <w:spacing w:after="200" w:line="276" w:lineRule="auto"/>
              <w:jc w:val="center"/>
              <w:rPr>
                <w:noProof/>
              </w:rPr>
            </w:pPr>
            <w:r>
              <w:rPr>
                <w:noProof/>
              </w:rPr>
              <w:t>Î4</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477CC96B" w14:textId="77777777" w:rsidR="00FA7C11" w:rsidRDefault="00D84965">
            <w:pPr>
              <w:pStyle w:val="P68B1DB1-Normal66"/>
              <w:spacing w:after="200" w:line="276" w:lineRule="auto"/>
              <w:jc w:val="center"/>
              <w:rPr>
                <w:noProof/>
              </w:rPr>
            </w:pPr>
            <w:r>
              <w:rPr>
                <w:noProof/>
              </w:rPr>
              <w:t>2024</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1947F9B2" w14:textId="77777777" w:rsidR="00FA7C11" w:rsidRDefault="00D84965">
            <w:pPr>
              <w:pStyle w:val="P68B1DB1-Normal66"/>
              <w:spacing w:after="200" w:line="276" w:lineRule="auto"/>
              <w:rPr>
                <w:noProof/>
              </w:rPr>
            </w:pPr>
            <w:r>
              <w:rPr>
                <w:noProof/>
              </w:rPr>
              <w:t>Noul sistem de înregistrare a facturilor electronice în administrația fiscală pentru toți utilizatorii (modelul B2B și persoanele impozabile pentru achizițiile publice) și sistemul avansat de contabilitate online a TVA trebuie să fie operaționale și gata de utilizare.</w:t>
            </w:r>
          </w:p>
        </w:tc>
      </w:tr>
      <w:tr w:rsidR="00FA7C11" w14:paraId="257960D0"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6281E89" w14:textId="77777777" w:rsidR="00FA7C11" w:rsidRDefault="00D84965">
            <w:pPr>
              <w:pStyle w:val="P68B1DB1-Normal66"/>
              <w:spacing w:after="200" w:line="276" w:lineRule="auto"/>
              <w:jc w:val="center"/>
              <w:rPr>
                <w:noProof/>
              </w:rPr>
            </w:pPr>
            <w:r>
              <w:rPr>
                <w:noProof/>
              </w:rPr>
              <w:t>200</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1C2822E5" w14:textId="77777777" w:rsidR="00FA7C11" w:rsidRDefault="00D84965">
            <w:pPr>
              <w:pStyle w:val="P68B1DB1-Normal66"/>
              <w:spacing w:after="200" w:line="276" w:lineRule="auto"/>
              <w:jc w:val="center"/>
              <w:rPr>
                <w:noProof/>
              </w:rPr>
            </w:pPr>
            <w:r>
              <w:rPr>
                <w:noProof/>
              </w:rPr>
              <w:t>C2.3. R3-I15</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ACF7CB7" w14:textId="77777777" w:rsidR="00FA7C11" w:rsidRDefault="00D84965">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4F043F0" w14:textId="77777777" w:rsidR="00FA7C11" w:rsidRDefault="00D84965">
            <w:pPr>
              <w:pStyle w:val="P68B1DB1-Normal66"/>
              <w:spacing w:after="200" w:line="276" w:lineRule="auto"/>
              <w:rPr>
                <w:noProof/>
              </w:rPr>
            </w:pPr>
            <w:r>
              <w:rPr>
                <w:noProof/>
              </w:rPr>
              <w:t xml:space="preserve">Instrumente în sistemul informatic pentru turism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606AFE4A" w14:textId="77777777" w:rsidR="00FA7C11" w:rsidRDefault="00D84965">
            <w:pPr>
              <w:pStyle w:val="P68B1DB1-Normal66"/>
              <w:spacing w:after="200" w:line="276" w:lineRule="auto"/>
              <w:rPr>
                <w:noProof/>
              </w:rPr>
            </w:pPr>
            <w:r>
              <w:rPr>
                <w:noProof/>
              </w:rPr>
              <w:t>Raportul Ministerului Turismului și Sportului (MINTS)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03AA4E41" w14:textId="77777777" w:rsidR="00FA7C11" w:rsidRDefault="00D84965">
            <w:pPr>
              <w:pStyle w:val="P68B1DB1-Normal66"/>
              <w:spacing w:after="200" w:line="276" w:lineRule="auto"/>
              <w:jc w:val="center"/>
              <w:rPr>
                <w:noProof/>
              </w:rPr>
            </w:pPr>
            <w:r>
              <w:rPr>
                <w:noProof/>
              </w:rPr>
              <w:t>Număr</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3788C045" w14:textId="77777777" w:rsidR="00FA7C11" w:rsidRDefault="00D84965">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444FACD" w14:textId="77777777" w:rsidR="00FA7C11" w:rsidRDefault="00D84965">
            <w:pPr>
              <w:pStyle w:val="P68B1DB1-Normal66"/>
              <w:spacing w:after="200" w:line="276" w:lineRule="auto"/>
              <w:jc w:val="center"/>
              <w:rPr>
                <w:noProof/>
              </w:rPr>
            </w:pPr>
            <w:r>
              <w:rPr>
                <w:noProof/>
              </w:rPr>
              <w:t>4</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355634E2"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47379499"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A4C8AE6" w14:textId="6BAD8B4E" w:rsidR="00FA7C11" w:rsidRDefault="00D84965">
            <w:pPr>
              <w:pStyle w:val="P68B1DB1-Normal66"/>
              <w:spacing w:after="200" w:line="276" w:lineRule="auto"/>
              <w:rPr>
                <w:noProof/>
              </w:rPr>
            </w:pPr>
            <w:r>
              <w:rPr>
                <w:noProof/>
              </w:rPr>
              <w:t>Instrumentele sunt furnizate de contractant:</w:t>
            </w:r>
            <w:r>
              <w:rPr>
                <w:noProof/>
              </w:rPr>
              <w:br/>
              <w:t xml:space="preserve">1) pentru proceduri administrative și neadministrative integrate în vederea facilitării operațiunilor comerciale și a comunicării cu administrația publică </w:t>
            </w:r>
            <w:r>
              <w:rPr>
                <w:noProof/>
              </w:rPr>
              <w:br/>
              <w:t xml:space="preserve">2) pentru gestionarea destinațiilor, inclusiv o soluție pentru gestionarea fluxurilor turistice </w:t>
            </w:r>
            <w:r>
              <w:rPr>
                <w:noProof/>
              </w:rPr>
              <w:br/>
              <w:t xml:space="preserve">3) informații comerciale în turism pentru a sprijini antreprenorii în procesul decizional în afaceri și în procesul decizional din sectorul public în procesul de elaborare a politicilor publice, utilizând date provenite din diferite surse, inclusiv „registrul central al turismului”, „sistemul e-Visitor” și sistemul CROSTO </w:t>
            </w:r>
            <w:r>
              <w:rPr>
                <w:noProof/>
              </w:rPr>
              <w:br/>
              <w:t>4) modernizarea digitalizării sistemului CROSTO, prin dezvoltarea unui „sistem digital de monitorizare a dezvoltării destinației” pentru a monitoriza sustenabilitatea destinațiilor în conformitate cu „Sistemul european de indicatori turistici pentru gestionarea durabilă a destinației” (ETIS).</w:t>
            </w:r>
          </w:p>
        </w:tc>
      </w:tr>
      <w:tr w:rsidR="00FA7C11" w14:paraId="16BCB10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C83DB70" w14:textId="77777777" w:rsidR="00FA7C11" w:rsidRDefault="00D84965">
            <w:pPr>
              <w:pStyle w:val="P68B1DB1-Normal66"/>
              <w:spacing w:after="200" w:line="276" w:lineRule="auto"/>
              <w:jc w:val="center"/>
              <w:rPr>
                <w:noProof/>
              </w:rPr>
            </w:pPr>
            <w:r>
              <w:rPr>
                <w:noProof/>
              </w:rPr>
              <w:t>201</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986234B" w14:textId="77777777" w:rsidR="00FA7C11" w:rsidRDefault="00D84965">
            <w:pPr>
              <w:pStyle w:val="P68B1DB1-Normal66"/>
              <w:spacing w:after="200" w:line="276" w:lineRule="auto"/>
              <w:jc w:val="center"/>
              <w:rPr>
                <w:noProof/>
              </w:rPr>
            </w:pPr>
            <w:r>
              <w:rPr>
                <w:noProof/>
              </w:rPr>
              <w:t>C2.3. R3-I16</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1A04B24A" w14:textId="77777777" w:rsidR="00FA7C11" w:rsidRDefault="00D84965">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413883A5" w14:textId="77777777" w:rsidR="00FA7C11" w:rsidRDefault="00D84965">
            <w:pPr>
              <w:pStyle w:val="P68B1DB1-Normal66"/>
              <w:spacing w:after="200" w:line="276" w:lineRule="auto"/>
              <w:rPr>
                <w:noProof/>
              </w:rPr>
            </w:pPr>
            <w:r>
              <w:rPr>
                <w:noProof/>
              </w:rPr>
              <w:t xml:space="preserve">Noi module de aplicații pentru sistemul informatic sportiv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01F24B6" w14:textId="77777777" w:rsidR="00FA7C11" w:rsidRDefault="00D84965">
            <w:pPr>
              <w:pStyle w:val="P68B1DB1-Normal66"/>
              <w:spacing w:after="200" w:line="276" w:lineRule="auto"/>
              <w:rPr>
                <w:noProof/>
              </w:rPr>
            </w:pPr>
            <w:r>
              <w:rPr>
                <w:noProof/>
              </w:rPr>
              <w:t xml:space="preserve"> Raportul Ministerului Turismului și Sportului (MINTS)</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35D036CE" w14:textId="77777777" w:rsidR="00FA7C11" w:rsidRDefault="00D84965">
            <w:pPr>
              <w:pStyle w:val="P68B1DB1-Normal66"/>
              <w:spacing w:after="200" w:line="276" w:lineRule="auto"/>
              <w:jc w:val="center"/>
              <w:rPr>
                <w:noProof/>
              </w:rPr>
            </w:pPr>
            <w:r>
              <w:rPr>
                <w:noProof/>
              </w:rPr>
              <w:t>Număr</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0FD34AC4" w14:textId="77777777" w:rsidR="00FA7C11" w:rsidRDefault="00D84965">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7E7F115" w14:textId="77777777" w:rsidR="00FA7C11" w:rsidRDefault="00D84965">
            <w:pPr>
              <w:pStyle w:val="P68B1DB1-Normal66"/>
              <w:spacing w:after="200" w:line="276" w:lineRule="auto"/>
              <w:jc w:val="center"/>
              <w:rPr>
                <w:noProof/>
              </w:rPr>
            </w:pPr>
            <w:r>
              <w:rPr>
                <w:noProof/>
              </w:rPr>
              <w:t>3</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8188F17"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413644BD"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59F7E944" w14:textId="11E343E8" w:rsidR="00FA7C11" w:rsidRDefault="00D84965">
            <w:pPr>
              <w:pStyle w:val="P68B1DB1-Normal66"/>
              <w:spacing w:after="200" w:line="276" w:lineRule="auto"/>
              <w:rPr>
                <w:noProof/>
              </w:rPr>
            </w:pPr>
            <w:r>
              <w:rPr>
                <w:noProof/>
              </w:rPr>
              <w:t xml:space="preserve">Trei noi module de aplicații vor fi integrate în sistemul de informații privind sportul (SSI): </w:t>
            </w:r>
            <w:r>
              <w:rPr>
                <w:noProof/>
              </w:rPr>
              <w:br/>
              <w:t xml:space="preserve">1) pentru furnizarea accesului direct la cluburile sportive, cu drepturi de introducere a datelor (inclusiv evidențe sportive și evidențe ale examinărilor medicale ale sportivilor), la registrele de bază și la registrele sistemului informatic din sport </w:t>
            </w:r>
            <w:r>
              <w:rPr>
                <w:noProof/>
              </w:rPr>
              <w:br/>
              <w:t xml:space="preserve">2) pentru finanțarea nevoilor publice în domeniul sportului ale unităților administrației publice locale și regionale; </w:t>
            </w:r>
            <w:r>
              <w:rPr>
                <w:noProof/>
              </w:rPr>
              <w:br/>
              <w:t>3) pentru colectarea de date privind sportul și exercițiile fizice orientate spre sănătate, inclusiv stabilirea unei evidențe în domeniul exercițiilor fizice orientate spre sănătate.</w:t>
            </w:r>
          </w:p>
        </w:tc>
      </w:tr>
      <w:tr w:rsidR="00FA7C11" w14:paraId="168B642B"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FE0B694" w14:textId="77777777" w:rsidR="00FA7C11" w:rsidRDefault="00D84965">
            <w:pPr>
              <w:pStyle w:val="P68B1DB1-Normal66"/>
              <w:spacing w:after="200" w:line="276" w:lineRule="auto"/>
              <w:jc w:val="center"/>
              <w:rPr>
                <w:noProof/>
              </w:rPr>
            </w:pPr>
            <w:r>
              <w:rPr>
                <w:noProof/>
              </w:rPr>
              <w:t>449</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4AC945D3" w14:textId="77777777" w:rsidR="00FA7C11" w:rsidRDefault="00D84965">
            <w:pPr>
              <w:pStyle w:val="P68B1DB1-Normal66"/>
              <w:spacing w:after="200" w:line="276" w:lineRule="auto"/>
              <w:jc w:val="center"/>
              <w:rPr>
                <w:noProof/>
              </w:rPr>
            </w:pPr>
            <w:r>
              <w:rPr>
                <w:noProof/>
              </w:rPr>
              <w:t>C2.3. R3-I18</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2688855F"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5E715F8F" w14:textId="77777777" w:rsidR="00FA7C11" w:rsidRDefault="00D84965">
            <w:pPr>
              <w:pStyle w:val="P68B1DB1-Normal66"/>
              <w:spacing w:after="200" w:line="276" w:lineRule="auto"/>
              <w:rPr>
                <w:noProof/>
              </w:rPr>
            </w:pPr>
            <w:r>
              <w:rPr>
                <w:noProof/>
              </w:rPr>
              <w:t>Semnarea acordului de contribuție dintre Croația și întreprinderea comună EuroHPC și plata contribuției voluntare către întreprinderea comună EuroHPC</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E6BC6D1" w14:textId="77777777" w:rsidR="00FA7C11" w:rsidRDefault="00D84965">
            <w:pPr>
              <w:pStyle w:val="P68B1DB1-Normal66"/>
              <w:spacing w:after="200" w:line="276" w:lineRule="auto"/>
              <w:rPr>
                <w:noProof/>
              </w:rPr>
            </w:pPr>
            <w:r>
              <w:rPr>
                <w:noProof/>
              </w:rPr>
              <w:t>Semnarea acordului de contribuție</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7B71FE9"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574FFB45"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26766CD"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3DF8D0E" w14:textId="77777777" w:rsidR="00FA7C11" w:rsidRDefault="00D84965">
            <w:pPr>
              <w:pStyle w:val="P68B1DB1-Normal66"/>
              <w:spacing w:after="200" w:line="276" w:lineRule="auto"/>
              <w:jc w:val="center"/>
              <w:rPr>
                <w:noProof/>
                <w:color w:val="000000" w:themeColor="text1"/>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2332FF8"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30C42DCA" w14:textId="77777777" w:rsidR="00FA7C11" w:rsidRDefault="00D84965">
            <w:pPr>
              <w:pStyle w:val="P68B1DB1-Normal66"/>
              <w:spacing w:after="200" w:line="240" w:lineRule="auto"/>
              <w:rPr>
                <w:noProof/>
              </w:rPr>
            </w:pPr>
            <w:r>
              <w:rPr>
                <w:noProof/>
              </w:rPr>
              <w:t xml:space="preserve">Semnarea acordului de contribuție dintre Croația și întreprinderea comună EuroHPC. </w:t>
            </w:r>
          </w:p>
          <w:p w14:paraId="711D590D" w14:textId="77777777" w:rsidR="00FA7C11" w:rsidRDefault="00D84965">
            <w:pPr>
              <w:pStyle w:val="P68B1DB1-Normal66"/>
              <w:spacing w:after="200" w:line="240" w:lineRule="auto"/>
              <w:rPr>
                <w:noProof/>
              </w:rPr>
            </w:pPr>
            <w:r>
              <w:rPr>
                <w:noProof/>
              </w:rPr>
              <w:t>Acordul de contribuție include:</w:t>
            </w:r>
          </w:p>
          <w:p w14:paraId="0DEE2A2F" w14:textId="77777777" w:rsidR="00FA7C11" w:rsidRDefault="00D84965">
            <w:pPr>
              <w:pStyle w:val="P68B1DB1-ListParagraph78"/>
              <w:numPr>
                <w:ilvl w:val="0"/>
                <w:numId w:val="84"/>
              </w:numPr>
              <w:spacing w:after="200" w:line="240" w:lineRule="auto"/>
              <w:rPr>
                <w:noProof/>
              </w:rPr>
            </w:pPr>
            <w:r>
              <w:rPr>
                <w:noProof/>
              </w:rPr>
              <w:t>O indicație a activităților care urmează să fie finanțate prin contribuția voluntară, și anume sprijinul financiar acordat unei gigafabrici de IA sau unei infrastructuri de IA echivalente și inițiativelor de tehnologie cuantică care urmează să fie dezvoltate și stabilite în Uniune.</w:t>
            </w:r>
          </w:p>
          <w:p w14:paraId="04D4F444" w14:textId="77777777" w:rsidR="00FA7C11" w:rsidRDefault="00D84965">
            <w:pPr>
              <w:pStyle w:val="P68B1DB1-ListParagraph78"/>
              <w:numPr>
                <w:ilvl w:val="0"/>
                <w:numId w:val="84"/>
              </w:numPr>
              <w:spacing w:after="200" w:line="240" w:lineRule="auto"/>
              <w:rPr>
                <w:noProof/>
              </w:rPr>
            </w:pPr>
            <w:r>
              <w:rPr>
                <w:noProof/>
              </w:rPr>
              <w:t>Cerința ca respectiva contribuție voluntară să fie utilizată în conformitate cu principiul de „a nu prejudicia în mod semnificativ”, astfel cum se prevede în Orientările tehnice 2021/C58/01.</w:t>
            </w:r>
          </w:p>
          <w:p w14:paraId="78AB881A" w14:textId="77777777" w:rsidR="00FA7C11" w:rsidRDefault="00D84965">
            <w:pPr>
              <w:pStyle w:val="P68B1DB1-ListParagraph78"/>
              <w:numPr>
                <w:ilvl w:val="0"/>
                <w:numId w:val="84"/>
              </w:numPr>
              <w:spacing w:after="200" w:line="240" w:lineRule="auto"/>
              <w:rPr>
                <w:noProof/>
              </w:rPr>
            </w:pPr>
            <w:r>
              <w:rPr>
                <w:noProof/>
              </w:rPr>
              <w:t>Cuantumul exact al contribuției voluntare din fondurile MRR.</w:t>
            </w:r>
          </w:p>
          <w:p w14:paraId="67913E83" w14:textId="77777777" w:rsidR="00FA7C11" w:rsidRDefault="00D84965">
            <w:pPr>
              <w:pStyle w:val="P68B1DB1-ListParagraph78"/>
              <w:numPr>
                <w:ilvl w:val="0"/>
                <w:numId w:val="84"/>
              </w:numPr>
              <w:spacing w:after="200" w:line="240" w:lineRule="auto"/>
              <w:rPr>
                <w:noProof/>
              </w:rPr>
            </w:pPr>
            <w:r>
              <w:rPr>
                <w:noProof/>
              </w:rPr>
              <w:t>Cerința ca sumele neutilizate care fac obiectul acordului să fie utilizate de întreprinderea comună EuroHPC pentru a sprijini aceleași obiective de politică în beneficiul statului membru în cauză și să nu fie transferate înapoi statului membru.</w:t>
            </w:r>
          </w:p>
          <w:p w14:paraId="4A18052D" w14:textId="77777777" w:rsidR="00FA7C11" w:rsidRDefault="00D84965">
            <w:pPr>
              <w:pStyle w:val="P68B1DB1-ListParagraph78"/>
              <w:numPr>
                <w:ilvl w:val="0"/>
                <w:numId w:val="84"/>
              </w:numPr>
              <w:spacing w:after="200" w:line="240" w:lineRule="auto"/>
              <w:rPr>
                <w:noProof/>
              </w:rPr>
            </w:pPr>
            <w:r>
              <w:rPr>
                <w:noProof/>
              </w:rPr>
              <w:t>Croația transferă 39 000 000,00 EUR către întreprinderea comună pentru calculul european de înaltă performanță.</w:t>
            </w:r>
          </w:p>
        </w:tc>
      </w:tr>
      <w:tr w:rsidR="00FA7C11" w14:paraId="3E16982C"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C8E90C5" w14:textId="77777777" w:rsidR="00FA7C11" w:rsidRDefault="00D84965">
            <w:pPr>
              <w:pStyle w:val="P68B1DB1-Normal66"/>
              <w:spacing w:after="200" w:line="276" w:lineRule="auto"/>
              <w:jc w:val="center"/>
              <w:rPr>
                <w:noProof/>
              </w:rPr>
            </w:pPr>
            <w:r>
              <w:rPr>
                <w:noProof/>
              </w:rPr>
              <w:t>202</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0454DCE4" w14:textId="77777777" w:rsidR="00FA7C11" w:rsidRDefault="00D84965">
            <w:pPr>
              <w:pStyle w:val="P68B1DB1-Normal66"/>
              <w:spacing w:after="200" w:line="276" w:lineRule="auto"/>
              <w:jc w:val="center"/>
              <w:rPr>
                <w:noProof/>
              </w:rPr>
            </w:pPr>
            <w:r>
              <w:rPr>
                <w:noProof/>
              </w:rPr>
              <w:t>C2.3. R4</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6AACC1A"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2164E0E8" w14:textId="77777777" w:rsidR="00FA7C11" w:rsidRDefault="00D84965">
            <w:pPr>
              <w:pStyle w:val="P68B1DB1-Normal66"/>
              <w:spacing w:after="200" w:line="276" w:lineRule="auto"/>
              <w:rPr>
                <w:noProof/>
              </w:rPr>
            </w:pPr>
            <w:r>
              <w:rPr>
                <w:noProof/>
              </w:rPr>
              <w:t xml:space="preserve">Optimizarea procesului de acordare a autorizațiilor pentru investițiile în conectivitate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3614E77E" w14:textId="77777777" w:rsidR="00FA7C11" w:rsidRDefault="00D84965">
            <w:pPr>
              <w:pStyle w:val="P68B1DB1-Normal66"/>
              <w:spacing w:after="200" w:line="276" w:lineRule="auto"/>
              <w:rPr>
                <w:noProof/>
              </w:rPr>
            </w:pPr>
            <w:r>
              <w:rPr>
                <w:noProof/>
              </w:rPr>
              <w:t>Intrarea în vigoare a unui cadru juridic revizuit</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5B01A3FD"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68FD0B3B"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EA4CCF8"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3582D92"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08D90DF6" w14:textId="77777777" w:rsidR="00FA7C11" w:rsidRDefault="00D84965">
            <w:pPr>
              <w:pStyle w:val="P68B1DB1-Normal66"/>
              <w:spacing w:after="200" w:line="276" w:lineRule="auto"/>
              <w:jc w:val="center"/>
              <w:rPr>
                <w:noProof/>
              </w:rPr>
            </w:pPr>
            <w:r>
              <w:rPr>
                <w:noProof/>
              </w:rPr>
              <w:t>2022</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09F95AA1" w14:textId="77777777" w:rsidR="00FA7C11" w:rsidRDefault="00D84965">
            <w:pPr>
              <w:pStyle w:val="P68B1DB1-Normal66"/>
              <w:spacing w:after="200" w:line="276" w:lineRule="auto"/>
              <w:rPr>
                <w:noProof/>
              </w:rPr>
            </w:pPr>
            <w:r>
              <w:rPr>
                <w:noProof/>
              </w:rPr>
              <w:t>Un cadru juridic revizuit sprijină optimizarea procesului de acordare a licențelor și permite prezentarea infrastructurii de comunicații electronice în planurile de amenajare a teritoriului. Noul cadru abordează sarcina administrativă și barierele de reglementare legate de construirea rețelelor de foarte mare capacitate, inclusiv a rețelelor 5G.</w:t>
            </w:r>
          </w:p>
        </w:tc>
      </w:tr>
      <w:tr w:rsidR="00FA7C11" w14:paraId="759B45CA"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3D8A6FB" w14:textId="77777777" w:rsidR="00FA7C11" w:rsidRDefault="00D84965">
            <w:pPr>
              <w:pStyle w:val="P68B1DB1-Normal66"/>
              <w:spacing w:after="200" w:line="276" w:lineRule="auto"/>
              <w:jc w:val="center"/>
              <w:rPr>
                <w:noProof/>
              </w:rPr>
            </w:pPr>
            <w:r>
              <w:rPr>
                <w:noProof/>
              </w:rPr>
              <w:t>203</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298A9A3E" w14:textId="77777777" w:rsidR="00FA7C11" w:rsidRDefault="00D84965">
            <w:pPr>
              <w:pStyle w:val="P68B1DB1-Normal66"/>
              <w:spacing w:after="200" w:line="276" w:lineRule="auto"/>
              <w:jc w:val="center"/>
              <w:rPr>
                <w:noProof/>
              </w:rPr>
            </w:pPr>
            <w:r>
              <w:rPr>
                <w:noProof/>
              </w:rPr>
              <w:t>C2.3. R4-I1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454BF2B2"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0DAA7D05" w14:textId="77777777" w:rsidR="00FA7C11" w:rsidRDefault="00D84965">
            <w:pPr>
              <w:pStyle w:val="P68B1DB1-Normal66"/>
              <w:spacing w:after="200" w:line="276" w:lineRule="auto"/>
              <w:rPr>
                <w:noProof/>
              </w:rPr>
            </w:pPr>
            <w:r>
              <w:rPr>
                <w:noProof/>
              </w:rPr>
              <w:t xml:space="preserve">Acorduri de grant semnate pentru punerea în aplicare a proiectelor în temeiul Cadrului național pentru dezvoltarea infrastructurii de acces în bandă largă (ONP)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608AE0F0" w14:textId="77777777" w:rsidR="00FA7C11" w:rsidRDefault="00D84965">
            <w:pPr>
              <w:pStyle w:val="P68B1DB1-Normal66"/>
              <w:spacing w:after="200" w:line="276" w:lineRule="auto"/>
              <w:rPr>
                <w:noProof/>
              </w:rPr>
            </w:pPr>
            <w:r>
              <w:rPr>
                <w:noProof/>
              </w:rPr>
              <w:t>Raportul Ministerului Mării, Transporturilor și Infrastructurii (MSTI)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AE432E6"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2F8187FC"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74A8DA4"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2287DCF" w14:textId="77777777" w:rsidR="00FA7C11" w:rsidRDefault="00D84965">
            <w:pPr>
              <w:pStyle w:val="P68B1DB1-Normal66"/>
              <w:spacing w:after="200" w:line="276" w:lineRule="auto"/>
              <w:jc w:val="center"/>
              <w:rPr>
                <w:noProof/>
              </w:rPr>
            </w:pPr>
            <w:r>
              <w:rPr>
                <w:noProof/>
              </w:rPr>
              <w:t>Î3</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066F2EA4" w14:textId="77777777" w:rsidR="00FA7C11" w:rsidRDefault="00D84965">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725D0525" w14:textId="77777777" w:rsidR="00FA7C11" w:rsidRDefault="00D84965">
            <w:pPr>
              <w:pStyle w:val="P68B1DB1-Normal66"/>
              <w:spacing w:after="200" w:line="276" w:lineRule="auto"/>
              <w:rPr>
                <w:noProof/>
              </w:rPr>
            </w:pPr>
            <w:r>
              <w:rPr>
                <w:noProof/>
              </w:rPr>
              <w:t>Acordurile de grant pentru 20 proiecte din cadrul ONP se semnează ca urmare a procesului de selecție.</w:t>
            </w:r>
          </w:p>
        </w:tc>
      </w:tr>
      <w:tr w:rsidR="00FA7C11" w14:paraId="44CEBDF9"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0D13F35" w14:textId="77777777" w:rsidR="00FA7C11" w:rsidRDefault="00D84965">
            <w:pPr>
              <w:pStyle w:val="P68B1DB1-Normal66"/>
              <w:spacing w:after="200" w:line="276" w:lineRule="auto"/>
              <w:jc w:val="center"/>
              <w:rPr>
                <w:noProof/>
              </w:rPr>
            </w:pPr>
            <w:r>
              <w:rPr>
                <w:noProof/>
              </w:rPr>
              <w:t>204</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5672B296" w14:textId="77777777" w:rsidR="00FA7C11" w:rsidRDefault="00D84965">
            <w:pPr>
              <w:pStyle w:val="P68B1DB1-Normal66"/>
              <w:spacing w:after="200" w:line="276" w:lineRule="auto"/>
              <w:jc w:val="center"/>
              <w:rPr>
                <w:noProof/>
              </w:rPr>
            </w:pPr>
            <w:r>
              <w:rPr>
                <w:noProof/>
              </w:rPr>
              <w:t>C2.3. R4-I1</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093A18A2"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14CFC729" w14:textId="77777777" w:rsidR="00FA7C11" w:rsidRDefault="00D84965">
            <w:pPr>
              <w:pStyle w:val="P68B1DB1-Normal66"/>
              <w:spacing w:after="200" w:line="276" w:lineRule="auto"/>
              <w:rPr>
                <w:noProof/>
              </w:rPr>
            </w:pPr>
            <w:r>
              <w:rPr>
                <w:noProof/>
              </w:rPr>
              <w:t xml:space="preserve">Accesul la internet în bandă largă pentru gospodăriile din zonele NGA albe </w:t>
            </w:r>
            <w:r>
              <w:rPr>
                <w:noProof/>
              </w:rPr>
              <w:br/>
              <w:t xml:space="preserve"> </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02182E3D" w14:textId="77777777" w:rsidR="00FA7C11" w:rsidRDefault="00D84965">
            <w:pPr>
              <w:pStyle w:val="P68B1DB1-Normal66"/>
              <w:spacing w:after="200" w:line="276" w:lineRule="auto"/>
              <w:rPr>
                <w:noProof/>
              </w:rPr>
            </w:pPr>
            <w:r>
              <w:rPr>
                <w:noProof/>
              </w:rPr>
              <w:t>Raportul Ministerului Mării, Transporturilor și Infrastructurii (MSTI)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4B2926E" w14:textId="77777777" w:rsidR="00FA7C11" w:rsidRDefault="00FA7C11">
            <w:pPr>
              <w:spacing w:after="200" w:line="276" w:lineRule="auto"/>
              <w:jc w:val="center"/>
              <w:rPr>
                <w:rFonts w:ascii="Times New Roman" w:eastAsia="Calibri" w:hAnsi="Times New Roman" w:cs="Times New Roman"/>
                <w:noProof/>
                <w:sz w:val="20"/>
                <w:szCs w:val="20"/>
              </w:rPr>
            </w:pP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01A86F9E" w14:textId="77777777" w:rsidR="00FA7C11" w:rsidRDefault="00FA7C11">
            <w:pPr>
              <w:spacing w:after="200" w:line="276" w:lineRule="auto"/>
              <w:jc w:val="center"/>
              <w:rPr>
                <w:rFonts w:ascii="Times New Roman" w:eastAsia="Calibri"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5CEA8F0" w14:textId="77777777" w:rsidR="00FA7C11" w:rsidRDefault="00FA7C11">
            <w:pPr>
              <w:spacing w:after="200" w:line="276" w:lineRule="auto"/>
              <w:jc w:val="center"/>
              <w:rPr>
                <w:rFonts w:ascii="Times New Roman" w:eastAsia="Calibri" w:hAnsi="Times New Roman" w:cs="Times New Roman"/>
                <w:noProof/>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5433BCEE"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5FE3CF2D"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18FCD96" w14:textId="77777777" w:rsidR="00FA7C11" w:rsidRDefault="00D84965">
            <w:pPr>
              <w:pStyle w:val="P68B1DB1-Normal66"/>
              <w:spacing w:after="240" w:line="276" w:lineRule="auto"/>
              <w:rPr>
                <w:noProof/>
                <w:color w:val="000000" w:themeColor="text1"/>
              </w:rPr>
            </w:pPr>
            <w:r>
              <w:rPr>
                <w:noProof/>
              </w:rPr>
              <w:t xml:space="preserve">Certificat de finalizare care să ateste că infrastructura în bandă largă a fost construită și permite accesul în bandă largă de cel puțin 100 MBit/s (care poate fi modernizat la 1 Giga), pentru descărcarea de către utilizator, la cel puțin 40 136 de gospodării suplimentare din zonele NGA albe. </w:t>
            </w:r>
          </w:p>
        </w:tc>
      </w:tr>
      <w:tr w:rsidR="00FA7C11" w14:paraId="5269D5B8"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A5AC210" w14:textId="77777777" w:rsidR="00FA7C11" w:rsidRDefault="00D84965">
            <w:pPr>
              <w:pStyle w:val="P68B1DB1-Normal66"/>
              <w:spacing w:after="0" w:line="276" w:lineRule="auto"/>
              <w:jc w:val="center"/>
              <w:rPr>
                <w:noProof/>
              </w:rPr>
            </w:pPr>
            <w:r>
              <w:rPr>
                <w:noProof/>
              </w:rPr>
              <w:t>205</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16D3BA07" w14:textId="77777777" w:rsidR="00FA7C11" w:rsidRDefault="00D84965">
            <w:pPr>
              <w:pStyle w:val="P68B1DB1-Normal66"/>
              <w:spacing w:after="200" w:line="276" w:lineRule="auto"/>
              <w:jc w:val="center"/>
              <w:rPr>
                <w:noProof/>
              </w:rPr>
            </w:pPr>
            <w:r>
              <w:rPr>
                <w:noProof/>
              </w:rPr>
              <w:t>C2.3. R4-I2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3946CB1" w14:textId="77777777" w:rsidR="00FA7C11" w:rsidRDefault="00D84965">
            <w:pPr>
              <w:pStyle w:val="P68B1DB1-Normal66"/>
              <w:spacing w:after="200" w:line="276" w:lineRule="auto"/>
              <w:jc w:val="center"/>
              <w:rPr>
                <w:noProof/>
              </w:rPr>
            </w:pPr>
            <w:r>
              <w:rPr>
                <w:noProof/>
              </w:rPr>
              <w:t>M</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001AAD74" w14:textId="77777777" w:rsidR="00FA7C11" w:rsidRDefault="00D84965">
            <w:pPr>
              <w:pStyle w:val="P68B1DB1-Normal66"/>
              <w:spacing w:after="200" w:line="276" w:lineRule="auto"/>
              <w:rPr>
                <w:noProof/>
              </w:rPr>
            </w:pPr>
            <w:r>
              <w:rPr>
                <w:noProof/>
              </w:rPr>
              <w:t>Acord de grant semnat pentru construirea unei infrastructuri pasive de comunicații electronice</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1A7CE4E1" w14:textId="77777777" w:rsidR="00FA7C11" w:rsidRDefault="00D84965">
            <w:pPr>
              <w:pStyle w:val="P68B1DB1-Normal66"/>
              <w:spacing w:after="200" w:line="276" w:lineRule="auto"/>
              <w:rPr>
                <w:noProof/>
              </w:rPr>
            </w:pPr>
            <w:r>
              <w:rPr>
                <w:noProof/>
              </w:rPr>
              <w:t>Raportul Ministerului Mării, Transporturilor și Infrastructurii (MSTI)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446545E2" w14:textId="77777777" w:rsidR="00FA7C11" w:rsidRDefault="00D84965">
            <w:pPr>
              <w:pStyle w:val="P68B1DB1-Normal66"/>
              <w:spacing w:after="200" w:line="276" w:lineRule="auto"/>
              <w:jc w:val="center"/>
              <w:rPr>
                <w:noProof/>
              </w:rPr>
            </w:pPr>
            <w:r>
              <w:rPr>
                <w:noProof/>
              </w:rPr>
              <w:t>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7C36D582" w14:textId="77777777" w:rsidR="00FA7C11" w:rsidRDefault="00D84965">
            <w:pPr>
              <w:pStyle w:val="P68B1DB1-Normal66"/>
              <w:spacing w:after="200" w:line="276" w:lineRule="auto"/>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EA9C98C" w14:textId="77777777" w:rsidR="00FA7C11" w:rsidRDefault="00D84965">
            <w:pPr>
              <w:pStyle w:val="P68B1DB1-Normal66"/>
              <w:spacing w:after="200" w:line="276" w:lineRule="auto"/>
              <w:jc w:val="center"/>
              <w:rPr>
                <w:noProof/>
              </w:rPr>
            </w:pPr>
            <w:r>
              <w:rPr>
                <w:noProof/>
              </w:rPr>
              <w:t> </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32A5DA4D" w14:textId="77777777" w:rsidR="00FA7C11" w:rsidRDefault="00D84965">
            <w:pPr>
              <w:pStyle w:val="P68B1DB1-Normal66"/>
              <w:spacing w:after="200" w:line="276" w:lineRule="auto"/>
              <w:jc w:val="center"/>
              <w:rPr>
                <w:noProof/>
              </w:rPr>
            </w:pPr>
            <w:r>
              <w:rPr>
                <w:noProof/>
              </w:rPr>
              <w:t>Î1</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1FB478AB" w14:textId="77777777" w:rsidR="00FA7C11" w:rsidRDefault="00D84965">
            <w:pPr>
              <w:pStyle w:val="P68B1DB1-Normal66"/>
              <w:spacing w:after="200" w:line="276" w:lineRule="auto"/>
              <w:jc w:val="center"/>
              <w:rPr>
                <w:noProof/>
              </w:rPr>
            </w:pPr>
            <w:r>
              <w:rPr>
                <w:noProof/>
              </w:rPr>
              <w:t>2023</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6985F08A" w14:textId="77777777" w:rsidR="00FA7C11" w:rsidRDefault="00D84965">
            <w:pPr>
              <w:pStyle w:val="P68B1DB1-Normal66"/>
              <w:spacing w:after="200" w:line="276" w:lineRule="auto"/>
              <w:rPr>
                <w:noProof/>
              </w:rPr>
            </w:pPr>
            <w:r>
              <w:rPr>
                <w:noProof/>
              </w:rPr>
              <w:t xml:space="preserve">Semnarea acordului de grant și începerea punerii în aplicare a proiectului pentru construirea infrastructurii pasive de comunicații electronice </w:t>
            </w:r>
          </w:p>
        </w:tc>
      </w:tr>
      <w:tr w:rsidR="00FA7C11" w14:paraId="46518078" w14:textId="77777777">
        <w:trPr>
          <w:trHeight w:val="30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138C9C9" w14:textId="77777777" w:rsidR="00FA7C11" w:rsidRDefault="00D84965">
            <w:pPr>
              <w:pStyle w:val="P68B1DB1-Normal66"/>
              <w:spacing w:after="200" w:line="276" w:lineRule="auto"/>
              <w:jc w:val="center"/>
              <w:rPr>
                <w:noProof/>
              </w:rPr>
            </w:pPr>
            <w:r>
              <w:rPr>
                <w:noProof/>
              </w:rPr>
              <w:t>206</w:t>
            </w:r>
          </w:p>
        </w:tc>
        <w:tc>
          <w:tcPr>
            <w:tcW w:w="1274" w:type="dxa"/>
            <w:tcBorders>
              <w:top w:val="single" w:sz="4" w:space="0" w:color="auto"/>
              <w:left w:val="single" w:sz="4" w:space="0" w:color="auto"/>
              <w:bottom w:val="single" w:sz="4" w:space="0" w:color="auto"/>
              <w:right w:val="single" w:sz="4" w:space="0" w:color="auto"/>
            </w:tcBorders>
            <w:shd w:val="clear" w:color="auto" w:fill="C6EFCE"/>
            <w:noWrap/>
          </w:tcPr>
          <w:p w14:paraId="3AA20AF9" w14:textId="77777777" w:rsidR="00FA7C11" w:rsidRDefault="00D84965">
            <w:pPr>
              <w:pStyle w:val="P68B1DB1-Normal66"/>
              <w:spacing w:after="200" w:line="276" w:lineRule="auto"/>
              <w:jc w:val="center"/>
              <w:rPr>
                <w:noProof/>
              </w:rPr>
            </w:pPr>
            <w:r>
              <w:rPr>
                <w:noProof/>
              </w:rPr>
              <w:t>C2.3. R4-I2</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58BBBF5" w14:textId="77777777" w:rsidR="00FA7C11" w:rsidRDefault="00D84965">
            <w:pPr>
              <w:pStyle w:val="P68B1DB1-Normal66"/>
              <w:spacing w:after="200" w:line="276" w:lineRule="auto"/>
              <w:jc w:val="center"/>
              <w:rPr>
                <w:noProof/>
              </w:rPr>
            </w:pPr>
            <w:r>
              <w:rPr>
                <w:noProof/>
              </w:rPr>
              <w:t>T</w:t>
            </w:r>
          </w:p>
        </w:tc>
        <w:tc>
          <w:tcPr>
            <w:tcW w:w="1793" w:type="dxa"/>
            <w:tcBorders>
              <w:top w:val="single" w:sz="4" w:space="0" w:color="auto"/>
              <w:left w:val="single" w:sz="4" w:space="0" w:color="auto"/>
              <w:bottom w:val="single" w:sz="4" w:space="0" w:color="auto"/>
              <w:right w:val="single" w:sz="4" w:space="0" w:color="auto"/>
            </w:tcBorders>
            <w:shd w:val="clear" w:color="auto" w:fill="C6EFCE"/>
            <w:noWrap/>
          </w:tcPr>
          <w:p w14:paraId="0CB6AD7A" w14:textId="77777777" w:rsidR="00FA7C11" w:rsidRDefault="00D84965">
            <w:pPr>
              <w:pStyle w:val="P68B1DB1-Normal66"/>
              <w:spacing w:after="200" w:line="276" w:lineRule="auto"/>
              <w:rPr>
                <w:noProof/>
              </w:rPr>
            </w:pPr>
            <w:r>
              <w:rPr>
                <w:noProof/>
              </w:rPr>
              <w:t>Accesul la tehnologia 5G</w:t>
            </w:r>
          </w:p>
        </w:tc>
        <w:tc>
          <w:tcPr>
            <w:tcW w:w="2056" w:type="dxa"/>
            <w:tcBorders>
              <w:top w:val="single" w:sz="4" w:space="0" w:color="auto"/>
              <w:left w:val="single" w:sz="4" w:space="0" w:color="auto"/>
              <w:bottom w:val="single" w:sz="4" w:space="0" w:color="auto"/>
              <w:right w:val="single" w:sz="4" w:space="0" w:color="auto"/>
            </w:tcBorders>
            <w:shd w:val="clear" w:color="auto" w:fill="C6EFCE"/>
            <w:noWrap/>
          </w:tcPr>
          <w:p w14:paraId="5729E461" w14:textId="77777777" w:rsidR="00FA7C11" w:rsidRDefault="00D84965">
            <w:pPr>
              <w:pStyle w:val="P68B1DB1-Normal66"/>
              <w:spacing w:after="200" w:line="276" w:lineRule="auto"/>
              <w:rPr>
                <w:noProof/>
              </w:rPr>
            </w:pPr>
            <w:r>
              <w:rPr>
                <w:noProof/>
              </w:rPr>
              <w:t>Raportul Ministerului Mării, Transporturilor și Infrastructurii (MSTI)</w:t>
            </w:r>
          </w:p>
        </w:tc>
        <w:tc>
          <w:tcPr>
            <w:tcW w:w="1067" w:type="dxa"/>
            <w:tcBorders>
              <w:top w:val="single" w:sz="4" w:space="0" w:color="auto"/>
              <w:left w:val="single" w:sz="4" w:space="0" w:color="auto"/>
              <w:bottom w:val="single" w:sz="4" w:space="0" w:color="auto"/>
              <w:right w:val="single" w:sz="4" w:space="0" w:color="auto"/>
            </w:tcBorders>
            <w:shd w:val="clear" w:color="auto" w:fill="C6EFCE"/>
            <w:noWrap/>
          </w:tcPr>
          <w:p w14:paraId="7D2B4CE1" w14:textId="77777777" w:rsidR="00FA7C11" w:rsidRDefault="00D84965">
            <w:pPr>
              <w:pStyle w:val="P68B1DB1-Normal66"/>
              <w:spacing w:after="200" w:line="276" w:lineRule="auto"/>
              <w:jc w:val="center"/>
              <w:rPr>
                <w:noProof/>
              </w:rPr>
            </w:pPr>
            <w:r>
              <w:rPr>
                <w:noProof/>
              </w:rPr>
              <w:t xml:space="preserve">Număr </w:t>
            </w:r>
          </w:p>
        </w:tc>
        <w:tc>
          <w:tcPr>
            <w:tcW w:w="916" w:type="dxa"/>
            <w:tcBorders>
              <w:top w:val="single" w:sz="4" w:space="0" w:color="auto"/>
              <w:left w:val="single" w:sz="4" w:space="0" w:color="auto"/>
              <w:bottom w:val="single" w:sz="4" w:space="0" w:color="auto"/>
              <w:right w:val="single" w:sz="4" w:space="0" w:color="auto"/>
            </w:tcBorders>
            <w:shd w:val="clear" w:color="auto" w:fill="C6EFCE"/>
            <w:noWrap/>
          </w:tcPr>
          <w:p w14:paraId="0131464F" w14:textId="77777777" w:rsidR="00FA7C11" w:rsidRDefault="00D84965">
            <w:pPr>
              <w:pStyle w:val="P68B1DB1-Normal66"/>
              <w:spacing w:after="200" w:line="276"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A62EDD5" w14:textId="77777777" w:rsidR="00FA7C11" w:rsidRDefault="00D84965">
            <w:pPr>
              <w:pStyle w:val="P68B1DB1-Normal66"/>
              <w:spacing w:after="200" w:line="276" w:lineRule="auto"/>
              <w:jc w:val="center"/>
              <w:rPr>
                <w:noProof/>
              </w:rPr>
            </w:pPr>
            <w:r>
              <w:rPr>
                <w:noProof/>
              </w:rPr>
              <w:t>14</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204AF9DF" w14:textId="77777777" w:rsidR="00FA7C11" w:rsidRDefault="00D84965">
            <w:pPr>
              <w:pStyle w:val="P68B1DB1-Normal66"/>
              <w:spacing w:after="200" w:line="276" w:lineRule="auto"/>
              <w:jc w:val="center"/>
              <w:rPr>
                <w:noProof/>
              </w:rPr>
            </w:pPr>
            <w:r>
              <w:rPr>
                <w:noProof/>
              </w:rPr>
              <w:t>Î2</w:t>
            </w:r>
          </w:p>
        </w:tc>
        <w:tc>
          <w:tcPr>
            <w:tcW w:w="707" w:type="dxa"/>
            <w:tcBorders>
              <w:top w:val="single" w:sz="4" w:space="0" w:color="auto"/>
              <w:left w:val="single" w:sz="4" w:space="0" w:color="auto"/>
              <w:bottom w:val="single" w:sz="4" w:space="0" w:color="auto"/>
              <w:right w:val="single" w:sz="4" w:space="0" w:color="auto"/>
            </w:tcBorders>
            <w:shd w:val="clear" w:color="auto" w:fill="C6EFCE"/>
            <w:noWrap/>
          </w:tcPr>
          <w:p w14:paraId="776097C1" w14:textId="77777777" w:rsidR="00FA7C11" w:rsidRDefault="00D84965">
            <w:pPr>
              <w:pStyle w:val="P68B1DB1-Normal66"/>
              <w:spacing w:after="200" w:line="276" w:lineRule="auto"/>
              <w:jc w:val="center"/>
              <w:rPr>
                <w:noProof/>
              </w:rPr>
            </w:pPr>
            <w:r>
              <w:rPr>
                <w:noProof/>
              </w:rPr>
              <w:t>2026</w:t>
            </w:r>
          </w:p>
        </w:tc>
        <w:tc>
          <w:tcPr>
            <w:tcW w:w="4092" w:type="dxa"/>
            <w:tcBorders>
              <w:top w:val="single" w:sz="4" w:space="0" w:color="auto"/>
              <w:left w:val="single" w:sz="4" w:space="0" w:color="auto"/>
              <w:bottom w:val="single" w:sz="4" w:space="0" w:color="auto"/>
              <w:right w:val="single" w:sz="4" w:space="0" w:color="auto"/>
            </w:tcBorders>
            <w:shd w:val="clear" w:color="auto" w:fill="C6EFCE"/>
            <w:noWrap/>
          </w:tcPr>
          <w:p w14:paraId="4FAACCB6" w14:textId="7B23896F" w:rsidR="00FA7C11" w:rsidRDefault="00D84965">
            <w:pPr>
              <w:pStyle w:val="P68B1DB1-Normal66"/>
              <w:spacing w:after="200" w:line="276" w:lineRule="auto"/>
              <w:rPr>
                <w:noProof/>
              </w:rPr>
            </w:pPr>
            <w:r>
              <w:rPr>
                <w:noProof/>
              </w:rPr>
              <w:t xml:space="preserve">14 stâlpii de comunicare pasivă trebuie instalați în zona rurală și slab populată (unde populația medie este mai mică de 20/km²). Contractele se încheie cu operatorii, demonstrând un angajament din partea acestora: I) să instaleze echipamente active pe cei 14 de poli de comunicare pasivă, ii) să furnizeze servicii 5G prin intermediul echipamentelor active, până la sfârșitul anului 2026. </w:t>
            </w:r>
          </w:p>
          <w:p w14:paraId="667C36DC" w14:textId="77777777" w:rsidR="00FA7C11" w:rsidRDefault="00D84965">
            <w:pPr>
              <w:pStyle w:val="P68B1DB1-Normal66"/>
              <w:spacing w:after="200" w:line="276" w:lineRule="auto"/>
              <w:rPr>
                <w:noProof/>
              </w:rPr>
            </w:pPr>
            <w:r>
              <w:rPr>
                <w:noProof/>
              </w:rPr>
              <w:t>Administrarea infrastructurii care urmează să fie construită prin intermediul investiției se efectuează exclusiv fără scop lucrativ, cu scopul de a se asigura că veniturile obținute din închirierea infrastructurii acoperă toate costurile de exploatare și de întreținere a infrastructurii. În cazul în care veniturile din chirii depășesc costurile, excedentul este direcționat către extinderea sau construirea de noi capacități de infrastructură.</w:t>
            </w:r>
          </w:p>
        </w:tc>
      </w:tr>
    </w:tbl>
    <w:p w14:paraId="3FBA60AC" w14:textId="77777777" w:rsidR="00FA7C11" w:rsidRDefault="00FA7C11">
      <w:pPr>
        <w:rPr>
          <w:noProof/>
        </w:rPr>
        <w:sectPr w:rsidR="00FA7C11" w:rsidSect="00FA29B2">
          <w:headerReference w:type="even" r:id="rId176"/>
          <w:headerReference w:type="default" r:id="rId177"/>
          <w:footerReference w:type="even" r:id="rId178"/>
          <w:footerReference w:type="default" r:id="rId179"/>
          <w:headerReference w:type="first" r:id="rId180"/>
          <w:footerReference w:type="first" r:id="rId181"/>
          <w:pgSz w:w="16839" w:h="11907" w:orient="landscape"/>
          <w:pgMar w:top="1134" w:right="1134" w:bottom="1134" w:left="1134" w:header="567" w:footer="567" w:gutter="0"/>
          <w:cols w:space="708"/>
          <w:docGrid w:linePitch="360"/>
        </w:sectPr>
      </w:pPr>
    </w:p>
    <w:p w14:paraId="6C1B8198" w14:textId="7BC605C1" w:rsidR="00FA7C11" w:rsidRDefault="00D84965">
      <w:pPr>
        <w:pStyle w:val="paragraph"/>
        <w:spacing w:before="0" w:beforeAutospacing="0" w:after="0" w:afterAutospacing="0"/>
        <w:ind w:left="705"/>
        <w:jc w:val="both"/>
        <w:textAlignment w:val="baseline"/>
        <w:rPr>
          <w:noProof/>
          <w:szCs w:val="24"/>
          <w:u w:val="single"/>
        </w:rPr>
      </w:pPr>
      <w:r>
        <w:rPr>
          <w:rStyle w:val="normaltextrun"/>
          <w:b/>
          <w:noProof/>
          <w:szCs w:val="24"/>
          <w:u w:val="single"/>
        </w:rPr>
        <w:t xml:space="preserve">I.3. </w:t>
      </w:r>
      <w:r>
        <w:rPr>
          <w:noProof/>
          <w:szCs w:val="24"/>
          <w:u w:val="single"/>
        </w:rPr>
        <w:t xml:space="preserve"> </w:t>
      </w:r>
      <w:r>
        <w:rPr>
          <w:rStyle w:val="normaltextrun"/>
          <w:b/>
          <w:noProof/>
          <w:szCs w:val="24"/>
          <w:u w:val="single"/>
        </w:rPr>
        <w:t xml:space="preserve">Descrierea reformelor și a investițiilor pentru împrumut </w:t>
      </w:r>
    </w:p>
    <w:p w14:paraId="76479F9F" w14:textId="4C364D61" w:rsidR="00FA7C11" w:rsidRDefault="00D84965">
      <w:pPr>
        <w:pStyle w:val="paragraph"/>
        <w:spacing w:before="0" w:beforeAutospacing="0" w:after="0" w:afterAutospacing="0"/>
        <w:ind w:left="840"/>
        <w:jc w:val="both"/>
        <w:textAlignment w:val="baseline"/>
        <w:rPr>
          <w:rStyle w:val="eop"/>
          <w:noProof/>
          <w:szCs w:val="24"/>
        </w:rPr>
      </w:pPr>
      <w:r>
        <w:rPr>
          <w:rStyle w:val="normaltextrun"/>
          <w:noProof/>
          <w:szCs w:val="24"/>
        </w:rPr>
        <w:t xml:space="preserve"> </w:t>
      </w:r>
    </w:p>
    <w:p w14:paraId="34C39D42" w14:textId="77777777" w:rsidR="00FA7C11" w:rsidRDefault="00D84965">
      <w:pPr>
        <w:pStyle w:val="P68B1DB1-Normal42"/>
        <w:spacing w:line="240" w:lineRule="auto"/>
        <w:ind w:left="851"/>
        <w:jc w:val="both"/>
        <w:textAlignment w:val="baseline"/>
        <w:rPr>
          <w:noProof/>
        </w:rPr>
      </w:pPr>
      <w:r>
        <w:rPr>
          <w:noProof/>
        </w:rPr>
        <w:t>Investiția C2.3 R3-I17 – Înființarea registrului de evidență a populației, a familiei și a gospodăriilor</w:t>
      </w:r>
    </w:p>
    <w:p w14:paraId="4F74C89D" w14:textId="56B0DB45" w:rsidR="00FA7C11" w:rsidRDefault="00D84965">
      <w:pPr>
        <w:pStyle w:val="P68B1DB1-Normal33"/>
        <w:spacing w:line="240" w:lineRule="auto"/>
        <w:jc w:val="both"/>
        <w:rPr>
          <w:noProof/>
        </w:rPr>
      </w:pPr>
      <w:r>
        <w:rPr>
          <w:noProof/>
        </w:rPr>
        <w:t xml:space="preserve">Obiectivul acestei investiții este de a institui Registrul de evidență a populației, a familiilor și a gospodăriilor (în limba croată: Registar stanovništva, obitelji i kućanstva; de acum înainte: SOK), pentru a unifica datele privind veniturile și activele populației, ale familiilor și ale gospodăriilor. </w:t>
      </w:r>
    </w:p>
    <w:p w14:paraId="4E410E7E" w14:textId="77777777" w:rsidR="00FA7C11" w:rsidRDefault="00D84965">
      <w:pPr>
        <w:pStyle w:val="P68B1DB1-Normal33"/>
        <w:spacing w:line="240" w:lineRule="auto"/>
        <w:jc w:val="both"/>
        <w:rPr>
          <w:noProof/>
          <w:u w:val="single"/>
        </w:rPr>
      </w:pPr>
      <w:r>
        <w:rPr>
          <w:noProof/>
        </w:rPr>
        <w:t>Măsura constă în intrarea în vigoare a unei legi de instituire a SOK.</w:t>
      </w:r>
    </w:p>
    <w:p w14:paraId="30D5E159" w14:textId="77777777" w:rsidR="00FA7C11" w:rsidRDefault="00FA7C11">
      <w:pPr>
        <w:spacing w:line="240" w:lineRule="auto"/>
        <w:jc w:val="both"/>
        <w:rPr>
          <w:rFonts w:ascii="Times New Roman" w:eastAsia="Calibri" w:hAnsi="Times New Roman" w:cs="Times New Roman"/>
          <w:noProof/>
          <w:sz w:val="24"/>
          <w:szCs w:val="24"/>
        </w:rPr>
      </w:pPr>
    </w:p>
    <w:p w14:paraId="1832EA8D" w14:textId="77777777" w:rsidR="00FA7C11" w:rsidRDefault="00FA7C11">
      <w:pPr>
        <w:pStyle w:val="paragraph"/>
        <w:spacing w:before="0" w:beforeAutospacing="0" w:after="0" w:afterAutospacing="0"/>
        <w:ind w:left="840"/>
        <w:jc w:val="both"/>
        <w:textAlignment w:val="baseline"/>
        <w:rPr>
          <w:rFonts w:ascii="Segoe UI" w:hAnsi="Segoe UI" w:cs="Segoe UI"/>
          <w:noProof/>
          <w:sz w:val="18"/>
          <w:szCs w:val="18"/>
        </w:rPr>
      </w:pPr>
    </w:p>
    <w:p w14:paraId="745CE72E" w14:textId="77777777" w:rsidR="00FA7C11" w:rsidRDefault="00FA7C11">
      <w:pPr>
        <w:pStyle w:val="paragraph"/>
        <w:spacing w:before="0" w:beforeAutospacing="0" w:after="0" w:afterAutospacing="0"/>
        <w:ind w:left="840"/>
        <w:jc w:val="both"/>
        <w:textAlignment w:val="baseline"/>
        <w:rPr>
          <w:rStyle w:val="normaltextrun"/>
          <w:b/>
          <w:bCs/>
          <w:noProof/>
        </w:rPr>
        <w:sectPr w:rsidR="00FA7C11" w:rsidSect="00FA29B2">
          <w:headerReference w:type="even" r:id="rId182"/>
          <w:headerReference w:type="default" r:id="rId183"/>
          <w:footerReference w:type="even" r:id="rId184"/>
          <w:footerReference w:type="default" r:id="rId185"/>
          <w:headerReference w:type="first" r:id="rId186"/>
          <w:footerReference w:type="first" r:id="rId187"/>
          <w:pgSz w:w="11907" w:h="16839"/>
          <w:pgMar w:top="1134" w:right="1134" w:bottom="1134" w:left="1134" w:header="567" w:footer="567" w:gutter="0"/>
          <w:cols w:space="708"/>
          <w:docGrid w:linePitch="360"/>
        </w:sectPr>
      </w:pPr>
    </w:p>
    <w:p w14:paraId="2B1DC640" w14:textId="64BD421C" w:rsidR="00FA7C11" w:rsidRDefault="00D84965">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I.4. Jaloane, ținte, indicatori și calendarul de monitorizare și implementare aplicabile împrumutului </w:t>
      </w:r>
    </w:p>
    <w:p w14:paraId="304B4684" w14:textId="77777777" w:rsidR="00FA7C11" w:rsidRDefault="00FA7C11">
      <w:pPr>
        <w:pStyle w:val="paragraph"/>
        <w:spacing w:before="0" w:beforeAutospacing="0" w:after="0" w:afterAutospacing="0"/>
        <w:ind w:left="840"/>
        <w:jc w:val="both"/>
        <w:rPr>
          <w:rStyle w:val="eop"/>
          <w:noProof/>
          <w:color w:val="4F81BD"/>
          <w:u w:val="single"/>
        </w:rPr>
      </w:pPr>
    </w:p>
    <w:tbl>
      <w:tblPr>
        <w:tblW w:w="15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5"/>
        <w:gridCol w:w="1143"/>
        <w:gridCol w:w="1345"/>
        <w:gridCol w:w="2008"/>
        <w:gridCol w:w="1954"/>
        <w:gridCol w:w="1096"/>
        <w:gridCol w:w="825"/>
        <w:gridCol w:w="958"/>
        <w:gridCol w:w="516"/>
        <w:gridCol w:w="616"/>
        <w:gridCol w:w="4430"/>
      </w:tblGrid>
      <w:tr w:rsidR="00FA7C11" w14:paraId="116D76A2" w14:textId="77777777">
        <w:trPr>
          <w:trHeight w:val="300"/>
          <w:tblHeader/>
          <w:jc w:val="center"/>
        </w:trPr>
        <w:tc>
          <w:tcPr>
            <w:tcW w:w="835" w:type="dxa"/>
            <w:vMerge w:val="restart"/>
            <w:shd w:val="clear" w:color="auto" w:fill="BDD7EE"/>
            <w:vAlign w:val="center"/>
            <w:hideMark/>
          </w:tcPr>
          <w:p w14:paraId="52DCF172" w14:textId="77777777" w:rsidR="00FA7C11" w:rsidRDefault="00D84965">
            <w:pPr>
              <w:pStyle w:val="P68B1DB1-Normal58"/>
              <w:spacing w:after="0" w:line="276" w:lineRule="auto"/>
              <w:jc w:val="center"/>
              <w:rPr>
                <w:bCs/>
                <w:noProof/>
              </w:rPr>
            </w:pPr>
            <w:r>
              <w:rPr>
                <w:noProof/>
              </w:rPr>
              <w:t>Număr</w:t>
            </w:r>
          </w:p>
        </w:tc>
        <w:tc>
          <w:tcPr>
            <w:tcW w:w="1143" w:type="dxa"/>
            <w:vMerge w:val="restart"/>
            <w:shd w:val="clear" w:color="auto" w:fill="BDD7EE"/>
            <w:vAlign w:val="center"/>
            <w:hideMark/>
          </w:tcPr>
          <w:p w14:paraId="012784CD" w14:textId="77777777" w:rsidR="00FA7C11" w:rsidRDefault="00D84965">
            <w:pPr>
              <w:pStyle w:val="P68B1DB1-Normal58"/>
              <w:spacing w:after="0" w:line="276" w:lineRule="auto"/>
              <w:jc w:val="center"/>
              <w:rPr>
                <w:noProof/>
              </w:rPr>
            </w:pPr>
            <w:r>
              <w:rPr>
                <w:noProof/>
              </w:rPr>
              <w:t>Măsură</w:t>
            </w:r>
          </w:p>
        </w:tc>
        <w:tc>
          <w:tcPr>
            <w:tcW w:w="1017" w:type="dxa"/>
            <w:vMerge w:val="restart"/>
            <w:shd w:val="clear" w:color="auto" w:fill="BDD7EE"/>
            <w:vAlign w:val="center"/>
            <w:hideMark/>
          </w:tcPr>
          <w:p w14:paraId="641E4C8A" w14:textId="77777777" w:rsidR="00FA7C11" w:rsidRDefault="00D84965">
            <w:pPr>
              <w:pStyle w:val="P68B1DB1-Normal58"/>
              <w:spacing w:after="0" w:line="276" w:lineRule="auto"/>
              <w:jc w:val="center"/>
              <w:rPr>
                <w:noProof/>
              </w:rPr>
            </w:pPr>
            <w:r>
              <w:rPr>
                <w:noProof/>
              </w:rPr>
              <w:t>Etapă/Obiectiv</w:t>
            </w:r>
          </w:p>
        </w:tc>
        <w:tc>
          <w:tcPr>
            <w:tcW w:w="2008" w:type="dxa"/>
            <w:vMerge w:val="restart"/>
            <w:shd w:val="clear" w:color="auto" w:fill="BDD7EE"/>
            <w:vAlign w:val="center"/>
            <w:hideMark/>
          </w:tcPr>
          <w:p w14:paraId="796B4071" w14:textId="77777777" w:rsidR="00FA7C11" w:rsidRDefault="00D84965">
            <w:pPr>
              <w:pStyle w:val="P68B1DB1-Normal58"/>
              <w:spacing w:after="0" w:line="276" w:lineRule="auto"/>
              <w:jc w:val="center"/>
              <w:rPr>
                <w:noProof/>
              </w:rPr>
            </w:pPr>
            <w:r>
              <w:rPr>
                <w:noProof/>
              </w:rPr>
              <w:t>Nume</w:t>
            </w:r>
          </w:p>
        </w:tc>
        <w:tc>
          <w:tcPr>
            <w:tcW w:w="1954" w:type="dxa"/>
            <w:vMerge w:val="restart"/>
            <w:shd w:val="clear" w:color="auto" w:fill="BDD7EE"/>
            <w:vAlign w:val="center"/>
            <w:hideMark/>
          </w:tcPr>
          <w:p w14:paraId="22943374" w14:textId="77777777" w:rsidR="00FA7C11" w:rsidRDefault="00D84965">
            <w:pPr>
              <w:pStyle w:val="P68B1DB1-Normal58"/>
              <w:spacing w:after="0" w:line="276" w:lineRule="auto"/>
              <w:jc w:val="center"/>
              <w:rPr>
                <w:noProof/>
              </w:rPr>
            </w:pPr>
            <w:r>
              <w:rPr>
                <w:noProof/>
              </w:rPr>
              <w:t xml:space="preserve">Indicatori calitativi </w:t>
            </w:r>
            <w:r>
              <w:rPr>
                <w:noProof/>
              </w:rPr>
              <w:br/>
              <w:t>(pentru jaloane)</w:t>
            </w:r>
          </w:p>
        </w:tc>
        <w:tc>
          <w:tcPr>
            <w:tcW w:w="2879" w:type="dxa"/>
            <w:gridSpan w:val="3"/>
            <w:shd w:val="clear" w:color="auto" w:fill="BDD7EE"/>
            <w:vAlign w:val="center"/>
            <w:hideMark/>
          </w:tcPr>
          <w:p w14:paraId="2A869B1F" w14:textId="77777777" w:rsidR="00FA7C11" w:rsidRDefault="00D84965">
            <w:pPr>
              <w:pStyle w:val="P68B1DB1-Normal58"/>
              <w:spacing w:after="0" w:line="276" w:lineRule="auto"/>
              <w:jc w:val="center"/>
              <w:rPr>
                <w:noProof/>
              </w:rPr>
            </w:pPr>
            <w:r>
              <w:rPr>
                <w:noProof/>
              </w:rPr>
              <w:t xml:space="preserve">Indicatori cantitativi </w:t>
            </w:r>
            <w:r>
              <w:rPr>
                <w:noProof/>
              </w:rPr>
              <w:br/>
              <w:t>(pentru obiective)</w:t>
            </w:r>
          </w:p>
        </w:tc>
        <w:tc>
          <w:tcPr>
            <w:tcW w:w="1132" w:type="dxa"/>
            <w:gridSpan w:val="2"/>
            <w:shd w:val="clear" w:color="auto" w:fill="BDD7EE"/>
            <w:vAlign w:val="center"/>
            <w:hideMark/>
          </w:tcPr>
          <w:p w14:paraId="08F9ADA9" w14:textId="77777777" w:rsidR="00FA7C11" w:rsidRDefault="00D84965">
            <w:pPr>
              <w:pStyle w:val="P68B1DB1-Normal58"/>
              <w:spacing w:after="0" w:line="276" w:lineRule="auto"/>
              <w:jc w:val="center"/>
              <w:rPr>
                <w:noProof/>
              </w:rPr>
            </w:pPr>
            <w:r>
              <w:rPr>
                <w:noProof/>
              </w:rPr>
              <w:t>Timp</w:t>
            </w:r>
          </w:p>
        </w:tc>
        <w:tc>
          <w:tcPr>
            <w:tcW w:w="4430" w:type="dxa"/>
            <w:vMerge w:val="restart"/>
            <w:shd w:val="clear" w:color="auto" w:fill="BDD7EE"/>
            <w:vAlign w:val="center"/>
            <w:hideMark/>
          </w:tcPr>
          <w:p w14:paraId="6D87E51D" w14:textId="77777777" w:rsidR="00FA7C11" w:rsidRDefault="00D84965">
            <w:pPr>
              <w:pStyle w:val="P68B1DB1-Normal58"/>
              <w:spacing w:after="0" w:line="276" w:lineRule="auto"/>
              <w:jc w:val="center"/>
              <w:rPr>
                <w:noProof/>
              </w:rPr>
            </w:pPr>
            <w:r>
              <w:rPr>
                <w:noProof/>
              </w:rPr>
              <w:t>Descrierea fiecărui jalon și a fiecărei ținte</w:t>
            </w:r>
          </w:p>
        </w:tc>
      </w:tr>
      <w:tr w:rsidR="00FA7C11" w14:paraId="760E5E0D" w14:textId="77777777">
        <w:trPr>
          <w:trHeight w:val="300"/>
          <w:tblHeader/>
          <w:jc w:val="center"/>
        </w:trPr>
        <w:tc>
          <w:tcPr>
            <w:tcW w:w="835" w:type="dxa"/>
            <w:vMerge/>
            <w:hideMark/>
          </w:tcPr>
          <w:p w14:paraId="2F6CEA50"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43" w:type="dxa"/>
            <w:vMerge/>
            <w:hideMark/>
          </w:tcPr>
          <w:p w14:paraId="0065C127"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17" w:type="dxa"/>
            <w:vMerge/>
            <w:hideMark/>
          </w:tcPr>
          <w:p w14:paraId="5AAFB09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008" w:type="dxa"/>
            <w:vMerge/>
            <w:hideMark/>
          </w:tcPr>
          <w:p w14:paraId="211645E9" w14:textId="77777777" w:rsidR="00FA7C11" w:rsidRDefault="00FA7C11">
            <w:pPr>
              <w:spacing w:after="0" w:line="276" w:lineRule="auto"/>
              <w:rPr>
                <w:rFonts w:ascii="Times New Roman" w:eastAsia="Times New Roman" w:hAnsi="Times New Roman" w:cs="Times New Roman"/>
                <w:b/>
                <w:noProof/>
                <w:sz w:val="20"/>
                <w:szCs w:val="20"/>
              </w:rPr>
            </w:pPr>
          </w:p>
        </w:tc>
        <w:tc>
          <w:tcPr>
            <w:tcW w:w="1954" w:type="dxa"/>
            <w:vMerge/>
            <w:hideMark/>
          </w:tcPr>
          <w:p w14:paraId="6E84AE38" w14:textId="77777777" w:rsidR="00FA7C11" w:rsidRDefault="00FA7C11">
            <w:pPr>
              <w:spacing w:after="0" w:line="276" w:lineRule="auto"/>
              <w:rPr>
                <w:rFonts w:ascii="Times New Roman" w:eastAsia="Times New Roman" w:hAnsi="Times New Roman" w:cs="Times New Roman"/>
                <w:b/>
                <w:noProof/>
                <w:sz w:val="20"/>
                <w:szCs w:val="20"/>
              </w:rPr>
            </w:pPr>
          </w:p>
        </w:tc>
        <w:tc>
          <w:tcPr>
            <w:tcW w:w="1096" w:type="dxa"/>
            <w:shd w:val="clear" w:color="auto" w:fill="BDD7EE"/>
            <w:hideMark/>
          </w:tcPr>
          <w:p w14:paraId="731C8B7C" w14:textId="77777777" w:rsidR="00FA7C11" w:rsidRDefault="00D84965">
            <w:pPr>
              <w:pStyle w:val="P68B1DB1-Normal58"/>
              <w:spacing w:after="0" w:line="276" w:lineRule="auto"/>
              <w:jc w:val="center"/>
              <w:rPr>
                <w:noProof/>
              </w:rPr>
            </w:pPr>
            <w:r>
              <w:rPr>
                <w:noProof/>
              </w:rPr>
              <w:t>Unitate</w:t>
            </w:r>
          </w:p>
        </w:tc>
        <w:tc>
          <w:tcPr>
            <w:tcW w:w="825" w:type="dxa"/>
            <w:shd w:val="clear" w:color="auto" w:fill="BDD7EE"/>
            <w:hideMark/>
          </w:tcPr>
          <w:p w14:paraId="291FF8AD" w14:textId="77777777" w:rsidR="00FA7C11" w:rsidRDefault="00D84965">
            <w:pPr>
              <w:pStyle w:val="P68B1DB1-Normal58"/>
              <w:spacing w:after="0" w:line="276" w:lineRule="auto"/>
              <w:jc w:val="center"/>
              <w:rPr>
                <w:noProof/>
              </w:rPr>
            </w:pPr>
            <w:r>
              <w:rPr>
                <w:noProof/>
              </w:rPr>
              <w:t>Situația de referință</w:t>
            </w:r>
          </w:p>
        </w:tc>
        <w:tc>
          <w:tcPr>
            <w:tcW w:w="958" w:type="dxa"/>
            <w:shd w:val="clear" w:color="auto" w:fill="BDD7EE"/>
            <w:hideMark/>
          </w:tcPr>
          <w:p w14:paraId="4A93DC97" w14:textId="77777777" w:rsidR="00FA7C11" w:rsidRDefault="00D84965">
            <w:pPr>
              <w:pStyle w:val="P68B1DB1-Normal58"/>
              <w:spacing w:after="0" w:line="276" w:lineRule="auto"/>
              <w:jc w:val="center"/>
              <w:rPr>
                <w:noProof/>
              </w:rPr>
            </w:pPr>
            <w:r>
              <w:rPr>
                <w:noProof/>
              </w:rPr>
              <w:t>Obiectiv</w:t>
            </w:r>
          </w:p>
        </w:tc>
        <w:tc>
          <w:tcPr>
            <w:tcW w:w="516" w:type="dxa"/>
            <w:shd w:val="clear" w:color="auto" w:fill="BDD7EE"/>
            <w:hideMark/>
          </w:tcPr>
          <w:p w14:paraId="25825B3B" w14:textId="77777777" w:rsidR="00FA7C11" w:rsidRDefault="00D84965">
            <w:pPr>
              <w:pStyle w:val="P68B1DB1-Normal58"/>
              <w:spacing w:after="0" w:line="276" w:lineRule="auto"/>
              <w:jc w:val="center"/>
              <w:rPr>
                <w:noProof/>
              </w:rPr>
            </w:pPr>
            <w:r>
              <w:rPr>
                <w:noProof/>
              </w:rPr>
              <w:t>Q</w:t>
            </w:r>
          </w:p>
        </w:tc>
        <w:tc>
          <w:tcPr>
            <w:tcW w:w="616" w:type="dxa"/>
            <w:shd w:val="clear" w:color="auto" w:fill="BDD7EE"/>
            <w:hideMark/>
          </w:tcPr>
          <w:p w14:paraId="14F2C020" w14:textId="77777777" w:rsidR="00FA7C11" w:rsidRDefault="00D84965">
            <w:pPr>
              <w:pStyle w:val="P68B1DB1-Normal58"/>
              <w:spacing w:after="0" w:line="276" w:lineRule="auto"/>
              <w:jc w:val="center"/>
              <w:rPr>
                <w:noProof/>
              </w:rPr>
            </w:pPr>
            <w:r>
              <w:rPr>
                <w:noProof/>
              </w:rPr>
              <w:t>Anul</w:t>
            </w:r>
          </w:p>
        </w:tc>
        <w:tc>
          <w:tcPr>
            <w:tcW w:w="4430" w:type="dxa"/>
            <w:vMerge/>
            <w:hideMark/>
          </w:tcPr>
          <w:p w14:paraId="3FC14F5C"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63704AEA" w14:textId="77777777">
        <w:trPr>
          <w:trHeight w:val="300"/>
          <w:jc w:val="center"/>
        </w:trPr>
        <w:tc>
          <w:tcPr>
            <w:tcW w:w="835" w:type="dxa"/>
            <w:shd w:val="clear" w:color="auto" w:fill="C6EFCE"/>
            <w:noWrap/>
          </w:tcPr>
          <w:p w14:paraId="203B0C90" w14:textId="77777777" w:rsidR="00FA7C11" w:rsidRDefault="00D84965">
            <w:pPr>
              <w:pStyle w:val="P68B1DB1-Normal66"/>
              <w:spacing w:after="0" w:line="276" w:lineRule="auto"/>
              <w:jc w:val="center"/>
              <w:rPr>
                <w:noProof/>
              </w:rPr>
            </w:pPr>
            <w:r>
              <w:rPr>
                <w:noProof/>
              </w:rPr>
              <w:t>394</w:t>
            </w:r>
          </w:p>
        </w:tc>
        <w:tc>
          <w:tcPr>
            <w:tcW w:w="1143" w:type="dxa"/>
            <w:shd w:val="clear" w:color="auto" w:fill="C6EFCE"/>
            <w:noWrap/>
          </w:tcPr>
          <w:p w14:paraId="145DC343" w14:textId="77777777" w:rsidR="00FA7C11" w:rsidRDefault="00D84965">
            <w:pPr>
              <w:pStyle w:val="P68B1DB1-Normal66"/>
              <w:spacing w:after="200" w:line="276" w:lineRule="auto"/>
              <w:jc w:val="center"/>
              <w:rPr>
                <w:noProof/>
              </w:rPr>
            </w:pPr>
            <w:r>
              <w:rPr>
                <w:noProof/>
              </w:rPr>
              <w:t>C2.3 R3- I17</w:t>
            </w:r>
          </w:p>
        </w:tc>
        <w:tc>
          <w:tcPr>
            <w:tcW w:w="1017" w:type="dxa"/>
            <w:shd w:val="clear" w:color="auto" w:fill="C6EFCE"/>
            <w:noWrap/>
          </w:tcPr>
          <w:p w14:paraId="6C1897BC" w14:textId="77777777" w:rsidR="00FA7C11" w:rsidRDefault="00D84965">
            <w:pPr>
              <w:pStyle w:val="P68B1DB1-Normal66"/>
              <w:spacing w:after="200" w:line="276" w:lineRule="auto"/>
              <w:jc w:val="center"/>
              <w:rPr>
                <w:noProof/>
              </w:rPr>
            </w:pPr>
            <w:r>
              <w:rPr>
                <w:noProof/>
              </w:rPr>
              <w:t>M</w:t>
            </w:r>
          </w:p>
        </w:tc>
        <w:tc>
          <w:tcPr>
            <w:tcW w:w="2008" w:type="dxa"/>
            <w:shd w:val="clear" w:color="auto" w:fill="C6EFCE"/>
            <w:noWrap/>
          </w:tcPr>
          <w:p w14:paraId="0682028F" w14:textId="77777777" w:rsidR="00FA7C11" w:rsidRDefault="00D84965">
            <w:pPr>
              <w:pStyle w:val="P68B1DB1-Normal66"/>
              <w:spacing w:after="200" w:line="276" w:lineRule="auto"/>
              <w:rPr>
                <w:noProof/>
              </w:rPr>
            </w:pPr>
            <w:r>
              <w:rPr>
                <w:noProof/>
              </w:rPr>
              <w:t xml:space="preserve">Legea privind înființarea Registrului populației, familiei și gospodăriilor (SOK) </w:t>
            </w:r>
          </w:p>
        </w:tc>
        <w:tc>
          <w:tcPr>
            <w:tcW w:w="1954" w:type="dxa"/>
            <w:shd w:val="clear" w:color="auto" w:fill="C6EFCE"/>
            <w:noWrap/>
          </w:tcPr>
          <w:p w14:paraId="44A8D3C8" w14:textId="77777777" w:rsidR="00FA7C11" w:rsidRDefault="00D84965">
            <w:pPr>
              <w:pStyle w:val="P68B1DB1-Normal66"/>
              <w:spacing w:after="200" w:line="276" w:lineRule="auto"/>
              <w:rPr>
                <w:noProof/>
              </w:rPr>
            </w:pPr>
            <w:r>
              <w:rPr>
                <w:noProof/>
              </w:rPr>
              <w:t>Intrarea în vigoare a legii</w:t>
            </w:r>
          </w:p>
        </w:tc>
        <w:tc>
          <w:tcPr>
            <w:tcW w:w="1096" w:type="dxa"/>
            <w:shd w:val="clear" w:color="auto" w:fill="C6EFCE"/>
            <w:noWrap/>
          </w:tcPr>
          <w:p w14:paraId="1BD18377"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25" w:type="dxa"/>
            <w:shd w:val="clear" w:color="auto" w:fill="C6EFCE"/>
            <w:noWrap/>
          </w:tcPr>
          <w:p w14:paraId="4FAD1D9C"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958" w:type="dxa"/>
            <w:shd w:val="clear" w:color="auto" w:fill="C6EFCE"/>
            <w:noWrap/>
          </w:tcPr>
          <w:p w14:paraId="3F55B80C"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516" w:type="dxa"/>
            <w:shd w:val="clear" w:color="auto" w:fill="C6EFCE"/>
            <w:noWrap/>
          </w:tcPr>
          <w:p w14:paraId="56827E0C" w14:textId="77777777" w:rsidR="00FA7C11" w:rsidRDefault="00D84965">
            <w:pPr>
              <w:pStyle w:val="P68B1DB1-Normal66"/>
              <w:spacing w:after="200" w:line="276" w:lineRule="auto"/>
              <w:jc w:val="center"/>
              <w:rPr>
                <w:noProof/>
              </w:rPr>
            </w:pPr>
            <w:r>
              <w:rPr>
                <w:noProof/>
              </w:rPr>
              <w:t>Î4</w:t>
            </w:r>
          </w:p>
        </w:tc>
        <w:tc>
          <w:tcPr>
            <w:tcW w:w="616" w:type="dxa"/>
            <w:shd w:val="clear" w:color="auto" w:fill="C6EFCE"/>
            <w:noWrap/>
          </w:tcPr>
          <w:p w14:paraId="672A7C75" w14:textId="77777777" w:rsidR="00FA7C11" w:rsidRDefault="00D84965">
            <w:pPr>
              <w:pStyle w:val="P68B1DB1-Normal66"/>
              <w:spacing w:after="200" w:line="276" w:lineRule="auto"/>
              <w:jc w:val="center"/>
              <w:rPr>
                <w:noProof/>
              </w:rPr>
            </w:pPr>
            <w:r>
              <w:rPr>
                <w:noProof/>
              </w:rPr>
              <w:t>2025</w:t>
            </w:r>
          </w:p>
        </w:tc>
        <w:tc>
          <w:tcPr>
            <w:tcW w:w="4430" w:type="dxa"/>
            <w:shd w:val="clear" w:color="auto" w:fill="C6EFCE"/>
            <w:noWrap/>
          </w:tcPr>
          <w:p w14:paraId="63F57622" w14:textId="77777777" w:rsidR="00FA7C11" w:rsidRDefault="00D84965">
            <w:pPr>
              <w:pStyle w:val="P68B1DB1-Normal66"/>
              <w:spacing w:after="200" w:line="276" w:lineRule="auto"/>
              <w:rPr>
                <w:noProof/>
                <w:color w:val="000000" w:themeColor="text1"/>
              </w:rPr>
            </w:pPr>
            <w:r>
              <w:rPr>
                <w:noProof/>
              </w:rPr>
              <w:t>Intră în vigoare Legea privind înființarea SOK. Legea prevede că SOK:</w:t>
            </w:r>
          </w:p>
          <w:p w14:paraId="5AC1EA30" w14:textId="77777777" w:rsidR="00FA7C11" w:rsidRDefault="00D84965">
            <w:pPr>
              <w:pStyle w:val="P68B1DB1-ListParagraph78"/>
              <w:numPr>
                <w:ilvl w:val="0"/>
                <w:numId w:val="64"/>
              </w:numPr>
              <w:spacing w:after="0" w:line="276" w:lineRule="auto"/>
              <w:ind w:left="352"/>
              <w:rPr>
                <w:noProof/>
                <w:color w:val="000000" w:themeColor="text1"/>
              </w:rPr>
            </w:pPr>
            <w:r>
              <w:rPr>
                <w:noProof/>
              </w:rPr>
              <w:t>unificarea procedurilor și a definițiilor utilizate pentru evaluarea drepturilor și obligațiilor care depind de venitul sau de activele persoanelor fizice, ale familiilor sau ale gospodăriilor.</w:t>
            </w:r>
          </w:p>
          <w:p w14:paraId="5C422C98" w14:textId="77777777" w:rsidR="00FA7C11" w:rsidRDefault="00D84965">
            <w:pPr>
              <w:pStyle w:val="P68B1DB1-ListParagraph78"/>
              <w:numPr>
                <w:ilvl w:val="0"/>
                <w:numId w:val="64"/>
              </w:numPr>
              <w:spacing w:after="0" w:line="276" w:lineRule="auto"/>
              <w:ind w:left="352"/>
              <w:rPr>
                <w:noProof/>
                <w:color w:val="000000" w:themeColor="text1"/>
              </w:rPr>
            </w:pPr>
            <w:r>
              <w:rPr>
                <w:noProof/>
              </w:rPr>
              <w:t>să fie conectat la sistemul de impozitare electronică.</w:t>
            </w:r>
          </w:p>
          <w:p w14:paraId="71B5B867" w14:textId="77777777" w:rsidR="00FA7C11" w:rsidRDefault="00FA7C11">
            <w:pPr>
              <w:spacing w:after="0" w:line="276" w:lineRule="auto"/>
              <w:rPr>
                <w:rFonts w:ascii="Times New Roman" w:eastAsia="Calibri" w:hAnsi="Times New Roman" w:cs="Times New Roman"/>
                <w:noProof/>
                <w:color w:val="000000" w:themeColor="text1"/>
                <w:sz w:val="20"/>
                <w:szCs w:val="20"/>
              </w:rPr>
            </w:pPr>
          </w:p>
        </w:tc>
      </w:tr>
    </w:tbl>
    <w:p w14:paraId="65F6EAD1" w14:textId="77777777" w:rsidR="00FA7C11" w:rsidRDefault="00FA7C11">
      <w:pPr>
        <w:pStyle w:val="paragraph"/>
        <w:spacing w:before="0" w:beforeAutospacing="0" w:after="0" w:afterAutospacing="0"/>
        <w:ind w:left="840"/>
        <w:jc w:val="both"/>
        <w:rPr>
          <w:rStyle w:val="eop"/>
          <w:noProof/>
          <w:color w:val="4F81BD"/>
        </w:rPr>
      </w:pPr>
    </w:p>
    <w:p w14:paraId="4C9B3EC6" w14:textId="77777777" w:rsidR="00FA7C11" w:rsidRDefault="00FA7C11">
      <w:pPr>
        <w:pStyle w:val="paragraph"/>
        <w:spacing w:before="0" w:beforeAutospacing="0" w:after="0" w:afterAutospacing="0"/>
        <w:ind w:left="840"/>
        <w:jc w:val="both"/>
        <w:rPr>
          <w:rStyle w:val="eop"/>
          <w:noProof/>
          <w:color w:val="4F81BD"/>
        </w:rPr>
      </w:pPr>
    </w:p>
    <w:p w14:paraId="7AC40C84" w14:textId="77777777" w:rsidR="00FA7C11" w:rsidRDefault="00D84965">
      <w:pPr>
        <w:pStyle w:val="paragraph"/>
        <w:spacing w:before="0" w:beforeAutospacing="0" w:after="0" w:afterAutospacing="0"/>
        <w:jc w:val="both"/>
        <w:textAlignment w:val="baseline"/>
        <w:rPr>
          <w:rFonts w:ascii="Segoe UI" w:hAnsi="Segoe UI" w:cs="Segoe UI"/>
          <w:noProof/>
          <w:sz w:val="18"/>
          <w:szCs w:val="18"/>
        </w:rPr>
      </w:pPr>
      <w:r>
        <w:rPr>
          <w:rStyle w:val="eop"/>
          <w:noProof/>
        </w:rPr>
        <w:t> </w:t>
      </w:r>
    </w:p>
    <w:p w14:paraId="4E2114F2" w14:textId="77777777" w:rsidR="00FA7C11" w:rsidRDefault="00FA7C11">
      <w:pPr>
        <w:pStyle w:val="paragraph"/>
        <w:spacing w:before="0" w:beforeAutospacing="0" w:after="0" w:afterAutospacing="0"/>
        <w:jc w:val="both"/>
        <w:textAlignment w:val="baseline"/>
        <w:rPr>
          <w:noProof/>
        </w:rPr>
      </w:pPr>
    </w:p>
    <w:p w14:paraId="662D5E74" w14:textId="77777777" w:rsidR="00FA7C11" w:rsidRDefault="00FA7C11">
      <w:pPr>
        <w:keepNext/>
        <w:tabs>
          <w:tab w:val="left" w:pos="850"/>
        </w:tabs>
        <w:spacing w:before="360" w:line="240" w:lineRule="auto"/>
        <w:ind w:left="850" w:hanging="850"/>
        <w:jc w:val="both"/>
        <w:outlineLvl w:val="0"/>
        <w:rPr>
          <w:rFonts w:eastAsia="Calibri"/>
          <w:b/>
          <w:smallCaps/>
          <w:noProof/>
          <w:szCs w:val="24"/>
        </w:rPr>
        <w:sectPr w:rsidR="00FA7C11" w:rsidSect="00FA29B2">
          <w:headerReference w:type="even" r:id="rId188"/>
          <w:headerReference w:type="default" r:id="rId189"/>
          <w:footerReference w:type="even" r:id="rId190"/>
          <w:footerReference w:type="default" r:id="rId191"/>
          <w:headerReference w:type="first" r:id="rId192"/>
          <w:footerReference w:type="first" r:id="rId193"/>
          <w:pgSz w:w="16838" w:h="11906" w:orient="landscape"/>
          <w:pgMar w:top="1134" w:right="1134" w:bottom="1134" w:left="1134" w:header="567" w:footer="567" w:gutter="0"/>
          <w:cols w:space="708"/>
          <w:docGrid w:linePitch="360"/>
        </w:sectPr>
      </w:pPr>
    </w:p>
    <w:p w14:paraId="758D8079" w14:textId="77777777" w:rsidR="00FA7C11" w:rsidRDefault="00D84965">
      <w:pPr>
        <w:pStyle w:val="P68B1DB1-Normal120"/>
        <w:keepNext/>
        <w:tabs>
          <w:tab w:val="left" w:pos="850"/>
        </w:tabs>
        <w:spacing w:before="360" w:line="240" w:lineRule="auto"/>
        <w:ind w:left="850" w:hanging="850"/>
        <w:jc w:val="both"/>
        <w:outlineLvl w:val="0"/>
        <w:rPr>
          <w:rFonts w:ascii="Times New Roman" w:eastAsia="Calibri" w:hAnsi="Times New Roman" w:cs="Times New Roman"/>
          <w:noProof/>
          <w:sz w:val="24"/>
        </w:rPr>
      </w:pPr>
      <w:r>
        <w:rPr>
          <w:rFonts w:eastAsia="Calibri"/>
          <w:noProof/>
        </w:rPr>
        <w:t>J</w:t>
      </w:r>
      <w:r>
        <w:rPr>
          <w:rFonts w:ascii="Times New Roman" w:eastAsia="Calibri" w:hAnsi="Times New Roman" w:cs="Times New Roman"/>
          <w:noProof/>
          <w:sz w:val="24"/>
        </w:rPr>
        <w:t>. COMPONENTA 2.4: ÎMBUNĂTĂȚIREA GESTIONĂRII ACTIVELOR DE STAT</w:t>
      </w:r>
    </w:p>
    <w:p w14:paraId="50869738" w14:textId="77777777" w:rsidR="00FA7C11" w:rsidRDefault="00D84965">
      <w:pPr>
        <w:pStyle w:val="P68B1DB1-Normal83"/>
        <w:spacing w:before="40" w:line="252" w:lineRule="auto"/>
        <w:jc w:val="both"/>
        <w:rPr>
          <w:noProof/>
        </w:rPr>
      </w:pPr>
      <w:r>
        <w:rPr>
          <w:noProof/>
        </w:rPr>
        <w:t xml:space="preserve">Întreprinderile deținute de stat generează aproximativ 7 % din valoarea adăugată a economiei în ansamblu și reprezintă 4 % din totalul locurilor de muncă. Având în vedere rolul lor semnificativ în economia croată, îmbunătățirea guvernanței corporative a întreprinderilor deținute de stat și reducerea continuă a portofoliului de active guvernamentale pot conduce la o creștere distinctă a productivității globale. </w:t>
      </w:r>
    </w:p>
    <w:p w14:paraId="56642386" w14:textId="77777777" w:rsidR="00FA7C11" w:rsidRDefault="00D84965">
      <w:pPr>
        <w:pStyle w:val="P68B1DB1-Normal83"/>
        <w:spacing w:before="40" w:after="0"/>
        <w:jc w:val="both"/>
        <w:rPr>
          <w:noProof/>
        </w:rPr>
      </w:pPr>
      <w:r>
        <w:rPr>
          <w:noProof/>
        </w:rPr>
        <w:t>Obiectivul componentei planului croat de redresare și reziliență este de a promova dezvoltarea economică și de a spori eficiența globală a întreprinderilor deținute de stat, prin următoarele măsuri:</w:t>
      </w:r>
    </w:p>
    <w:p w14:paraId="5AB39FE6" w14:textId="77777777" w:rsidR="00FA7C11" w:rsidRDefault="00D84965">
      <w:pPr>
        <w:pStyle w:val="P68B1DB1-Normal83"/>
        <w:numPr>
          <w:ilvl w:val="0"/>
          <w:numId w:val="65"/>
        </w:numPr>
        <w:tabs>
          <w:tab w:val="left" w:pos="426"/>
        </w:tabs>
        <w:spacing w:before="120" w:after="0" w:line="276" w:lineRule="auto"/>
        <w:ind w:left="714" w:hanging="357"/>
        <w:jc w:val="both"/>
        <w:rPr>
          <w:noProof/>
        </w:rPr>
      </w:pPr>
      <w:r>
        <w:rPr>
          <w:noProof/>
        </w:rPr>
        <w:t>Reducerea în continuare a numărului de întreprinderi deținute de stat.</w:t>
      </w:r>
    </w:p>
    <w:p w14:paraId="380A1AB0" w14:textId="77777777" w:rsidR="00FA7C11" w:rsidRDefault="00D84965">
      <w:pPr>
        <w:pStyle w:val="P68B1DB1-Normal83"/>
        <w:numPr>
          <w:ilvl w:val="0"/>
          <w:numId w:val="65"/>
        </w:numPr>
        <w:tabs>
          <w:tab w:val="left" w:pos="426"/>
        </w:tabs>
        <w:spacing w:before="120" w:after="0" w:line="276" w:lineRule="auto"/>
        <w:ind w:left="714" w:hanging="357"/>
        <w:jc w:val="both"/>
        <w:rPr>
          <w:noProof/>
        </w:rPr>
      </w:pPr>
      <w:r>
        <w:rPr>
          <w:noProof/>
        </w:rPr>
        <w:t>Îmbunătățirea gestionării proprietăților de stat.</w:t>
      </w:r>
    </w:p>
    <w:p w14:paraId="76AEAD7F" w14:textId="77777777" w:rsidR="00FA7C11" w:rsidRDefault="00D84965">
      <w:pPr>
        <w:pStyle w:val="P68B1DB1-Normal83"/>
        <w:numPr>
          <w:ilvl w:val="0"/>
          <w:numId w:val="65"/>
        </w:numPr>
        <w:tabs>
          <w:tab w:val="left" w:pos="426"/>
        </w:tabs>
        <w:spacing w:before="120" w:after="0" w:line="276" w:lineRule="auto"/>
        <w:ind w:left="714" w:hanging="357"/>
        <w:jc w:val="both"/>
        <w:rPr>
          <w:bCs/>
          <w:noProof/>
        </w:rPr>
      </w:pPr>
      <w:r>
        <w:rPr>
          <w:noProof/>
        </w:rPr>
        <w:t>Adaptarea cadrului național de reglementare pentru guvernanța corporativă la cele mai bune practici internaționale, pe baza recomandărilor OCDE.</w:t>
      </w:r>
    </w:p>
    <w:p w14:paraId="2642DFFE" w14:textId="77777777" w:rsidR="00FA7C11" w:rsidRDefault="00D84965">
      <w:pPr>
        <w:pStyle w:val="P68B1DB1-Normal46"/>
        <w:numPr>
          <w:ilvl w:val="0"/>
          <w:numId w:val="65"/>
        </w:numPr>
        <w:tabs>
          <w:tab w:val="left" w:pos="426"/>
        </w:tabs>
        <w:spacing w:before="120" w:after="0" w:line="276" w:lineRule="auto"/>
        <w:ind w:left="714" w:hanging="357"/>
        <w:jc w:val="both"/>
        <w:rPr>
          <w:rFonts w:eastAsia="Times New Roman"/>
          <w:noProof/>
        </w:rPr>
      </w:pPr>
      <w:r>
        <w:rPr>
          <w:noProof/>
        </w:rPr>
        <w:t xml:space="preserve">Îmbunătățirea guvernanței în întreprinderile de stat care prezintă un interes deosebit pentru Republica Croația și în întreprinderile deținute în proporție majoritară de administrația centrală și consolidarea coordonării între autoritățile naționale competente. </w:t>
      </w:r>
    </w:p>
    <w:p w14:paraId="6E97DAAD" w14:textId="77777777" w:rsidR="00FA7C11" w:rsidRDefault="00D84965">
      <w:pPr>
        <w:pStyle w:val="P68B1DB1-Normal83"/>
        <w:numPr>
          <w:ilvl w:val="0"/>
          <w:numId w:val="65"/>
        </w:numPr>
        <w:tabs>
          <w:tab w:val="left" w:pos="426"/>
        </w:tabs>
        <w:spacing w:before="120" w:after="0" w:line="276" w:lineRule="auto"/>
        <w:ind w:left="714" w:hanging="357"/>
        <w:jc w:val="both"/>
        <w:rPr>
          <w:noProof/>
        </w:rPr>
      </w:pPr>
      <w:r>
        <w:rPr>
          <w:noProof/>
        </w:rPr>
        <w:t>Consolidarea capacității umane de monitorizare a guvernanței corporative în întreprinderile deținute de stat.</w:t>
      </w:r>
    </w:p>
    <w:p w14:paraId="52AD2305" w14:textId="77777777" w:rsidR="00FA7C11" w:rsidRDefault="00D84965">
      <w:pPr>
        <w:pStyle w:val="P68B1DB1-Normal83"/>
        <w:spacing w:after="0"/>
        <w:jc w:val="both"/>
        <w:rPr>
          <w:noProof/>
        </w:rPr>
      </w:pPr>
      <w:r>
        <w:rPr>
          <w:noProof/>
        </w:rPr>
        <w:t>Componenta sprijină abordarea recomandărilor specifice fiecărei țări privind îmbunătățirea guvernanței corporative a întreprinderilor deținute de stat și intensificarea vânzării întreprinderilor deținute de stat și a activelor neproductive (recomandarea specifică fiecărei țări 4, 2019). Componenta contribuie, de asemenea, la angajamentele post-aderare la ERM II de consolidare a gestionării IDS.</w:t>
      </w:r>
    </w:p>
    <w:p w14:paraId="5725608A" w14:textId="77777777" w:rsidR="00FA7C11" w:rsidRDefault="00FA7C11">
      <w:pPr>
        <w:spacing w:before="40" w:after="0"/>
        <w:jc w:val="both"/>
        <w:rPr>
          <w:rFonts w:ascii="Times New Roman" w:eastAsia="Times New Roman" w:hAnsi="Times New Roman" w:cs="Times New Roman"/>
          <w:bCs/>
          <w:noProof/>
          <w:sz w:val="24"/>
          <w:szCs w:val="24"/>
        </w:rPr>
      </w:pPr>
    </w:p>
    <w:p w14:paraId="4FF57349" w14:textId="77777777" w:rsidR="00FA7C11" w:rsidRDefault="00D84965">
      <w:pPr>
        <w:pStyle w:val="P68B1DB1-Normal57"/>
        <w:keepNext/>
        <w:spacing w:before="40" w:after="0"/>
        <w:ind w:left="851"/>
        <w:jc w:val="both"/>
        <w:outlineLvl w:val="1"/>
        <w:rPr>
          <w:noProof/>
        </w:rPr>
      </w:pPr>
      <w:r>
        <w:rPr>
          <w:noProof/>
        </w:rPr>
        <w:t xml:space="preserve">J.1. </w:t>
      </w:r>
      <w:r>
        <w:rPr>
          <w:noProof/>
        </w:rPr>
        <w:tab/>
        <w:t>Descrierea reformelor și a investițiilor pentru sprijinul financiar nerambursabil</w:t>
      </w:r>
    </w:p>
    <w:p w14:paraId="1654999B" w14:textId="77777777" w:rsidR="00FA7C11" w:rsidRDefault="00D84965">
      <w:pPr>
        <w:pStyle w:val="P68B1DB1-Normal96"/>
        <w:keepNext/>
        <w:tabs>
          <w:tab w:val="num" w:pos="850"/>
        </w:tabs>
        <w:spacing w:before="240" w:after="0"/>
        <w:ind w:left="851"/>
        <w:jc w:val="both"/>
        <w:outlineLvl w:val="2"/>
        <w:rPr>
          <w:noProof/>
        </w:rPr>
      </w:pPr>
      <w:r>
        <w:rPr>
          <w:noProof/>
        </w:rPr>
        <w:t>Reforma C2.4 R1 – Revizuirea listei întreprinderilor de stat care prezintă un interes deosebit pentru Croația</w:t>
      </w:r>
    </w:p>
    <w:p w14:paraId="469579DE" w14:textId="77777777" w:rsidR="00FA7C11" w:rsidRDefault="00D84965">
      <w:pPr>
        <w:pStyle w:val="P68B1DB1-Normal83"/>
        <w:spacing w:after="0"/>
        <w:jc w:val="both"/>
        <w:rPr>
          <w:noProof/>
        </w:rPr>
      </w:pPr>
      <w:r>
        <w:rPr>
          <w:noProof/>
        </w:rPr>
        <w:t xml:space="preserve">Obiectivul acestei reforme este de a raționaliza proprietatea statului prin adoptarea unei noi politici privind proprietatea, care să stabilească criteriile pentru activele strategice, să actualizeze lista întreprinderilor deținute de stat care au un interes deosebit pentru Croația și să publice explicația care justifică decizia de a menține o societate pe această listă. </w:t>
      </w:r>
    </w:p>
    <w:p w14:paraId="6F711A14" w14:textId="77777777" w:rsidR="00FA7C11" w:rsidRDefault="00D84965">
      <w:pPr>
        <w:pStyle w:val="P68B1DB1-Normal83"/>
        <w:spacing w:before="40" w:after="0"/>
        <w:jc w:val="both"/>
        <w:rPr>
          <w:noProof/>
        </w:rPr>
      </w:pPr>
      <w:r>
        <w:rPr>
          <w:noProof/>
        </w:rPr>
        <w:t xml:space="preserve">Reforma se finalizează până la 31 decembrie 2021. </w:t>
      </w:r>
    </w:p>
    <w:p w14:paraId="610268B3" w14:textId="77777777" w:rsidR="00FA7C11" w:rsidRDefault="00D84965">
      <w:pPr>
        <w:pStyle w:val="P68B1DB1-Normal96"/>
        <w:keepNext/>
        <w:tabs>
          <w:tab w:val="num" w:pos="850"/>
        </w:tabs>
        <w:spacing w:before="240" w:after="0"/>
        <w:ind w:left="851"/>
        <w:jc w:val="both"/>
        <w:outlineLvl w:val="2"/>
        <w:rPr>
          <w:noProof/>
        </w:rPr>
      </w:pPr>
      <w:r>
        <w:rPr>
          <w:noProof/>
        </w:rPr>
        <w:t>Reforma C2.4 R2 – Îmbunătățirea guvernanței corporative în întreprinderile de stat de interes deosebit pentru Republica Croația și în întreprinderile deținute în proporție majoritară de administrația centrală.</w:t>
      </w:r>
    </w:p>
    <w:p w14:paraId="3477898C" w14:textId="77777777" w:rsidR="00FA7C11" w:rsidRDefault="00D84965">
      <w:pPr>
        <w:pStyle w:val="P68B1DB1-Normal83"/>
        <w:spacing w:after="0"/>
        <w:jc w:val="both"/>
        <w:rPr>
          <w:noProof/>
        </w:rPr>
      </w:pPr>
      <w:r>
        <w:rPr>
          <w:noProof/>
        </w:rPr>
        <w:t>Obiectivul acestei reforme este de a îmbunătăți guvernanța corporativă a întreprinderilor de stat.</w:t>
      </w:r>
    </w:p>
    <w:p w14:paraId="68E496A0" w14:textId="77777777" w:rsidR="00FA7C11" w:rsidRDefault="00D84965">
      <w:pPr>
        <w:pStyle w:val="P68B1DB1-Normal83"/>
        <w:spacing w:before="40" w:after="0"/>
        <w:jc w:val="both"/>
        <w:rPr>
          <w:noProof/>
        </w:rPr>
      </w:pPr>
      <w:r>
        <w:rPr>
          <w:noProof/>
        </w:rPr>
        <w:t xml:space="preserve">Reforma constă în dispoziția privind intrarea în vigoare a unui nou cadru juridic privind întreprinderile de stat care include recomandările OCDE și intrarea în vigoare a unei politici privind proprietatea. </w:t>
      </w:r>
    </w:p>
    <w:p w14:paraId="24735F01" w14:textId="77777777" w:rsidR="00FA7C11" w:rsidRDefault="00D84965">
      <w:pPr>
        <w:pStyle w:val="P68B1DB1-Normal96"/>
        <w:keepNext/>
        <w:tabs>
          <w:tab w:val="num" w:pos="850"/>
        </w:tabs>
        <w:spacing w:before="240" w:after="0"/>
        <w:ind w:left="851"/>
        <w:jc w:val="both"/>
        <w:outlineLvl w:val="2"/>
        <w:rPr>
          <w:noProof/>
        </w:rPr>
      </w:pPr>
      <w:r>
        <w:rPr>
          <w:noProof/>
        </w:rPr>
        <w:t>Reforma C2.4 R3 – Consolidarea capacității umane de monitorizare a guvernanței corporative în întreprinderile de stat</w:t>
      </w:r>
    </w:p>
    <w:p w14:paraId="79106BE5" w14:textId="77777777" w:rsidR="00FA7C11" w:rsidRDefault="00D84965">
      <w:pPr>
        <w:pStyle w:val="P68B1DB1-Normal83"/>
        <w:spacing w:after="0"/>
        <w:jc w:val="both"/>
        <w:rPr>
          <w:noProof/>
        </w:rPr>
      </w:pPr>
      <w:r>
        <w:rPr>
          <w:noProof/>
        </w:rPr>
        <w:t>Obiectivul acestei reforme este de a îmbunătăți capacitatea umană a administrației centrale de a monitoriza guvernanța întreprinderilor de stat.</w:t>
      </w:r>
    </w:p>
    <w:p w14:paraId="06083BC9" w14:textId="77777777" w:rsidR="00FA7C11" w:rsidRDefault="00D84965">
      <w:pPr>
        <w:pStyle w:val="P68B1DB1-Normal83"/>
        <w:spacing w:after="0"/>
        <w:jc w:val="both"/>
        <w:rPr>
          <w:noProof/>
        </w:rPr>
      </w:pPr>
      <w:r>
        <w:rPr>
          <w:noProof/>
        </w:rPr>
        <w:t>Reforma constă în furnizarea de cursuri de formare pentru ministerele de resort și unitățile centrale de coordonare în ceea ce privește activitățile de guvernanță corporativă.</w:t>
      </w:r>
    </w:p>
    <w:p w14:paraId="04EA50C9" w14:textId="77777777" w:rsidR="00FA7C11" w:rsidRDefault="00D84965">
      <w:pPr>
        <w:pStyle w:val="P68B1DB1-Normal96"/>
        <w:keepNext/>
        <w:tabs>
          <w:tab w:val="num" w:pos="850"/>
        </w:tabs>
        <w:spacing w:before="240" w:after="0"/>
        <w:ind w:left="851"/>
        <w:jc w:val="both"/>
        <w:outlineLvl w:val="2"/>
        <w:rPr>
          <w:noProof/>
        </w:rPr>
      </w:pPr>
      <w:r>
        <w:rPr>
          <w:noProof/>
        </w:rPr>
        <w:t>Reforma C2.4 R4 – Reducerea numărului de întreprinderi de stat care nu prezintă un interes deosebit pentru Croația</w:t>
      </w:r>
    </w:p>
    <w:p w14:paraId="2C29DC6D" w14:textId="77777777" w:rsidR="00FA7C11" w:rsidRDefault="00D84965">
      <w:pPr>
        <w:pStyle w:val="P68B1DB1-Normal83"/>
        <w:spacing w:after="0"/>
        <w:jc w:val="both"/>
        <w:rPr>
          <w:noProof/>
        </w:rPr>
      </w:pPr>
      <w:r>
        <w:rPr>
          <w:noProof/>
        </w:rPr>
        <w:t xml:space="preserve">Obiectivul acestei reforme este de a reduce numărul întreprinderilor de stat care nu prezintă un interes deosebit pentru Croația, prin facilitarea vânzării acestora. </w:t>
      </w:r>
    </w:p>
    <w:p w14:paraId="5CFA1E48" w14:textId="77777777" w:rsidR="00FA7C11" w:rsidRDefault="00D84965">
      <w:pPr>
        <w:pStyle w:val="P68B1DB1-Normal96"/>
        <w:keepNext/>
        <w:numPr>
          <w:ilvl w:val="2"/>
          <w:numId w:val="0"/>
        </w:numPr>
        <w:spacing w:before="240" w:after="0"/>
        <w:ind w:left="851"/>
        <w:jc w:val="both"/>
        <w:outlineLvl w:val="2"/>
        <w:rPr>
          <w:noProof/>
        </w:rPr>
      </w:pPr>
      <w:r>
        <w:rPr>
          <w:noProof/>
        </w:rPr>
        <w:t>Reforma C2.4 R5 – Optimizarea administrării proprietăților de stat</w:t>
      </w:r>
    </w:p>
    <w:p w14:paraId="0268A473" w14:textId="77777777" w:rsidR="00FA7C11" w:rsidRDefault="00D84965">
      <w:pPr>
        <w:pStyle w:val="P68B1DB1-Normal83"/>
        <w:spacing w:after="0"/>
        <w:jc w:val="both"/>
        <w:rPr>
          <w:noProof/>
        </w:rPr>
      </w:pPr>
      <w:r>
        <w:rPr>
          <w:noProof/>
        </w:rPr>
        <w:t xml:space="preserve">Obiectivul acestei reforme este de a îmbunătăți gestionarea proprietăților deținute de stat, comercializarea acestora și rentabilitatea lor. </w:t>
      </w:r>
    </w:p>
    <w:p w14:paraId="03797FA9" w14:textId="77777777" w:rsidR="00FA7C11" w:rsidRDefault="00FA7C11">
      <w:pPr>
        <w:spacing w:after="0"/>
        <w:jc w:val="both"/>
        <w:rPr>
          <w:rFonts w:ascii="Times New Roman" w:eastAsia="Times New Roman" w:hAnsi="Times New Roman" w:cs="Times New Roman"/>
          <w:noProof/>
          <w:sz w:val="24"/>
          <w:szCs w:val="24"/>
        </w:rPr>
      </w:pPr>
    </w:p>
    <w:p w14:paraId="67232C7E" w14:textId="77777777" w:rsidR="00FA7C11" w:rsidRDefault="00D84965">
      <w:pPr>
        <w:pStyle w:val="P68B1DB1-Normal83"/>
        <w:spacing w:after="0"/>
        <w:jc w:val="both"/>
        <w:rPr>
          <w:noProof/>
        </w:rPr>
      </w:pPr>
      <w:r>
        <w:rPr>
          <w:noProof/>
        </w:rPr>
        <w:t>Reforma constă în dezvoltarea unui sistem informatic administrativ și a unei metodologii pentru gestionarea proprietăților deținute de stat, ceea ce duce la activarea mai rapidă a activelor neutilizate.</w:t>
      </w:r>
    </w:p>
    <w:p w14:paraId="4B6ED427" w14:textId="77777777" w:rsidR="00FA7C11" w:rsidRDefault="00FA7C11">
      <w:pPr>
        <w:spacing w:line="240" w:lineRule="auto"/>
        <w:jc w:val="both"/>
        <w:rPr>
          <w:rFonts w:ascii="Times New Roman" w:eastAsia="Calibri" w:hAnsi="Times New Roman" w:cs="Times New Roman"/>
          <w:noProof/>
          <w:sz w:val="24"/>
          <w:szCs w:val="24"/>
          <w:u w:val="single"/>
        </w:rPr>
      </w:pPr>
    </w:p>
    <w:p w14:paraId="75CDA66B" w14:textId="77777777" w:rsidR="00FA7C11" w:rsidRDefault="00FA7C11">
      <w:pPr>
        <w:rPr>
          <w:noProof/>
        </w:rPr>
        <w:sectPr w:rsidR="00FA7C11" w:rsidSect="00FA29B2">
          <w:headerReference w:type="even" r:id="rId194"/>
          <w:headerReference w:type="default" r:id="rId195"/>
          <w:footerReference w:type="even" r:id="rId196"/>
          <w:footerReference w:type="default" r:id="rId197"/>
          <w:headerReference w:type="first" r:id="rId198"/>
          <w:footerReference w:type="first" r:id="rId199"/>
          <w:pgSz w:w="11906" w:h="16838"/>
          <w:pgMar w:top="1134" w:right="1134" w:bottom="1134" w:left="1134" w:header="567" w:footer="567" w:gutter="0"/>
          <w:cols w:space="708"/>
          <w:docGrid w:linePitch="360"/>
        </w:sectPr>
      </w:pPr>
    </w:p>
    <w:p w14:paraId="6D76574C" w14:textId="77777777" w:rsidR="00FA7C11" w:rsidRDefault="00D84965">
      <w:pPr>
        <w:pStyle w:val="P68B1DB1-Normal121"/>
        <w:keepNext/>
        <w:tabs>
          <w:tab w:val="num" w:pos="850"/>
        </w:tabs>
        <w:spacing w:before="40" w:after="240"/>
        <w:ind w:left="851"/>
        <w:jc w:val="both"/>
        <w:outlineLvl w:val="1"/>
        <w:rPr>
          <w:noProof/>
          <w:sz w:val="24"/>
        </w:rPr>
      </w:pPr>
      <w:r>
        <w:rPr>
          <w:noProof/>
        </w:rPr>
        <w:t>J.2</w:t>
      </w:r>
      <w:r>
        <w:rPr>
          <w:noProof/>
          <w:sz w:val="24"/>
        </w:rPr>
        <w:t xml:space="preserve">. </w:t>
      </w:r>
      <w:r>
        <w:rPr>
          <w:noProof/>
          <w:sz w:val="24"/>
        </w:rPr>
        <w:tab/>
        <w:t>Jaloane, ținte, indicatori și calendarul de monitorizare și implementare aplicabile sprijinului financiar nerambursabil</w:t>
      </w:r>
    </w:p>
    <w:tbl>
      <w:tblPr>
        <w:tblW w:w="15466" w:type="dxa"/>
        <w:jc w:val="center"/>
        <w:tblCellMar>
          <w:top w:w="28" w:type="dxa"/>
          <w:left w:w="28" w:type="dxa"/>
          <w:bottom w:w="28" w:type="dxa"/>
          <w:right w:w="28" w:type="dxa"/>
        </w:tblCellMar>
        <w:tblLook w:val="04A0" w:firstRow="1" w:lastRow="0" w:firstColumn="1" w:lastColumn="0" w:noHBand="0" w:noVBand="1"/>
      </w:tblPr>
      <w:tblGrid>
        <w:gridCol w:w="960"/>
        <w:gridCol w:w="1134"/>
        <w:gridCol w:w="1345"/>
        <w:gridCol w:w="1656"/>
        <w:gridCol w:w="1985"/>
        <w:gridCol w:w="1134"/>
        <w:gridCol w:w="1134"/>
        <w:gridCol w:w="850"/>
        <w:gridCol w:w="919"/>
        <w:gridCol w:w="709"/>
        <w:gridCol w:w="4111"/>
      </w:tblGrid>
      <w:tr w:rsidR="00FA7C11" w14:paraId="77EE2184" w14:textId="77777777">
        <w:trPr>
          <w:trHeight w:val="635"/>
          <w:tblHeader/>
          <w:jc w:val="center"/>
        </w:trPr>
        <w:tc>
          <w:tcPr>
            <w:tcW w:w="960"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FFFE555" w14:textId="77777777" w:rsidR="00FA7C11" w:rsidRDefault="00D84965">
            <w:pPr>
              <w:pStyle w:val="P68B1DB1-Normal58"/>
              <w:spacing w:after="0" w:line="276" w:lineRule="auto"/>
              <w:jc w:val="center"/>
              <w:rPr>
                <w:bCs/>
                <w:noProof/>
              </w:rPr>
            </w:pPr>
            <w:r>
              <w:rPr>
                <w:noProof/>
              </w:rPr>
              <w:t>Număr</w:t>
            </w:r>
          </w:p>
        </w:tc>
        <w:tc>
          <w:tcPr>
            <w:tcW w:w="1134"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0DEF48" w14:textId="77777777" w:rsidR="00FA7C11" w:rsidRDefault="00D84965">
            <w:pPr>
              <w:pStyle w:val="P68B1DB1-Normal58"/>
              <w:spacing w:after="0" w:line="276" w:lineRule="auto"/>
              <w:jc w:val="center"/>
              <w:rPr>
                <w:bCs/>
                <w:noProof/>
              </w:rPr>
            </w:pPr>
            <w:r>
              <w:rPr>
                <w:noProof/>
              </w:rPr>
              <w:t>Măsură</w:t>
            </w:r>
          </w:p>
        </w:tc>
        <w:tc>
          <w:tcPr>
            <w:tcW w:w="1037"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7CA16B4E" w14:textId="77777777" w:rsidR="00FA7C11" w:rsidRDefault="00D84965">
            <w:pPr>
              <w:pStyle w:val="P68B1DB1-Normal58"/>
              <w:spacing w:after="0" w:line="276" w:lineRule="auto"/>
              <w:jc w:val="center"/>
              <w:rPr>
                <w:bCs/>
                <w:noProof/>
              </w:rPr>
            </w:pPr>
            <w:r>
              <w:rPr>
                <w:noProof/>
              </w:rPr>
              <w:t>Etapă/Obiectiv</w:t>
            </w:r>
          </w:p>
        </w:tc>
        <w:tc>
          <w:tcPr>
            <w:tcW w:w="1656" w:type="dxa"/>
            <w:vMerge w:val="restart"/>
            <w:tcBorders>
              <w:top w:val="single" w:sz="4" w:space="0" w:color="auto"/>
              <w:left w:val="nil"/>
              <w:bottom w:val="single" w:sz="4" w:space="0" w:color="000000" w:themeColor="text1"/>
              <w:right w:val="single" w:sz="4" w:space="0" w:color="auto"/>
            </w:tcBorders>
            <w:shd w:val="clear" w:color="auto" w:fill="BDD7EE"/>
            <w:vAlign w:val="center"/>
            <w:hideMark/>
          </w:tcPr>
          <w:p w14:paraId="579E7A7B" w14:textId="77777777" w:rsidR="00FA7C11" w:rsidRDefault="00D84965">
            <w:pPr>
              <w:pStyle w:val="P68B1DB1-Normal58"/>
              <w:spacing w:after="0" w:line="276" w:lineRule="auto"/>
              <w:jc w:val="center"/>
              <w:rPr>
                <w:bCs/>
                <w:noProof/>
              </w:rPr>
            </w:pPr>
            <w:r>
              <w:rPr>
                <w:noProof/>
              </w:rPr>
              <w:t>Nume</w:t>
            </w:r>
          </w:p>
        </w:tc>
        <w:tc>
          <w:tcPr>
            <w:tcW w:w="1985"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75CDB74B"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hAnsi="Times New Roman" w:cs="Times New Roman"/>
                <w:noProof/>
              </w:rPr>
              <w:br/>
            </w:r>
            <w:r>
              <w:rPr>
                <w:rFonts w:ascii="Times New Roman" w:eastAsia="Times New Roman" w:hAnsi="Times New Roman" w:cs="Times New Roman"/>
                <w:b/>
                <w:noProof/>
              </w:rPr>
              <w:t>(pentru jaloane)</w:t>
            </w:r>
          </w:p>
        </w:tc>
        <w:tc>
          <w:tcPr>
            <w:tcW w:w="3118" w:type="dxa"/>
            <w:gridSpan w:val="3"/>
            <w:tcBorders>
              <w:top w:val="single" w:sz="4" w:space="0" w:color="auto"/>
              <w:left w:val="nil"/>
              <w:bottom w:val="single" w:sz="4" w:space="0" w:color="auto"/>
              <w:right w:val="single" w:sz="4" w:space="0" w:color="auto"/>
            </w:tcBorders>
            <w:shd w:val="clear" w:color="auto" w:fill="BDD7EE"/>
            <w:vAlign w:val="center"/>
            <w:hideMark/>
          </w:tcPr>
          <w:p w14:paraId="6FFDA6B0"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hAnsi="Times New Roman" w:cs="Times New Roman"/>
                <w:noProof/>
              </w:rPr>
              <w:br/>
            </w:r>
            <w:r>
              <w:rPr>
                <w:rFonts w:ascii="Times New Roman" w:eastAsia="Times New Roman" w:hAnsi="Times New Roman" w:cs="Times New Roman"/>
                <w:b/>
                <w:noProof/>
              </w:rPr>
              <w:t>(pentru obiective)</w:t>
            </w:r>
          </w:p>
        </w:tc>
        <w:tc>
          <w:tcPr>
            <w:tcW w:w="1465" w:type="dxa"/>
            <w:gridSpan w:val="2"/>
            <w:tcBorders>
              <w:top w:val="single" w:sz="4" w:space="0" w:color="auto"/>
              <w:left w:val="nil"/>
              <w:bottom w:val="single" w:sz="4" w:space="0" w:color="auto"/>
              <w:right w:val="single" w:sz="4" w:space="0" w:color="auto"/>
            </w:tcBorders>
            <w:shd w:val="clear" w:color="auto" w:fill="BDD7EE"/>
            <w:vAlign w:val="center"/>
            <w:hideMark/>
          </w:tcPr>
          <w:p w14:paraId="70F0A43F" w14:textId="77777777" w:rsidR="00FA7C11" w:rsidRDefault="00D84965">
            <w:pPr>
              <w:pStyle w:val="P68B1DB1-Normal58"/>
              <w:spacing w:after="0" w:line="276" w:lineRule="auto"/>
              <w:jc w:val="center"/>
              <w:rPr>
                <w:bCs/>
                <w:noProof/>
              </w:rPr>
            </w:pPr>
            <w:r>
              <w:rPr>
                <w:noProof/>
              </w:rPr>
              <w:t>Timp</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D9FDE5"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196A0F12" w14:textId="77777777">
        <w:trPr>
          <w:trHeight w:val="352"/>
          <w:tblHeader/>
          <w:jc w:val="center"/>
        </w:trPr>
        <w:tc>
          <w:tcPr>
            <w:tcW w:w="960" w:type="dxa"/>
            <w:vMerge/>
            <w:tcBorders>
              <w:top w:val="single" w:sz="4" w:space="0" w:color="auto"/>
              <w:left w:val="single" w:sz="4" w:space="0" w:color="auto"/>
              <w:bottom w:val="single" w:sz="4" w:space="0" w:color="000000"/>
              <w:right w:val="single" w:sz="4" w:space="0" w:color="auto"/>
            </w:tcBorders>
            <w:hideMark/>
          </w:tcPr>
          <w:p w14:paraId="0588B14E"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34" w:type="dxa"/>
            <w:vMerge/>
            <w:tcBorders>
              <w:top w:val="single" w:sz="4" w:space="0" w:color="auto"/>
              <w:left w:val="single" w:sz="4" w:space="0" w:color="auto"/>
              <w:bottom w:val="single" w:sz="4" w:space="0" w:color="000000"/>
              <w:right w:val="single" w:sz="4" w:space="0" w:color="auto"/>
            </w:tcBorders>
            <w:hideMark/>
          </w:tcPr>
          <w:p w14:paraId="6806A39F"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37" w:type="dxa"/>
            <w:vMerge/>
            <w:tcBorders>
              <w:top w:val="single" w:sz="4" w:space="0" w:color="auto"/>
              <w:left w:val="single" w:sz="4" w:space="0" w:color="auto"/>
              <w:bottom w:val="single" w:sz="4" w:space="0" w:color="000000"/>
              <w:right w:val="single" w:sz="4" w:space="0" w:color="auto"/>
            </w:tcBorders>
            <w:hideMark/>
          </w:tcPr>
          <w:p w14:paraId="61C003FE"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656" w:type="dxa"/>
            <w:vMerge/>
            <w:tcBorders>
              <w:top w:val="single" w:sz="4" w:space="0" w:color="auto"/>
              <w:left w:val="nil"/>
              <w:bottom w:val="single" w:sz="4" w:space="0" w:color="000000"/>
              <w:right w:val="single" w:sz="4" w:space="0" w:color="auto"/>
            </w:tcBorders>
            <w:hideMark/>
          </w:tcPr>
          <w:p w14:paraId="1E66236F" w14:textId="77777777" w:rsidR="00FA7C11" w:rsidRDefault="00FA7C11">
            <w:pPr>
              <w:spacing w:after="0" w:line="276" w:lineRule="auto"/>
              <w:rPr>
                <w:rFonts w:ascii="Times New Roman" w:eastAsia="Times New Roman" w:hAnsi="Times New Roman" w:cs="Times New Roman"/>
                <w:b/>
                <w:noProof/>
                <w:sz w:val="20"/>
                <w:szCs w:val="20"/>
              </w:rPr>
            </w:pPr>
          </w:p>
        </w:tc>
        <w:tc>
          <w:tcPr>
            <w:tcW w:w="1985" w:type="dxa"/>
            <w:vMerge/>
            <w:tcBorders>
              <w:top w:val="single" w:sz="4" w:space="0" w:color="auto"/>
              <w:left w:val="single" w:sz="4" w:space="0" w:color="auto"/>
              <w:bottom w:val="single" w:sz="4" w:space="0" w:color="000000"/>
              <w:right w:val="single" w:sz="4" w:space="0" w:color="auto"/>
            </w:tcBorders>
            <w:hideMark/>
          </w:tcPr>
          <w:p w14:paraId="4F6A0BFA" w14:textId="77777777" w:rsidR="00FA7C11" w:rsidRDefault="00FA7C11">
            <w:pPr>
              <w:spacing w:after="0" w:line="276" w:lineRule="auto"/>
              <w:rPr>
                <w:rFonts w:ascii="Times New Roman" w:eastAsia="Times New Roman" w:hAnsi="Times New Roman" w:cs="Times New Roman"/>
                <w:b/>
                <w:noProof/>
                <w:sz w:val="20"/>
                <w:szCs w:val="20"/>
              </w:rPr>
            </w:pPr>
          </w:p>
        </w:tc>
        <w:tc>
          <w:tcPr>
            <w:tcW w:w="1134" w:type="dxa"/>
            <w:tcBorders>
              <w:top w:val="nil"/>
              <w:left w:val="nil"/>
              <w:bottom w:val="single" w:sz="4" w:space="0" w:color="auto"/>
              <w:right w:val="single" w:sz="4" w:space="0" w:color="auto"/>
            </w:tcBorders>
            <w:shd w:val="clear" w:color="auto" w:fill="BDD7EE"/>
            <w:vAlign w:val="center"/>
            <w:hideMark/>
          </w:tcPr>
          <w:p w14:paraId="325A4791" w14:textId="77777777" w:rsidR="00FA7C11" w:rsidRDefault="00D84965">
            <w:pPr>
              <w:pStyle w:val="P68B1DB1-Normal58"/>
              <w:spacing w:after="0" w:line="276" w:lineRule="auto"/>
              <w:jc w:val="center"/>
              <w:rPr>
                <w:bCs/>
                <w:noProof/>
              </w:rPr>
            </w:pPr>
            <w:r>
              <w:rPr>
                <w:noProof/>
              </w:rPr>
              <w:t>Unitate</w:t>
            </w:r>
          </w:p>
        </w:tc>
        <w:tc>
          <w:tcPr>
            <w:tcW w:w="1134" w:type="dxa"/>
            <w:tcBorders>
              <w:top w:val="nil"/>
              <w:left w:val="nil"/>
              <w:bottom w:val="single" w:sz="4" w:space="0" w:color="auto"/>
              <w:right w:val="single" w:sz="4" w:space="0" w:color="auto"/>
            </w:tcBorders>
            <w:shd w:val="clear" w:color="auto" w:fill="BDD7EE"/>
            <w:vAlign w:val="center"/>
            <w:hideMark/>
          </w:tcPr>
          <w:p w14:paraId="4C786608" w14:textId="77777777" w:rsidR="00FA7C11" w:rsidRDefault="00D84965">
            <w:pPr>
              <w:pStyle w:val="P68B1DB1-Normal58"/>
              <w:spacing w:after="0" w:line="276" w:lineRule="auto"/>
              <w:jc w:val="center"/>
              <w:rPr>
                <w:bCs/>
                <w:noProof/>
              </w:rPr>
            </w:pPr>
            <w:r>
              <w:rPr>
                <w:noProof/>
              </w:rPr>
              <w:t>Situația de referință</w:t>
            </w:r>
          </w:p>
        </w:tc>
        <w:tc>
          <w:tcPr>
            <w:tcW w:w="850" w:type="dxa"/>
            <w:tcBorders>
              <w:top w:val="nil"/>
              <w:left w:val="nil"/>
              <w:bottom w:val="single" w:sz="4" w:space="0" w:color="auto"/>
              <w:right w:val="single" w:sz="4" w:space="0" w:color="auto"/>
            </w:tcBorders>
            <w:shd w:val="clear" w:color="auto" w:fill="BDD7EE"/>
            <w:vAlign w:val="center"/>
            <w:hideMark/>
          </w:tcPr>
          <w:p w14:paraId="41EF3160" w14:textId="77777777" w:rsidR="00FA7C11" w:rsidRDefault="00D84965">
            <w:pPr>
              <w:pStyle w:val="P68B1DB1-Normal58"/>
              <w:spacing w:after="0" w:line="276" w:lineRule="auto"/>
              <w:jc w:val="center"/>
              <w:rPr>
                <w:bCs/>
                <w:noProof/>
              </w:rPr>
            </w:pPr>
            <w:r>
              <w:rPr>
                <w:noProof/>
              </w:rPr>
              <w:t>Obiectiv</w:t>
            </w:r>
          </w:p>
        </w:tc>
        <w:tc>
          <w:tcPr>
            <w:tcW w:w="756" w:type="dxa"/>
            <w:tcBorders>
              <w:top w:val="nil"/>
              <w:left w:val="nil"/>
              <w:bottom w:val="single" w:sz="4" w:space="0" w:color="auto"/>
              <w:right w:val="single" w:sz="4" w:space="0" w:color="auto"/>
            </w:tcBorders>
            <w:shd w:val="clear" w:color="auto" w:fill="BDD7EE"/>
            <w:vAlign w:val="center"/>
            <w:hideMark/>
          </w:tcPr>
          <w:p w14:paraId="1045FC01" w14:textId="77777777" w:rsidR="00FA7C11" w:rsidRDefault="00D84965">
            <w:pPr>
              <w:pStyle w:val="P68B1DB1-Normal58"/>
              <w:spacing w:after="0" w:line="276" w:lineRule="auto"/>
              <w:jc w:val="center"/>
              <w:rPr>
                <w:bCs/>
                <w:noProof/>
              </w:rPr>
            </w:pPr>
            <w:r>
              <w:rPr>
                <w:noProof/>
              </w:rPr>
              <w:t>Trimestru</w:t>
            </w:r>
          </w:p>
        </w:tc>
        <w:tc>
          <w:tcPr>
            <w:tcW w:w="709" w:type="dxa"/>
            <w:tcBorders>
              <w:top w:val="nil"/>
              <w:left w:val="nil"/>
              <w:bottom w:val="single" w:sz="4" w:space="0" w:color="auto"/>
              <w:right w:val="single" w:sz="4" w:space="0" w:color="auto"/>
            </w:tcBorders>
            <w:shd w:val="clear" w:color="auto" w:fill="BDD7EE"/>
            <w:vAlign w:val="center"/>
            <w:hideMark/>
          </w:tcPr>
          <w:p w14:paraId="67E17AD1" w14:textId="77777777" w:rsidR="00FA7C11" w:rsidRDefault="00D84965">
            <w:pPr>
              <w:pStyle w:val="P68B1DB1-Normal58"/>
              <w:spacing w:after="0" w:line="276" w:lineRule="auto"/>
              <w:jc w:val="center"/>
              <w:rPr>
                <w:bCs/>
                <w:noProof/>
              </w:rPr>
            </w:pPr>
            <w:r>
              <w:rPr>
                <w:noProof/>
              </w:rPr>
              <w:t>Anul</w:t>
            </w:r>
          </w:p>
        </w:tc>
        <w:tc>
          <w:tcPr>
            <w:tcW w:w="4111" w:type="dxa"/>
            <w:vMerge/>
            <w:tcBorders>
              <w:top w:val="single" w:sz="4" w:space="0" w:color="auto"/>
              <w:left w:val="single" w:sz="4" w:space="0" w:color="auto"/>
              <w:bottom w:val="single" w:sz="4" w:space="0" w:color="auto"/>
              <w:right w:val="single" w:sz="4" w:space="0" w:color="auto"/>
            </w:tcBorders>
            <w:hideMark/>
          </w:tcPr>
          <w:p w14:paraId="50319691"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1C43B00C"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14D0E994" w14:textId="77777777" w:rsidR="00FA7C11" w:rsidRDefault="00D84965">
            <w:pPr>
              <w:pStyle w:val="P68B1DB1-Normal102"/>
              <w:spacing w:after="0" w:line="276" w:lineRule="auto"/>
              <w:jc w:val="center"/>
              <w:rPr>
                <w:noProof/>
              </w:rPr>
            </w:pPr>
            <w:r>
              <w:rPr>
                <w:noProof/>
              </w:rPr>
              <w:t>207</w:t>
            </w:r>
          </w:p>
        </w:tc>
        <w:tc>
          <w:tcPr>
            <w:tcW w:w="1134" w:type="dxa"/>
            <w:tcBorders>
              <w:top w:val="nil"/>
              <w:left w:val="nil"/>
              <w:bottom w:val="single" w:sz="4" w:space="0" w:color="auto"/>
              <w:right w:val="single" w:sz="4" w:space="0" w:color="auto"/>
            </w:tcBorders>
            <w:shd w:val="clear" w:color="auto" w:fill="C6EFCE"/>
            <w:noWrap/>
          </w:tcPr>
          <w:p w14:paraId="2D9D838C" w14:textId="77777777" w:rsidR="00FA7C11" w:rsidRDefault="00D84965">
            <w:pPr>
              <w:pStyle w:val="P68B1DB1-Normal102"/>
              <w:spacing w:line="276" w:lineRule="auto"/>
              <w:jc w:val="center"/>
              <w:rPr>
                <w:noProof/>
              </w:rPr>
            </w:pPr>
            <w:r>
              <w:rPr>
                <w:noProof/>
              </w:rPr>
              <w:t>C2.4. R1</w:t>
            </w:r>
          </w:p>
        </w:tc>
        <w:tc>
          <w:tcPr>
            <w:tcW w:w="1037" w:type="dxa"/>
            <w:tcBorders>
              <w:top w:val="nil"/>
              <w:left w:val="nil"/>
              <w:bottom w:val="single" w:sz="4" w:space="0" w:color="auto"/>
              <w:right w:val="single" w:sz="4" w:space="0" w:color="auto"/>
            </w:tcBorders>
            <w:shd w:val="clear" w:color="auto" w:fill="C6EFCE"/>
            <w:noWrap/>
          </w:tcPr>
          <w:p w14:paraId="0ECC4EDB" w14:textId="77777777" w:rsidR="00FA7C11" w:rsidRDefault="00D84965">
            <w:pPr>
              <w:pStyle w:val="P68B1DB1-Normal102"/>
              <w:spacing w:line="276" w:lineRule="auto"/>
              <w:jc w:val="center"/>
              <w:rPr>
                <w:noProof/>
              </w:rPr>
            </w:pPr>
            <w:r>
              <w:rPr>
                <w:noProof/>
              </w:rPr>
              <w:t>M</w:t>
            </w:r>
          </w:p>
        </w:tc>
        <w:tc>
          <w:tcPr>
            <w:tcW w:w="1656" w:type="dxa"/>
            <w:tcBorders>
              <w:top w:val="nil"/>
              <w:left w:val="nil"/>
              <w:bottom w:val="single" w:sz="4" w:space="0" w:color="auto"/>
              <w:right w:val="single" w:sz="4" w:space="0" w:color="auto"/>
            </w:tcBorders>
            <w:shd w:val="clear" w:color="auto" w:fill="C6EFCE"/>
            <w:noWrap/>
          </w:tcPr>
          <w:p w14:paraId="4EF9D57D" w14:textId="77777777" w:rsidR="00FA7C11" w:rsidRDefault="00D84965">
            <w:pPr>
              <w:pStyle w:val="P68B1DB1-Normal102"/>
              <w:spacing w:line="276" w:lineRule="auto"/>
              <w:rPr>
                <w:noProof/>
              </w:rPr>
            </w:pPr>
            <w:r>
              <w:rPr>
                <w:noProof/>
              </w:rPr>
              <w:t xml:space="preserve">A fost adoptată o nouă hotărâre a guvernului croat privind întreprinderile de stat care prezintă un interes deosebit pentru Croația </w:t>
            </w:r>
          </w:p>
        </w:tc>
        <w:tc>
          <w:tcPr>
            <w:tcW w:w="1985" w:type="dxa"/>
            <w:tcBorders>
              <w:top w:val="nil"/>
              <w:left w:val="nil"/>
              <w:bottom w:val="single" w:sz="4" w:space="0" w:color="auto"/>
              <w:right w:val="single" w:sz="4" w:space="0" w:color="auto"/>
            </w:tcBorders>
            <w:shd w:val="clear" w:color="auto" w:fill="C6EFCE"/>
            <w:noWrap/>
          </w:tcPr>
          <w:p w14:paraId="61800382" w14:textId="77777777" w:rsidR="00FA7C11" w:rsidRDefault="00D84965">
            <w:pPr>
              <w:pStyle w:val="P68B1DB1-Normal102"/>
              <w:spacing w:line="276" w:lineRule="auto"/>
              <w:rPr>
                <w:noProof/>
              </w:rPr>
            </w:pPr>
            <w:r>
              <w:rPr>
                <w:noProof/>
              </w:rPr>
              <w:t>Publicarea listei revizuite a întreprinderilor de stat care prezintă un interes deosebit pentru Croația, în conformitate cu criteriile stabilite</w:t>
            </w:r>
          </w:p>
        </w:tc>
        <w:tc>
          <w:tcPr>
            <w:tcW w:w="1134" w:type="dxa"/>
            <w:tcBorders>
              <w:top w:val="nil"/>
              <w:left w:val="nil"/>
              <w:bottom w:val="single" w:sz="4" w:space="0" w:color="auto"/>
              <w:right w:val="single" w:sz="4" w:space="0" w:color="auto"/>
            </w:tcBorders>
            <w:shd w:val="clear" w:color="auto" w:fill="C6EFCE"/>
            <w:noWrap/>
          </w:tcPr>
          <w:p w14:paraId="07139009" w14:textId="77777777" w:rsidR="00FA7C11" w:rsidRDefault="00D84965">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14895BC6" w14:textId="77777777" w:rsidR="00FA7C11" w:rsidRDefault="00D84965">
            <w:pPr>
              <w:pStyle w:val="P68B1DB1-Normal102"/>
              <w:spacing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74927EBD" w14:textId="77777777" w:rsidR="00FA7C11" w:rsidRDefault="00D84965">
            <w:pPr>
              <w:pStyle w:val="P68B1DB1-Normal102"/>
              <w:spacing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33150143" w14:textId="77777777" w:rsidR="00FA7C11" w:rsidRDefault="00D84965">
            <w:pPr>
              <w:pStyle w:val="P68B1DB1-Normal102"/>
              <w:spacing w:line="276" w:lineRule="auto"/>
              <w:jc w:val="center"/>
              <w:rPr>
                <w:noProof/>
              </w:rPr>
            </w:pPr>
            <w:r>
              <w:rPr>
                <w:noProof/>
              </w:rPr>
              <w:t>Î4</w:t>
            </w:r>
          </w:p>
        </w:tc>
        <w:tc>
          <w:tcPr>
            <w:tcW w:w="709" w:type="dxa"/>
            <w:tcBorders>
              <w:top w:val="nil"/>
              <w:left w:val="nil"/>
              <w:bottom w:val="single" w:sz="4" w:space="0" w:color="auto"/>
              <w:right w:val="single" w:sz="4" w:space="0" w:color="auto"/>
            </w:tcBorders>
            <w:shd w:val="clear" w:color="auto" w:fill="C6EFCE"/>
            <w:noWrap/>
          </w:tcPr>
          <w:p w14:paraId="47DE30B2" w14:textId="77777777" w:rsidR="00FA7C11" w:rsidRDefault="00D84965">
            <w:pPr>
              <w:pStyle w:val="P68B1DB1-Normal102"/>
              <w:spacing w:line="276" w:lineRule="auto"/>
              <w:jc w:val="center"/>
              <w:rPr>
                <w:noProof/>
              </w:rPr>
            </w:pPr>
            <w:r>
              <w:rPr>
                <w:noProof/>
              </w:rPr>
              <w:t>2021</w:t>
            </w:r>
          </w:p>
        </w:tc>
        <w:tc>
          <w:tcPr>
            <w:tcW w:w="4111" w:type="dxa"/>
            <w:tcBorders>
              <w:top w:val="nil"/>
              <w:left w:val="nil"/>
              <w:bottom w:val="single" w:sz="4" w:space="0" w:color="auto"/>
              <w:right w:val="single" w:sz="4" w:space="0" w:color="auto"/>
            </w:tcBorders>
            <w:shd w:val="clear" w:color="auto" w:fill="C6EFCE"/>
            <w:noWrap/>
          </w:tcPr>
          <w:p w14:paraId="31FEEFD6" w14:textId="09FD1FE2" w:rsidR="00FA7C11" w:rsidRDefault="00D84965">
            <w:pPr>
              <w:pStyle w:val="P68B1DB1-Normal102"/>
              <w:spacing w:line="276" w:lineRule="auto"/>
              <w:rPr>
                <w:noProof/>
              </w:rPr>
            </w:pPr>
            <w:r>
              <w:rPr>
                <w:noProof/>
              </w:rPr>
              <w:t xml:space="preserve">Guvernul adoptă și publică o nouă decizie care definește o nouă listă a întreprinderilor deținute de stat care prezintă un interes deosebit pentru Croația. Decizia include o explicație a motivelor pentru care o societate este menținută pe această listă. Societățile cotate la bursă – pentru care nu se demonstrează existența unui interes public – se transferă în portofoliul Centrului de restructurare și vânzare (CERP) în vederea monetizării activelor. </w:t>
            </w:r>
            <w:r>
              <w:rPr>
                <w:noProof/>
              </w:rPr>
              <w:br/>
              <w:t>Astfel, portofoliul activelor financiare ale Croației va fi separat în mod clar în partea care prezintă un interes deosebit și, prin urmare, va rămâne în proprietatea statului și partea care nu prezintă un interes deosebit pentru Croația și, prin urmare, va fi monetizată.</w:t>
            </w:r>
          </w:p>
        </w:tc>
      </w:tr>
      <w:tr w:rsidR="00FA7C11" w14:paraId="7CFFCD47"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6BC584E3" w14:textId="77777777" w:rsidR="00FA7C11" w:rsidRDefault="00D84965">
            <w:pPr>
              <w:pStyle w:val="P68B1DB1-Normal102"/>
              <w:spacing w:line="276" w:lineRule="auto"/>
              <w:jc w:val="center"/>
              <w:rPr>
                <w:noProof/>
              </w:rPr>
            </w:pPr>
            <w:r>
              <w:rPr>
                <w:noProof/>
              </w:rPr>
              <w:t>208</w:t>
            </w:r>
          </w:p>
        </w:tc>
        <w:tc>
          <w:tcPr>
            <w:tcW w:w="1134" w:type="dxa"/>
            <w:tcBorders>
              <w:top w:val="nil"/>
              <w:left w:val="nil"/>
              <w:bottom w:val="single" w:sz="4" w:space="0" w:color="auto"/>
              <w:right w:val="single" w:sz="4" w:space="0" w:color="auto"/>
            </w:tcBorders>
            <w:shd w:val="clear" w:color="auto" w:fill="C6EFCE"/>
            <w:noWrap/>
          </w:tcPr>
          <w:p w14:paraId="1387F214" w14:textId="77777777" w:rsidR="00FA7C11" w:rsidRDefault="00D84965">
            <w:pPr>
              <w:pStyle w:val="P68B1DB1-Normal102"/>
              <w:spacing w:line="276" w:lineRule="auto"/>
              <w:jc w:val="center"/>
              <w:rPr>
                <w:noProof/>
              </w:rPr>
            </w:pPr>
            <w:r>
              <w:rPr>
                <w:noProof/>
              </w:rPr>
              <w:t>C2.4. R2</w:t>
            </w:r>
          </w:p>
        </w:tc>
        <w:tc>
          <w:tcPr>
            <w:tcW w:w="1037" w:type="dxa"/>
            <w:tcBorders>
              <w:top w:val="nil"/>
              <w:left w:val="nil"/>
              <w:bottom w:val="single" w:sz="4" w:space="0" w:color="auto"/>
              <w:right w:val="single" w:sz="4" w:space="0" w:color="auto"/>
            </w:tcBorders>
            <w:shd w:val="clear" w:color="auto" w:fill="C6EFCE"/>
            <w:noWrap/>
          </w:tcPr>
          <w:p w14:paraId="615E953F" w14:textId="77777777" w:rsidR="00FA7C11" w:rsidRDefault="00D84965">
            <w:pPr>
              <w:pStyle w:val="P68B1DB1-Normal102"/>
              <w:spacing w:line="276" w:lineRule="auto"/>
              <w:jc w:val="center"/>
              <w:rPr>
                <w:noProof/>
              </w:rPr>
            </w:pPr>
            <w:r>
              <w:rPr>
                <w:noProof/>
              </w:rPr>
              <w:t>M</w:t>
            </w:r>
          </w:p>
        </w:tc>
        <w:tc>
          <w:tcPr>
            <w:tcW w:w="1656" w:type="dxa"/>
            <w:tcBorders>
              <w:top w:val="nil"/>
              <w:left w:val="nil"/>
              <w:bottom w:val="single" w:sz="4" w:space="0" w:color="auto"/>
              <w:right w:val="single" w:sz="4" w:space="0" w:color="auto"/>
            </w:tcBorders>
            <w:shd w:val="clear" w:color="auto" w:fill="C6EFCE"/>
            <w:noWrap/>
          </w:tcPr>
          <w:p w14:paraId="049083A2" w14:textId="77777777" w:rsidR="00FA7C11" w:rsidRDefault="00D84965">
            <w:pPr>
              <w:pStyle w:val="P68B1DB1-Normal102"/>
              <w:spacing w:line="276" w:lineRule="auto"/>
              <w:rPr>
                <w:noProof/>
              </w:rPr>
            </w:pPr>
            <w:r>
              <w:rPr>
                <w:noProof/>
              </w:rPr>
              <w:t>Un nou cadru juridic privind întreprinderile de stat, care să includă recomandările OCDE.</w:t>
            </w:r>
          </w:p>
        </w:tc>
        <w:tc>
          <w:tcPr>
            <w:tcW w:w="1985" w:type="dxa"/>
            <w:tcBorders>
              <w:top w:val="nil"/>
              <w:left w:val="nil"/>
              <w:bottom w:val="single" w:sz="4" w:space="0" w:color="auto"/>
              <w:right w:val="single" w:sz="4" w:space="0" w:color="auto"/>
            </w:tcBorders>
            <w:shd w:val="clear" w:color="auto" w:fill="C6EFCE"/>
            <w:noWrap/>
          </w:tcPr>
          <w:p w14:paraId="371686FD" w14:textId="3EF46F43" w:rsidR="00FA7C11" w:rsidRDefault="00D84965">
            <w:pPr>
              <w:pStyle w:val="P68B1DB1-Normal102"/>
              <w:spacing w:line="276" w:lineRule="auto"/>
              <w:rPr>
                <w:noProof/>
              </w:rPr>
            </w:pPr>
            <w:r>
              <w:rPr>
                <w:noProof/>
              </w:rPr>
              <w:t xml:space="preserve">Dispoziție privind intrarea în vigoare a legii privind întreprinderile de stat </w:t>
            </w:r>
          </w:p>
        </w:tc>
        <w:tc>
          <w:tcPr>
            <w:tcW w:w="1134" w:type="dxa"/>
            <w:tcBorders>
              <w:top w:val="nil"/>
              <w:left w:val="nil"/>
              <w:bottom w:val="single" w:sz="4" w:space="0" w:color="auto"/>
              <w:right w:val="single" w:sz="4" w:space="0" w:color="auto"/>
            </w:tcBorders>
            <w:shd w:val="clear" w:color="auto" w:fill="C6EFCE"/>
            <w:noWrap/>
          </w:tcPr>
          <w:p w14:paraId="76456708" w14:textId="77777777" w:rsidR="00FA7C11" w:rsidRDefault="00D84965">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5F8E96EA" w14:textId="77777777" w:rsidR="00FA7C11" w:rsidRDefault="00D84965">
            <w:pPr>
              <w:pStyle w:val="P68B1DB1-Normal102"/>
              <w:spacing w:line="276" w:lineRule="auto"/>
              <w:jc w:val="center"/>
              <w:rPr>
                <w:noProof/>
              </w:rPr>
            </w:pPr>
            <w:r>
              <w:rPr>
                <w:noProof/>
              </w:rPr>
              <w:t> </w:t>
            </w:r>
          </w:p>
          <w:p w14:paraId="7C407655" w14:textId="77777777" w:rsidR="00FA7C11" w:rsidRDefault="00FA7C11">
            <w:pPr>
              <w:spacing w:line="276" w:lineRule="auto"/>
              <w:rPr>
                <w:rFonts w:ascii="Times New Roman" w:hAnsi="Times New Roman" w:cs="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50088739" w14:textId="77777777" w:rsidR="00FA7C11" w:rsidRDefault="00D84965">
            <w:pPr>
              <w:pStyle w:val="P68B1DB1-Normal102"/>
              <w:spacing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723888B8" w14:textId="77777777" w:rsidR="00FA7C11" w:rsidRDefault="00D84965">
            <w:pPr>
              <w:pStyle w:val="P68B1DB1-Normal102"/>
              <w:spacing w:line="276" w:lineRule="auto"/>
              <w:jc w:val="center"/>
              <w:rPr>
                <w:noProof/>
              </w:rPr>
            </w:pPr>
            <w:r>
              <w:rPr>
                <w:noProof/>
              </w:rPr>
              <w:t>Î1</w:t>
            </w:r>
          </w:p>
        </w:tc>
        <w:tc>
          <w:tcPr>
            <w:tcW w:w="709" w:type="dxa"/>
            <w:tcBorders>
              <w:top w:val="nil"/>
              <w:left w:val="nil"/>
              <w:bottom w:val="single" w:sz="4" w:space="0" w:color="auto"/>
              <w:right w:val="single" w:sz="4" w:space="0" w:color="auto"/>
            </w:tcBorders>
            <w:shd w:val="clear" w:color="auto" w:fill="C6EFCE"/>
            <w:noWrap/>
          </w:tcPr>
          <w:p w14:paraId="7DE1F413" w14:textId="77777777" w:rsidR="00FA7C11" w:rsidRDefault="00D84965">
            <w:pPr>
              <w:pStyle w:val="P68B1DB1-Normal102"/>
              <w:spacing w:line="276" w:lineRule="auto"/>
              <w:jc w:val="center"/>
              <w:rPr>
                <w:noProof/>
              </w:rPr>
            </w:pPr>
            <w:r>
              <w:rPr>
                <w:noProof/>
              </w:rPr>
              <w:t>2024</w:t>
            </w:r>
          </w:p>
        </w:tc>
        <w:tc>
          <w:tcPr>
            <w:tcW w:w="4111" w:type="dxa"/>
            <w:tcBorders>
              <w:top w:val="nil"/>
              <w:left w:val="nil"/>
              <w:bottom w:val="single" w:sz="4" w:space="0" w:color="auto"/>
              <w:right w:val="single" w:sz="4" w:space="0" w:color="auto"/>
            </w:tcBorders>
            <w:shd w:val="clear" w:color="auto" w:fill="C6EFCE"/>
            <w:noWrap/>
          </w:tcPr>
          <w:p w14:paraId="605D7935" w14:textId="77777777" w:rsidR="00FA7C11" w:rsidRDefault="00D84965">
            <w:pPr>
              <w:pStyle w:val="P68B1DB1-Normal102"/>
              <w:spacing w:line="276" w:lineRule="auto"/>
              <w:rPr>
                <w:noProof/>
              </w:rPr>
            </w:pPr>
            <w:r>
              <w:rPr>
                <w:noProof/>
              </w:rPr>
              <w:t>Noul cadru juridic pentru guvernanța întreprinderilor deținute de stat include dispoziții pentru a se conforma orientărilor OCDE privind guvernanța corporativă a întreprinderilor deținute de stat și cuprinde cel puțin următoarele:</w:t>
            </w:r>
            <w:r>
              <w:rPr>
                <w:noProof/>
              </w:rPr>
              <w:br/>
              <w:t>(I) o nouă lege care să armonizeze regulamentul privind guvernanța corporativă a întreprinderilor de stat din Croația. În plus, prezenta lege prevede înființarea unei unități centrale de coordonare în vederea unei puneri în aplicare mai eficiente a politicii de proprietate pe termen mediu, și anume coordonarea orizontală între autoritățile competente responsabile cu îndeplinirea funcțiilor de prerogative de proprietate. Această lege consolidează autonomia și independența consiliului de administrație. Această lege stabilește, de asemenea, că a) statul trebuie să desemneze/numească membri ai consiliului de supraveghere al întreprinderilor deținute de stat în termen de 3 luni de la data la care postul devine vacant și b) ministerul de resort propune guvernului un candidat pe baza unei recomandări din partea unității centrale de coordonare.</w:t>
            </w:r>
            <w:r>
              <w:rPr>
                <w:noProof/>
              </w:rPr>
              <w:br/>
              <w:t xml:space="preserve">(II) o hotărâre a Guvernului de instituire a unei entități centrale de coordonare a proprietății, cu mandatul și resursele adecvate, necesare pentru îndeplinirea eficace a rolului său de coordonare. Entitatea elaborează standarde pentru guvernanța corporativă a întreprinderilor deținute de stat și monitorizează respectarea acestor standarde, monitorizează performanța întreprinderilor deținute de stat și se angajează în raportări publice periodice. </w:t>
            </w:r>
            <w:r>
              <w:rPr>
                <w:noProof/>
              </w:rPr>
              <w:br/>
            </w:r>
          </w:p>
        </w:tc>
      </w:tr>
      <w:tr w:rsidR="00FA7C11" w14:paraId="32D58B09"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7C7313A0" w14:textId="77777777" w:rsidR="00FA7C11" w:rsidRDefault="00D84965">
            <w:pPr>
              <w:pStyle w:val="P68B1DB1-Normal102"/>
              <w:spacing w:line="276" w:lineRule="auto"/>
              <w:jc w:val="center"/>
              <w:rPr>
                <w:noProof/>
              </w:rPr>
            </w:pPr>
            <w:r>
              <w:rPr>
                <w:noProof/>
              </w:rPr>
              <w:t>442</w:t>
            </w:r>
          </w:p>
        </w:tc>
        <w:tc>
          <w:tcPr>
            <w:tcW w:w="1134" w:type="dxa"/>
            <w:tcBorders>
              <w:top w:val="nil"/>
              <w:left w:val="nil"/>
              <w:bottom w:val="single" w:sz="4" w:space="0" w:color="auto"/>
              <w:right w:val="single" w:sz="4" w:space="0" w:color="auto"/>
            </w:tcBorders>
            <w:shd w:val="clear" w:color="auto" w:fill="C6EFCE"/>
            <w:noWrap/>
          </w:tcPr>
          <w:p w14:paraId="65C4E49F" w14:textId="77777777" w:rsidR="00FA7C11" w:rsidRDefault="00D84965">
            <w:pPr>
              <w:pStyle w:val="P68B1DB1-Normal102"/>
              <w:spacing w:line="276" w:lineRule="auto"/>
              <w:jc w:val="center"/>
              <w:rPr>
                <w:noProof/>
              </w:rPr>
            </w:pPr>
            <w:r>
              <w:rPr>
                <w:noProof/>
              </w:rPr>
              <w:t>C2.4. R2</w:t>
            </w:r>
          </w:p>
        </w:tc>
        <w:tc>
          <w:tcPr>
            <w:tcW w:w="1037" w:type="dxa"/>
            <w:tcBorders>
              <w:top w:val="nil"/>
              <w:left w:val="nil"/>
              <w:bottom w:val="single" w:sz="4" w:space="0" w:color="auto"/>
              <w:right w:val="single" w:sz="4" w:space="0" w:color="auto"/>
            </w:tcBorders>
            <w:shd w:val="clear" w:color="auto" w:fill="C6EFCE"/>
            <w:noWrap/>
          </w:tcPr>
          <w:p w14:paraId="4D839F92" w14:textId="77777777" w:rsidR="00FA7C11" w:rsidRDefault="00D84965">
            <w:pPr>
              <w:pStyle w:val="P68B1DB1-Normal102"/>
              <w:spacing w:line="276" w:lineRule="auto"/>
              <w:jc w:val="center"/>
              <w:rPr>
                <w:noProof/>
              </w:rPr>
            </w:pPr>
            <w:r>
              <w:rPr>
                <w:noProof/>
              </w:rPr>
              <w:t>M</w:t>
            </w:r>
          </w:p>
        </w:tc>
        <w:tc>
          <w:tcPr>
            <w:tcW w:w="1656" w:type="dxa"/>
            <w:tcBorders>
              <w:top w:val="nil"/>
              <w:left w:val="nil"/>
              <w:bottom w:val="single" w:sz="4" w:space="0" w:color="auto"/>
              <w:right w:val="single" w:sz="4" w:space="0" w:color="auto"/>
            </w:tcBorders>
            <w:shd w:val="clear" w:color="auto" w:fill="C6EFCE"/>
            <w:noWrap/>
          </w:tcPr>
          <w:p w14:paraId="4D8D8EE3" w14:textId="77777777" w:rsidR="00FA7C11" w:rsidRDefault="00D84965">
            <w:pPr>
              <w:pStyle w:val="P68B1DB1-Normal102"/>
              <w:spacing w:line="276" w:lineRule="auto"/>
              <w:rPr>
                <w:noProof/>
              </w:rPr>
            </w:pPr>
            <w:r>
              <w:rPr>
                <w:noProof/>
              </w:rPr>
              <w:t>Politica de proprietate pentru întreprinderile de stat</w:t>
            </w:r>
          </w:p>
        </w:tc>
        <w:tc>
          <w:tcPr>
            <w:tcW w:w="1985" w:type="dxa"/>
            <w:tcBorders>
              <w:top w:val="nil"/>
              <w:left w:val="nil"/>
              <w:bottom w:val="single" w:sz="4" w:space="0" w:color="auto"/>
              <w:right w:val="single" w:sz="4" w:space="0" w:color="auto"/>
            </w:tcBorders>
            <w:shd w:val="clear" w:color="auto" w:fill="C6EFCE"/>
            <w:noWrap/>
          </w:tcPr>
          <w:p w14:paraId="4AAF750E" w14:textId="77777777" w:rsidR="00FA7C11" w:rsidRDefault="00D84965">
            <w:pPr>
              <w:pStyle w:val="P68B1DB1-Normal102"/>
              <w:spacing w:line="276" w:lineRule="auto"/>
              <w:rPr>
                <w:noProof/>
              </w:rPr>
            </w:pPr>
            <w:r>
              <w:rPr>
                <w:noProof/>
              </w:rPr>
              <w:t>Intrarea în vigoare a politicii privind proprietatea</w:t>
            </w:r>
          </w:p>
        </w:tc>
        <w:tc>
          <w:tcPr>
            <w:tcW w:w="1134" w:type="dxa"/>
            <w:tcBorders>
              <w:top w:val="nil"/>
              <w:left w:val="nil"/>
              <w:bottom w:val="single" w:sz="4" w:space="0" w:color="auto"/>
              <w:right w:val="single" w:sz="4" w:space="0" w:color="auto"/>
            </w:tcBorders>
            <w:shd w:val="clear" w:color="auto" w:fill="C6EFCE"/>
            <w:noWrap/>
          </w:tcPr>
          <w:p w14:paraId="482A64B7" w14:textId="77777777" w:rsidR="00FA7C11" w:rsidRDefault="00FA7C11">
            <w:pPr>
              <w:spacing w:line="276" w:lineRule="auto"/>
              <w:jc w:val="center"/>
              <w:rPr>
                <w:rFonts w:ascii="Times New Roman" w:hAnsi="Times New Roman" w:cs="Times New Roman"/>
                <w:noProof/>
                <w:color w:val="000000"/>
                <w:sz w:val="20"/>
                <w:szCs w:val="20"/>
              </w:rPr>
            </w:pPr>
          </w:p>
        </w:tc>
        <w:tc>
          <w:tcPr>
            <w:tcW w:w="1134" w:type="dxa"/>
            <w:tcBorders>
              <w:top w:val="nil"/>
              <w:left w:val="nil"/>
              <w:bottom w:val="single" w:sz="4" w:space="0" w:color="auto"/>
              <w:right w:val="single" w:sz="4" w:space="0" w:color="auto"/>
            </w:tcBorders>
            <w:shd w:val="clear" w:color="auto" w:fill="C6EFCE"/>
            <w:noWrap/>
          </w:tcPr>
          <w:p w14:paraId="1D669706" w14:textId="77777777" w:rsidR="00FA7C11" w:rsidRDefault="00FA7C11">
            <w:pPr>
              <w:spacing w:line="276" w:lineRule="auto"/>
              <w:jc w:val="center"/>
              <w:rPr>
                <w:rFonts w:ascii="Times New Roman" w:hAnsi="Times New Roman" w:cs="Times New Roman"/>
                <w:noProof/>
                <w:color w:val="000000"/>
                <w:sz w:val="20"/>
                <w:szCs w:val="20"/>
              </w:rPr>
            </w:pPr>
          </w:p>
        </w:tc>
        <w:tc>
          <w:tcPr>
            <w:tcW w:w="850" w:type="dxa"/>
            <w:tcBorders>
              <w:top w:val="nil"/>
              <w:left w:val="nil"/>
              <w:bottom w:val="single" w:sz="4" w:space="0" w:color="auto"/>
              <w:right w:val="single" w:sz="4" w:space="0" w:color="auto"/>
            </w:tcBorders>
            <w:shd w:val="clear" w:color="auto" w:fill="C6EFCE"/>
            <w:noWrap/>
          </w:tcPr>
          <w:p w14:paraId="03BC9328" w14:textId="77777777" w:rsidR="00FA7C11" w:rsidRDefault="00FA7C11">
            <w:pPr>
              <w:spacing w:line="276" w:lineRule="auto"/>
              <w:jc w:val="center"/>
              <w:rPr>
                <w:rFonts w:ascii="Times New Roman" w:hAnsi="Times New Roman" w:cs="Times New Roman"/>
                <w:noProof/>
                <w:color w:val="000000"/>
                <w:sz w:val="20"/>
                <w:szCs w:val="20"/>
              </w:rPr>
            </w:pPr>
          </w:p>
        </w:tc>
        <w:tc>
          <w:tcPr>
            <w:tcW w:w="756" w:type="dxa"/>
            <w:tcBorders>
              <w:top w:val="nil"/>
              <w:left w:val="nil"/>
              <w:bottom w:val="single" w:sz="4" w:space="0" w:color="auto"/>
              <w:right w:val="single" w:sz="4" w:space="0" w:color="auto"/>
            </w:tcBorders>
            <w:shd w:val="clear" w:color="auto" w:fill="C6EFCE"/>
            <w:noWrap/>
          </w:tcPr>
          <w:p w14:paraId="74660E11" w14:textId="77777777" w:rsidR="00FA7C11" w:rsidRDefault="00D84965">
            <w:pPr>
              <w:pStyle w:val="P68B1DB1-Normal102"/>
              <w:spacing w:line="276" w:lineRule="auto"/>
              <w:jc w:val="center"/>
              <w:rPr>
                <w:noProof/>
              </w:rPr>
            </w:pPr>
            <w:r>
              <w:rPr>
                <w:noProof/>
              </w:rPr>
              <w:t>Î3</w:t>
            </w:r>
          </w:p>
        </w:tc>
        <w:tc>
          <w:tcPr>
            <w:tcW w:w="709" w:type="dxa"/>
            <w:tcBorders>
              <w:top w:val="nil"/>
              <w:left w:val="nil"/>
              <w:bottom w:val="single" w:sz="4" w:space="0" w:color="auto"/>
              <w:right w:val="single" w:sz="4" w:space="0" w:color="auto"/>
            </w:tcBorders>
            <w:shd w:val="clear" w:color="auto" w:fill="C6EFCE"/>
            <w:noWrap/>
          </w:tcPr>
          <w:p w14:paraId="0A368649" w14:textId="77777777" w:rsidR="00FA7C11" w:rsidRDefault="00D84965">
            <w:pPr>
              <w:pStyle w:val="P68B1DB1-Normal102"/>
              <w:spacing w:line="276" w:lineRule="auto"/>
              <w:jc w:val="center"/>
              <w:rPr>
                <w:noProof/>
              </w:rPr>
            </w:pPr>
            <w:r>
              <w:rPr>
                <w:noProof/>
              </w:rPr>
              <w:t>2025</w:t>
            </w:r>
          </w:p>
        </w:tc>
        <w:tc>
          <w:tcPr>
            <w:tcW w:w="4111" w:type="dxa"/>
            <w:tcBorders>
              <w:top w:val="nil"/>
              <w:left w:val="nil"/>
              <w:bottom w:val="single" w:sz="4" w:space="0" w:color="auto"/>
              <w:right w:val="single" w:sz="4" w:space="0" w:color="auto"/>
            </w:tcBorders>
            <w:shd w:val="clear" w:color="auto" w:fill="C6EFCE"/>
            <w:noWrap/>
          </w:tcPr>
          <w:p w14:paraId="68CA4568" w14:textId="77777777" w:rsidR="00FA7C11" w:rsidRDefault="00D84965">
            <w:pPr>
              <w:pStyle w:val="P68B1DB1-Normal102"/>
              <w:spacing w:line="276" w:lineRule="auto"/>
              <w:rPr>
                <w:noProof/>
              </w:rPr>
            </w:pPr>
            <w:r>
              <w:rPr>
                <w:noProof/>
              </w:rPr>
              <w:t>Intrarea în vigoare a unei politici privind proprietatea care să precizeze justificarea deținerii de către stat a întreprinderilor deținute integral sau majoritar de stat la nivel național și să stabilească procesul de revizuire a listei întreprinderilor deținute de stat care prezintă un interes deosebit pentru Croația.</w:t>
            </w:r>
          </w:p>
        </w:tc>
      </w:tr>
      <w:tr w:rsidR="00FA7C11" w14:paraId="52C72D77"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4543B375" w14:textId="77777777" w:rsidR="00FA7C11" w:rsidRDefault="00D84965">
            <w:pPr>
              <w:pStyle w:val="P68B1DB1-Normal102"/>
              <w:spacing w:line="276" w:lineRule="auto"/>
              <w:jc w:val="center"/>
              <w:rPr>
                <w:noProof/>
              </w:rPr>
            </w:pPr>
            <w:r>
              <w:rPr>
                <w:noProof/>
              </w:rPr>
              <w:t>209</w:t>
            </w:r>
          </w:p>
        </w:tc>
        <w:tc>
          <w:tcPr>
            <w:tcW w:w="1134" w:type="dxa"/>
            <w:tcBorders>
              <w:top w:val="nil"/>
              <w:left w:val="nil"/>
              <w:bottom w:val="single" w:sz="4" w:space="0" w:color="auto"/>
              <w:right w:val="single" w:sz="4" w:space="0" w:color="auto"/>
            </w:tcBorders>
            <w:shd w:val="clear" w:color="auto" w:fill="C6EFCE"/>
            <w:noWrap/>
          </w:tcPr>
          <w:p w14:paraId="51486B84" w14:textId="77777777" w:rsidR="00FA7C11" w:rsidRDefault="00D84965">
            <w:pPr>
              <w:pStyle w:val="P68B1DB1-Normal102"/>
              <w:spacing w:line="276" w:lineRule="auto"/>
              <w:jc w:val="center"/>
              <w:rPr>
                <w:noProof/>
              </w:rPr>
            </w:pPr>
            <w:r>
              <w:rPr>
                <w:noProof/>
              </w:rPr>
              <w:t>C2.4. R3</w:t>
            </w:r>
          </w:p>
        </w:tc>
        <w:tc>
          <w:tcPr>
            <w:tcW w:w="1037" w:type="dxa"/>
            <w:tcBorders>
              <w:top w:val="nil"/>
              <w:left w:val="nil"/>
              <w:bottom w:val="single" w:sz="4" w:space="0" w:color="auto"/>
              <w:right w:val="single" w:sz="4" w:space="0" w:color="auto"/>
            </w:tcBorders>
            <w:shd w:val="clear" w:color="auto" w:fill="C6EFCE"/>
            <w:noWrap/>
          </w:tcPr>
          <w:p w14:paraId="625182E3" w14:textId="77777777" w:rsidR="00FA7C11" w:rsidRDefault="00D84965">
            <w:pPr>
              <w:pStyle w:val="P68B1DB1-Normal102"/>
              <w:spacing w:line="276" w:lineRule="auto"/>
              <w:jc w:val="center"/>
              <w:rPr>
                <w:noProof/>
              </w:rPr>
            </w:pPr>
            <w:r>
              <w:rPr>
                <w:noProof/>
              </w:rPr>
              <w:t>T</w:t>
            </w:r>
          </w:p>
        </w:tc>
        <w:tc>
          <w:tcPr>
            <w:tcW w:w="1656" w:type="dxa"/>
            <w:tcBorders>
              <w:top w:val="nil"/>
              <w:left w:val="nil"/>
              <w:bottom w:val="single" w:sz="4" w:space="0" w:color="auto"/>
              <w:right w:val="single" w:sz="4" w:space="0" w:color="auto"/>
            </w:tcBorders>
            <w:shd w:val="clear" w:color="auto" w:fill="C6EFCE"/>
            <w:noWrap/>
          </w:tcPr>
          <w:p w14:paraId="6C1739CB" w14:textId="77777777" w:rsidR="00FA7C11" w:rsidRDefault="00D84965">
            <w:pPr>
              <w:pStyle w:val="P68B1DB1-Normal102"/>
              <w:spacing w:line="276" w:lineRule="auto"/>
              <w:rPr>
                <w:noProof/>
              </w:rPr>
            </w:pPr>
            <w:r>
              <w:rPr>
                <w:noProof/>
              </w:rPr>
              <w:t>Formare pentru ministerele de resort și unitățile centrale de coordonare în ceea ce privește activitățile de guvernanță corporativă</w:t>
            </w:r>
          </w:p>
        </w:tc>
        <w:tc>
          <w:tcPr>
            <w:tcW w:w="1985" w:type="dxa"/>
            <w:tcBorders>
              <w:top w:val="nil"/>
              <w:left w:val="nil"/>
              <w:bottom w:val="single" w:sz="4" w:space="0" w:color="auto"/>
              <w:right w:val="single" w:sz="4" w:space="0" w:color="auto"/>
            </w:tcBorders>
            <w:shd w:val="clear" w:color="auto" w:fill="C6EFCE"/>
            <w:noWrap/>
          </w:tcPr>
          <w:p w14:paraId="52112033" w14:textId="77777777" w:rsidR="00FA7C11" w:rsidRDefault="00FA7C11">
            <w:pPr>
              <w:spacing w:line="276" w:lineRule="auto"/>
              <w:rPr>
                <w:rFonts w:ascii="Times New Roman" w:hAnsi="Times New Roman" w:cs="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760D1D50" w14:textId="77777777" w:rsidR="00FA7C11" w:rsidRDefault="00D84965">
            <w:pPr>
              <w:pStyle w:val="P68B1DB1-Normal102"/>
              <w:spacing w:line="276" w:lineRule="auto"/>
              <w:jc w:val="center"/>
              <w:rPr>
                <w:noProof/>
              </w:rPr>
            </w:pPr>
            <w:r>
              <w:rPr>
                <w:noProof/>
              </w:rPr>
              <w:t>Număr</w:t>
            </w:r>
          </w:p>
        </w:tc>
        <w:tc>
          <w:tcPr>
            <w:tcW w:w="1134" w:type="dxa"/>
            <w:tcBorders>
              <w:top w:val="nil"/>
              <w:left w:val="nil"/>
              <w:bottom w:val="single" w:sz="4" w:space="0" w:color="auto"/>
              <w:right w:val="single" w:sz="4" w:space="0" w:color="auto"/>
            </w:tcBorders>
            <w:shd w:val="clear" w:color="auto" w:fill="C6EFCE"/>
            <w:noWrap/>
          </w:tcPr>
          <w:p w14:paraId="702A8FA1" w14:textId="77777777" w:rsidR="00FA7C11" w:rsidRDefault="00D84965">
            <w:pPr>
              <w:pStyle w:val="P68B1DB1-Normal102"/>
              <w:spacing w:line="276"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2BD50036" w14:textId="77777777" w:rsidR="00FA7C11" w:rsidRDefault="00D84965">
            <w:pPr>
              <w:pStyle w:val="P68B1DB1-Normal102"/>
              <w:spacing w:line="276" w:lineRule="auto"/>
              <w:jc w:val="center"/>
              <w:rPr>
                <w:noProof/>
              </w:rPr>
            </w:pPr>
            <w:r>
              <w:rPr>
                <w:noProof/>
              </w:rPr>
              <w:t>40</w:t>
            </w:r>
          </w:p>
        </w:tc>
        <w:tc>
          <w:tcPr>
            <w:tcW w:w="756" w:type="dxa"/>
            <w:tcBorders>
              <w:top w:val="nil"/>
              <w:left w:val="nil"/>
              <w:bottom w:val="single" w:sz="4" w:space="0" w:color="auto"/>
              <w:right w:val="single" w:sz="4" w:space="0" w:color="auto"/>
            </w:tcBorders>
            <w:shd w:val="clear" w:color="auto" w:fill="C6EFCE"/>
            <w:noWrap/>
          </w:tcPr>
          <w:p w14:paraId="2575E0AD" w14:textId="77777777" w:rsidR="00FA7C11" w:rsidRDefault="00D84965">
            <w:pPr>
              <w:pStyle w:val="P68B1DB1-Normal102"/>
              <w:spacing w:line="276" w:lineRule="auto"/>
              <w:jc w:val="center"/>
              <w:rPr>
                <w:noProof/>
              </w:rPr>
            </w:pPr>
            <w:r>
              <w:rPr>
                <w:noProof/>
              </w:rPr>
              <w:t>Î2</w:t>
            </w:r>
          </w:p>
        </w:tc>
        <w:tc>
          <w:tcPr>
            <w:tcW w:w="709" w:type="dxa"/>
            <w:tcBorders>
              <w:top w:val="nil"/>
              <w:left w:val="nil"/>
              <w:bottom w:val="single" w:sz="4" w:space="0" w:color="auto"/>
              <w:right w:val="single" w:sz="4" w:space="0" w:color="auto"/>
            </w:tcBorders>
            <w:shd w:val="clear" w:color="auto" w:fill="C6EFCE"/>
            <w:noWrap/>
          </w:tcPr>
          <w:p w14:paraId="36390425" w14:textId="77777777" w:rsidR="00FA7C11" w:rsidRDefault="00D84965">
            <w:pPr>
              <w:pStyle w:val="P68B1DB1-Normal102"/>
              <w:spacing w:line="276" w:lineRule="auto"/>
              <w:jc w:val="center"/>
              <w:rPr>
                <w:noProof/>
              </w:rPr>
            </w:pPr>
            <w:r>
              <w:rPr>
                <w:noProof/>
              </w:rPr>
              <w:t>2026</w:t>
            </w:r>
          </w:p>
        </w:tc>
        <w:tc>
          <w:tcPr>
            <w:tcW w:w="4111" w:type="dxa"/>
            <w:tcBorders>
              <w:top w:val="nil"/>
              <w:left w:val="nil"/>
              <w:bottom w:val="single" w:sz="4" w:space="0" w:color="auto"/>
              <w:right w:val="single" w:sz="4" w:space="0" w:color="auto"/>
            </w:tcBorders>
            <w:shd w:val="clear" w:color="auto" w:fill="C6EFCE"/>
            <w:noWrap/>
          </w:tcPr>
          <w:p w14:paraId="4460DB3B" w14:textId="59D8C48D" w:rsidR="00FA7C11" w:rsidRDefault="00D84965">
            <w:pPr>
              <w:pStyle w:val="P68B1DB1-Normal102"/>
              <w:spacing w:line="276" w:lineRule="auto"/>
              <w:rPr>
                <w:noProof/>
              </w:rPr>
            </w:pPr>
            <w:r>
              <w:rPr>
                <w:noProof/>
              </w:rPr>
              <w:t>Cel puțin 40 de persoane beneficiază de formare în domeniul gestionării IDS.</w:t>
            </w:r>
          </w:p>
        </w:tc>
      </w:tr>
      <w:tr w:rsidR="00FA7C11" w14:paraId="026CF7AF"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3E280F90" w14:textId="77777777" w:rsidR="00FA7C11" w:rsidRDefault="00D84965">
            <w:pPr>
              <w:pStyle w:val="P68B1DB1-Normal102"/>
              <w:spacing w:line="276" w:lineRule="auto"/>
              <w:jc w:val="center"/>
              <w:rPr>
                <w:noProof/>
              </w:rPr>
            </w:pPr>
            <w:bookmarkStart w:id="7" w:name="_Hlk211422288"/>
            <w:r>
              <w:rPr>
                <w:noProof/>
              </w:rPr>
              <w:t>210</w:t>
            </w:r>
          </w:p>
        </w:tc>
        <w:tc>
          <w:tcPr>
            <w:tcW w:w="1134" w:type="dxa"/>
            <w:tcBorders>
              <w:top w:val="nil"/>
              <w:left w:val="nil"/>
              <w:bottom w:val="single" w:sz="4" w:space="0" w:color="auto"/>
              <w:right w:val="single" w:sz="4" w:space="0" w:color="auto"/>
            </w:tcBorders>
            <w:shd w:val="clear" w:color="auto" w:fill="C6EFCE"/>
            <w:noWrap/>
          </w:tcPr>
          <w:p w14:paraId="21E9DF48" w14:textId="77777777" w:rsidR="00FA7C11" w:rsidRDefault="00D84965">
            <w:pPr>
              <w:pStyle w:val="P68B1DB1-Normal102"/>
              <w:spacing w:line="276" w:lineRule="auto"/>
              <w:jc w:val="center"/>
              <w:rPr>
                <w:noProof/>
              </w:rPr>
            </w:pPr>
            <w:r>
              <w:rPr>
                <w:noProof/>
              </w:rPr>
              <w:t>C2.4. R4</w:t>
            </w:r>
          </w:p>
        </w:tc>
        <w:tc>
          <w:tcPr>
            <w:tcW w:w="1037" w:type="dxa"/>
            <w:tcBorders>
              <w:top w:val="nil"/>
              <w:left w:val="nil"/>
              <w:bottom w:val="single" w:sz="4" w:space="0" w:color="auto"/>
              <w:right w:val="single" w:sz="4" w:space="0" w:color="auto"/>
            </w:tcBorders>
            <w:shd w:val="clear" w:color="auto" w:fill="C6EFCE"/>
            <w:noWrap/>
          </w:tcPr>
          <w:p w14:paraId="24278A13" w14:textId="77777777" w:rsidR="00FA7C11" w:rsidRDefault="00D84965">
            <w:pPr>
              <w:pStyle w:val="P68B1DB1-Normal102"/>
              <w:spacing w:line="276" w:lineRule="auto"/>
              <w:jc w:val="center"/>
              <w:rPr>
                <w:noProof/>
              </w:rPr>
            </w:pPr>
            <w:r>
              <w:rPr>
                <w:noProof/>
              </w:rPr>
              <w:t>T</w:t>
            </w:r>
          </w:p>
        </w:tc>
        <w:tc>
          <w:tcPr>
            <w:tcW w:w="1656" w:type="dxa"/>
            <w:tcBorders>
              <w:top w:val="nil"/>
              <w:left w:val="nil"/>
              <w:bottom w:val="single" w:sz="4" w:space="0" w:color="auto"/>
              <w:right w:val="single" w:sz="4" w:space="0" w:color="auto"/>
            </w:tcBorders>
            <w:shd w:val="clear" w:color="auto" w:fill="C6EFCE"/>
            <w:noWrap/>
          </w:tcPr>
          <w:p w14:paraId="1BE8C83B" w14:textId="77777777" w:rsidR="00FA7C11" w:rsidRDefault="00D84965">
            <w:pPr>
              <w:pStyle w:val="P68B1DB1-Normal102"/>
              <w:spacing w:line="276" w:lineRule="auto"/>
              <w:rPr>
                <w:noProof/>
              </w:rPr>
            </w:pPr>
            <w:r>
              <w:rPr>
                <w:noProof/>
              </w:rPr>
              <w:t>Realizarea vânzării a 90 de întreprinderi de stat care nu prezintă un interes deosebit pentru Republica Croația și sunt gestionate de CERP</w:t>
            </w:r>
          </w:p>
        </w:tc>
        <w:tc>
          <w:tcPr>
            <w:tcW w:w="1985" w:type="dxa"/>
            <w:tcBorders>
              <w:top w:val="nil"/>
              <w:left w:val="nil"/>
              <w:bottom w:val="single" w:sz="4" w:space="0" w:color="auto"/>
              <w:right w:val="single" w:sz="4" w:space="0" w:color="auto"/>
            </w:tcBorders>
            <w:shd w:val="clear" w:color="auto" w:fill="C6EFCE"/>
            <w:noWrap/>
          </w:tcPr>
          <w:p w14:paraId="4C56444B" w14:textId="77777777" w:rsidR="00FA7C11" w:rsidRDefault="00D84965">
            <w:pPr>
              <w:pStyle w:val="P68B1DB1-Normal102"/>
              <w:spacing w:line="276" w:lineRule="auto"/>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2486C851" w14:textId="77777777" w:rsidR="00FA7C11" w:rsidRDefault="00D84965">
            <w:pPr>
              <w:pStyle w:val="P68B1DB1-Normal102"/>
              <w:spacing w:line="276" w:lineRule="auto"/>
              <w:jc w:val="center"/>
              <w:rPr>
                <w:noProof/>
              </w:rPr>
            </w:pPr>
            <w:r>
              <w:rPr>
                <w:noProof/>
              </w:rPr>
              <w:t>Număr</w:t>
            </w:r>
          </w:p>
        </w:tc>
        <w:tc>
          <w:tcPr>
            <w:tcW w:w="1134" w:type="dxa"/>
            <w:tcBorders>
              <w:top w:val="nil"/>
              <w:left w:val="nil"/>
              <w:bottom w:val="single" w:sz="4" w:space="0" w:color="auto"/>
              <w:right w:val="single" w:sz="4" w:space="0" w:color="auto"/>
            </w:tcBorders>
            <w:shd w:val="clear" w:color="auto" w:fill="C6EFCE"/>
            <w:noWrap/>
          </w:tcPr>
          <w:p w14:paraId="61BF8173" w14:textId="77777777" w:rsidR="00FA7C11" w:rsidRDefault="00D84965">
            <w:pPr>
              <w:pStyle w:val="P68B1DB1-Normal102"/>
              <w:spacing w:line="276"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0AD5F132" w14:textId="77777777" w:rsidR="00FA7C11" w:rsidRDefault="00D84965">
            <w:pPr>
              <w:pStyle w:val="P68B1DB1-Normal102"/>
              <w:spacing w:line="276" w:lineRule="auto"/>
              <w:jc w:val="center"/>
              <w:rPr>
                <w:noProof/>
              </w:rPr>
            </w:pPr>
            <w:r>
              <w:rPr>
                <w:noProof/>
              </w:rPr>
              <w:t>90</w:t>
            </w:r>
          </w:p>
        </w:tc>
        <w:tc>
          <w:tcPr>
            <w:tcW w:w="756" w:type="dxa"/>
            <w:tcBorders>
              <w:top w:val="nil"/>
              <w:left w:val="nil"/>
              <w:bottom w:val="single" w:sz="4" w:space="0" w:color="auto"/>
              <w:right w:val="single" w:sz="4" w:space="0" w:color="auto"/>
            </w:tcBorders>
            <w:shd w:val="clear" w:color="auto" w:fill="C6EFCE"/>
            <w:noWrap/>
          </w:tcPr>
          <w:p w14:paraId="4C92CB87" w14:textId="77777777" w:rsidR="00FA7C11" w:rsidRDefault="00D84965">
            <w:pPr>
              <w:pStyle w:val="P68B1DB1-Normal102"/>
              <w:spacing w:line="276" w:lineRule="auto"/>
              <w:jc w:val="center"/>
              <w:rPr>
                <w:noProof/>
              </w:rPr>
            </w:pPr>
            <w:r>
              <w:rPr>
                <w:noProof/>
              </w:rPr>
              <w:t>Î4</w:t>
            </w:r>
          </w:p>
        </w:tc>
        <w:tc>
          <w:tcPr>
            <w:tcW w:w="709" w:type="dxa"/>
            <w:tcBorders>
              <w:top w:val="nil"/>
              <w:left w:val="nil"/>
              <w:bottom w:val="single" w:sz="4" w:space="0" w:color="auto"/>
              <w:right w:val="single" w:sz="4" w:space="0" w:color="auto"/>
            </w:tcBorders>
            <w:shd w:val="clear" w:color="auto" w:fill="C6EFCE"/>
            <w:noWrap/>
          </w:tcPr>
          <w:p w14:paraId="3696D502" w14:textId="77777777" w:rsidR="00FA7C11" w:rsidRDefault="00D84965">
            <w:pPr>
              <w:pStyle w:val="P68B1DB1-Normal102"/>
              <w:spacing w:line="276" w:lineRule="auto"/>
              <w:jc w:val="center"/>
              <w:rPr>
                <w:noProof/>
              </w:rPr>
            </w:pPr>
            <w:r>
              <w:rPr>
                <w:noProof/>
              </w:rPr>
              <w:t>2024</w:t>
            </w:r>
          </w:p>
        </w:tc>
        <w:tc>
          <w:tcPr>
            <w:tcW w:w="4111" w:type="dxa"/>
            <w:tcBorders>
              <w:top w:val="nil"/>
              <w:left w:val="nil"/>
              <w:bottom w:val="single" w:sz="4" w:space="0" w:color="auto"/>
              <w:right w:val="single" w:sz="4" w:space="0" w:color="auto"/>
            </w:tcBorders>
            <w:shd w:val="clear" w:color="auto" w:fill="C6EFCE"/>
            <w:noWrap/>
          </w:tcPr>
          <w:p w14:paraId="537674D5" w14:textId="77777777" w:rsidR="00FA7C11" w:rsidRDefault="00D84965">
            <w:pPr>
              <w:pStyle w:val="P68B1DB1-Normal102"/>
              <w:spacing w:line="276" w:lineRule="auto"/>
              <w:rPr>
                <w:noProof/>
              </w:rPr>
            </w:pPr>
            <w:r>
              <w:rPr>
                <w:noProof/>
              </w:rPr>
              <w:t>Se vând cel puțin 90 de întreprinderi de stat gestionate de CERP, care nu prezintă un interes deosebit pentru Croația.</w:t>
            </w:r>
          </w:p>
        </w:tc>
      </w:tr>
      <w:bookmarkEnd w:id="7"/>
      <w:tr w:rsidR="00FA7C11" w14:paraId="35173FD9" w14:textId="77777777">
        <w:trPr>
          <w:trHeight w:val="283"/>
          <w:jc w:val="center"/>
        </w:trPr>
        <w:tc>
          <w:tcPr>
            <w:tcW w:w="960" w:type="dxa"/>
            <w:tcBorders>
              <w:top w:val="nil"/>
              <w:left w:val="single" w:sz="4" w:space="0" w:color="auto"/>
              <w:bottom w:val="single" w:sz="4" w:space="0" w:color="auto"/>
              <w:right w:val="single" w:sz="4" w:space="0" w:color="auto"/>
            </w:tcBorders>
            <w:shd w:val="clear" w:color="auto" w:fill="C6EFCE"/>
            <w:noWrap/>
          </w:tcPr>
          <w:p w14:paraId="2966A20F" w14:textId="77777777" w:rsidR="00FA7C11" w:rsidRDefault="00D84965">
            <w:pPr>
              <w:pStyle w:val="P68B1DB1-Normal102"/>
              <w:spacing w:line="276" w:lineRule="auto"/>
              <w:jc w:val="center"/>
              <w:rPr>
                <w:noProof/>
              </w:rPr>
            </w:pPr>
            <w:r>
              <w:rPr>
                <w:noProof/>
              </w:rPr>
              <w:t>211</w:t>
            </w:r>
          </w:p>
        </w:tc>
        <w:tc>
          <w:tcPr>
            <w:tcW w:w="1134" w:type="dxa"/>
            <w:tcBorders>
              <w:top w:val="nil"/>
              <w:left w:val="nil"/>
              <w:bottom w:val="single" w:sz="4" w:space="0" w:color="auto"/>
              <w:right w:val="single" w:sz="4" w:space="0" w:color="auto"/>
            </w:tcBorders>
            <w:shd w:val="clear" w:color="auto" w:fill="C6EFCE"/>
            <w:noWrap/>
          </w:tcPr>
          <w:p w14:paraId="6163D6BE" w14:textId="77777777" w:rsidR="00FA7C11" w:rsidRDefault="00D84965">
            <w:pPr>
              <w:pStyle w:val="P68B1DB1-Normal102"/>
              <w:spacing w:line="276" w:lineRule="auto"/>
              <w:jc w:val="center"/>
              <w:rPr>
                <w:noProof/>
              </w:rPr>
            </w:pPr>
            <w:r>
              <w:rPr>
                <w:noProof/>
              </w:rPr>
              <w:t>C2.4. R4</w:t>
            </w:r>
          </w:p>
        </w:tc>
        <w:tc>
          <w:tcPr>
            <w:tcW w:w="1037" w:type="dxa"/>
            <w:tcBorders>
              <w:top w:val="nil"/>
              <w:left w:val="nil"/>
              <w:bottom w:val="single" w:sz="4" w:space="0" w:color="auto"/>
              <w:right w:val="single" w:sz="4" w:space="0" w:color="auto"/>
            </w:tcBorders>
            <w:shd w:val="clear" w:color="auto" w:fill="C6EFCE"/>
            <w:noWrap/>
          </w:tcPr>
          <w:p w14:paraId="4E3217D5" w14:textId="77777777" w:rsidR="00FA7C11" w:rsidRDefault="00D84965">
            <w:pPr>
              <w:pStyle w:val="P68B1DB1-Normal102"/>
              <w:spacing w:line="276" w:lineRule="auto"/>
              <w:jc w:val="center"/>
              <w:rPr>
                <w:noProof/>
              </w:rPr>
            </w:pPr>
            <w:r>
              <w:rPr>
                <w:noProof/>
              </w:rPr>
              <w:t>T</w:t>
            </w:r>
          </w:p>
        </w:tc>
        <w:tc>
          <w:tcPr>
            <w:tcW w:w="1656" w:type="dxa"/>
            <w:tcBorders>
              <w:top w:val="nil"/>
              <w:left w:val="nil"/>
              <w:bottom w:val="single" w:sz="4" w:space="0" w:color="auto"/>
              <w:right w:val="single" w:sz="4" w:space="0" w:color="auto"/>
            </w:tcBorders>
            <w:shd w:val="clear" w:color="auto" w:fill="C6EFCE"/>
            <w:noWrap/>
          </w:tcPr>
          <w:p w14:paraId="72C913ED" w14:textId="77777777" w:rsidR="00FA7C11" w:rsidRDefault="00D84965">
            <w:pPr>
              <w:pStyle w:val="P68B1DB1-Normal102"/>
              <w:spacing w:line="276" w:lineRule="auto"/>
              <w:rPr>
                <w:noProof/>
              </w:rPr>
            </w:pPr>
            <w:r>
              <w:rPr>
                <w:noProof/>
              </w:rPr>
              <w:t>Realizarea vânzărilor a 20 de întreprinderi de stat din portofoliul CERP.</w:t>
            </w:r>
          </w:p>
        </w:tc>
        <w:tc>
          <w:tcPr>
            <w:tcW w:w="1985" w:type="dxa"/>
            <w:tcBorders>
              <w:top w:val="nil"/>
              <w:left w:val="nil"/>
              <w:bottom w:val="single" w:sz="4" w:space="0" w:color="auto"/>
              <w:right w:val="single" w:sz="4" w:space="0" w:color="auto"/>
            </w:tcBorders>
            <w:shd w:val="clear" w:color="auto" w:fill="C6EFCE"/>
            <w:noWrap/>
          </w:tcPr>
          <w:p w14:paraId="270E6B3A" w14:textId="77777777" w:rsidR="00FA7C11" w:rsidRDefault="00D84965">
            <w:pPr>
              <w:pStyle w:val="P68B1DB1-Normal102"/>
              <w:spacing w:line="276" w:lineRule="auto"/>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6F345AEC" w14:textId="77777777" w:rsidR="00FA7C11" w:rsidRDefault="00D84965">
            <w:pPr>
              <w:pStyle w:val="P68B1DB1-Normal102"/>
              <w:spacing w:line="276" w:lineRule="auto"/>
              <w:jc w:val="center"/>
              <w:rPr>
                <w:noProof/>
              </w:rPr>
            </w:pPr>
            <w:r>
              <w:rPr>
                <w:noProof/>
              </w:rPr>
              <w:t>Număr</w:t>
            </w:r>
          </w:p>
        </w:tc>
        <w:tc>
          <w:tcPr>
            <w:tcW w:w="1134" w:type="dxa"/>
            <w:tcBorders>
              <w:top w:val="nil"/>
              <w:left w:val="nil"/>
              <w:bottom w:val="single" w:sz="4" w:space="0" w:color="auto"/>
              <w:right w:val="single" w:sz="4" w:space="0" w:color="auto"/>
            </w:tcBorders>
            <w:shd w:val="clear" w:color="auto" w:fill="C6EFCE"/>
            <w:noWrap/>
          </w:tcPr>
          <w:p w14:paraId="4690FB2E" w14:textId="77777777" w:rsidR="00FA7C11" w:rsidRDefault="00D84965">
            <w:pPr>
              <w:pStyle w:val="P68B1DB1-Normal102"/>
              <w:spacing w:line="276"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4300FFD5" w14:textId="77777777" w:rsidR="00FA7C11" w:rsidRDefault="00D84965">
            <w:pPr>
              <w:pStyle w:val="P68B1DB1-Normal102"/>
              <w:spacing w:line="276" w:lineRule="auto"/>
              <w:jc w:val="center"/>
              <w:rPr>
                <w:noProof/>
              </w:rPr>
            </w:pPr>
            <w:r>
              <w:rPr>
                <w:noProof/>
              </w:rPr>
              <w:t>20</w:t>
            </w:r>
          </w:p>
        </w:tc>
        <w:tc>
          <w:tcPr>
            <w:tcW w:w="756" w:type="dxa"/>
            <w:tcBorders>
              <w:top w:val="nil"/>
              <w:left w:val="nil"/>
              <w:bottom w:val="single" w:sz="4" w:space="0" w:color="auto"/>
              <w:right w:val="single" w:sz="4" w:space="0" w:color="auto"/>
            </w:tcBorders>
            <w:shd w:val="clear" w:color="auto" w:fill="C6EFCE"/>
            <w:noWrap/>
          </w:tcPr>
          <w:p w14:paraId="18636C57" w14:textId="77777777" w:rsidR="00FA7C11" w:rsidRDefault="00D84965">
            <w:pPr>
              <w:pStyle w:val="P68B1DB1-Normal102"/>
              <w:spacing w:line="276" w:lineRule="auto"/>
              <w:jc w:val="center"/>
              <w:rPr>
                <w:noProof/>
              </w:rPr>
            </w:pPr>
            <w:r>
              <w:rPr>
                <w:noProof/>
              </w:rPr>
              <w:t>Î2</w:t>
            </w:r>
          </w:p>
        </w:tc>
        <w:tc>
          <w:tcPr>
            <w:tcW w:w="709" w:type="dxa"/>
            <w:tcBorders>
              <w:top w:val="nil"/>
              <w:left w:val="nil"/>
              <w:bottom w:val="single" w:sz="4" w:space="0" w:color="auto"/>
              <w:right w:val="single" w:sz="4" w:space="0" w:color="auto"/>
            </w:tcBorders>
            <w:shd w:val="clear" w:color="auto" w:fill="C6EFCE"/>
            <w:noWrap/>
          </w:tcPr>
          <w:p w14:paraId="394016E7" w14:textId="77777777" w:rsidR="00FA7C11" w:rsidRDefault="00D84965">
            <w:pPr>
              <w:pStyle w:val="P68B1DB1-Normal102"/>
              <w:spacing w:line="276" w:lineRule="auto"/>
              <w:jc w:val="center"/>
              <w:rPr>
                <w:noProof/>
              </w:rPr>
            </w:pPr>
            <w:r>
              <w:rPr>
                <w:noProof/>
              </w:rPr>
              <w:t>2026</w:t>
            </w:r>
          </w:p>
        </w:tc>
        <w:tc>
          <w:tcPr>
            <w:tcW w:w="4111" w:type="dxa"/>
            <w:tcBorders>
              <w:top w:val="nil"/>
              <w:left w:val="nil"/>
              <w:bottom w:val="single" w:sz="4" w:space="0" w:color="auto"/>
              <w:right w:val="single" w:sz="4" w:space="0" w:color="auto"/>
            </w:tcBorders>
            <w:shd w:val="clear" w:color="auto" w:fill="C6EFCE"/>
            <w:noWrap/>
          </w:tcPr>
          <w:p w14:paraId="6ABB78D4" w14:textId="77777777" w:rsidR="00FA7C11" w:rsidRDefault="00D84965">
            <w:pPr>
              <w:pStyle w:val="P68B1DB1-CommentText122"/>
              <w:spacing w:before="0" w:after="0"/>
              <w:rPr>
                <w:noProof/>
              </w:rPr>
            </w:pPr>
            <w:r>
              <w:rPr>
                <w:noProof/>
              </w:rPr>
              <w:t>Vânzarea a 20 de întreprinderi de stat suplimentare care nu prezintă un interes deosebit pentru Croația.</w:t>
            </w:r>
          </w:p>
        </w:tc>
      </w:tr>
      <w:tr w:rsidR="00FA7C11" w14:paraId="0F874C81" w14:textId="77777777">
        <w:trPr>
          <w:trHeight w:val="283"/>
          <w:jc w:val="center"/>
        </w:trPr>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57F931B6" w14:textId="77777777" w:rsidR="00FA7C11" w:rsidRDefault="00D84965">
            <w:pPr>
              <w:pStyle w:val="P68B1DB1-Normal102"/>
              <w:spacing w:line="276" w:lineRule="auto"/>
              <w:jc w:val="center"/>
              <w:rPr>
                <w:noProof/>
              </w:rPr>
            </w:pPr>
            <w:r>
              <w:rPr>
                <w:noProof/>
              </w:rPr>
              <w:t>212</w:t>
            </w:r>
          </w:p>
        </w:tc>
        <w:tc>
          <w:tcPr>
            <w:tcW w:w="1134" w:type="dxa"/>
            <w:tcBorders>
              <w:top w:val="single" w:sz="4" w:space="0" w:color="auto"/>
              <w:left w:val="nil"/>
              <w:bottom w:val="single" w:sz="4" w:space="0" w:color="auto"/>
              <w:right w:val="single" w:sz="4" w:space="0" w:color="auto"/>
            </w:tcBorders>
            <w:shd w:val="clear" w:color="auto" w:fill="C6EFCE"/>
            <w:noWrap/>
          </w:tcPr>
          <w:p w14:paraId="0DF4F0B5" w14:textId="77777777" w:rsidR="00FA7C11" w:rsidRDefault="00D84965">
            <w:pPr>
              <w:pStyle w:val="P68B1DB1-Normal102"/>
              <w:spacing w:line="276" w:lineRule="auto"/>
              <w:jc w:val="center"/>
              <w:rPr>
                <w:noProof/>
              </w:rPr>
            </w:pPr>
            <w:r>
              <w:rPr>
                <w:noProof/>
              </w:rPr>
              <w:t>C2.4. R5</w:t>
            </w:r>
          </w:p>
        </w:tc>
        <w:tc>
          <w:tcPr>
            <w:tcW w:w="1037" w:type="dxa"/>
            <w:tcBorders>
              <w:top w:val="single" w:sz="4" w:space="0" w:color="auto"/>
              <w:left w:val="nil"/>
              <w:bottom w:val="single" w:sz="4" w:space="0" w:color="auto"/>
              <w:right w:val="single" w:sz="4" w:space="0" w:color="auto"/>
            </w:tcBorders>
            <w:shd w:val="clear" w:color="auto" w:fill="C6EFCE"/>
            <w:noWrap/>
          </w:tcPr>
          <w:p w14:paraId="08C2FE37" w14:textId="77777777" w:rsidR="00FA7C11" w:rsidRDefault="00D84965">
            <w:pPr>
              <w:pStyle w:val="P68B1DB1-Normal102"/>
              <w:spacing w:line="276" w:lineRule="auto"/>
              <w:jc w:val="center"/>
              <w:rPr>
                <w:noProof/>
              </w:rPr>
            </w:pPr>
            <w:r>
              <w:rPr>
                <w:noProof/>
              </w:rPr>
              <w:t>M</w:t>
            </w:r>
          </w:p>
        </w:tc>
        <w:tc>
          <w:tcPr>
            <w:tcW w:w="1656" w:type="dxa"/>
            <w:tcBorders>
              <w:top w:val="single" w:sz="4" w:space="0" w:color="auto"/>
              <w:left w:val="nil"/>
              <w:bottom w:val="single" w:sz="4" w:space="0" w:color="auto"/>
              <w:right w:val="single" w:sz="4" w:space="0" w:color="auto"/>
            </w:tcBorders>
            <w:shd w:val="clear" w:color="auto" w:fill="C6EFCE"/>
            <w:noWrap/>
          </w:tcPr>
          <w:p w14:paraId="3B9F28C5" w14:textId="77777777" w:rsidR="00FA7C11" w:rsidRDefault="00D84965">
            <w:pPr>
              <w:pStyle w:val="P68B1DB1-Normal102"/>
              <w:spacing w:line="276" w:lineRule="auto"/>
              <w:rPr>
                <w:noProof/>
              </w:rPr>
            </w:pPr>
            <w:r>
              <w:rPr>
                <w:noProof/>
              </w:rPr>
              <w:t xml:space="preserve">Dezvoltarea unui sistem informatic și a unei metodologii pentru reducerea portofoliului imobiliar deținut de stat și activarea mai rapidă și mai eficientă a activelor publice neutilizate </w:t>
            </w:r>
          </w:p>
        </w:tc>
        <w:tc>
          <w:tcPr>
            <w:tcW w:w="1985" w:type="dxa"/>
            <w:tcBorders>
              <w:top w:val="single" w:sz="4" w:space="0" w:color="auto"/>
              <w:left w:val="nil"/>
              <w:bottom w:val="single" w:sz="4" w:space="0" w:color="auto"/>
              <w:right w:val="single" w:sz="4" w:space="0" w:color="auto"/>
            </w:tcBorders>
            <w:shd w:val="clear" w:color="auto" w:fill="C6EFCE"/>
            <w:noWrap/>
          </w:tcPr>
          <w:p w14:paraId="63EBEE86" w14:textId="77777777" w:rsidR="00FA7C11" w:rsidRDefault="00D84965">
            <w:pPr>
              <w:pStyle w:val="P68B1DB1-Normal102"/>
              <w:spacing w:line="276" w:lineRule="auto"/>
              <w:rPr>
                <w:noProof/>
              </w:rPr>
            </w:pPr>
            <w:r>
              <w:rPr>
                <w:noProof/>
              </w:rPr>
              <w:t>Dezvoltarea și implementarea unui sistem informatic și a unei metodologii</w:t>
            </w:r>
          </w:p>
        </w:tc>
        <w:tc>
          <w:tcPr>
            <w:tcW w:w="1134" w:type="dxa"/>
            <w:tcBorders>
              <w:top w:val="single" w:sz="4" w:space="0" w:color="auto"/>
              <w:left w:val="nil"/>
              <w:bottom w:val="single" w:sz="4" w:space="0" w:color="auto"/>
              <w:right w:val="single" w:sz="4" w:space="0" w:color="auto"/>
            </w:tcBorders>
            <w:shd w:val="clear" w:color="auto" w:fill="C6EFCE"/>
            <w:noWrap/>
          </w:tcPr>
          <w:p w14:paraId="6D2A662A" w14:textId="77777777" w:rsidR="00FA7C11" w:rsidRDefault="00D84965">
            <w:pPr>
              <w:pStyle w:val="P68B1DB1-Normal102"/>
              <w:spacing w:line="276" w:lineRule="auto"/>
              <w:jc w:val="center"/>
              <w:rPr>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0E9E5125" w14:textId="77777777" w:rsidR="00FA7C11" w:rsidRDefault="00D84965">
            <w:pPr>
              <w:pStyle w:val="P68B1DB1-Normal102"/>
              <w:spacing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6A9BC3E4" w14:textId="77777777" w:rsidR="00FA7C11" w:rsidRDefault="00D84965">
            <w:pPr>
              <w:pStyle w:val="P68B1DB1-Normal102"/>
              <w:spacing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4B6FEA8" w14:textId="77777777" w:rsidR="00FA7C11" w:rsidRDefault="00D84965">
            <w:pPr>
              <w:pStyle w:val="P68B1DB1-Normal102"/>
              <w:spacing w:line="276"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2B546466" w14:textId="77777777" w:rsidR="00FA7C11" w:rsidRDefault="00D84965">
            <w:pPr>
              <w:pStyle w:val="P68B1DB1-Normal102"/>
              <w:spacing w:line="276" w:lineRule="auto"/>
              <w:jc w:val="center"/>
              <w:rPr>
                <w:noProof/>
              </w:rPr>
            </w:pPr>
            <w:r>
              <w:rPr>
                <w:noProof/>
              </w:rPr>
              <w:t>2024</w:t>
            </w:r>
          </w:p>
        </w:tc>
        <w:tc>
          <w:tcPr>
            <w:tcW w:w="4111" w:type="dxa"/>
            <w:tcBorders>
              <w:top w:val="single" w:sz="4" w:space="0" w:color="auto"/>
              <w:left w:val="nil"/>
              <w:bottom w:val="single" w:sz="4" w:space="0" w:color="auto"/>
              <w:right w:val="single" w:sz="4" w:space="0" w:color="auto"/>
            </w:tcBorders>
            <w:shd w:val="clear" w:color="auto" w:fill="C6EFCE"/>
            <w:noWrap/>
          </w:tcPr>
          <w:p w14:paraId="5F9C7026" w14:textId="77777777" w:rsidR="00FA7C11" w:rsidRDefault="00D84965">
            <w:pPr>
              <w:pStyle w:val="P68B1DB1-Normal102"/>
              <w:spacing w:line="276" w:lineRule="auto"/>
              <w:rPr>
                <w:noProof/>
              </w:rPr>
            </w:pPr>
            <w:r>
              <w:rPr>
                <w:noProof/>
              </w:rPr>
              <w:t>Se finalizează dezvoltarea unui sistem informatic pentru administrarea și gestionarea portofoliului imobiliar deținut de stat.</w:t>
            </w:r>
            <w:r>
              <w:rPr>
                <w:noProof/>
              </w:rPr>
              <w:br/>
              <w:t>Elaborarea unei metodologii care să stabilească modalitatea de gestionare eficace a înstrăinării proprietăților deținute de stat pentru toate formele de proprietate apărute în gestionarea Ministerului Planificării Fizice, Construcțiilor și Proprietății de Stat (MIGP).</w:t>
            </w:r>
            <w:r>
              <w:rPr>
                <w:noProof/>
              </w:rPr>
              <w:br/>
              <w:t>Sistemul informatic, împreună cu metodologia, permite reducerea portofoliului imobiliar deținut de stat și o activare mai rapidă și mai eficientă a activelor de stat neutilizate. Sistemul informatic stabilește o conexiune electronică la bazele de date ale altor administrații și instituții guvernamentale, îmbunătățind evidențele interne existente privind portofoliul imobiliar deținut de stat al grupului-țintă.</w:t>
            </w:r>
          </w:p>
        </w:tc>
      </w:tr>
      <w:tr w:rsidR="00FA7C11" w14:paraId="391EB2EC" w14:textId="77777777">
        <w:trPr>
          <w:trHeight w:val="1526"/>
          <w:jc w:val="center"/>
        </w:trPr>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548EBD84" w14:textId="77777777" w:rsidR="00FA7C11" w:rsidRDefault="00D84965">
            <w:pPr>
              <w:pStyle w:val="P68B1DB1-Normal102"/>
              <w:spacing w:line="276" w:lineRule="auto"/>
              <w:jc w:val="center"/>
              <w:rPr>
                <w:noProof/>
              </w:rPr>
            </w:pPr>
            <w:r>
              <w:rPr>
                <w:noProof/>
              </w:rPr>
              <w:t>213</w:t>
            </w:r>
          </w:p>
        </w:tc>
        <w:tc>
          <w:tcPr>
            <w:tcW w:w="1134" w:type="dxa"/>
            <w:tcBorders>
              <w:top w:val="single" w:sz="4" w:space="0" w:color="auto"/>
              <w:left w:val="nil"/>
              <w:bottom w:val="single" w:sz="4" w:space="0" w:color="auto"/>
              <w:right w:val="single" w:sz="4" w:space="0" w:color="auto"/>
            </w:tcBorders>
            <w:shd w:val="clear" w:color="auto" w:fill="C6EFCE"/>
            <w:noWrap/>
          </w:tcPr>
          <w:p w14:paraId="030943D4" w14:textId="77777777" w:rsidR="00FA7C11" w:rsidRDefault="00D84965">
            <w:pPr>
              <w:pStyle w:val="P68B1DB1-Normal102"/>
              <w:spacing w:line="276" w:lineRule="auto"/>
              <w:jc w:val="center"/>
              <w:rPr>
                <w:noProof/>
              </w:rPr>
            </w:pPr>
            <w:r>
              <w:rPr>
                <w:noProof/>
              </w:rPr>
              <w:t>C2.4. R5</w:t>
            </w:r>
          </w:p>
        </w:tc>
        <w:tc>
          <w:tcPr>
            <w:tcW w:w="1037" w:type="dxa"/>
            <w:tcBorders>
              <w:top w:val="single" w:sz="4" w:space="0" w:color="auto"/>
              <w:left w:val="nil"/>
              <w:bottom w:val="single" w:sz="4" w:space="0" w:color="auto"/>
              <w:right w:val="single" w:sz="4" w:space="0" w:color="auto"/>
            </w:tcBorders>
            <w:shd w:val="clear" w:color="auto" w:fill="C6EFCE"/>
            <w:noWrap/>
          </w:tcPr>
          <w:p w14:paraId="157BCB73" w14:textId="77777777" w:rsidR="00FA7C11" w:rsidRDefault="00D84965">
            <w:pPr>
              <w:pStyle w:val="P68B1DB1-Normal102"/>
              <w:spacing w:line="276" w:lineRule="auto"/>
              <w:jc w:val="center"/>
              <w:rPr>
                <w:noProof/>
              </w:rPr>
            </w:pPr>
            <w:r>
              <w:rPr>
                <w:noProof/>
              </w:rPr>
              <w:t>T</w:t>
            </w:r>
          </w:p>
        </w:tc>
        <w:tc>
          <w:tcPr>
            <w:tcW w:w="1656" w:type="dxa"/>
            <w:tcBorders>
              <w:top w:val="single" w:sz="4" w:space="0" w:color="auto"/>
              <w:left w:val="nil"/>
              <w:bottom w:val="single" w:sz="4" w:space="0" w:color="auto"/>
              <w:right w:val="single" w:sz="4" w:space="0" w:color="auto"/>
            </w:tcBorders>
            <w:shd w:val="clear" w:color="auto" w:fill="C6EFCE"/>
            <w:noWrap/>
          </w:tcPr>
          <w:p w14:paraId="4938AD6E" w14:textId="51D72740" w:rsidR="00FA7C11" w:rsidRDefault="00D84965">
            <w:pPr>
              <w:pStyle w:val="P68B1DB1-Normal102"/>
              <w:spacing w:line="276" w:lineRule="auto"/>
              <w:rPr>
                <w:noProof/>
              </w:rPr>
            </w:pPr>
            <w:r>
              <w:rPr>
                <w:noProof/>
              </w:rPr>
              <w:t>Înstrăinarea bunurilor imobile aflate în proprietatea statului</w:t>
            </w:r>
          </w:p>
        </w:tc>
        <w:tc>
          <w:tcPr>
            <w:tcW w:w="1985" w:type="dxa"/>
            <w:tcBorders>
              <w:top w:val="single" w:sz="4" w:space="0" w:color="auto"/>
              <w:left w:val="nil"/>
              <w:bottom w:val="single" w:sz="4" w:space="0" w:color="auto"/>
              <w:right w:val="single" w:sz="4" w:space="0" w:color="auto"/>
            </w:tcBorders>
            <w:shd w:val="clear" w:color="auto" w:fill="C6EFCE"/>
            <w:noWrap/>
          </w:tcPr>
          <w:p w14:paraId="1E623DB7" w14:textId="77777777" w:rsidR="00FA7C11" w:rsidRDefault="00D84965">
            <w:pPr>
              <w:pStyle w:val="P68B1DB1-Normal102"/>
              <w:spacing w:line="276" w:lineRule="auto"/>
              <w:rPr>
                <w:noProof/>
              </w:rPr>
            </w:pPr>
            <w:r>
              <w:rPr>
                <w:noProof/>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39E64669" w14:textId="77777777" w:rsidR="00FA7C11" w:rsidRDefault="00D84965">
            <w:pPr>
              <w:pStyle w:val="P68B1DB1-Normal102"/>
              <w:spacing w:line="276" w:lineRule="auto"/>
              <w:jc w:val="center"/>
              <w:rPr>
                <w:noProof/>
              </w:rPr>
            </w:pPr>
            <w:r>
              <w:rPr>
                <w:noProof/>
              </w:rPr>
              <w:t>Număr</w:t>
            </w:r>
          </w:p>
        </w:tc>
        <w:tc>
          <w:tcPr>
            <w:tcW w:w="1134" w:type="dxa"/>
            <w:tcBorders>
              <w:top w:val="single" w:sz="4" w:space="0" w:color="auto"/>
              <w:left w:val="nil"/>
              <w:bottom w:val="single" w:sz="4" w:space="0" w:color="auto"/>
              <w:right w:val="single" w:sz="4" w:space="0" w:color="auto"/>
            </w:tcBorders>
            <w:shd w:val="clear" w:color="auto" w:fill="C6EFCE"/>
            <w:noWrap/>
          </w:tcPr>
          <w:p w14:paraId="5227F512" w14:textId="77777777" w:rsidR="00FA7C11" w:rsidRDefault="00D84965">
            <w:pPr>
              <w:pStyle w:val="P68B1DB1-Normal102"/>
              <w:spacing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61F1A5F4" w14:textId="77777777" w:rsidR="00FA7C11" w:rsidRDefault="00D84965">
            <w:pPr>
              <w:pStyle w:val="P68B1DB1-Normal102"/>
              <w:spacing w:line="276" w:lineRule="auto"/>
              <w:jc w:val="center"/>
              <w:rPr>
                <w:noProof/>
              </w:rPr>
            </w:pPr>
            <w:r>
              <w:rPr>
                <w:noProof/>
              </w:rPr>
              <w:t>4 500</w:t>
            </w:r>
          </w:p>
        </w:tc>
        <w:tc>
          <w:tcPr>
            <w:tcW w:w="756" w:type="dxa"/>
            <w:tcBorders>
              <w:top w:val="single" w:sz="4" w:space="0" w:color="auto"/>
              <w:left w:val="nil"/>
              <w:bottom w:val="single" w:sz="4" w:space="0" w:color="auto"/>
              <w:right w:val="single" w:sz="4" w:space="0" w:color="auto"/>
            </w:tcBorders>
            <w:shd w:val="clear" w:color="auto" w:fill="C6EFCE"/>
            <w:noWrap/>
          </w:tcPr>
          <w:p w14:paraId="0E78697F" w14:textId="77777777" w:rsidR="00FA7C11" w:rsidRDefault="00D84965">
            <w:pPr>
              <w:pStyle w:val="P68B1DB1-Normal102"/>
              <w:spacing w:line="276" w:lineRule="auto"/>
              <w:jc w:val="center"/>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noWrap/>
          </w:tcPr>
          <w:p w14:paraId="3C73D72C" w14:textId="77777777" w:rsidR="00FA7C11" w:rsidRDefault="00D84965">
            <w:pPr>
              <w:pStyle w:val="P68B1DB1-Normal102"/>
              <w:spacing w:line="276" w:lineRule="auto"/>
              <w:jc w:val="center"/>
              <w:rPr>
                <w:noProof/>
              </w:rPr>
            </w:pPr>
            <w:r>
              <w:rPr>
                <w:noProof/>
              </w:rPr>
              <w:t>2026</w:t>
            </w:r>
          </w:p>
        </w:tc>
        <w:tc>
          <w:tcPr>
            <w:tcW w:w="4111" w:type="dxa"/>
            <w:tcBorders>
              <w:top w:val="single" w:sz="4" w:space="0" w:color="auto"/>
              <w:left w:val="nil"/>
              <w:bottom w:val="single" w:sz="4" w:space="0" w:color="auto"/>
              <w:right w:val="single" w:sz="4" w:space="0" w:color="auto"/>
            </w:tcBorders>
            <w:shd w:val="clear" w:color="auto" w:fill="C6EFCE"/>
            <w:noWrap/>
          </w:tcPr>
          <w:p w14:paraId="43128901" w14:textId="0E6DE220" w:rsidR="00FA7C11" w:rsidRDefault="00D84965">
            <w:pPr>
              <w:pStyle w:val="P68B1DB1-Normal102"/>
              <w:spacing w:line="276" w:lineRule="auto"/>
              <w:rPr>
                <w:noProof/>
              </w:rPr>
            </w:pPr>
            <w:r>
              <w:rPr>
                <w:noProof/>
              </w:rPr>
              <w:t xml:space="preserve">Se încheie cel puțin 4 500 contracte, acorduri sau autorizații de transfer de proprietate pentru înstrăinarea sau alte forme de utilizare a bunurilor imobile deținute de stat. </w:t>
            </w:r>
          </w:p>
        </w:tc>
      </w:tr>
    </w:tbl>
    <w:p w14:paraId="69C2CD1E" w14:textId="77777777" w:rsidR="00FA7C11" w:rsidRDefault="00FA7C11">
      <w:pPr>
        <w:pStyle w:val="paragraph"/>
        <w:spacing w:before="0" w:beforeAutospacing="0" w:after="0" w:afterAutospacing="0"/>
        <w:jc w:val="both"/>
        <w:textAlignment w:val="baseline"/>
        <w:rPr>
          <w:rFonts w:ascii="Segoe UI" w:hAnsi="Segoe UI" w:cs="Segoe UI"/>
          <w:noProof/>
          <w:sz w:val="18"/>
          <w:szCs w:val="18"/>
        </w:rPr>
      </w:pPr>
    </w:p>
    <w:p w14:paraId="7143D961" w14:textId="77777777" w:rsidR="00FA7C11" w:rsidRDefault="00FA7C11">
      <w:pPr>
        <w:rPr>
          <w:noProof/>
        </w:rPr>
      </w:pPr>
    </w:p>
    <w:p w14:paraId="52F74424" w14:textId="77777777" w:rsidR="00FA7C11" w:rsidRDefault="00FA7C11">
      <w:pPr>
        <w:spacing w:line="240" w:lineRule="auto"/>
        <w:ind w:left="709"/>
        <w:jc w:val="both"/>
        <w:rPr>
          <w:rFonts w:ascii="Times New Roman" w:eastAsia="Calibri" w:hAnsi="Times New Roman" w:cs="Times New Roman"/>
          <w:b/>
          <w:smallCaps/>
          <w:noProof/>
          <w:sz w:val="24"/>
          <w:szCs w:val="24"/>
        </w:rPr>
        <w:sectPr w:rsidR="00FA7C11" w:rsidSect="00FA29B2">
          <w:headerReference w:type="even" r:id="rId200"/>
          <w:headerReference w:type="default" r:id="rId201"/>
          <w:footerReference w:type="even" r:id="rId202"/>
          <w:footerReference w:type="default" r:id="rId203"/>
          <w:headerReference w:type="first" r:id="rId204"/>
          <w:footerReference w:type="first" r:id="rId205"/>
          <w:pgSz w:w="16838" w:h="11906" w:orient="landscape"/>
          <w:pgMar w:top="1134" w:right="1134" w:bottom="1134" w:left="1134" w:header="567" w:footer="567" w:gutter="0"/>
          <w:cols w:space="708"/>
          <w:docGrid w:linePitch="360"/>
        </w:sectPr>
      </w:pPr>
    </w:p>
    <w:p w14:paraId="72FDF41D" w14:textId="77777777" w:rsidR="00FA7C11" w:rsidRDefault="00D84965">
      <w:pPr>
        <w:pStyle w:val="P68B1DB1-Normal32"/>
        <w:spacing w:line="240" w:lineRule="auto"/>
        <w:ind w:left="709"/>
        <w:jc w:val="both"/>
        <w:rPr>
          <w:noProof/>
        </w:rPr>
      </w:pPr>
      <w:r>
        <w:rPr>
          <w:noProof/>
        </w:rPr>
        <w:tab/>
        <w:t>K. COMPONENTA 2.5: O JUSTIȚIE MODERNĂ, PREGĂTITĂ PENTRU PROVOCĂRILE VIITOARE</w:t>
      </w:r>
    </w:p>
    <w:p w14:paraId="138AF0FA" w14:textId="77777777" w:rsidR="00FA7C11" w:rsidRDefault="00D84965">
      <w:pPr>
        <w:pStyle w:val="P68B1DB1-Normal33"/>
        <w:spacing w:line="240" w:lineRule="auto"/>
        <w:jc w:val="both"/>
        <w:rPr>
          <w:noProof/>
        </w:rPr>
      </w:pPr>
      <w:r>
        <w:rPr>
          <w:noProof/>
        </w:rPr>
        <w:t xml:space="preserve">Unul dintre principalele obiective strategice prezentate în planul de redresare și reziliență al Croației este de a realiza un sistem de justiție eficient și eficace, care să contribuie la dezvoltarea economiei și să răspundă așteptărilor cetățenilor de a consolida în continuare statul de drept. Componenta include o reformă principală, care va contribui la reducerea întârzierilor și la scurtarea procedurilor judiciare. </w:t>
      </w:r>
    </w:p>
    <w:p w14:paraId="544B64C9" w14:textId="77777777" w:rsidR="00FA7C11" w:rsidRDefault="00D84965">
      <w:pPr>
        <w:pStyle w:val="P68B1DB1-Normal33"/>
        <w:spacing w:line="240" w:lineRule="auto"/>
        <w:jc w:val="both"/>
        <w:rPr>
          <w:noProof/>
        </w:rPr>
      </w:pPr>
      <w:r>
        <w:rPr>
          <w:noProof/>
        </w:rPr>
        <w:t>Componenta sprijină abordarea recomandării specifice fiecărei țări privind necesitatea suplimentară de a reduce durata procedurilor judiciare și de a îmbunătăți comunicarea electronică în instanțe (recomandările specifice fiecărei țări 4 și 2019 și recomandările specifice fiecărei țări 4 și 2020).</w:t>
      </w:r>
    </w:p>
    <w:p w14:paraId="6B66552C" w14:textId="77777777" w:rsidR="00FA7C11" w:rsidRDefault="00D84965">
      <w:pPr>
        <w:pStyle w:val="P68B1DB1-Normal33"/>
        <w:spacing w:line="240" w:lineRule="auto"/>
        <w:jc w:val="both"/>
        <w:rPr>
          <w:noProof/>
        </w:rPr>
      </w:pPr>
      <w:r>
        <w:rPr>
          <w:noProof/>
        </w:rPr>
        <w:t>Componenta include o reformă și șase investiții.</w:t>
      </w:r>
    </w:p>
    <w:p w14:paraId="4FDE773D" w14:textId="77777777" w:rsidR="00FA7C11" w:rsidRDefault="00D84965">
      <w:pPr>
        <w:pStyle w:val="P68B1DB1-Normal57"/>
        <w:keepNext/>
        <w:spacing w:before="40" w:after="0"/>
        <w:ind w:left="851"/>
        <w:jc w:val="both"/>
        <w:outlineLvl w:val="1"/>
        <w:rPr>
          <w:noProof/>
        </w:rPr>
      </w:pPr>
      <w:r>
        <w:rPr>
          <w:noProof/>
        </w:rPr>
        <w:t xml:space="preserve">K.1. </w:t>
      </w:r>
      <w:r>
        <w:rPr>
          <w:noProof/>
        </w:rPr>
        <w:tab/>
        <w:t>Descrierea reformelor și a investițiilor pentru sprijinul financiar nerambursabil</w:t>
      </w:r>
    </w:p>
    <w:p w14:paraId="24913B8C" w14:textId="77777777" w:rsidR="00FA7C11" w:rsidRDefault="00FA7C11">
      <w:pPr>
        <w:spacing w:line="240" w:lineRule="auto"/>
        <w:ind w:left="850"/>
        <w:jc w:val="both"/>
        <w:rPr>
          <w:rFonts w:ascii="Times New Roman" w:eastAsia="Calibri" w:hAnsi="Times New Roman" w:cs="Times New Roman"/>
          <w:noProof/>
          <w:sz w:val="24"/>
          <w:szCs w:val="24"/>
          <w:u w:val="single"/>
        </w:rPr>
      </w:pPr>
    </w:p>
    <w:p w14:paraId="72A64246" w14:textId="77777777" w:rsidR="00FA7C11" w:rsidRDefault="00D84965">
      <w:pPr>
        <w:pStyle w:val="P68B1DB1-Normal42"/>
        <w:spacing w:line="240" w:lineRule="auto"/>
        <w:ind w:left="850"/>
        <w:jc w:val="both"/>
        <w:rPr>
          <w:noProof/>
        </w:rPr>
      </w:pPr>
      <w:r>
        <w:rPr>
          <w:noProof/>
        </w:rPr>
        <w:t>Reforma C2.5 R1 – Creșterea eficienței sistemului de justiție pentru a spori încrederea cetățenilor.</w:t>
      </w:r>
    </w:p>
    <w:p w14:paraId="6F495E27" w14:textId="77777777" w:rsidR="00FA7C11" w:rsidRDefault="00D84965">
      <w:pPr>
        <w:pStyle w:val="P68B1DB1-Normal33"/>
        <w:spacing w:line="240" w:lineRule="auto"/>
        <w:jc w:val="both"/>
        <w:rPr>
          <w:noProof/>
        </w:rPr>
      </w:pPr>
      <w:r>
        <w:rPr>
          <w:noProof/>
        </w:rPr>
        <w:t xml:space="preserve">Scopul acestei măsuri este de a stabili un cadru juridic, organizațional și tehnologic care să contribuie la reducerea întârzierilor și la scurtarea duratei procedurilor judiciare. </w:t>
      </w:r>
    </w:p>
    <w:p w14:paraId="6CADFF91" w14:textId="77777777" w:rsidR="00FA7C11" w:rsidRDefault="00D84965">
      <w:pPr>
        <w:pStyle w:val="P68B1DB1-Normal33"/>
        <w:spacing w:line="240" w:lineRule="auto"/>
        <w:jc w:val="both"/>
        <w:rPr>
          <w:noProof/>
        </w:rPr>
      </w:pPr>
      <w:r>
        <w:rPr>
          <w:noProof/>
        </w:rPr>
        <w:t>Reforma constă în modificarea cadrului legislativ în domeniul justiției, în adoptarea</w:t>
      </w:r>
      <w:r>
        <w:rPr>
          <w:noProof/>
          <w:color w:val="000000" w:themeColor="text1"/>
        </w:rPr>
        <w:t xml:space="preserve"> unor noi criterii-cadru de referință pentru activitatea judecătorilor</w:t>
      </w:r>
      <w:r>
        <w:rPr>
          <w:noProof/>
        </w:rPr>
        <w:t xml:space="preserve"> și în schimbări organizaționale. </w:t>
      </w:r>
    </w:p>
    <w:p w14:paraId="6A325230" w14:textId="77777777" w:rsidR="00FA7C11" w:rsidRDefault="00D84965">
      <w:pPr>
        <w:pStyle w:val="P68B1DB1-Normal42"/>
        <w:spacing w:line="240" w:lineRule="auto"/>
        <w:ind w:left="850"/>
        <w:jc w:val="both"/>
        <w:rPr>
          <w:noProof/>
        </w:rPr>
      </w:pPr>
      <w:r>
        <w:rPr>
          <w:noProof/>
        </w:rPr>
        <w:t>Investiția C2.5 R1-I1 – Consolidarea sistemului de gestionare a cauzelor Curții (eSpis).</w:t>
      </w:r>
    </w:p>
    <w:p w14:paraId="2787E6A9" w14:textId="77777777" w:rsidR="00FA7C11" w:rsidRDefault="00D84965">
      <w:pPr>
        <w:pStyle w:val="P68B1DB1-Normal33"/>
        <w:spacing w:line="240" w:lineRule="auto"/>
        <w:jc w:val="both"/>
        <w:rPr>
          <w:noProof/>
        </w:rPr>
      </w:pPr>
      <w:r>
        <w:rPr>
          <w:noProof/>
        </w:rPr>
        <w:t xml:space="preserve">Obiectivul investiției este de a moderniza în continuare sistemul eSpis (împreună cu toate modulele, în special comunicarea electronică pentru a permite comunicarea electronică pentru toate părțile implicate în procedurile judiciare) și de a trece la o soluție centralizată de hardware și software pentru a permite actualizări viitoare mai bune și mai ieftine și sustenabilitatea dezvoltării, dar și stabilitatea, operabilitatea și securitatea sistemului eSpis. </w:t>
      </w:r>
    </w:p>
    <w:p w14:paraId="23A8B877" w14:textId="77777777" w:rsidR="00FA7C11" w:rsidRDefault="00D84965">
      <w:pPr>
        <w:pStyle w:val="P68B1DB1-Normal33"/>
        <w:spacing w:line="240" w:lineRule="auto"/>
        <w:jc w:val="both"/>
        <w:rPr>
          <w:noProof/>
        </w:rPr>
      </w:pPr>
      <w:r>
        <w:rPr>
          <w:noProof/>
        </w:rPr>
        <w:t>Investiția include adăugarea de noi funcționalități la sistemul eSpis, cu scopul de a îmbunătăți digitalizarea sistemului de justiție:</w:t>
      </w:r>
    </w:p>
    <w:p w14:paraId="1AB96342" w14:textId="77777777" w:rsidR="00FA7C11" w:rsidRDefault="00D84965">
      <w:pPr>
        <w:pStyle w:val="P68B1DB1-Normal33"/>
        <w:numPr>
          <w:ilvl w:val="0"/>
          <w:numId w:val="66"/>
        </w:numPr>
        <w:spacing w:before="120" w:after="120" w:line="240" w:lineRule="auto"/>
        <w:jc w:val="both"/>
        <w:rPr>
          <w:noProof/>
        </w:rPr>
      </w:pPr>
      <w:r>
        <w:rPr>
          <w:noProof/>
        </w:rPr>
        <w:t xml:space="preserve">Transmiterea electronică completă a documentelor către cetățeni prin intermediul căsuței poștale electronice a utilizatorului și informații privind transmiterea electronică în cazul transmiterii documentelor prin livrare fizică; </w:t>
      </w:r>
    </w:p>
    <w:p w14:paraId="55218D07" w14:textId="77777777" w:rsidR="00FA7C11" w:rsidRDefault="00D84965">
      <w:pPr>
        <w:pStyle w:val="P68B1DB1-Normal33"/>
        <w:numPr>
          <w:ilvl w:val="0"/>
          <w:numId w:val="66"/>
        </w:numPr>
        <w:spacing w:before="120" w:after="120" w:line="240" w:lineRule="auto"/>
        <w:jc w:val="both"/>
        <w:rPr>
          <w:noProof/>
        </w:rPr>
      </w:pPr>
      <w:r>
        <w:rPr>
          <w:noProof/>
        </w:rPr>
        <w:t>Îmbunătățirea experienței utilizatorilor prin punerea în aplicare a unui plan de acțiune care conține recomandări privind aspectele tehnice și de gestionare informatică (recomandări privind procesele administrative și operaționale și recomandări tehnice);</w:t>
      </w:r>
    </w:p>
    <w:p w14:paraId="032C2C46" w14:textId="77777777" w:rsidR="00FA7C11" w:rsidRDefault="00D84965">
      <w:pPr>
        <w:pStyle w:val="P68B1DB1-Normal33"/>
        <w:numPr>
          <w:ilvl w:val="0"/>
          <w:numId w:val="66"/>
        </w:numPr>
        <w:spacing w:before="120" w:after="120" w:line="240" w:lineRule="auto"/>
        <w:jc w:val="both"/>
        <w:rPr>
          <w:noProof/>
        </w:rPr>
      </w:pPr>
      <w:r>
        <w:rPr>
          <w:noProof/>
        </w:rPr>
        <w:t>O nouă arhitectură integrată în Centrul de servicii partajate (cloud de stat) pentru a reduce blocajele din sistem, a spori stabilitatea și a permite interoperabilitatea cu alte sisteme.</w:t>
      </w:r>
    </w:p>
    <w:p w14:paraId="50AB2E07" w14:textId="77777777" w:rsidR="00FA7C11" w:rsidRDefault="00D84965">
      <w:pPr>
        <w:pStyle w:val="P68B1DB1-Normal33"/>
        <w:spacing w:line="240" w:lineRule="auto"/>
        <w:jc w:val="both"/>
        <w:rPr>
          <w:noProof/>
        </w:rPr>
      </w:pPr>
      <w:r>
        <w:rPr>
          <w:noProof/>
        </w:rPr>
        <w:t>Această investiție se finalizează până la 31 decembrie 2024.</w:t>
      </w:r>
    </w:p>
    <w:p w14:paraId="5211B004" w14:textId="77777777" w:rsidR="00FA7C11" w:rsidRDefault="00D84965">
      <w:pPr>
        <w:pStyle w:val="P68B1DB1-Normal42"/>
        <w:spacing w:line="240" w:lineRule="auto"/>
        <w:ind w:left="850"/>
        <w:jc w:val="both"/>
        <w:rPr>
          <w:noProof/>
        </w:rPr>
      </w:pPr>
      <w:r>
        <w:rPr>
          <w:noProof/>
        </w:rPr>
        <w:t>Investiția C2.5 R1-I2 – Îmbunătățirea sistemului de informații privind cartea funciară și a cadastrului.</w:t>
      </w:r>
    </w:p>
    <w:p w14:paraId="0B9A6266" w14:textId="77777777" w:rsidR="00FA7C11" w:rsidRDefault="00D84965">
      <w:pPr>
        <w:pStyle w:val="P68B1DB1-Normal33"/>
        <w:spacing w:line="240" w:lineRule="auto"/>
        <w:jc w:val="both"/>
        <w:rPr>
          <w:noProof/>
        </w:rPr>
      </w:pPr>
      <w:r>
        <w:rPr>
          <w:noProof/>
        </w:rPr>
        <w:t>Scopul acestei măsuri este de a crește volumul și calitatea datelor conexate între datele din cartea funciară și datele cadastrale din baza de date funciare (BZP).</w:t>
      </w:r>
    </w:p>
    <w:p w14:paraId="3CBD8778" w14:textId="1D32376D" w:rsidR="00FA7C11" w:rsidRDefault="00D84965">
      <w:pPr>
        <w:pStyle w:val="P68B1DB1-Normal33"/>
        <w:spacing w:line="240" w:lineRule="auto"/>
        <w:jc w:val="both"/>
        <w:rPr>
          <w:noProof/>
        </w:rPr>
      </w:pPr>
      <w:r>
        <w:rPr>
          <w:noProof/>
        </w:rPr>
        <w:t xml:space="preserve">Investiția constă în creșterea datelor integrate de la 3,86 % la 60 %. </w:t>
      </w:r>
    </w:p>
    <w:p w14:paraId="1F63D290" w14:textId="77777777" w:rsidR="00FA7C11" w:rsidRDefault="00D84965">
      <w:pPr>
        <w:pStyle w:val="P68B1DB1-Normal42"/>
        <w:spacing w:line="240" w:lineRule="auto"/>
        <w:ind w:left="850"/>
        <w:jc w:val="both"/>
        <w:rPr>
          <w:noProof/>
        </w:rPr>
      </w:pPr>
      <w:r>
        <w:rPr>
          <w:noProof/>
        </w:rPr>
        <w:t>Investiția C2.5 R1-I3 – Elaborarea unui set de instrumente pentru publicarea și căutarea hotărârilor judecătorești.</w:t>
      </w:r>
    </w:p>
    <w:p w14:paraId="5391A8DE" w14:textId="77777777" w:rsidR="00FA7C11" w:rsidRDefault="00D84965">
      <w:pPr>
        <w:pStyle w:val="P68B1DB1-Normal33"/>
        <w:spacing w:line="240" w:lineRule="auto"/>
        <w:jc w:val="both"/>
        <w:rPr>
          <w:noProof/>
        </w:rPr>
      </w:pPr>
      <w:r>
        <w:rPr>
          <w:noProof/>
        </w:rPr>
        <w:t xml:space="preserve">Scopul investiției este de a institui un sistem de publicare a tuturor hotărârilor judecătorești cu preanonimizare automată prin intermediul unui software specific și de a le publica pe un portal unic accesibil publicului, cu opțiuni de căutare elaborate, respectând normele privind protecția datelor cu caracter personal. </w:t>
      </w:r>
    </w:p>
    <w:p w14:paraId="16081C3A" w14:textId="77777777" w:rsidR="00FA7C11" w:rsidRDefault="00D84965">
      <w:pPr>
        <w:pStyle w:val="P68B1DB1-Normal33"/>
        <w:spacing w:line="240" w:lineRule="auto"/>
        <w:jc w:val="both"/>
        <w:rPr>
          <w:noProof/>
        </w:rPr>
      </w:pPr>
      <w:r>
        <w:rPr>
          <w:noProof/>
        </w:rPr>
        <w:t>Această investiție se finalizează până la 31 decembrie 2024.</w:t>
      </w:r>
    </w:p>
    <w:p w14:paraId="502F8CCD" w14:textId="5094A98D" w:rsidR="00FA7C11" w:rsidRDefault="00D84965">
      <w:pPr>
        <w:pStyle w:val="P68B1DB1-Normal42"/>
        <w:spacing w:line="240" w:lineRule="auto"/>
        <w:ind w:firstLine="840"/>
        <w:jc w:val="both"/>
        <w:rPr>
          <w:noProof/>
        </w:rPr>
      </w:pPr>
      <w:r>
        <w:rPr>
          <w:noProof/>
        </w:rPr>
        <w:t xml:space="preserve">Investiția C2.5 R1-I4 – Punerea în aplicare a proiectului Pieței Justiției din Zagreb </w:t>
      </w:r>
    </w:p>
    <w:p w14:paraId="4B3962FF" w14:textId="77777777" w:rsidR="00FA7C11" w:rsidRDefault="00D84965">
      <w:pPr>
        <w:pStyle w:val="P68B1DB1-Normal33"/>
        <w:spacing w:line="240" w:lineRule="auto"/>
        <w:jc w:val="both"/>
        <w:rPr>
          <w:noProof/>
        </w:rPr>
      </w:pPr>
      <w:r>
        <w:rPr>
          <w:noProof/>
        </w:rPr>
        <w:t xml:space="preserve">Obiectivul investiției este de a moderniza infrastructura fizică prin punerea în aplicare a proiectului Zagreb Justice Square. </w:t>
      </w:r>
    </w:p>
    <w:p w14:paraId="7397B842" w14:textId="77777777" w:rsidR="00FA7C11" w:rsidRDefault="00D84965">
      <w:pPr>
        <w:pStyle w:val="P68B1DB1-Normal33"/>
        <w:spacing w:line="240" w:lineRule="auto"/>
        <w:jc w:val="both"/>
        <w:rPr>
          <w:noProof/>
        </w:rPr>
      </w:pPr>
      <w:r>
        <w:rPr>
          <w:noProof/>
        </w:rPr>
        <w:t>Investiția constă în construirea unui garaj subteran de 45 000 m².</w:t>
      </w:r>
    </w:p>
    <w:p w14:paraId="1E84C433" w14:textId="77777777" w:rsidR="00FA7C11" w:rsidRDefault="00D84965">
      <w:pPr>
        <w:pStyle w:val="P68B1DB1-Normal42"/>
        <w:spacing w:line="240" w:lineRule="auto"/>
        <w:ind w:left="850"/>
        <w:jc w:val="both"/>
        <w:rPr>
          <w:noProof/>
        </w:rPr>
      </w:pPr>
      <w:r>
        <w:rPr>
          <w:noProof/>
        </w:rPr>
        <w:t>Investiția C2.5 R1-I5 – Punerea în aplicare a unor măsuri de eficiență energetică pentru renovarea instalațiilor învechite ale autorităților judiciare.</w:t>
      </w:r>
    </w:p>
    <w:p w14:paraId="666794B1" w14:textId="1DD69B1C" w:rsidR="00FA7C11" w:rsidRDefault="00D84965">
      <w:pPr>
        <w:pStyle w:val="P68B1DB1-Normal33"/>
        <w:spacing w:line="240" w:lineRule="auto"/>
        <w:jc w:val="both"/>
        <w:rPr>
          <w:noProof/>
        </w:rPr>
      </w:pPr>
      <w:r>
        <w:rPr>
          <w:noProof/>
        </w:rPr>
        <w:t>Scopul investiției este de a moderniza și de a spori eficiența activității unora dintre autoritățile judiciare și penale de pe teritoriul Croației prin punerea în aplicare a unor măsuri de eficiență energetică, care vor contribui la tranziția verde. 20 clădirile din sistemul judiciar trebuie să respecte standardele privind utilizarea rațională a energiei și protecția termică. Investiția vizează, în medie, cel puțin o renovare de amploare medie, astfel cum este definită în Recomandarea (UE) 2019/786 a Comisiei privind renovarea clădirilor, având ca rezultat realizarea unei reduceri cu cel puțin 30 % a cererii de energie primară; sau va realiza, în medie, o reducere cu cel puțin 30 % a emisiilor directe și indirecte de gaze cu efect de seră (GES) în comparație cu emisiile ex ante. În plus, accesul în clădiri este adaptat persoanelor cu handicap. Pentru această investiție, se acordă prioritate locațiilor autorităților judiciare din regiunile mai puțin dezvoltate din punct de vedere economic ale Croației.</w:t>
      </w:r>
    </w:p>
    <w:p w14:paraId="2EC04509" w14:textId="77777777" w:rsidR="00FA7C11" w:rsidRDefault="00D84965">
      <w:pPr>
        <w:pStyle w:val="P68B1DB1-Normal33"/>
        <w:spacing w:line="240" w:lineRule="auto"/>
        <w:jc w:val="both"/>
        <w:rPr>
          <w:noProof/>
        </w:rPr>
      </w:pPr>
      <w:r>
        <w:rPr>
          <w:noProof/>
        </w:rPr>
        <w:t>Această investiție se finalizează până la 30 iunie 2024.</w:t>
      </w:r>
    </w:p>
    <w:p w14:paraId="212531FA" w14:textId="7B765BD9" w:rsidR="00FA7C11" w:rsidRDefault="00D84965">
      <w:pPr>
        <w:pStyle w:val="P68B1DB1-Normal42"/>
        <w:spacing w:line="240" w:lineRule="auto"/>
        <w:ind w:left="850"/>
        <w:jc w:val="both"/>
        <w:rPr>
          <w:noProof/>
        </w:rPr>
      </w:pPr>
      <w:r>
        <w:rPr>
          <w:noProof/>
        </w:rPr>
        <w:t>Investiția C2.5 R1-I6 – Îmbunătățirea infrastructurii informatice pentru organismele judiciare.</w:t>
      </w:r>
    </w:p>
    <w:p w14:paraId="2AFB1724" w14:textId="77777777" w:rsidR="00FA7C11" w:rsidRDefault="00D84965">
      <w:pPr>
        <w:pStyle w:val="P68B1DB1-Normal33"/>
        <w:spacing w:line="240" w:lineRule="auto"/>
        <w:jc w:val="both"/>
        <w:rPr>
          <w:noProof/>
        </w:rPr>
      </w:pPr>
      <w:r>
        <w:rPr>
          <w:noProof/>
        </w:rPr>
        <w:t>Obiectivul acestei investiții este de a îmbunătăți infrastructura sistemelor informatice din sistemul judiciar.</w:t>
      </w:r>
    </w:p>
    <w:p w14:paraId="7DB39950" w14:textId="77777777" w:rsidR="00FA7C11" w:rsidRDefault="00D84965">
      <w:pPr>
        <w:pStyle w:val="P68B1DB1-Normal33"/>
        <w:spacing w:line="240" w:lineRule="auto"/>
        <w:jc w:val="both"/>
        <w:rPr>
          <w:noProof/>
        </w:rPr>
        <w:sectPr w:rsidR="00FA7C11" w:rsidSect="00FA29B2">
          <w:headerReference w:type="even" r:id="rId206"/>
          <w:headerReference w:type="default" r:id="rId207"/>
          <w:footerReference w:type="even" r:id="rId208"/>
          <w:footerReference w:type="default" r:id="rId209"/>
          <w:headerReference w:type="first" r:id="rId210"/>
          <w:footerReference w:type="first" r:id="rId211"/>
          <w:pgSz w:w="11906" w:h="16838"/>
          <w:pgMar w:top="1134" w:right="1134" w:bottom="1134" w:left="1134" w:header="567" w:footer="567" w:gutter="0"/>
          <w:cols w:space="708"/>
          <w:docGrid w:linePitch="360"/>
        </w:sectPr>
      </w:pPr>
      <w:r>
        <w:rPr>
          <w:noProof/>
        </w:rPr>
        <w:t xml:space="preserve">Investiția constă într-o infrastructură de rețea modernizată și în noi echipamente de rețea. </w:t>
      </w:r>
    </w:p>
    <w:p w14:paraId="6E0D9F13" w14:textId="77777777" w:rsidR="00FA7C11" w:rsidRDefault="00D84965">
      <w:pPr>
        <w:pStyle w:val="P68B1DB1-Normal80"/>
        <w:keepNext/>
        <w:tabs>
          <w:tab w:val="num" w:pos="850"/>
        </w:tabs>
        <w:spacing w:after="0" w:line="240" w:lineRule="auto"/>
        <w:ind w:left="851"/>
        <w:jc w:val="both"/>
        <w:outlineLvl w:val="1"/>
        <w:rPr>
          <w:rFonts w:ascii="Times New Roman" w:eastAsia="SimSun" w:hAnsi="Times New Roman" w:cs="Times New Roman"/>
          <w:b/>
          <w:noProof/>
        </w:rPr>
      </w:pPr>
      <w:r>
        <w:rPr>
          <w:rFonts w:ascii="Times New Roman" w:eastAsia="SimSun" w:hAnsi="Times New Roman" w:cs="Times New Roman"/>
          <w:b/>
          <w:noProof/>
        </w:rPr>
        <w:t xml:space="preserve">K.2. </w:t>
      </w:r>
      <w:r>
        <w:rPr>
          <w:rFonts w:ascii="Times New Roman" w:hAnsi="Times New Roman" w:cs="Times New Roman"/>
          <w:noProof/>
        </w:rPr>
        <w:t xml:space="preserve"> </w:t>
      </w:r>
      <w:r>
        <w:rPr>
          <w:rFonts w:ascii="Times New Roman" w:eastAsia="SimSun" w:hAnsi="Times New Roman" w:cs="Times New Roman"/>
          <w:b/>
          <w:noProof/>
        </w:rPr>
        <w:t>Jaloane, ținte, indicatori și calendarul de monitorizare și implementare aplicabile sprijinului financiar nerambursabil</w:t>
      </w:r>
    </w:p>
    <w:p w14:paraId="1B9C966A" w14:textId="77777777" w:rsidR="00FA7C11" w:rsidRDefault="00FA7C11">
      <w:pPr>
        <w:keepNext/>
        <w:tabs>
          <w:tab w:val="num" w:pos="850"/>
        </w:tabs>
        <w:spacing w:after="0" w:line="240" w:lineRule="auto"/>
        <w:ind w:left="851"/>
        <w:jc w:val="both"/>
        <w:outlineLvl w:val="1"/>
        <w:rPr>
          <w:rFonts w:ascii="Times New Roman" w:eastAsia="SimSun" w:hAnsi="Times New Roman" w:cs="Times New Roman"/>
          <w:b/>
          <w:noProof/>
          <w:sz w:val="24"/>
          <w:szCs w:val="24"/>
          <w:u w:val="single"/>
        </w:rPr>
      </w:pPr>
    </w:p>
    <w:tbl>
      <w:tblPr>
        <w:tblW w:w="16057"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10"/>
        <w:gridCol w:w="1284"/>
        <w:gridCol w:w="1345"/>
        <w:gridCol w:w="1842"/>
        <w:gridCol w:w="2268"/>
        <w:gridCol w:w="1067"/>
        <w:gridCol w:w="1134"/>
        <w:gridCol w:w="779"/>
        <w:gridCol w:w="919"/>
        <w:gridCol w:w="859"/>
        <w:gridCol w:w="4244"/>
      </w:tblGrid>
      <w:tr w:rsidR="00FA7C11" w14:paraId="425B7B2E" w14:textId="77777777">
        <w:trPr>
          <w:trHeight w:val="636"/>
          <w:tblHeader/>
        </w:trPr>
        <w:tc>
          <w:tcPr>
            <w:tcW w:w="810" w:type="dxa"/>
            <w:vMerge w:val="restart"/>
            <w:shd w:val="clear" w:color="auto" w:fill="BDD7EE"/>
            <w:vAlign w:val="center"/>
            <w:hideMark/>
          </w:tcPr>
          <w:p w14:paraId="61431362" w14:textId="77777777" w:rsidR="00FA7C11" w:rsidRDefault="00D84965">
            <w:pPr>
              <w:pStyle w:val="P68B1DB1-Normal58"/>
              <w:spacing w:after="0" w:line="276" w:lineRule="auto"/>
              <w:jc w:val="center"/>
              <w:rPr>
                <w:bCs/>
                <w:noProof/>
              </w:rPr>
            </w:pPr>
            <w:r>
              <w:rPr>
                <w:noProof/>
              </w:rPr>
              <w:t>Număr</w:t>
            </w:r>
          </w:p>
        </w:tc>
        <w:tc>
          <w:tcPr>
            <w:tcW w:w="1284" w:type="dxa"/>
            <w:vMerge w:val="restart"/>
            <w:shd w:val="clear" w:color="auto" w:fill="BDD7EE"/>
            <w:vAlign w:val="center"/>
            <w:hideMark/>
          </w:tcPr>
          <w:p w14:paraId="654B7D40" w14:textId="77777777" w:rsidR="00FA7C11" w:rsidRDefault="00D84965">
            <w:pPr>
              <w:pStyle w:val="P68B1DB1-Normal58"/>
              <w:spacing w:after="0" w:line="276" w:lineRule="auto"/>
              <w:jc w:val="center"/>
              <w:rPr>
                <w:noProof/>
              </w:rPr>
            </w:pPr>
            <w:r>
              <w:rPr>
                <w:noProof/>
              </w:rPr>
              <w:t>Măsură</w:t>
            </w:r>
          </w:p>
        </w:tc>
        <w:tc>
          <w:tcPr>
            <w:tcW w:w="1134" w:type="dxa"/>
            <w:vMerge w:val="restart"/>
            <w:shd w:val="clear" w:color="auto" w:fill="BDD7EE"/>
            <w:vAlign w:val="center"/>
            <w:hideMark/>
          </w:tcPr>
          <w:p w14:paraId="1C10FA9C" w14:textId="77777777" w:rsidR="00FA7C11" w:rsidRDefault="00D84965">
            <w:pPr>
              <w:pStyle w:val="P68B1DB1-Normal58"/>
              <w:spacing w:after="0" w:line="276" w:lineRule="auto"/>
              <w:jc w:val="center"/>
              <w:rPr>
                <w:noProof/>
              </w:rPr>
            </w:pPr>
            <w:r>
              <w:rPr>
                <w:noProof/>
              </w:rPr>
              <w:t>Etapă/Obiectiv</w:t>
            </w:r>
          </w:p>
        </w:tc>
        <w:tc>
          <w:tcPr>
            <w:tcW w:w="1842" w:type="dxa"/>
            <w:vMerge w:val="restart"/>
            <w:shd w:val="clear" w:color="auto" w:fill="BDD7EE"/>
            <w:vAlign w:val="center"/>
            <w:hideMark/>
          </w:tcPr>
          <w:p w14:paraId="526AFDE6" w14:textId="77777777" w:rsidR="00FA7C11" w:rsidRDefault="00D84965">
            <w:pPr>
              <w:pStyle w:val="P68B1DB1-Normal58"/>
              <w:spacing w:after="0" w:line="276" w:lineRule="auto"/>
              <w:jc w:val="center"/>
              <w:rPr>
                <w:noProof/>
              </w:rPr>
            </w:pPr>
            <w:r>
              <w:rPr>
                <w:noProof/>
              </w:rPr>
              <w:t>Nume</w:t>
            </w:r>
          </w:p>
        </w:tc>
        <w:tc>
          <w:tcPr>
            <w:tcW w:w="2268" w:type="dxa"/>
            <w:vMerge w:val="restart"/>
            <w:shd w:val="clear" w:color="auto" w:fill="BDD7EE"/>
            <w:vAlign w:val="center"/>
            <w:hideMark/>
          </w:tcPr>
          <w:p w14:paraId="6D9B487A" w14:textId="77777777" w:rsidR="00FA7C11" w:rsidRDefault="00D84965">
            <w:pPr>
              <w:pStyle w:val="P68B1DB1-Normal58"/>
              <w:spacing w:after="0" w:line="276" w:lineRule="auto"/>
              <w:jc w:val="center"/>
              <w:rPr>
                <w:noProof/>
              </w:rPr>
            </w:pPr>
            <w:r>
              <w:rPr>
                <w:noProof/>
              </w:rPr>
              <w:t xml:space="preserve">Indicatori calitativi </w:t>
            </w:r>
            <w:r>
              <w:rPr>
                <w:noProof/>
              </w:rPr>
              <w:br/>
              <w:t>(pentru jaloane)</w:t>
            </w:r>
          </w:p>
        </w:tc>
        <w:tc>
          <w:tcPr>
            <w:tcW w:w="2907" w:type="dxa"/>
            <w:gridSpan w:val="3"/>
            <w:shd w:val="clear" w:color="auto" w:fill="BDD7EE"/>
            <w:vAlign w:val="center"/>
            <w:hideMark/>
          </w:tcPr>
          <w:p w14:paraId="79386E0C" w14:textId="77777777" w:rsidR="00FA7C11" w:rsidRDefault="00D84965">
            <w:pPr>
              <w:pStyle w:val="P68B1DB1-Normal58"/>
              <w:spacing w:after="0" w:line="276" w:lineRule="auto"/>
              <w:jc w:val="center"/>
              <w:rPr>
                <w:noProof/>
              </w:rPr>
            </w:pPr>
            <w:r>
              <w:rPr>
                <w:noProof/>
              </w:rPr>
              <w:t xml:space="preserve">Indicatori cantitativi </w:t>
            </w:r>
            <w:r>
              <w:rPr>
                <w:noProof/>
              </w:rPr>
              <w:br/>
              <w:t>(pentru obiective)</w:t>
            </w:r>
          </w:p>
        </w:tc>
        <w:tc>
          <w:tcPr>
            <w:tcW w:w="1568" w:type="dxa"/>
            <w:gridSpan w:val="2"/>
            <w:shd w:val="clear" w:color="auto" w:fill="BDD7EE"/>
            <w:vAlign w:val="center"/>
            <w:hideMark/>
          </w:tcPr>
          <w:p w14:paraId="04E2BAC6" w14:textId="77777777" w:rsidR="00FA7C11" w:rsidRDefault="00D84965">
            <w:pPr>
              <w:pStyle w:val="P68B1DB1-Normal58"/>
              <w:spacing w:after="0" w:line="276" w:lineRule="auto"/>
              <w:jc w:val="center"/>
              <w:rPr>
                <w:noProof/>
              </w:rPr>
            </w:pPr>
            <w:r>
              <w:rPr>
                <w:noProof/>
              </w:rPr>
              <w:t>Timp</w:t>
            </w:r>
          </w:p>
        </w:tc>
        <w:tc>
          <w:tcPr>
            <w:tcW w:w="4244" w:type="dxa"/>
            <w:vMerge w:val="restart"/>
            <w:shd w:val="clear" w:color="auto" w:fill="BDD7EE"/>
            <w:vAlign w:val="center"/>
            <w:hideMark/>
          </w:tcPr>
          <w:p w14:paraId="0923ED83" w14:textId="77777777" w:rsidR="00FA7C11" w:rsidRDefault="00D84965">
            <w:pPr>
              <w:pStyle w:val="P68B1DB1-Normal58"/>
              <w:spacing w:after="0" w:line="276" w:lineRule="auto"/>
              <w:jc w:val="center"/>
              <w:rPr>
                <w:noProof/>
              </w:rPr>
            </w:pPr>
            <w:r>
              <w:rPr>
                <w:noProof/>
              </w:rPr>
              <w:t>Descrierea fiecărui jalon și a fiecărei ținte</w:t>
            </w:r>
          </w:p>
        </w:tc>
      </w:tr>
      <w:tr w:rsidR="00FA7C11" w14:paraId="2CC61A64" w14:textId="77777777">
        <w:trPr>
          <w:trHeight w:val="503"/>
          <w:tblHeader/>
        </w:trPr>
        <w:tc>
          <w:tcPr>
            <w:tcW w:w="810" w:type="dxa"/>
            <w:vMerge/>
            <w:hideMark/>
          </w:tcPr>
          <w:p w14:paraId="4A915D37"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284" w:type="dxa"/>
            <w:vMerge/>
            <w:hideMark/>
          </w:tcPr>
          <w:p w14:paraId="45B1E81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34" w:type="dxa"/>
            <w:vMerge/>
            <w:hideMark/>
          </w:tcPr>
          <w:p w14:paraId="55217D6A"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842" w:type="dxa"/>
            <w:vMerge/>
            <w:hideMark/>
          </w:tcPr>
          <w:p w14:paraId="00D53B28" w14:textId="77777777" w:rsidR="00FA7C11" w:rsidRDefault="00FA7C11">
            <w:pPr>
              <w:spacing w:after="0" w:line="276" w:lineRule="auto"/>
              <w:rPr>
                <w:rFonts w:ascii="Times New Roman" w:eastAsia="Times New Roman" w:hAnsi="Times New Roman" w:cs="Times New Roman"/>
                <w:b/>
                <w:noProof/>
                <w:sz w:val="20"/>
                <w:szCs w:val="20"/>
              </w:rPr>
            </w:pPr>
          </w:p>
        </w:tc>
        <w:tc>
          <w:tcPr>
            <w:tcW w:w="2268" w:type="dxa"/>
            <w:vMerge/>
            <w:hideMark/>
          </w:tcPr>
          <w:p w14:paraId="0F4B1360" w14:textId="77777777" w:rsidR="00FA7C11" w:rsidRDefault="00FA7C11">
            <w:pPr>
              <w:spacing w:after="0" w:line="276" w:lineRule="auto"/>
              <w:rPr>
                <w:rFonts w:ascii="Times New Roman" w:eastAsia="Times New Roman" w:hAnsi="Times New Roman" w:cs="Times New Roman"/>
                <w:b/>
                <w:noProof/>
                <w:sz w:val="20"/>
                <w:szCs w:val="20"/>
              </w:rPr>
            </w:pPr>
          </w:p>
        </w:tc>
        <w:tc>
          <w:tcPr>
            <w:tcW w:w="1067" w:type="dxa"/>
            <w:shd w:val="clear" w:color="auto" w:fill="BDD7EE"/>
            <w:vAlign w:val="center"/>
            <w:hideMark/>
          </w:tcPr>
          <w:p w14:paraId="4E32F2F0" w14:textId="77777777" w:rsidR="00FA7C11" w:rsidRDefault="00D84965">
            <w:pPr>
              <w:pStyle w:val="P68B1DB1-Normal58"/>
              <w:spacing w:after="0" w:line="276" w:lineRule="auto"/>
              <w:jc w:val="center"/>
              <w:rPr>
                <w:noProof/>
              </w:rPr>
            </w:pPr>
            <w:r>
              <w:rPr>
                <w:noProof/>
              </w:rPr>
              <w:t>Unitate</w:t>
            </w:r>
          </w:p>
        </w:tc>
        <w:tc>
          <w:tcPr>
            <w:tcW w:w="1134" w:type="dxa"/>
            <w:shd w:val="clear" w:color="auto" w:fill="BDD7EE"/>
            <w:vAlign w:val="center"/>
            <w:hideMark/>
          </w:tcPr>
          <w:p w14:paraId="139EB4D9" w14:textId="77777777" w:rsidR="00FA7C11" w:rsidRDefault="00D84965">
            <w:pPr>
              <w:pStyle w:val="P68B1DB1-Normal58"/>
              <w:spacing w:after="0" w:line="276" w:lineRule="auto"/>
              <w:jc w:val="center"/>
              <w:rPr>
                <w:noProof/>
              </w:rPr>
            </w:pPr>
            <w:r>
              <w:rPr>
                <w:noProof/>
              </w:rPr>
              <w:t>Situația de referință</w:t>
            </w:r>
          </w:p>
        </w:tc>
        <w:tc>
          <w:tcPr>
            <w:tcW w:w="706" w:type="dxa"/>
            <w:shd w:val="clear" w:color="auto" w:fill="BDD7EE"/>
            <w:vAlign w:val="center"/>
            <w:hideMark/>
          </w:tcPr>
          <w:p w14:paraId="4A8CA7EC" w14:textId="77777777" w:rsidR="00FA7C11" w:rsidRDefault="00D84965">
            <w:pPr>
              <w:pStyle w:val="P68B1DB1-Normal58"/>
              <w:spacing w:after="0" w:line="276" w:lineRule="auto"/>
              <w:jc w:val="center"/>
              <w:rPr>
                <w:noProof/>
              </w:rPr>
            </w:pPr>
            <w:r>
              <w:rPr>
                <w:noProof/>
              </w:rPr>
              <w:t>Obiectiv</w:t>
            </w:r>
          </w:p>
        </w:tc>
        <w:tc>
          <w:tcPr>
            <w:tcW w:w="709" w:type="dxa"/>
            <w:shd w:val="clear" w:color="auto" w:fill="BDD7EE"/>
            <w:vAlign w:val="center"/>
            <w:hideMark/>
          </w:tcPr>
          <w:p w14:paraId="1112E054" w14:textId="77777777" w:rsidR="00FA7C11" w:rsidRDefault="00D84965">
            <w:pPr>
              <w:pStyle w:val="P68B1DB1-Normal58"/>
              <w:spacing w:after="0" w:line="276" w:lineRule="auto"/>
              <w:jc w:val="center"/>
              <w:rPr>
                <w:noProof/>
              </w:rPr>
            </w:pPr>
            <w:r>
              <w:rPr>
                <w:noProof/>
              </w:rPr>
              <w:t>Trimestru</w:t>
            </w:r>
          </w:p>
        </w:tc>
        <w:tc>
          <w:tcPr>
            <w:tcW w:w="859" w:type="dxa"/>
            <w:shd w:val="clear" w:color="auto" w:fill="BDD7EE"/>
            <w:vAlign w:val="center"/>
            <w:hideMark/>
          </w:tcPr>
          <w:p w14:paraId="1C34B6F5" w14:textId="77777777" w:rsidR="00FA7C11" w:rsidRDefault="00D84965">
            <w:pPr>
              <w:pStyle w:val="P68B1DB1-Normal58"/>
              <w:spacing w:after="0" w:line="276" w:lineRule="auto"/>
              <w:jc w:val="center"/>
              <w:rPr>
                <w:noProof/>
              </w:rPr>
            </w:pPr>
            <w:r>
              <w:rPr>
                <w:noProof/>
              </w:rPr>
              <w:t>Anul</w:t>
            </w:r>
          </w:p>
        </w:tc>
        <w:tc>
          <w:tcPr>
            <w:tcW w:w="4244" w:type="dxa"/>
            <w:vMerge/>
            <w:hideMark/>
          </w:tcPr>
          <w:p w14:paraId="2D5B9093"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7CAB5C4F" w14:textId="77777777">
        <w:trPr>
          <w:trHeight w:val="283"/>
        </w:trPr>
        <w:tc>
          <w:tcPr>
            <w:tcW w:w="810" w:type="dxa"/>
            <w:shd w:val="clear" w:color="auto" w:fill="C6EFCE"/>
            <w:noWrap/>
          </w:tcPr>
          <w:p w14:paraId="46EF30A4" w14:textId="77777777" w:rsidR="00FA7C11" w:rsidRDefault="00D84965">
            <w:pPr>
              <w:pStyle w:val="P68B1DB1-Normal66"/>
              <w:spacing w:after="200" w:line="276" w:lineRule="auto"/>
              <w:jc w:val="center"/>
              <w:rPr>
                <w:noProof/>
              </w:rPr>
            </w:pPr>
            <w:r>
              <w:rPr>
                <w:noProof/>
              </w:rPr>
              <w:t>214</w:t>
            </w:r>
          </w:p>
        </w:tc>
        <w:tc>
          <w:tcPr>
            <w:tcW w:w="1284" w:type="dxa"/>
            <w:shd w:val="clear" w:color="auto" w:fill="C6EFCE"/>
            <w:noWrap/>
          </w:tcPr>
          <w:p w14:paraId="6129D3E6" w14:textId="77777777" w:rsidR="00FA7C11" w:rsidRDefault="00D84965">
            <w:pPr>
              <w:pStyle w:val="P68B1DB1-Normal66"/>
              <w:spacing w:after="200" w:line="276" w:lineRule="auto"/>
              <w:jc w:val="center"/>
              <w:rPr>
                <w:noProof/>
              </w:rPr>
            </w:pPr>
            <w:r>
              <w:rPr>
                <w:noProof/>
              </w:rPr>
              <w:t>C2.5. R1</w:t>
            </w:r>
          </w:p>
        </w:tc>
        <w:tc>
          <w:tcPr>
            <w:tcW w:w="1134" w:type="dxa"/>
            <w:shd w:val="clear" w:color="auto" w:fill="C6EFCE"/>
            <w:noWrap/>
          </w:tcPr>
          <w:p w14:paraId="1CB313F8" w14:textId="77777777" w:rsidR="00FA7C11" w:rsidRDefault="00D84965">
            <w:pPr>
              <w:pStyle w:val="P68B1DB1-Normal66"/>
              <w:spacing w:after="200" w:line="276" w:lineRule="auto"/>
              <w:jc w:val="center"/>
              <w:rPr>
                <w:noProof/>
              </w:rPr>
            </w:pPr>
            <w:r>
              <w:rPr>
                <w:noProof/>
              </w:rPr>
              <w:t>M</w:t>
            </w:r>
          </w:p>
        </w:tc>
        <w:tc>
          <w:tcPr>
            <w:tcW w:w="1842" w:type="dxa"/>
            <w:shd w:val="clear" w:color="auto" w:fill="C6EFCE"/>
            <w:noWrap/>
          </w:tcPr>
          <w:p w14:paraId="1D11DCC6" w14:textId="77777777" w:rsidR="00FA7C11" w:rsidRDefault="00D84965">
            <w:pPr>
              <w:pStyle w:val="P68B1DB1-Normal66"/>
              <w:spacing w:after="200" w:line="276" w:lineRule="auto"/>
              <w:rPr>
                <w:noProof/>
              </w:rPr>
            </w:pPr>
            <w:r>
              <w:rPr>
                <w:noProof/>
              </w:rPr>
              <w:t>Instrumente electronice furnizate și capacități administrative adecvate pentru Consiliul Judiciar de Stat (Državno sudbeno vijeće, DSV) și Consiliul Parchetului de Stat (Državnoodvjetničko vijeće, DOV)</w:t>
            </w:r>
          </w:p>
        </w:tc>
        <w:tc>
          <w:tcPr>
            <w:tcW w:w="2268" w:type="dxa"/>
            <w:shd w:val="clear" w:color="auto" w:fill="C6EFCE"/>
            <w:noWrap/>
          </w:tcPr>
          <w:p w14:paraId="514F5CF0" w14:textId="77777777" w:rsidR="00FA7C11" w:rsidRDefault="00D84965">
            <w:pPr>
              <w:pStyle w:val="P68B1DB1-Normal66"/>
              <w:spacing w:after="200" w:line="276" w:lineRule="auto"/>
              <w:rPr>
                <w:noProof/>
              </w:rPr>
            </w:pPr>
            <w:r>
              <w:rPr>
                <w:noProof/>
              </w:rPr>
              <w:t>Instrumente electronice și capacități administrative adecvate furnizate Consiliului Judiciar de Stat (Državno sudbeno vijeće, DSV) și Consiliului Parchetului de Stat (Državnoodvjetničko vijeće, DOV)</w:t>
            </w:r>
          </w:p>
        </w:tc>
        <w:tc>
          <w:tcPr>
            <w:tcW w:w="1067" w:type="dxa"/>
            <w:shd w:val="clear" w:color="auto" w:fill="C6EFCE"/>
            <w:noWrap/>
          </w:tcPr>
          <w:p w14:paraId="6CAD4830" w14:textId="77777777" w:rsidR="00FA7C11" w:rsidRDefault="00D84965">
            <w:pPr>
              <w:pStyle w:val="P68B1DB1-Normal66"/>
              <w:spacing w:after="200" w:line="276" w:lineRule="auto"/>
              <w:jc w:val="center"/>
              <w:rPr>
                <w:noProof/>
              </w:rPr>
            </w:pPr>
            <w:r>
              <w:rPr>
                <w:noProof/>
              </w:rPr>
              <w:t> </w:t>
            </w:r>
          </w:p>
        </w:tc>
        <w:tc>
          <w:tcPr>
            <w:tcW w:w="1134" w:type="dxa"/>
            <w:shd w:val="clear" w:color="auto" w:fill="C6EFCE"/>
            <w:noWrap/>
          </w:tcPr>
          <w:p w14:paraId="4EB753F2" w14:textId="77777777" w:rsidR="00FA7C11" w:rsidRDefault="00D84965">
            <w:pPr>
              <w:pStyle w:val="P68B1DB1-Normal66"/>
              <w:spacing w:after="200" w:line="276" w:lineRule="auto"/>
              <w:jc w:val="center"/>
              <w:rPr>
                <w:noProof/>
              </w:rPr>
            </w:pPr>
            <w:r>
              <w:rPr>
                <w:noProof/>
              </w:rPr>
              <w:t> </w:t>
            </w:r>
          </w:p>
        </w:tc>
        <w:tc>
          <w:tcPr>
            <w:tcW w:w="706" w:type="dxa"/>
            <w:shd w:val="clear" w:color="auto" w:fill="C6EFCE"/>
            <w:noWrap/>
          </w:tcPr>
          <w:p w14:paraId="6A1C4427" w14:textId="77777777" w:rsidR="00FA7C11" w:rsidRDefault="00D84965">
            <w:pPr>
              <w:pStyle w:val="P68B1DB1-Normal66"/>
              <w:spacing w:after="200" w:line="276" w:lineRule="auto"/>
              <w:jc w:val="center"/>
              <w:rPr>
                <w:noProof/>
              </w:rPr>
            </w:pPr>
            <w:r>
              <w:rPr>
                <w:noProof/>
              </w:rPr>
              <w:t> </w:t>
            </w:r>
          </w:p>
        </w:tc>
        <w:tc>
          <w:tcPr>
            <w:tcW w:w="709" w:type="dxa"/>
            <w:shd w:val="clear" w:color="auto" w:fill="C6EFCE"/>
            <w:noWrap/>
          </w:tcPr>
          <w:p w14:paraId="596F72D2" w14:textId="77777777" w:rsidR="00FA7C11" w:rsidRDefault="00D84965">
            <w:pPr>
              <w:pStyle w:val="P68B1DB1-Normal66"/>
              <w:spacing w:after="200" w:line="276" w:lineRule="auto"/>
              <w:jc w:val="center"/>
              <w:rPr>
                <w:noProof/>
              </w:rPr>
            </w:pPr>
            <w:r>
              <w:rPr>
                <w:noProof/>
              </w:rPr>
              <w:t>Î1</w:t>
            </w:r>
          </w:p>
        </w:tc>
        <w:tc>
          <w:tcPr>
            <w:tcW w:w="859" w:type="dxa"/>
            <w:shd w:val="clear" w:color="auto" w:fill="C6EFCE"/>
            <w:noWrap/>
          </w:tcPr>
          <w:p w14:paraId="2394B649" w14:textId="77777777" w:rsidR="00FA7C11" w:rsidRDefault="00D84965">
            <w:pPr>
              <w:pStyle w:val="P68B1DB1-Normal66"/>
              <w:spacing w:after="200" w:line="276" w:lineRule="auto"/>
              <w:jc w:val="center"/>
              <w:rPr>
                <w:noProof/>
              </w:rPr>
            </w:pPr>
            <w:r>
              <w:rPr>
                <w:noProof/>
              </w:rPr>
              <w:t>2022</w:t>
            </w:r>
          </w:p>
        </w:tc>
        <w:tc>
          <w:tcPr>
            <w:tcW w:w="4244" w:type="dxa"/>
            <w:shd w:val="clear" w:color="auto" w:fill="C6EFCE"/>
            <w:noWrap/>
          </w:tcPr>
          <w:p w14:paraId="1B21D9C0" w14:textId="77777777" w:rsidR="00FA7C11" w:rsidRDefault="00D84965">
            <w:pPr>
              <w:pStyle w:val="P68B1DB1-Normal66"/>
              <w:spacing w:after="200" w:line="276" w:lineRule="auto"/>
              <w:rPr>
                <w:noProof/>
              </w:rPr>
            </w:pPr>
            <w:r>
              <w:rPr>
                <w:noProof/>
              </w:rPr>
              <w:t>Sunt operaționale instrumente electronice și capacități administrative adecvate pentru Consiliul Judiciar de Stat (Državno sudbeno vijeće, DSV) și Consiliul Parchetului de Stat (Državnoodvjetničko vijeće, DOV), pentru a îmbunătăți calitatea activității ambelor consilii. Resursele lor umane vor fi majorate cu 50 % față de scenariul de referință din 2021 (prin recrutarea a cel puțin 4 de persoane) și se va pune în aplicare legătura dintre DSV și DOV, pe de o parte, și registrul funciar și cadastral comun (ZIS) și sistemul informatic al administrației fiscale, pe de altă parte, în vederea instituirii unui mecanism eficace de verificare a declarațiilor de avere ale funcționarilor de stat.</w:t>
            </w:r>
          </w:p>
        </w:tc>
      </w:tr>
      <w:tr w:rsidR="00FA7C11" w14:paraId="0DE23A24" w14:textId="77777777">
        <w:trPr>
          <w:trHeight w:val="283"/>
        </w:trPr>
        <w:tc>
          <w:tcPr>
            <w:tcW w:w="810" w:type="dxa"/>
            <w:shd w:val="clear" w:color="auto" w:fill="C6EFCE"/>
            <w:noWrap/>
          </w:tcPr>
          <w:p w14:paraId="5501406E" w14:textId="77777777" w:rsidR="00FA7C11" w:rsidRDefault="00D84965">
            <w:pPr>
              <w:pStyle w:val="P68B1DB1-Normal66"/>
              <w:spacing w:after="200" w:line="276" w:lineRule="auto"/>
              <w:jc w:val="center"/>
              <w:rPr>
                <w:noProof/>
              </w:rPr>
            </w:pPr>
            <w:r>
              <w:rPr>
                <w:noProof/>
              </w:rPr>
              <w:t>215</w:t>
            </w:r>
          </w:p>
        </w:tc>
        <w:tc>
          <w:tcPr>
            <w:tcW w:w="1284" w:type="dxa"/>
            <w:shd w:val="clear" w:color="auto" w:fill="C6EFCE"/>
            <w:noWrap/>
          </w:tcPr>
          <w:p w14:paraId="2C118E02" w14:textId="77777777" w:rsidR="00FA7C11" w:rsidRDefault="00D84965">
            <w:pPr>
              <w:pStyle w:val="P68B1DB1-Normal66"/>
              <w:spacing w:after="200" w:line="276" w:lineRule="auto"/>
              <w:jc w:val="center"/>
              <w:rPr>
                <w:noProof/>
              </w:rPr>
            </w:pPr>
            <w:r>
              <w:rPr>
                <w:noProof/>
              </w:rPr>
              <w:t>C2.5. R1</w:t>
            </w:r>
          </w:p>
        </w:tc>
        <w:tc>
          <w:tcPr>
            <w:tcW w:w="1134" w:type="dxa"/>
            <w:shd w:val="clear" w:color="auto" w:fill="C6EFCE"/>
            <w:noWrap/>
          </w:tcPr>
          <w:p w14:paraId="3881B898" w14:textId="77777777" w:rsidR="00FA7C11" w:rsidRDefault="00D84965">
            <w:pPr>
              <w:pStyle w:val="P68B1DB1-Normal66"/>
              <w:spacing w:after="200" w:line="276" w:lineRule="auto"/>
              <w:jc w:val="center"/>
              <w:rPr>
                <w:noProof/>
              </w:rPr>
            </w:pPr>
            <w:r>
              <w:rPr>
                <w:noProof/>
              </w:rPr>
              <w:t>M</w:t>
            </w:r>
          </w:p>
        </w:tc>
        <w:tc>
          <w:tcPr>
            <w:tcW w:w="1842" w:type="dxa"/>
            <w:shd w:val="clear" w:color="auto" w:fill="C6EFCE"/>
            <w:noWrap/>
          </w:tcPr>
          <w:p w14:paraId="63937F33" w14:textId="77777777" w:rsidR="00FA7C11" w:rsidRDefault="00D84965">
            <w:pPr>
              <w:pStyle w:val="P68B1DB1-Normal66"/>
              <w:spacing w:after="200" w:line="276" w:lineRule="auto"/>
              <w:rPr>
                <w:noProof/>
              </w:rPr>
            </w:pPr>
            <w:r>
              <w:rPr>
                <w:noProof/>
              </w:rPr>
              <w:t>Modificări adoptate la Legea privind falimentul și la Legea privind insolvența consumatorilor</w:t>
            </w:r>
          </w:p>
        </w:tc>
        <w:tc>
          <w:tcPr>
            <w:tcW w:w="2268" w:type="dxa"/>
            <w:shd w:val="clear" w:color="auto" w:fill="C6EFCE"/>
            <w:noWrap/>
          </w:tcPr>
          <w:p w14:paraId="2C83BB85" w14:textId="77777777" w:rsidR="00FA7C11" w:rsidRDefault="00D84965">
            <w:pPr>
              <w:pStyle w:val="P68B1DB1-Normal66"/>
              <w:spacing w:after="200" w:line="276" w:lineRule="auto"/>
              <w:rPr>
                <w:noProof/>
              </w:rPr>
            </w:pPr>
            <w:r>
              <w:rPr>
                <w:noProof/>
              </w:rPr>
              <w:t xml:space="preserve">Intrarea în vigoare a Legii privind falimentul și a Legii privind falimentul consumatorilor </w:t>
            </w:r>
          </w:p>
        </w:tc>
        <w:tc>
          <w:tcPr>
            <w:tcW w:w="1067" w:type="dxa"/>
            <w:shd w:val="clear" w:color="auto" w:fill="C6EFCE"/>
            <w:noWrap/>
          </w:tcPr>
          <w:p w14:paraId="54BD97AF" w14:textId="77777777" w:rsidR="00FA7C11" w:rsidRDefault="00D84965">
            <w:pPr>
              <w:pStyle w:val="P68B1DB1-Normal66"/>
              <w:spacing w:after="200" w:line="276" w:lineRule="auto"/>
              <w:jc w:val="center"/>
              <w:rPr>
                <w:noProof/>
              </w:rPr>
            </w:pPr>
            <w:r>
              <w:rPr>
                <w:noProof/>
              </w:rPr>
              <w:t> </w:t>
            </w:r>
          </w:p>
        </w:tc>
        <w:tc>
          <w:tcPr>
            <w:tcW w:w="1134" w:type="dxa"/>
            <w:shd w:val="clear" w:color="auto" w:fill="C6EFCE"/>
            <w:noWrap/>
          </w:tcPr>
          <w:p w14:paraId="08710186" w14:textId="77777777" w:rsidR="00FA7C11" w:rsidRDefault="00D84965">
            <w:pPr>
              <w:pStyle w:val="P68B1DB1-Normal66"/>
              <w:spacing w:after="200" w:line="276" w:lineRule="auto"/>
              <w:jc w:val="center"/>
              <w:rPr>
                <w:noProof/>
              </w:rPr>
            </w:pPr>
            <w:r>
              <w:rPr>
                <w:noProof/>
              </w:rPr>
              <w:t> </w:t>
            </w:r>
          </w:p>
        </w:tc>
        <w:tc>
          <w:tcPr>
            <w:tcW w:w="706" w:type="dxa"/>
            <w:shd w:val="clear" w:color="auto" w:fill="C6EFCE"/>
            <w:noWrap/>
          </w:tcPr>
          <w:p w14:paraId="72542933" w14:textId="77777777" w:rsidR="00FA7C11" w:rsidRDefault="00D84965">
            <w:pPr>
              <w:pStyle w:val="P68B1DB1-Normal66"/>
              <w:spacing w:after="200" w:line="276" w:lineRule="auto"/>
              <w:jc w:val="center"/>
              <w:rPr>
                <w:noProof/>
              </w:rPr>
            </w:pPr>
            <w:r>
              <w:rPr>
                <w:noProof/>
              </w:rPr>
              <w:t> </w:t>
            </w:r>
          </w:p>
        </w:tc>
        <w:tc>
          <w:tcPr>
            <w:tcW w:w="709" w:type="dxa"/>
            <w:shd w:val="clear" w:color="auto" w:fill="C6EFCE"/>
            <w:noWrap/>
          </w:tcPr>
          <w:p w14:paraId="3167F7D1" w14:textId="2359252E" w:rsidR="00FA7C11" w:rsidRDefault="00D84965">
            <w:pPr>
              <w:pStyle w:val="P68B1DB1-Normal66"/>
              <w:spacing w:after="200" w:line="276" w:lineRule="auto"/>
              <w:jc w:val="center"/>
              <w:rPr>
                <w:noProof/>
              </w:rPr>
            </w:pPr>
            <w:r>
              <w:rPr>
                <w:noProof/>
              </w:rPr>
              <w:t>Î2</w:t>
            </w:r>
          </w:p>
        </w:tc>
        <w:tc>
          <w:tcPr>
            <w:tcW w:w="859" w:type="dxa"/>
            <w:shd w:val="clear" w:color="auto" w:fill="C6EFCE"/>
            <w:noWrap/>
          </w:tcPr>
          <w:p w14:paraId="7C9AE9FC" w14:textId="77777777" w:rsidR="00FA7C11" w:rsidRDefault="00D84965">
            <w:pPr>
              <w:pStyle w:val="P68B1DB1-Normal66"/>
              <w:spacing w:after="200" w:line="276" w:lineRule="auto"/>
              <w:jc w:val="center"/>
              <w:rPr>
                <w:noProof/>
              </w:rPr>
            </w:pPr>
            <w:r>
              <w:rPr>
                <w:noProof/>
              </w:rPr>
              <w:t>2022</w:t>
            </w:r>
          </w:p>
        </w:tc>
        <w:tc>
          <w:tcPr>
            <w:tcW w:w="4244" w:type="dxa"/>
            <w:shd w:val="clear" w:color="auto" w:fill="C6EFCE"/>
            <w:noWrap/>
          </w:tcPr>
          <w:p w14:paraId="5E0F5950" w14:textId="77777777" w:rsidR="00FA7C11" w:rsidRDefault="00D84965">
            <w:pPr>
              <w:pStyle w:val="P68B1DB1-Normal66"/>
              <w:spacing w:after="200" w:line="276" w:lineRule="auto"/>
              <w:rPr>
                <w:noProof/>
              </w:rPr>
            </w:pPr>
            <w:r>
              <w:rPr>
                <w:noProof/>
              </w:rPr>
              <w:t>Modificările aduse Legii privind falimentul și Legii privind insolvența consumatorilor (publicate în Monitorul Oficial), care vor asigura o mai mare eficiență a procedurilor de insolvență, vor îmbunătăți sistemul de organizare și numire a practicienilor în insolvență și supravegherea prestării serviciului, vor acționa ca un factor de descurajare a unei potențiale creșteri a numărului de cazuri din cauza condițiilor pandemiei de COVID-19 și a modificării articolului 212 din Legea privind falimentul în ceea ce privește procedurile de anulare.</w:t>
            </w:r>
          </w:p>
        </w:tc>
      </w:tr>
      <w:tr w:rsidR="00FA7C11" w14:paraId="4765CD9E" w14:textId="77777777">
        <w:trPr>
          <w:trHeight w:val="283"/>
        </w:trPr>
        <w:tc>
          <w:tcPr>
            <w:tcW w:w="810" w:type="dxa"/>
            <w:shd w:val="clear" w:color="auto" w:fill="C6EFCE"/>
            <w:noWrap/>
          </w:tcPr>
          <w:p w14:paraId="3ADD3605" w14:textId="77777777" w:rsidR="00FA7C11" w:rsidRDefault="00D84965">
            <w:pPr>
              <w:pStyle w:val="P68B1DB1-Normal66"/>
              <w:spacing w:after="200" w:line="276" w:lineRule="auto"/>
              <w:jc w:val="center"/>
              <w:rPr>
                <w:noProof/>
              </w:rPr>
            </w:pPr>
            <w:r>
              <w:rPr>
                <w:noProof/>
              </w:rPr>
              <w:t>216</w:t>
            </w:r>
          </w:p>
        </w:tc>
        <w:tc>
          <w:tcPr>
            <w:tcW w:w="1284" w:type="dxa"/>
            <w:shd w:val="clear" w:color="auto" w:fill="C6EFCE"/>
            <w:noWrap/>
          </w:tcPr>
          <w:p w14:paraId="536E2778" w14:textId="77777777" w:rsidR="00FA7C11" w:rsidRDefault="00D84965">
            <w:pPr>
              <w:pStyle w:val="P68B1DB1-Normal66"/>
              <w:spacing w:after="200" w:line="276" w:lineRule="auto"/>
              <w:jc w:val="center"/>
              <w:rPr>
                <w:noProof/>
              </w:rPr>
            </w:pPr>
            <w:r>
              <w:rPr>
                <w:noProof/>
              </w:rPr>
              <w:t>C2.5. R1</w:t>
            </w:r>
          </w:p>
        </w:tc>
        <w:tc>
          <w:tcPr>
            <w:tcW w:w="1134" w:type="dxa"/>
            <w:shd w:val="clear" w:color="auto" w:fill="C6EFCE"/>
            <w:noWrap/>
          </w:tcPr>
          <w:p w14:paraId="43ED15A3" w14:textId="77777777" w:rsidR="00FA7C11" w:rsidRDefault="00D84965">
            <w:pPr>
              <w:pStyle w:val="P68B1DB1-Normal66"/>
              <w:spacing w:after="200" w:line="276" w:lineRule="auto"/>
              <w:jc w:val="center"/>
              <w:rPr>
                <w:noProof/>
              </w:rPr>
            </w:pPr>
            <w:r>
              <w:rPr>
                <w:noProof/>
              </w:rPr>
              <w:t>M</w:t>
            </w:r>
          </w:p>
        </w:tc>
        <w:tc>
          <w:tcPr>
            <w:tcW w:w="1842" w:type="dxa"/>
            <w:shd w:val="clear" w:color="auto" w:fill="C6EFCE"/>
            <w:noWrap/>
          </w:tcPr>
          <w:p w14:paraId="7963EF65" w14:textId="77777777" w:rsidR="00FA7C11" w:rsidRDefault="00D84965">
            <w:pPr>
              <w:pStyle w:val="P68B1DB1-Normal66"/>
              <w:spacing w:after="200" w:line="276" w:lineRule="auto"/>
              <w:rPr>
                <w:noProof/>
              </w:rPr>
            </w:pPr>
            <w:r>
              <w:rPr>
                <w:noProof/>
              </w:rPr>
              <w:t>Modificări adoptate ale Codului de procedură penală</w:t>
            </w:r>
          </w:p>
        </w:tc>
        <w:tc>
          <w:tcPr>
            <w:tcW w:w="2268" w:type="dxa"/>
            <w:shd w:val="clear" w:color="auto" w:fill="C6EFCE"/>
            <w:noWrap/>
          </w:tcPr>
          <w:p w14:paraId="09E3E616" w14:textId="77777777" w:rsidR="00FA7C11" w:rsidRDefault="00D84965">
            <w:pPr>
              <w:pStyle w:val="P68B1DB1-Normal66"/>
              <w:spacing w:after="200" w:line="276" w:lineRule="auto"/>
              <w:rPr>
                <w:noProof/>
              </w:rPr>
            </w:pPr>
            <w:r>
              <w:rPr>
                <w:noProof/>
              </w:rPr>
              <w:t>Intrarea în vigoare a modificărilor aduse Codului de procedură penală</w:t>
            </w:r>
          </w:p>
        </w:tc>
        <w:tc>
          <w:tcPr>
            <w:tcW w:w="1067" w:type="dxa"/>
            <w:shd w:val="clear" w:color="auto" w:fill="C6EFCE"/>
            <w:noWrap/>
          </w:tcPr>
          <w:p w14:paraId="06FE9F28" w14:textId="77777777" w:rsidR="00FA7C11" w:rsidRDefault="00D84965">
            <w:pPr>
              <w:pStyle w:val="P68B1DB1-Normal66"/>
              <w:spacing w:after="200" w:line="276" w:lineRule="auto"/>
              <w:jc w:val="center"/>
              <w:rPr>
                <w:noProof/>
              </w:rPr>
            </w:pPr>
            <w:r>
              <w:rPr>
                <w:noProof/>
              </w:rPr>
              <w:t> </w:t>
            </w:r>
          </w:p>
        </w:tc>
        <w:tc>
          <w:tcPr>
            <w:tcW w:w="1134" w:type="dxa"/>
            <w:shd w:val="clear" w:color="auto" w:fill="C6EFCE"/>
            <w:noWrap/>
          </w:tcPr>
          <w:p w14:paraId="712C67BE" w14:textId="77777777" w:rsidR="00FA7C11" w:rsidRDefault="00D84965">
            <w:pPr>
              <w:pStyle w:val="P68B1DB1-Normal66"/>
              <w:spacing w:after="200" w:line="276" w:lineRule="auto"/>
              <w:jc w:val="center"/>
              <w:rPr>
                <w:noProof/>
              </w:rPr>
            </w:pPr>
            <w:r>
              <w:rPr>
                <w:noProof/>
              </w:rPr>
              <w:t> </w:t>
            </w:r>
          </w:p>
        </w:tc>
        <w:tc>
          <w:tcPr>
            <w:tcW w:w="706" w:type="dxa"/>
            <w:shd w:val="clear" w:color="auto" w:fill="C6EFCE"/>
            <w:noWrap/>
          </w:tcPr>
          <w:p w14:paraId="4F94D64A" w14:textId="77777777" w:rsidR="00FA7C11" w:rsidRDefault="00D84965">
            <w:pPr>
              <w:pStyle w:val="P68B1DB1-Normal66"/>
              <w:spacing w:after="200" w:line="276" w:lineRule="auto"/>
              <w:jc w:val="center"/>
              <w:rPr>
                <w:noProof/>
              </w:rPr>
            </w:pPr>
            <w:r>
              <w:rPr>
                <w:noProof/>
              </w:rPr>
              <w:t> </w:t>
            </w:r>
          </w:p>
        </w:tc>
        <w:tc>
          <w:tcPr>
            <w:tcW w:w="709" w:type="dxa"/>
            <w:shd w:val="clear" w:color="auto" w:fill="C6EFCE"/>
            <w:noWrap/>
          </w:tcPr>
          <w:p w14:paraId="1BEDAEE0" w14:textId="77777777" w:rsidR="00FA7C11" w:rsidRDefault="00D84965">
            <w:pPr>
              <w:pStyle w:val="P68B1DB1-Normal66"/>
              <w:spacing w:after="200" w:line="276" w:lineRule="auto"/>
              <w:jc w:val="center"/>
              <w:rPr>
                <w:noProof/>
              </w:rPr>
            </w:pPr>
            <w:r>
              <w:rPr>
                <w:noProof/>
              </w:rPr>
              <w:t>Î2</w:t>
            </w:r>
          </w:p>
        </w:tc>
        <w:tc>
          <w:tcPr>
            <w:tcW w:w="859" w:type="dxa"/>
            <w:shd w:val="clear" w:color="auto" w:fill="C6EFCE"/>
            <w:noWrap/>
          </w:tcPr>
          <w:p w14:paraId="085A80A0" w14:textId="77777777" w:rsidR="00FA7C11" w:rsidRDefault="00D84965">
            <w:pPr>
              <w:pStyle w:val="P68B1DB1-Normal66"/>
              <w:spacing w:after="200" w:line="276" w:lineRule="auto"/>
              <w:jc w:val="center"/>
              <w:rPr>
                <w:noProof/>
              </w:rPr>
            </w:pPr>
            <w:r>
              <w:rPr>
                <w:noProof/>
              </w:rPr>
              <w:t>2022</w:t>
            </w:r>
          </w:p>
        </w:tc>
        <w:tc>
          <w:tcPr>
            <w:tcW w:w="4244" w:type="dxa"/>
            <w:shd w:val="clear" w:color="auto" w:fill="C6EFCE"/>
            <w:noWrap/>
          </w:tcPr>
          <w:p w14:paraId="130524EA" w14:textId="77777777" w:rsidR="00FA7C11" w:rsidRDefault="00D84965">
            <w:pPr>
              <w:pStyle w:val="P68B1DB1-Normal66"/>
              <w:spacing w:after="200" w:line="276" w:lineRule="auto"/>
              <w:rPr>
                <w:noProof/>
              </w:rPr>
            </w:pPr>
            <w:r>
              <w:rPr>
                <w:noProof/>
              </w:rPr>
              <w:t>Modificări ale Legii privind procedura penală care permit utilizarea TIC în cadrul procedurilor penale, inclusiv introducerea audierilor la distanță, extinderea posibilității de a depune mărturii online pentru victimele infracțiunilor, posibilitatea de a comunica cu avocații printr-o conexiune video securizată și pregătirea audierilor pentru persoanele acuzate aflate în arest preventiv, precum și introducerea comunicațiilor electronice.</w:t>
            </w:r>
          </w:p>
        </w:tc>
      </w:tr>
      <w:tr w:rsidR="00FA7C11" w14:paraId="4F1FD961" w14:textId="77777777">
        <w:trPr>
          <w:trHeight w:val="283"/>
        </w:trPr>
        <w:tc>
          <w:tcPr>
            <w:tcW w:w="810" w:type="dxa"/>
            <w:shd w:val="clear" w:color="auto" w:fill="C6EFCE"/>
            <w:noWrap/>
          </w:tcPr>
          <w:p w14:paraId="278E1179" w14:textId="77777777" w:rsidR="00FA7C11" w:rsidRDefault="00D84965">
            <w:pPr>
              <w:pStyle w:val="P68B1DB1-Normal66"/>
              <w:spacing w:after="200" w:line="276" w:lineRule="auto"/>
              <w:jc w:val="center"/>
              <w:rPr>
                <w:noProof/>
              </w:rPr>
            </w:pPr>
            <w:r>
              <w:rPr>
                <w:noProof/>
              </w:rPr>
              <w:t>217</w:t>
            </w:r>
          </w:p>
        </w:tc>
        <w:tc>
          <w:tcPr>
            <w:tcW w:w="1284" w:type="dxa"/>
            <w:shd w:val="clear" w:color="auto" w:fill="C6EFCE"/>
            <w:noWrap/>
          </w:tcPr>
          <w:p w14:paraId="10411817" w14:textId="77777777" w:rsidR="00FA7C11" w:rsidRDefault="00D84965">
            <w:pPr>
              <w:pStyle w:val="P68B1DB1-Normal66"/>
              <w:spacing w:after="200" w:line="276" w:lineRule="auto"/>
              <w:jc w:val="center"/>
              <w:rPr>
                <w:noProof/>
              </w:rPr>
            </w:pPr>
            <w:r>
              <w:rPr>
                <w:noProof/>
              </w:rPr>
              <w:t>C2.5. R1</w:t>
            </w:r>
          </w:p>
        </w:tc>
        <w:tc>
          <w:tcPr>
            <w:tcW w:w="1134" w:type="dxa"/>
            <w:shd w:val="clear" w:color="auto" w:fill="C6EFCE"/>
            <w:noWrap/>
          </w:tcPr>
          <w:p w14:paraId="2C45E89F" w14:textId="77777777" w:rsidR="00FA7C11" w:rsidRDefault="00D84965">
            <w:pPr>
              <w:pStyle w:val="P68B1DB1-Normal66"/>
              <w:spacing w:after="200" w:line="276" w:lineRule="auto"/>
              <w:jc w:val="center"/>
              <w:rPr>
                <w:noProof/>
              </w:rPr>
            </w:pPr>
            <w:r>
              <w:rPr>
                <w:noProof/>
              </w:rPr>
              <w:t>T</w:t>
            </w:r>
          </w:p>
        </w:tc>
        <w:tc>
          <w:tcPr>
            <w:tcW w:w="1842" w:type="dxa"/>
            <w:shd w:val="clear" w:color="auto" w:fill="C6EFCE"/>
            <w:noWrap/>
          </w:tcPr>
          <w:p w14:paraId="10F9F36E" w14:textId="77777777" w:rsidR="00FA7C11" w:rsidRDefault="00D84965">
            <w:pPr>
              <w:pStyle w:val="P68B1DB1-Normal66"/>
              <w:spacing w:after="200" w:line="276" w:lineRule="auto"/>
              <w:rPr>
                <w:noProof/>
              </w:rPr>
            </w:pPr>
            <w:r>
              <w:rPr>
                <w:noProof/>
              </w:rPr>
              <w:t xml:space="preserve">Noi programe de formare introduse în cadrul programului de formare judiciară </w:t>
            </w:r>
          </w:p>
        </w:tc>
        <w:tc>
          <w:tcPr>
            <w:tcW w:w="2268" w:type="dxa"/>
            <w:shd w:val="clear" w:color="auto" w:fill="C6EFCE"/>
            <w:noWrap/>
          </w:tcPr>
          <w:p w14:paraId="5FFC8A5E"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765515F5" w14:textId="77777777" w:rsidR="00FA7C11" w:rsidRDefault="00D84965">
            <w:pPr>
              <w:pStyle w:val="P68B1DB1-Normal66"/>
              <w:spacing w:after="200" w:line="276" w:lineRule="auto"/>
              <w:jc w:val="center"/>
              <w:rPr>
                <w:noProof/>
              </w:rPr>
            </w:pPr>
            <w:r>
              <w:rPr>
                <w:noProof/>
              </w:rPr>
              <w:t>Număr</w:t>
            </w:r>
          </w:p>
        </w:tc>
        <w:tc>
          <w:tcPr>
            <w:tcW w:w="1134" w:type="dxa"/>
            <w:shd w:val="clear" w:color="auto" w:fill="C6EFCE"/>
            <w:noWrap/>
          </w:tcPr>
          <w:p w14:paraId="393841BA" w14:textId="77777777" w:rsidR="00FA7C11" w:rsidRDefault="00D84965">
            <w:pPr>
              <w:pStyle w:val="P68B1DB1-Normal66"/>
              <w:spacing w:after="200" w:line="276" w:lineRule="auto"/>
              <w:jc w:val="center"/>
              <w:rPr>
                <w:noProof/>
              </w:rPr>
            </w:pPr>
            <w:r>
              <w:rPr>
                <w:noProof/>
              </w:rPr>
              <w:t>0</w:t>
            </w:r>
          </w:p>
        </w:tc>
        <w:tc>
          <w:tcPr>
            <w:tcW w:w="706" w:type="dxa"/>
            <w:shd w:val="clear" w:color="auto" w:fill="C6EFCE"/>
            <w:noWrap/>
          </w:tcPr>
          <w:p w14:paraId="3E3E61CD" w14:textId="77777777" w:rsidR="00FA7C11" w:rsidRDefault="00D84965">
            <w:pPr>
              <w:pStyle w:val="P68B1DB1-Normal66"/>
              <w:spacing w:after="200" w:line="276" w:lineRule="auto"/>
              <w:jc w:val="center"/>
              <w:rPr>
                <w:noProof/>
              </w:rPr>
            </w:pPr>
            <w:r>
              <w:rPr>
                <w:noProof/>
              </w:rPr>
              <w:t>6</w:t>
            </w:r>
          </w:p>
        </w:tc>
        <w:tc>
          <w:tcPr>
            <w:tcW w:w="709" w:type="dxa"/>
            <w:shd w:val="clear" w:color="auto" w:fill="C6EFCE"/>
            <w:noWrap/>
          </w:tcPr>
          <w:p w14:paraId="7A3AB828" w14:textId="77777777" w:rsidR="00FA7C11" w:rsidRDefault="00D84965">
            <w:pPr>
              <w:pStyle w:val="P68B1DB1-Normal66"/>
              <w:spacing w:after="200" w:line="276" w:lineRule="auto"/>
              <w:jc w:val="center"/>
              <w:rPr>
                <w:noProof/>
              </w:rPr>
            </w:pPr>
            <w:r>
              <w:rPr>
                <w:noProof/>
              </w:rPr>
              <w:t>Î1</w:t>
            </w:r>
          </w:p>
        </w:tc>
        <w:tc>
          <w:tcPr>
            <w:tcW w:w="859" w:type="dxa"/>
            <w:shd w:val="clear" w:color="auto" w:fill="C6EFCE"/>
            <w:noWrap/>
          </w:tcPr>
          <w:p w14:paraId="39B7C9B2" w14:textId="77777777" w:rsidR="00FA7C11" w:rsidRDefault="00D84965">
            <w:pPr>
              <w:pStyle w:val="P68B1DB1-Normal66"/>
              <w:spacing w:after="200" w:line="276" w:lineRule="auto"/>
              <w:jc w:val="center"/>
              <w:rPr>
                <w:noProof/>
              </w:rPr>
            </w:pPr>
            <w:r>
              <w:rPr>
                <w:noProof/>
              </w:rPr>
              <w:t>2023</w:t>
            </w:r>
          </w:p>
        </w:tc>
        <w:tc>
          <w:tcPr>
            <w:tcW w:w="4244" w:type="dxa"/>
            <w:shd w:val="clear" w:color="auto" w:fill="C6EFCE"/>
            <w:noWrap/>
          </w:tcPr>
          <w:p w14:paraId="5AC1928C" w14:textId="77777777" w:rsidR="00FA7C11" w:rsidRDefault="00D84965">
            <w:pPr>
              <w:pStyle w:val="P68B1DB1-Normal66"/>
              <w:spacing w:after="200" w:line="276" w:lineRule="auto"/>
              <w:rPr>
                <w:noProof/>
              </w:rPr>
            </w:pPr>
            <w:r>
              <w:rPr>
                <w:noProof/>
              </w:rPr>
              <w:t>Șase noi programe de formare vor fi finalizate ca parte a programului de formare judiciară pentru funcționarii judiciari și funcționarii autorităților judiciare din cadrul Academiei Judiciare:</w:t>
            </w:r>
            <w:r>
              <w:rPr>
                <w:noProof/>
              </w:rPr>
              <w:br/>
              <w:t>— Dezvoltarea unor competențe diferite (competențe de gestionare și de gestionare pentru președinții de instanță, gestionarea instanțelor pentru șefii administrației instanțelor și competențe de comunicare pentru personalul instanțelor – trei programe).</w:t>
            </w:r>
            <w:r>
              <w:rPr>
                <w:noProof/>
              </w:rPr>
              <w:br/>
              <w:t>— Promovarea statului de drept și a drepturilor fundamentale prin intermediul unei educații de înaltă calitate în sistemul judiciar croat.</w:t>
            </w:r>
            <w:r>
              <w:rPr>
                <w:noProof/>
              </w:rPr>
              <w:br/>
              <w:t>— Programe de formare specializate pentru judecătorii din cadrul procedurilor de insolvență și cursuri de formare pentru judecătorii din domeniul dreptului familiei.</w:t>
            </w:r>
          </w:p>
        </w:tc>
      </w:tr>
      <w:tr w:rsidR="00FA7C11" w14:paraId="350B37D8" w14:textId="77777777">
        <w:trPr>
          <w:trHeight w:val="283"/>
        </w:trPr>
        <w:tc>
          <w:tcPr>
            <w:tcW w:w="810" w:type="dxa"/>
            <w:shd w:val="clear" w:color="auto" w:fill="C6EFCE"/>
            <w:noWrap/>
          </w:tcPr>
          <w:p w14:paraId="13E333E2" w14:textId="77777777" w:rsidR="00FA7C11" w:rsidRDefault="00D84965">
            <w:pPr>
              <w:pStyle w:val="P68B1DB1-Normal66"/>
              <w:spacing w:after="200" w:line="276" w:lineRule="auto"/>
              <w:jc w:val="center"/>
              <w:rPr>
                <w:noProof/>
              </w:rPr>
            </w:pPr>
            <w:r>
              <w:rPr>
                <w:noProof/>
              </w:rPr>
              <w:t>218</w:t>
            </w:r>
          </w:p>
        </w:tc>
        <w:tc>
          <w:tcPr>
            <w:tcW w:w="1284" w:type="dxa"/>
            <w:shd w:val="clear" w:color="auto" w:fill="C6EFCE"/>
            <w:noWrap/>
          </w:tcPr>
          <w:p w14:paraId="0E4A302F" w14:textId="77777777" w:rsidR="00FA7C11" w:rsidRDefault="00D84965">
            <w:pPr>
              <w:pStyle w:val="P68B1DB1-Normal66"/>
              <w:spacing w:after="200" w:line="276" w:lineRule="auto"/>
              <w:jc w:val="center"/>
              <w:rPr>
                <w:noProof/>
              </w:rPr>
            </w:pPr>
            <w:r>
              <w:rPr>
                <w:noProof/>
              </w:rPr>
              <w:t>C2.5. R1</w:t>
            </w:r>
          </w:p>
        </w:tc>
        <w:tc>
          <w:tcPr>
            <w:tcW w:w="1134" w:type="dxa"/>
            <w:shd w:val="clear" w:color="auto" w:fill="C6EFCE"/>
            <w:noWrap/>
          </w:tcPr>
          <w:p w14:paraId="4F272EB3" w14:textId="77777777" w:rsidR="00FA7C11" w:rsidRDefault="00D84965">
            <w:pPr>
              <w:pStyle w:val="P68B1DB1-Normal66"/>
              <w:spacing w:after="200" w:line="276" w:lineRule="auto"/>
              <w:jc w:val="center"/>
              <w:rPr>
                <w:noProof/>
              </w:rPr>
            </w:pPr>
            <w:r>
              <w:rPr>
                <w:noProof/>
              </w:rPr>
              <w:t>M</w:t>
            </w:r>
          </w:p>
        </w:tc>
        <w:tc>
          <w:tcPr>
            <w:tcW w:w="1842" w:type="dxa"/>
            <w:shd w:val="clear" w:color="auto" w:fill="C6EFCE"/>
            <w:noWrap/>
          </w:tcPr>
          <w:p w14:paraId="2D3768A3" w14:textId="77777777" w:rsidR="00FA7C11" w:rsidRDefault="00D84965">
            <w:pPr>
              <w:pStyle w:val="P68B1DB1-Normal66"/>
              <w:spacing w:after="200" w:line="276" w:lineRule="auto"/>
              <w:rPr>
                <w:noProof/>
              </w:rPr>
            </w:pPr>
            <w:r>
              <w:rPr>
                <w:noProof/>
              </w:rPr>
              <w:t>Adoptarea modificărilor aduse cadrului legislativ în domeniul justiției prin noua Lege privind procedura necontencioasă.</w:t>
            </w:r>
          </w:p>
        </w:tc>
        <w:tc>
          <w:tcPr>
            <w:tcW w:w="2268" w:type="dxa"/>
            <w:shd w:val="clear" w:color="auto" w:fill="C6EFCE"/>
            <w:noWrap/>
          </w:tcPr>
          <w:p w14:paraId="41B6065D" w14:textId="77777777" w:rsidR="00FA7C11" w:rsidRDefault="00D84965">
            <w:pPr>
              <w:pStyle w:val="P68B1DB1-Normal66"/>
              <w:spacing w:after="200" w:line="276" w:lineRule="auto"/>
              <w:rPr>
                <w:noProof/>
              </w:rPr>
            </w:pPr>
            <w:r>
              <w:rPr>
                <w:noProof/>
              </w:rPr>
              <w:t>Intrarea în vigoare a modificărilor aduse Codului de procedură civilă, Legii privind litigiile administrative, Legii privind cartea funciară, Legii privind instanțele, Legii privind circumscripția și sediul instanțelor, Legii notariale și noii Legi privind procedura necontencioasă.</w:t>
            </w:r>
          </w:p>
        </w:tc>
        <w:tc>
          <w:tcPr>
            <w:tcW w:w="1067" w:type="dxa"/>
            <w:shd w:val="clear" w:color="auto" w:fill="C6EFCE"/>
            <w:noWrap/>
          </w:tcPr>
          <w:p w14:paraId="7F1EECC2" w14:textId="77777777" w:rsidR="00FA7C11" w:rsidRDefault="00D84965">
            <w:pPr>
              <w:pStyle w:val="P68B1DB1-Normal66"/>
              <w:spacing w:after="200" w:line="276" w:lineRule="auto"/>
              <w:jc w:val="center"/>
              <w:rPr>
                <w:noProof/>
              </w:rPr>
            </w:pPr>
            <w:r>
              <w:rPr>
                <w:noProof/>
              </w:rPr>
              <w:t> </w:t>
            </w:r>
          </w:p>
        </w:tc>
        <w:tc>
          <w:tcPr>
            <w:tcW w:w="1134" w:type="dxa"/>
            <w:shd w:val="clear" w:color="auto" w:fill="C6EFCE"/>
            <w:noWrap/>
          </w:tcPr>
          <w:p w14:paraId="606DB98C" w14:textId="77777777" w:rsidR="00FA7C11" w:rsidRDefault="00D84965">
            <w:pPr>
              <w:pStyle w:val="P68B1DB1-Normal66"/>
              <w:spacing w:after="200" w:line="276" w:lineRule="auto"/>
              <w:jc w:val="center"/>
              <w:rPr>
                <w:noProof/>
              </w:rPr>
            </w:pPr>
            <w:r>
              <w:rPr>
                <w:noProof/>
              </w:rPr>
              <w:t> </w:t>
            </w:r>
          </w:p>
        </w:tc>
        <w:tc>
          <w:tcPr>
            <w:tcW w:w="706" w:type="dxa"/>
            <w:shd w:val="clear" w:color="auto" w:fill="C6EFCE"/>
            <w:noWrap/>
          </w:tcPr>
          <w:p w14:paraId="6C741F6D" w14:textId="77777777" w:rsidR="00FA7C11" w:rsidRDefault="00D84965">
            <w:pPr>
              <w:pStyle w:val="P68B1DB1-Normal66"/>
              <w:spacing w:after="200" w:line="276" w:lineRule="auto"/>
              <w:jc w:val="center"/>
              <w:rPr>
                <w:noProof/>
              </w:rPr>
            </w:pPr>
            <w:r>
              <w:rPr>
                <w:noProof/>
              </w:rPr>
              <w:t> </w:t>
            </w:r>
          </w:p>
        </w:tc>
        <w:tc>
          <w:tcPr>
            <w:tcW w:w="709" w:type="dxa"/>
            <w:shd w:val="clear" w:color="auto" w:fill="C6EFCE"/>
            <w:noWrap/>
          </w:tcPr>
          <w:p w14:paraId="3DE68432" w14:textId="77777777" w:rsidR="00FA7C11" w:rsidRDefault="00D84965">
            <w:pPr>
              <w:pStyle w:val="P68B1DB1-Normal66"/>
              <w:spacing w:after="200" w:line="276" w:lineRule="auto"/>
              <w:jc w:val="center"/>
              <w:rPr>
                <w:noProof/>
              </w:rPr>
            </w:pPr>
            <w:r>
              <w:rPr>
                <w:noProof/>
              </w:rPr>
              <w:t>Î2</w:t>
            </w:r>
          </w:p>
        </w:tc>
        <w:tc>
          <w:tcPr>
            <w:tcW w:w="859" w:type="dxa"/>
            <w:shd w:val="clear" w:color="auto" w:fill="C6EFCE"/>
            <w:noWrap/>
          </w:tcPr>
          <w:p w14:paraId="4F6A45B5" w14:textId="77777777" w:rsidR="00FA7C11" w:rsidRDefault="00D84965">
            <w:pPr>
              <w:pStyle w:val="P68B1DB1-Normal66"/>
              <w:spacing w:after="200" w:line="276" w:lineRule="auto"/>
              <w:jc w:val="center"/>
              <w:rPr>
                <w:noProof/>
              </w:rPr>
            </w:pPr>
            <w:r>
              <w:rPr>
                <w:noProof/>
              </w:rPr>
              <w:t>2023</w:t>
            </w:r>
          </w:p>
        </w:tc>
        <w:tc>
          <w:tcPr>
            <w:tcW w:w="4244" w:type="dxa"/>
            <w:shd w:val="clear" w:color="auto" w:fill="C6EFCE"/>
            <w:noWrap/>
          </w:tcPr>
          <w:p w14:paraId="3B011EE6" w14:textId="77777777" w:rsidR="00FA7C11" w:rsidRDefault="00D84965">
            <w:pPr>
              <w:pStyle w:val="P68B1DB1-Normal66"/>
              <w:spacing w:after="200" w:line="276" w:lineRule="auto"/>
              <w:rPr>
                <w:noProof/>
              </w:rPr>
            </w:pPr>
            <w:r>
              <w:rPr>
                <w:noProof/>
              </w:rPr>
              <w:t xml:space="preserve">I) modificări ale Codului de procedură civilă și ale Legii privind litigiile administrative, care contribuie la scurtarea procedurilor judiciare, la accelerarea soluționării litigiilor administrative, la reducerea fluxului de cauze și la reducerea costurilor; </w:t>
            </w:r>
            <w:r>
              <w:rPr>
                <w:noProof/>
              </w:rPr>
              <w:br/>
              <w:t>II) noua Lege privind procedura necontencioasă, care facilitează accesul cetățenilor la instanțe, asigură căi de atac de calitate și transparente și elimină insecuritatea juridică;</w:t>
            </w:r>
            <w:r>
              <w:rPr>
                <w:noProof/>
              </w:rPr>
              <w:br/>
              <w:t>III) modificarea Legii privind notarii pentru a moderniza activitatea notarilor prin soluții TIC;</w:t>
            </w:r>
            <w:r>
              <w:rPr>
                <w:noProof/>
              </w:rPr>
              <w:br/>
              <w:t>IV) Legea de modificare a Legii privind cartea funciară pentru prelucrarea electronică a cauzelor și care permite o redistribuire mai eficientă a cauzelor în cadrul instanțelor;</w:t>
            </w:r>
            <w:r>
              <w:rPr>
                <w:noProof/>
              </w:rPr>
              <w:br/>
              <w:t>V) Legea de modificare a Legii instanțelor și a Legii privind zonele și sediile instanțelor, care permite specializarea judecătorilor și înființarea unor unități specializate pentru familie în cadrul instanțelor municipale, în vederea asigurării unui nivel mai eficace de protecție judiciară pentru grupurile sociale cele mai vulnerabile, copiii, și care revizuiește condițiile de furnizare a expertizei și a interpretării, sistemul de formare profesională obligatorie fiind o caracteristică importantă a acestora. Competența de a decide cu privire la aspecte legate de statut este transferată de la instanțe la Ministerul Justiției și Administrației Publice, iar sistemul de supraveghere și responsabilitate este consolidat.</w:t>
            </w:r>
          </w:p>
        </w:tc>
      </w:tr>
      <w:tr w:rsidR="00FA7C11" w14:paraId="0BD847A8" w14:textId="77777777">
        <w:trPr>
          <w:trHeight w:val="283"/>
        </w:trPr>
        <w:tc>
          <w:tcPr>
            <w:tcW w:w="810" w:type="dxa"/>
            <w:shd w:val="clear" w:color="auto" w:fill="C6EFCE"/>
            <w:noWrap/>
          </w:tcPr>
          <w:p w14:paraId="0A6A2E97" w14:textId="77777777" w:rsidR="00FA7C11" w:rsidRDefault="00D84965">
            <w:pPr>
              <w:pStyle w:val="P68B1DB1-Normal66"/>
              <w:spacing w:after="200" w:line="276" w:lineRule="auto"/>
              <w:jc w:val="center"/>
              <w:rPr>
                <w:noProof/>
              </w:rPr>
            </w:pPr>
            <w:r>
              <w:rPr>
                <w:noProof/>
              </w:rPr>
              <w:t>219</w:t>
            </w:r>
          </w:p>
        </w:tc>
        <w:tc>
          <w:tcPr>
            <w:tcW w:w="1284" w:type="dxa"/>
            <w:shd w:val="clear" w:color="auto" w:fill="C6EFCE"/>
            <w:noWrap/>
          </w:tcPr>
          <w:p w14:paraId="268A1785" w14:textId="77777777" w:rsidR="00FA7C11" w:rsidRDefault="00D84965">
            <w:pPr>
              <w:pStyle w:val="P68B1DB1-Normal66"/>
              <w:spacing w:after="200" w:line="276" w:lineRule="auto"/>
              <w:jc w:val="center"/>
              <w:rPr>
                <w:noProof/>
              </w:rPr>
            </w:pPr>
            <w:r>
              <w:rPr>
                <w:noProof/>
              </w:rPr>
              <w:t>C2.5. R1</w:t>
            </w:r>
          </w:p>
        </w:tc>
        <w:tc>
          <w:tcPr>
            <w:tcW w:w="1134" w:type="dxa"/>
            <w:shd w:val="clear" w:color="auto" w:fill="C6EFCE"/>
            <w:noWrap/>
          </w:tcPr>
          <w:p w14:paraId="1AB519CB" w14:textId="77777777" w:rsidR="00FA7C11" w:rsidRDefault="00D84965">
            <w:pPr>
              <w:pStyle w:val="P68B1DB1-Normal66"/>
              <w:spacing w:after="200" w:line="276" w:lineRule="auto"/>
              <w:jc w:val="center"/>
              <w:rPr>
                <w:noProof/>
              </w:rPr>
            </w:pPr>
            <w:r>
              <w:rPr>
                <w:noProof/>
              </w:rPr>
              <w:t>T</w:t>
            </w:r>
          </w:p>
        </w:tc>
        <w:tc>
          <w:tcPr>
            <w:tcW w:w="1842" w:type="dxa"/>
            <w:shd w:val="clear" w:color="auto" w:fill="C6EFCE"/>
            <w:noWrap/>
          </w:tcPr>
          <w:p w14:paraId="30AB375F" w14:textId="77777777" w:rsidR="00FA7C11" w:rsidRDefault="00D84965">
            <w:pPr>
              <w:pStyle w:val="P68B1DB1-Normal66"/>
              <w:spacing w:after="200" w:line="276" w:lineRule="auto"/>
              <w:rPr>
                <w:noProof/>
              </w:rPr>
            </w:pPr>
            <w:r>
              <w:rPr>
                <w:noProof/>
              </w:rPr>
              <w:t xml:space="preserve">Înființarea a patru centre de mediere în cadrul instanțelor comerciale din Zagreb, Split, Osijek și Rijeka și adoptarea modificărilor la Legea privind medierea </w:t>
            </w:r>
          </w:p>
        </w:tc>
        <w:tc>
          <w:tcPr>
            <w:tcW w:w="2268" w:type="dxa"/>
            <w:shd w:val="clear" w:color="auto" w:fill="C6EFCE"/>
            <w:noWrap/>
          </w:tcPr>
          <w:p w14:paraId="3377FAF3"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1CE3020A" w14:textId="77777777" w:rsidR="00FA7C11" w:rsidRDefault="00D84965">
            <w:pPr>
              <w:pStyle w:val="P68B1DB1-Normal66"/>
              <w:spacing w:after="200" w:line="276" w:lineRule="auto"/>
              <w:jc w:val="center"/>
              <w:rPr>
                <w:noProof/>
              </w:rPr>
            </w:pPr>
            <w:r>
              <w:rPr>
                <w:noProof/>
              </w:rPr>
              <w:t>Număr</w:t>
            </w:r>
          </w:p>
        </w:tc>
        <w:tc>
          <w:tcPr>
            <w:tcW w:w="1134" w:type="dxa"/>
            <w:shd w:val="clear" w:color="auto" w:fill="C6EFCE"/>
            <w:noWrap/>
          </w:tcPr>
          <w:p w14:paraId="4BD1F13B" w14:textId="77777777" w:rsidR="00FA7C11" w:rsidRDefault="00D84965">
            <w:pPr>
              <w:pStyle w:val="P68B1DB1-Normal66"/>
              <w:spacing w:after="200" w:line="276" w:lineRule="auto"/>
              <w:jc w:val="center"/>
              <w:rPr>
                <w:noProof/>
              </w:rPr>
            </w:pPr>
            <w:r>
              <w:rPr>
                <w:noProof/>
              </w:rPr>
              <w:t>0</w:t>
            </w:r>
          </w:p>
        </w:tc>
        <w:tc>
          <w:tcPr>
            <w:tcW w:w="706" w:type="dxa"/>
            <w:shd w:val="clear" w:color="auto" w:fill="C6EFCE"/>
            <w:noWrap/>
          </w:tcPr>
          <w:p w14:paraId="502035BB" w14:textId="77777777" w:rsidR="00FA7C11" w:rsidRDefault="00D84965">
            <w:pPr>
              <w:pStyle w:val="P68B1DB1-Normal66"/>
              <w:spacing w:after="200" w:line="276" w:lineRule="auto"/>
              <w:jc w:val="center"/>
              <w:rPr>
                <w:noProof/>
              </w:rPr>
            </w:pPr>
            <w:r>
              <w:rPr>
                <w:noProof/>
              </w:rPr>
              <w:t>4</w:t>
            </w:r>
          </w:p>
        </w:tc>
        <w:tc>
          <w:tcPr>
            <w:tcW w:w="709" w:type="dxa"/>
            <w:shd w:val="clear" w:color="auto" w:fill="C6EFCE"/>
            <w:noWrap/>
          </w:tcPr>
          <w:p w14:paraId="7EBA23D7" w14:textId="77777777" w:rsidR="00FA7C11" w:rsidRDefault="00D84965">
            <w:pPr>
              <w:pStyle w:val="P68B1DB1-Normal66"/>
              <w:spacing w:after="200" w:line="276" w:lineRule="auto"/>
              <w:jc w:val="center"/>
              <w:rPr>
                <w:noProof/>
              </w:rPr>
            </w:pPr>
            <w:r>
              <w:rPr>
                <w:noProof/>
              </w:rPr>
              <w:t>Î2</w:t>
            </w:r>
          </w:p>
        </w:tc>
        <w:tc>
          <w:tcPr>
            <w:tcW w:w="859" w:type="dxa"/>
            <w:shd w:val="clear" w:color="auto" w:fill="C6EFCE"/>
            <w:noWrap/>
          </w:tcPr>
          <w:p w14:paraId="45FDF84D" w14:textId="77777777" w:rsidR="00FA7C11" w:rsidRDefault="00D84965">
            <w:pPr>
              <w:pStyle w:val="P68B1DB1-Normal66"/>
              <w:spacing w:after="200" w:line="276" w:lineRule="auto"/>
              <w:jc w:val="center"/>
              <w:rPr>
                <w:noProof/>
              </w:rPr>
            </w:pPr>
            <w:r>
              <w:rPr>
                <w:noProof/>
              </w:rPr>
              <w:t>2023</w:t>
            </w:r>
          </w:p>
        </w:tc>
        <w:tc>
          <w:tcPr>
            <w:tcW w:w="4244" w:type="dxa"/>
            <w:shd w:val="clear" w:color="auto" w:fill="C6EFCE"/>
            <w:noWrap/>
          </w:tcPr>
          <w:p w14:paraId="3B2B6BED" w14:textId="77777777" w:rsidR="00FA7C11" w:rsidRDefault="00D84965">
            <w:pPr>
              <w:pStyle w:val="P68B1DB1-Normal66"/>
              <w:spacing w:after="200" w:line="276" w:lineRule="auto"/>
              <w:rPr>
                <w:noProof/>
              </w:rPr>
            </w:pPr>
            <w:r>
              <w:rPr>
                <w:noProof/>
              </w:rPr>
              <w:t>Modificări ale Legii privind medierea care promovează în continuare medierea voluntară în cauzele litigioase și în litigiile administrative, reducând durata cauzelor și costurile. Se înființează și intră în funcțiune patru centre de mediere la Zagreb, Split, Osijek și Rijeka, unde mediatorii sunt formați și se desfășoară proceduri de mediere. Centrul central din Zagreb și centrele regionale din Split, Osijek și Rijeka sunt situate în același loc ca și instanțele comerciale, Înalta Curte Comercială a Republicii Croația, și este posibil să se ofere părților sprijinul profesional necesar.</w:t>
            </w:r>
          </w:p>
        </w:tc>
      </w:tr>
      <w:tr w:rsidR="00FA7C11" w14:paraId="3D720AAD" w14:textId="77777777">
        <w:trPr>
          <w:trHeight w:val="283"/>
        </w:trPr>
        <w:tc>
          <w:tcPr>
            <w:tcW w:w="810" w:type="dxa"/>
            <w:shd w:val="clear" w:color="auto" w:fill="C6EFCE"/>
            <w:noWrap/>
          </w:tcPr>
          <w:p w14:paraId="0341A25F" w14:textId="77777777" w:rsidR="00FA7C11" w:rsidRDefault="00D84965">
            <w:pPr>
              <w:pStyle w:val="P68B1DB1-Normal66"/>
              <w:spacing w:after="200" w:line="276" w:lineRule="auto"/>
              <w:jc w:val="center"/>
              <w:rPr>
                <w:noProof/>
              </w:rPr>
            </w:pPr>
            <w:r>
              <w:rPr>
                <w:noProof/>
              </w:rPr>
              <w:t>220</w:t>
            </w:r>
          </w:p>
        </w:tc>
        <w:tc>
          <w:tcPr>
            <w:tcW w:w="1284" w:type="dxa"/>
            <w:shd w:val="clear" w:color="auto" w:fill="C6EFCE"/>
            <w:noWrap/>
          </w:tcPr>
          <w:p w14:paraId="07FEBBAE" w14:textId="77777777" w:rsidR="00FA7C11" w:rsidRDefault="00D84965">
            <w:pPr>
              <w:pStyle w:val="P68B1DB1-Normal66"/>
              <w:spacing w:after="200" w:line="276" w:lineRule="auto"/>
              <w:jc w:val="center"/>
              <w:rPr>
                <w:noProof/>
              </w:rPr>
            </w:pPr>
            <w:r>
              <w:rPr>
                <w:noProof/>
              </w:rPr>
              <w:t>C2.5. R1</w:t>
            </w:r>
          </w:p>
        </w:tc>
        <w:tc>
          <w:tcPr>
            <w:tcW w:w="1134" w:type="dxa"/>
            <w:shd w:val="clear" w:color="auto" w:fill="C6EFCE"/>
            <w:noWrap/>
          </w:tcPr>
          <w:p w14:paraId="5272B949" w14:textId="77777777" w:rsidR="00FA7C11" w:rsidRDefault="00D84965">
            <w:pPr>
              <w:pStyle w:val="P68B1DB1-Normal66"/>
              <w:spacing w:after="200" w:line="276" w:lineRule="auto"/>
              <w:jc w:val="center"/>
              <w:rPr>
                <w:noProof/>
              </w:rPr>
            </w:pPr>
            <w:r>
              <w:rPr>
                <w:noProof/>
              </w:rPr>
              <w:t>M</w:t>
            </w:r>
          </w:p>
        </w:tc>
        <w:tc>
          <w:tcPr>
            <w:tcW w:w="1842" w:type="dxa"/>
            <w:shd w:val="clear" w:color="auto" w:fill="C6EFCE"/>
            <w:noWrap/>
          </w:tcPr>
          <w:p w14:paraId="163B0366" w14:textId="77777777" w:rsidR="00FA7C11" w:rsidRDefault="00D84965">
            <w:pPr>
              <w:pStyle w:val="P68B1DB1-Normal66"/>
              <w:spacing w:after="200" w:line="276" w:lineRule="auto"/>
              <w:rPr>
                <w:noProof/>
              </w:rPr>
            </w:pPr>
            <w:r>
              <w:rPr>
                <w:noProof/>
              </w:rPr>
              <w:t>Au fost adoptate noi criterii-cadru pentru activitatea judecătorilor și a fost introdus un instrument activ de gestionare a cauzelor judiciare</w:t>
            </w:r>
          </w:p>
        </w:tc>
        <w:tc>
          <w:tcPr>
            <w:tcW w:w="2268" w:type="dxa"/>
            <w:shd w:val="clear" w:color="auto" w:fill="C6EFCE"/>
            <w:noWrap/>
          </w:tcPr>
          <w:p w14:paraId="70FE1B18" w14:textId="77777777" w:rsidR="00FA7C11" w:rsidRDefault="00D84965">
            <w:pPr>
              <w:pStyle w:val="P68B1DB1-Normal66"/>
              <w:spacing w:after="200" w:line="276" w:lineRule="auto"/>
              <w:rPr>
                <w:noProof/>
              </w:rPr>
            </w:pPr>
            <w:r>
              <w:rPr>
                <w:noProof/>
              </w:rPr>
              <w:t>Au fost adoptate criterii de referință orientative pentru activitatea judecătorilor, a fost introdus instrumentul de gestionare activă a cauzelor</w:t>
            </w:r>
          </w:p>
        </w:tc>
        <w:tc>
          <w:tcPr>
            <w:tcW w:w="1067" w:type="dxa"/>
            <w:shd w:val="clear" w:color="auto" w:fill="C6EFCE"/>
            <w:noWrap/>
          </w:tcPr>
          <w:p w14:paraId="5F626D04" w14:textId="77777777" w:rsidR="00FA7C11" w:rsidRDefault="00D84965">
            <w:pPr>
              <w:pStyle w:val="P68B1DB1-Normal66"/>
              <w:spacing w:after="200" w:line="276" w:lineRule="auto"/>
              <w:jc w:val="center"/>
              <w:rPr>
                <w:noProof/>
              </w:rPr>
            </w:pPr>
            <w:r>
              <w:rPr>
                <w:noProof/>
              </w:rPr>
              <w:t> </w:t>
            </w:r>
          </w:p>
        </w:tc>
        <w:tc>
          <w:tcPr>
            <w:tcW w:w="1134" w:type="dxa"/>
            <w:shd w:val="clear" w:color="auto" w:fill="C6EFCE"/>
            <w:noWrap/>
          </w:tcPr>
          <w:p w14:paraId="3FFA177F" w14:textId="77777777" w:rsidR="00FA7C11" w:rsidRDefault="00FA7C11">
            <w:pPr>
              <w:spacing w:after="200" w:line="276" w:lineRule="auto"/>
              <w:rPr>
                <w:rFonts w:ascii="Times New Roman" w:eastAsia="Calibri" w:hAnsi="Times New Roman" w:cs="Times New Roman"/>
                <w:noProof/>
                <w:sz w:val="20"/>
                <w:szCs w:val="20"/>
              </w:rPr>
            </w:pPr>
          </w:p>
        </w:tc>
        <w:tc>
          <w:tcPr>
            <w:tcW w:w="706" w:type="dxa"/>
            <w:shd w:val="clear" w:color="auto" w:fill="C6EFCE"/>
            <w:noWrap/>
          </w:tcPr>
          <w:p w14:paraId="78643BC6" w14:textId="77777777" w:rsidR="00FA7C11" w:rsidRDefault="00D84965">
            <w:pPr>
              <w:pStyle w:val="P68B1DB1-Normal66"/>
              <w:spacing w:after="200" w:line="276" w:lineRule="auto"/>
              <w:jc w:val="center"/>
              <w:rPr>
                <w:noProof/>
              </w:rPr>
            </w:pPr>
            <w:r>
              <w:rPr>
                <w:noProof/>
              </w:rPr>
              <w:t> </w:t>
            </w:r>
          </w:p>
        </w:tc>
        <w:tc>
          <w:tcPr>
            <w:tcW w:w="709" w:type="dxa"/>
            <w:shd w:val="clear" w:color="auto" w:fill="C6EFCE"/>
            <w:noWrap/>
          </w:tcPr>
          <w:p w14:paraId="38561690" w14:textId="77777777" w:rsidR="00FA7C11" w:rsidRDefault="00D84965">
            <w:pPr>
              <w:pStyle w:val="P68B1DB1-Normal66"/>
              <w:spacing w:after="200" w:line="276" w:lineRule="auto"/>
              <w:jc w:val="center"/>
              <w:rPr>
                <w:noProof/>
              </w:rPr>
            </w:pPr>
            <w:r>
              <w:rPr>
                <w:noProof/>
              </w:rPr>
              <w:t>Î3</w:t>
            </w:r>
          </w:p>
        </w:tc>
        <w:tc>
          <w:tcPr>
            <w:tcW w:w="859" w:type="dxa"/>
            <w:shd w:val="clear" w:color="auto" w:fill="C6EFCE"/>
            <w:noWrap/>
          </w:tcPr>
          <w:p w14:paraId="59AC6110" w14:textId="77777777" w:rsidR="00FA7C11" w:rsidRDefault="00D84965">
            <w:pPr>
              <w:pStyle w:val="P68B1DB1-Normal66"/>
              <w:spacing w:after="200" w:line="276" w:lineRule="auto"/>
              <w:jc w:val="center"/>
              <w:rPr>
                <w:noProof/>
              </w:rPr>
            </w:pPr>
            <w:r>
              <w:rPr>
                <w:noProof/>
              </w:rPr>
              <w:t>2023</w:t>
            </w:r>
          </w:p>
        </w:tc>
        <w:tc>
          <w:tcPr>
            <w:tcW w:w="4244" w:type="dxa"/>
            <w:shd w:val="clear" w:color="auto" w:fill="C6EFCE"/>
            <w:noWrap/>
          </w:tcPr>
          <w:p w14:paraId="451478FB" w14:textId="77777777" w:rsidR="00FA7C11" w:rsidRDefault="00D84965">
            <w:pPr>
              <w:pStyle w:val="P68B1DB1-Normal66"/>
              <w:spacing w:after="200" w:line="276" w:lineRule="auto"/>
              <w:rPr>
                <w:noProof/>
              </w:rPr>
            </w:pPr>
            <w:r>
              <w:rPr>
                <w:noProof/>
              </w:rPr>
              <w:t>Criterii de referință indicative pentru activitatea judecătorilor, care prevăd un număr mai mare de cauze care trebuie soluționate în vederea încurajării soluționării mai multor cauze, în special a cauzelor vechi. Utilizarea instrumentului pentru gestionarea activă a cauzelor în fața instanțelor selectate, inclusiv a Tribunalului Civil Municipal din Zagreb, va conduce la o mai mare eficiență (crearea de liste de verificare, în special marcarea, instrumente de autoevaluare bazate pe cadrul internațional pentru excelența judiciară).</w:t>
            </w:r>
          </w:p>
        </w:tc>
      </w:tr>
      <w:tr w:rsidR="00FA7C11" w14:paraId="101A3EB8" w14:textId="77777777">
        <w:trPr>
          <w:trHeight w:val="283"/>
        </w:trPr>
        <w:tc>
          <w:tcPr>
            <w:tcW w:w="810" w:type="dxa"/>
            <w:shd w:val="clear" w:color="auto" w:fill="C6EFCE"/>
            <w:noWrap/>
          </w:tcPr>
          <w:p w14:paraId="5B10725A" w14:textId="77777777" w:rsidR="00FA7C11" w:rsidRDefault="00D84965">
            <w:pPr>
              <w:pStyle w:val="P68B1DB1-Normal66"/>
              <w:spacing w:after="200" w:line="276" w:lineRule="auto"/>
              <w:jc w:val="center"/>
              <w:rPr>
                <w:noProof/>
              </w:rPr>
            </w:pPr>
            <w:r>
              <w:rPr>
                <w:noProof/>
              </w:rPr>
              <w:t>221</w:t>
            </w:r>
          </w:p>
        </w:tc>
        <w:tc>
          <w:tcPr>
            <w:tcW w:w="1284" w:type="dxa"/>
            <w:shd w:val="clear" w:color="auto" w:fill="C6EFCE"/>
            <w:noWrap/>
          </w:tcPr>
          <w:p w14:paraId="20FFC8EE" w14:textId="77777777" w:rsidR="00FA7C11" w:rsidRDefault="00D84965">
            <w:pPr>
              <w:pStyle w:val="P68B1DB1-Normal66"/>
              <w:spacing w:after="200" w:line="276" w:lineRule="auto"/>
              <w:jc w:val="center"/>
              <w:rPr>
                <w:noProof/>
              </w:rPr>
            </w:pPr>
            <w:r>
              <w:rPr>
                <w:noProof/>
              </w:rPr>
              <w:t>C2.5. R1</w:t>
            </w:r>
          </w:p>
        </w:tc>
        <w:tc>
          <w:tcPr>
            <w:tcW w:w="1134" w:type="dxa"/>
            <w:shd w:val="clear" w:color="auto" w:fill="C6EFCE"/>
            <w:noWrap/>
          </w:tcPr>
          <w:p w14:paraId="0FCC0AF6" w14:textId="77777777" w:rsidR="00FA7C11" w:rsidRDefault="00D84965">
            <w:pPr>
              <w:pStyle w:val="P68B1DB1-Normal66"/>
              <w:spacing w:after="200" w:line="276" w:lineRule="auto"/>
              <w:jc w:val="center"/>
              <w:rPr>
                <w:noProof/>
              </w:rPr>
            </w:pPr>
            <w:r>
              <w:rPr>
                <w:noProof/>
              </w:rPr>
              <w:t>T</w:t>
            </w:r>
          </w:p>
        </w:tc>
        <w:tc>
          <w:tcPr>
            <w:tcW w:w="1842" w:type="dxa"/>
            <w:shd w:val="clear" w:color="auto" w:fill="C6EFCE"/>
            <w:noWrap/>
          </w:tcPr>
          <w:p w14:paraId="21CD3132" w14:textId="77777777" w:rsidR="00FA7C11" w:rsidRDefault="00D84965">
            <w:pPr>
              <w:pStyle w:val="P68B1DB1-Normal66"/>
              <w:spacing w:after="200" w:line="276" w:lineRule="auto"/>
              <w:rPr>
                <w:noProof/>
              </w:rPr>
            </w:pPr>
            <w:r>
              <w:rPr>
                <w:noProof/>
              </w:rPr>
              <w:t>Reducerea duratei litigiilor și a cauzelor comerciale</w:t>
            </w:r>
          </w:p>
        </w:tc>
        <w:tc>
          <w:tcPr>
            <w:tcW w:w="2268" w:type="dxa"/>
            <w:shd w:val="clear" w:color="auto" w:fill="C6EFCE"/>
            <w:noWrap/>
          </w:tcPr>
          <w:p w14:paraId="57E51CFC"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0B95D6E0" w14:textId="77777777" w:rsidR="00FA7C11" w:rsidRDefault="00D84965">
            <w:pPr>
              <w:pStyle w:val="P68B1DB1-Normal66"/>
              <w:spacing w:after="200" w:line="276" w:lineRule="auto"/>
              <w:jc w:val="center"/>
              <w:rPr>
                <w:noProof/>
              </w:rPr>
            </w:pPr>
            <w:r>
              <w:rPr>
                <w:noProof/>
              </w:rPr>
              <w:t>Număr</w:t>
            </w:r>
          </w:p>
        </w:tc>
        <w:tc>
          <w:tcPr>
            <w:tcW w:w="1134" w:type="dxa"/>
            <w:shd w:val="clear" w:color="auto" w:fill="C6EFCE"/>
            <w:noWrap/>
          </w:tcPr>
          <w:p w14:paraId="0E61155D" w14:textId="06AE9CE1" w:rsidR="00FA7C11" w:rsidRDefault="00D84965">
            <w:pPr>
              <w:pStyle w:val="P68B1DB1-Normal66"/>
              <w:spacing w:after="200" w:line="276" w:lineRule="auto"/>
              <w:jc w:val="center"/>
              <w:rPr>
                <w:noProof/>
              </w:rPr>
            </w:pPr>
            <w:r>
              <w:rPr>
                <w:noProof/>
              </w:rPr>
              <w:t>656</w:t>
            </w:r>
          </w:p>
        </w:tc>
        <w:tc>
          <w:tcPr>
            <w:tcW w:w="706" w:type="dxa"/>
            <w:shd w:val="clear" w:color="auto" w:fill="C6EFCE"/>
            <w:noWrap/>
          </w:tcPr>
          <w:p w14:paraId="3D7D36ED" w14:textId="73C51FC1" w:rsidR="00FA7C11" w:rsidRDefault="00D84965">
            <w:pPr>
              <w:pStyle w:val="P68B1DB1-Normal66"/>
              <w:spacing w:after="200" w:line="276" w:lineRule="auto"/>
              <w:jc w:val="center"/>
              <w:rPr>
                <w:noProof/>
              </w:rPr>
            </w:pPr>
            <w:r>
              <w:rPr>
                <w:noProof/>
              </w:rPr>
              <w:t>456</w:t>
            </w:r>
          </w:p>
        </w:tc>
        <w:tc>
          <w:tcPr>
            <w:tcW w:w="709" w:type="dxa"/>
            <w:shd w:val="clear" w:color="auto" w:fill="C6EFCE"/>
            <w:noWrap/>
          </w:tcPr>
          <w:p w14:paraId="07B0E709" w14:textId="77777777" w:rsidR="00FA7C11" w:rsidRDefault="00D84965">
            <w:pPr>
              <w:pStyle w:val="P68B1DB1-Normal66"/>
              <w:spacing w:after="200" w:line="276" w:lineRule="auto"/>
              <w:jc w:val="center"/>
              <w:rPr>
                <w:noProof/>
              </w:rPr>
            </w:pPr>
            <w:r>
              <w:rPr>
                <w:noProof/>
              </w:rPr>
              <w:t>Î2</w:t>
            </w:r>
          </w:p>
        </w:tc>
        <w:tc>
          <w:tcPr>
            <w:tcW w:w="859" w:type="dxa"/>
            <w:shd w:val="clear" w:color="auto" w:fill="C6EFCE"/>
            <w:noWrap/>
          </w:tcPr>
          <w:p w14:paraId="289BFBF1" w14:textId="77777777" w:rsidR="00FA7C11" w:rsidRDefault="00D84965">
            <w:pPr>
              <w:pStyle w:val="P68B1DB1-Normal66"/>
              <w:spacing w:after="200" w:line="276" w:lineRule="auto"/>
              <w:jc w:val="center"/>
              <w:rPr>
                <w:noProof/>
              </w:rPr>
            </w:pPr>
            <w:r>
              <w:rPr>
                <w:noProof/>
              </w:rPr>
              <w:t>2026</w:t>
            </w:r>
          </w:p>
        </w:tc>
        <w:tc>
          <w:tcPr>
            <w:tcW w:w="4244" w:type="dxa"/>
            <w:shd w:val="clear" w:color="auto" w:fill="C6EFCE"/>
            <w:noWrap/>
          </w:tcPr>
          <w:p w14:paraId="031D24D2" w14:textId="77777777" w:rsidR="00FA7C11" w:rsidRDefault="00D84965">
            <w:pPr>
              <w:pStyle w:val="P68B1DB1-Normal66"/>
              <w:spacing w:after="200" w:line="276" w:lineRule="auto"/>
              <w:rPr>
                <w:noProof/>
              </w:rPr>
            </w:pPr>
            <w:r>
              <w:rPr>
                <w:noProof/>
              </w:rPr>
              <w:t>Comparativ cu 2020: Reducerea duratei litigiilor și a cauzelor comerciale, astfel cum este definită în metodologia tabloului de bord privind justiția în UE, cu cel puțin 200 de zile.</w:t>
            </w:r>
          </w:p>
        </w:tc>
      </w:tr>
      <w:tr w:rsidR="00FA7C11" w14:paraId="3ECDC30D" w14:textId="77777777">
        <w:trPr>
          <w:trHeight w:val="283"/>
        </w:trPr>
        <w:tc>
          <w:tcPr>
            <w:tcW w:w="810" w:type="dxa"/>
            <w:shd w:val="clear" w:color="auto" w:fill="C6EFCE"/>
            <w:noWrap/>
          </w:tcPr>
          <w:p w14:paraId="59E4D5B0" w14:textId="77777777" w:rsidR="00FA7C11" w:rsidRDefault="00D84965">
            <w:pPr>
              <w:pStyle w:val="P68B1DB1-Normal66"/>
              <w:spacing w:after="200" w:line="276" w:lineRule="auto"/>
              <w:jc w:val="center"/>
              <w:rPr>
                <w:noProof/>
              </w:rPr>
            </w:pPr>
            <w:r>
              <w:rPr>
                <w:noProof/>
              </w:rPr>
              <w:t>222</w:t>
            </w:r>
          </w:p>
        </w:tc>
        <w:tc>
          <w:tcPr>
            <w:tcW w:w="1284" w:type="dxa"/>
            <w:shd w:val="clear" w:color="auto" w:fill="C6EFCE"/>
            <w:noWrap/>
          </w:tcPr>
          <w:p w14:paraId="3AE69E4C" w14:textId="77777777" w:rsidR="00FA7C11" w:rsidRDefault="00D84965">
            <w:pPr>
              <w:pStyle w:val="P68B1DB1-Normal66"/>
              <w:spacing w:after="200" w:line="276" w:lineRule="auto"/>
              <w:jc w:val="center"/>
              <w:rPr>
                <w:noProof/>
              </w:rPr>
            </w:pPr>
            <w:r>
              <w:rPr>
                <w:noProof/>
              </w:rPr>
              <w:t>C2.5. R1</w:t>
            </w:r>
          </w:p>
        </w:tc>
        <w:tc>
          <w:tcPr>
            <w:tcW w:w="1134" w:type="dxa"/>
            <w:shd w:val="clear" w:color="auto" w:fill="C6EFCE"/>
            <w:noWrap/>
          </w:tcPr>
          <w:p w14:paraId="3C53AFE3" w14:textId="77777777" w:rsidR="00FA7C11" w:rsidRDefault="00D84965">
            <w:pPr>
              <w:pStyle w:val="P68B1DB1-Normal66"/>
              <w:spacing w:after="200" w:line="276" w:lineRule="auto"/>
              <w:jc w:val="center"/>
              <w:rPr>
                <w:noProof/>
              </w:rPr>
            </w:pPr>
            <w:r>
              <w:rPr>
                <w:noProof/>
              </w:rPr>
              <w:t>T</w:t>
            </w:r>
          </w:p>
        </w:tc>
        <w:tc>
          <w:tcPr>
            <w:tcW w:w="1842" w:type="dxa"/>
            <w:shd w:val="clear" w:color="auto" w:fill="C6EFCE"/>
            <w:noWrap/>
          </w:tcPr>
          <w:p w14:paraId="718F6EFA" w14:textId="77777777" w:rsidR="00FA7C11" w:rsidRDefault="00D84965">
            <w:pPr>
              <w:pStyle w:val="P68B1DB1-Normal66"/>
              <w:spacing w:after="200" w:line="276" w:lineRule="auto"/>
              <w:rPr>
                <w:noProof/>
              </w:rPr>
            </w:pPr>
            <w:r>
              <w:rPr>
                <w:noProof/>
              </w:rPr>
              <w:t>Reducerea numărului total de cauze pendinte</w:t>
            </w:r>
          </w:p>
        </w:tc>
        <w:tc>
          <w:tcPr>
            <w:tcW w:w="2268" w:type="dxa"/>
            <w:shd w:val="clear" w:color="auto" w:fill="C6EFCE"/>
            <w:noWrap/>
          </w:tcPr>
          <w:p w14:paraId="26A17305"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1AC64695" w14:textId="77777777" w:rsidR="00FA7C11" w:rsidRDefault="00D84965">
            <w:pPr>
              <w:pStyle w:val="P68B1DB1-Normal66"/>
              <w:spacing w:after="200" w:line="276" w:lineRule="auto"/>
              <w:jc w:val="center"/>
              <w:rPr>
                <w:noProof/>
              </w:rPr>
            </w:pPr>
            <w:r>
              <w:rPr>
                <w:noProof/>
              </w:rPr>
              <w:t>Număr</w:t>
            </w:r>
          </w:p>
        </w:tc>
        <w:tc>
          <w:tcPr>
            <w:tcW w:w="1134" w:type="dxa"/>
            <w:shd w:val="clear" w:color="auto" w:fill="C6EFCE"/>
            <w:noWrap/>
          </w:tcPr>
          <w:p w14:paraId="438E8BB5" w14:textId="6C601BE8" w:rsidR="00FA7C11" w:rsidRDefault="00D84965">
            <w:pPr>
              <w:pStyle w:val="P68B1DB1-Normal66"/>
              <w:spacing w:after="200" w:line="276" w:lineRule="auto"/>
              <w:jc w:val="center"/>
              <w:rPr>
                <w:noProof/>
              </w:rPr>
            </w:pPr>
            <w:r>
              <w:rPr>
                <w:noProof/>
              </w:rPr>
              <w:t>468 092</w:t>
            </w:r>
          </w:p>
        </w:tc>
        <w:tc>
          <w:tcPr>
            <w:tcW w:w="706" w:type="dxa"/>
            <w:shd w:val="clear" w:color="auto" w:fill="C6EFCE"/>
            <w:noWrap/>
          </w:tcPr>
          <w:p w14:paraId="4E9286D4" w14:textId="3E1B8998" w:rsidR="00FA7C11" w:rsidRDefault="00D84965">
            <w:pPr>
              <w:pStyle w:val="P68B1DB1-Normal66"/>
              <w:spacing w:after="200" w:line="276" w:lineRule="auto"/>
              <w:jc w:val="center"/>
              <w:rPr>
                <w:noProof/>
              </w:rPr>
            </w:pPr>
            <w:r>
              <w:rPr>
                <w:noProof/>
              </w:rPr>
              <w:t>398 322</w:t>
            </w:r>
          </w:p>
        </w:tc>
        <w:tc>
          <w:tcPr>
            <w:tcW w:w="709" w:type="dxa"/>
            <w:shd w:val="clear" w:color="auto" w:fill="C6EFCE"/>
            <w:noWrap/>
          </w:tcPr>
          <w:p w14:paraId="664B5851" w14:textId="77777777" w:rsidR="00FA7C11" w:rsidRDefault="00D84965">
            <w:pPr>
              <w:pStyle w:val="P68B1DB1-Normal66"/>
              <w:spacing w:after="200" w:line="276" w:lineRule="auto"/>
              <w:jc w:val="center"/>
              <w:rPr>
                <w:noProof/>
              </w:rPr>
            </w:pPr>
            <w:r>
              <w:rPr>
                <w:noProof/>
              </w:rPr>
              <w:t>Î2</w:t>
            </w:r>
          </w:p>
        </w:tc>
        <w:tc>
          <w:tcPr>
            <w:tcW w:w="859" w:type="dxa"/>
            <w:shd w:val="clear" w:color="auto" w:fill="C6EFCE"/>
            <w:noWrap/>
          </w:tcPr>
          <w:p w14:paraId="73880B71" w14:textId="77777777" w:rsidR="00FA7C11" w:rsidRDefault="00D84965">
            <w:pPr>
              <w:pStyle w:val="P68B1DB1-Normal66"/>
              <w:spacing w:after="200" w:line="276" w:lineRule="auto"/>
              <w:jc w:val="center"/>
              <w:rPr>
                <w:noProof/>
              </w:rPr>
            </w:pPr>
            <w:r>
              <w:rPr>
                <w:noProof/>
              </w:rPr>
              <w:t>2026</w:t>
            </w:r>
          </w:p>
        </w:tc>
        <w:tc>
          <w:tcPr>
            <w:tcW w:w="4244" w:type="dxa"/>
            <w:shd w:val="clear" w:color="auto" w:fill="C6EFCE"/>
            <w:noWrap/>
          </w:tcPr>
          <w:p w14:paraId="452BDD18" w14:textId="753595F9" w:rsidR="00FA7C11" w:rsidRDefault="00D84965">
            <w:pPr>
              <w:pStyle w:val="P68B1DB1-Normal70"/>
              <w:spacing w:after="200" w:line="276" w:lineRule="auto"/>
              <w:rPr>
                <w:noProof/>
              </w:rPr>
            </w:pPr>
            <w:r>
              <w:rPr>
                <w:noProof/>
                <w:color w:val="000000" w:themeColor="text1"/>
              </w:rPr>
              <w:t>Comparativ cu 2020: Reducerea</w:t>
            </w:r>
            <w:r>
              <w:rPr>
                <w:noProof/>
              </w:rPr>
              <w:t xml:space="preserve"> numărului total de cauze pendinte cu cel puțin 69 770.</w:t>
            </w:r>
          </w:p>
        </w:tc>
      </w:tr>
      <w:tr w:rsidR="00FA7C11" w14:paraId="1E369A14" w14:textId="77777777">
        <w:trPr>
          <w:trHeight w:val="283"/>
        </w:trPr>
        <w:tc>
          <w:tcPr>
            <w:tcW w:w="810" w:type="dxa"/>
            <w:shd w:val="clear" w:color="auto" w:fill="C6EFCE"/>
            <w:noWrap/>
          </w:tcPr>
          <w:p w14:paraId="76C0A1AF" w14:textId="77777777" w:rsidR="00FA7C11" w:rsidRDefault="00D84965">
            <w:pPr>
              <w:pStyle w:val="P68B1DB1-Normal66"/>
              <w:spacing w:after="200" w:line="276" w:lineRule="auto"/>
              <w:jc w:val="center"/>
              <w:rPr>
                <w:noProof/>
              </w:rPr>
            </w:pPr>
            <w:r>
              <w:rPr>
                <w:noProof/>
              </w:rPr>
              <w:t>224</w:t>
            </w:r>
          </w:p>
        </w:tc>
        <w:tc>
          <w:tcPr>
            <w:tcW w:w="1284" w:type="dxa"/>
            <w:shd w:val="clear" w:color="auto" w:fill="C6EFCE"/>
            <w:noWrap/>
          </w:tcPr>
          <w:p w14:paraId="5707C037" w14:textId="77777777" w:rsidR="00FA7C11" w:rsidRDefault="00D84965">
            <w:pPr>
              <w:pStyle w:val="P68B1DB1-Normal66"/>
              <w:spacing w:after="200" w:line="276" w:lineRule="auto"/>
              <w:jc w:val="center"/>
              <w:rPr>
                <w:noProof/>
              </w:rPr>
            </w:pPr>
            <w:r>
              <w:rPr>
                <w:noProof/>
              </w:rPr>
              <w:t>C2.5. R1-I1</w:t>
            </w:r>
          </w:p>
        </w:tc>
        <w:tc>
          <w:tcPr>
            <w:tcW w:w="1134" w:type="dxa"/>
            <w:shd w:val="clear" w:color="auto" w:fill="C6EFCE"/>
            <w:noWrap/>
          </w:tcPr>
          <w:p w14:paraId="5F65F1BE" w14:textId="77777777" w:rsidR="00FA7C11" w:rsidRDefault="00D84965">
            <w:pPr>
              <w:pStyle w:val="P68B1DB1-Normal66"/>
              <w:spacing w:after="200" w:line="276" w:lineRule="auto"/>
              <w:jc w:val="center"/>
              <w:rPr>
                <w:noProof/>
              </w:rPr>
            </w:pPr>
            <w:r>
              <w:rPr>
                <w:noProof/>
              </w:rPr>
              <w:t>M</w:t>
            </w:r>
          </w:p>
        </w:tc>
        <w:tc>
          <w:tcPr>
            <w:tcW w:w="1842" w:type="dxa"/>
            <w:shd w:val="clear" w:color="auto" w:fill="C6EFCE"/>
            <w:noWrap/>
          </w:tcPr>
          <w:p w14:paraId="64F7F836" w14:textId="77777777" w:rsidR="00FA7C11" w:rsidRDefault="00D84965">
            <w:pPr>
              <w:pStyle w:val="P68B1DB1-Normal66"/>
              <w:spacing w:after="200" w:line="276" w:lineRule="auto"/>
              <w:rPr>
                <w:noProof/>
              </w:rPr>
            </w:pPr>
            <w:r>
              <w:rPr>
                <w:noProof/>
              </w:rPr>
              <w:t>Sistemul eSpis modernizat cu noi funcționalități și o nouă arhitectură integrată în Centrul de servicii partajate (CDU)</w:t>
            </w:r>
          </w:p>
        </w:tc>
        <w:tc>
          <w:tcPr>
            <w:tcW w:w="2268" w:type="dxa"/>
            <w:shd w:val="clear" w:color="auto" w:fill="C6EFCE"/>
            <w:noWrap/>
          </w:tcPr>
          <w:p w14:paraId="17FA28EE" w14:textId="77777777" w:rsidR="00FA7C11" w:rsidRDefault="00D84965">
            <w:pPr>
              <w:pStyle w:val="P68B1DB1-Normal66"/>
              <w:spacing w:after="200" w:line="276" w:lineRule="auto"/>
              <w:rPr>
                <w:noProof/>
              </w:rPr>
            </w:pPr>
            <w:r>
              <w:rPr>
                <w:noProof/>
              </w:rPr>
              <w:t>Sunt puse în aplicare noi soluții digitale pentru a promova digitalizarea sistemului de justiție, inclusiv un sistem eSpis modernizat și o nouă arhitectură integrată în CDU.</w:t>
            </w:r>
          </w:p>
        </w:tc>
        <w:tc>
          <w:tcPr>
            <w:tcW w:w="1067" w:type="dxa"/>
            <w:shd w:val="clear" w:color="auto" w:fill="C6EFCE"/>
            <w:noWrap/>
          </w:tcPr>
          <w:p w14:paraId="7300E8DB" w14:textId="77777777" w:rsidR="00FA7C11" w:rsidRDefault="00D84965">
            <w:pPr>
              <w:pStyle w:val="P68B1DB1-Normal66"/>
              <w:spacing w:after="200" w:line="276" w:lineRule="auto"/>
              <w:jc w:val="center"/>
              <w:rPr>
                <w:noProof/>
              </w:rPr>
            </w:pPr>
            <w:r>
              <w:rPr>
                <w:noProof/>
              </w:rPr>
              <w:t> </w:t>
            </w:r>
          </w:p>
        </w:tc>
        <w:tc>
          <w:tcPr>
            <w:tcW w:w="1134" w:type="dxa"/>
            <w:shd w:val="clear" w:color="auto" w:fill="C6EFCE"/>
            <w:noWrap/>
          </w:tcPr>
          <w:p w14:paraId="04F214D2" w14:textId="77777777" w:rsidR="00FA7C11" w:rsidRDefault="00D84965">
            <w:pPr>
              <w:pStyle w:val="P68B1DB1-Normal66"/>
              <w:spacing w:after="200" w:line="276" w:lineRule="auto"/>
              <w:jc w:val="center"/>
              <w:rPr>
                <w:noProof/>
              </w:rPr>
            </w:pPr>
            <w:r>
              <w:rPr>
                <w:noProof/>
              </w:rPr>
              <w:t> </w:t>
            </w:r>
          </w:p>
        </w:tc>
        <w:tc>
          <w:tcPr>
            <w:tcW w:w="706" w:type="dxa"/>
            <w:shd w:val="clear" w:color="auto" w:fill="C6EFCE"/>
            <w:noWrap/>
          </w:tcPr>
          <w:p w14:paraId="5615681F" w14:textId="77777777" w:rsidR="00FA7C11" w:rsidRDefault="00D84965">
            <w:pPr>
              <w:pStyle w:val="P68B1DB1-Normal66"/>
              <w:spacing w:after="200" w:line="276" w:lineRule="auto"/>
              <w:jc w:val="center"/>
              <w:rPr>
                <w:noProof/>
              </w:rPr>
            </w:pPr>
            <w:r>
              <w:rPr>
                <w:noProof/>
              </w:rPr>
              <w:t> </w:t>
            </w:r>
          </w:p>
        </w:tc>
        <w:tc>
          <w:tcPr>
            <w:tcW w:w="709" w:type="dxa"/>
            <w:shd w:val="clear" w:color="auto" w:fill="C6EFCE"/>
            <w:noWrap/>
          </w:tcPr>
          <w:p w14:paraId="0E485112" w14:textId="77777777" w:rsidR="00FA7C11" w:rsidRDefault="00D84965">
            <w:pPr>
              <w:pStyle w:val="P68B1DB1-Normal66"/>
              <w:spacing w:after="200" w:line="276" w:lineRule="auto"/>
              <w:jc w:val="center"/>
              <w:rPr>
                <w:noProof/>
              </w:rPr>
            </w:pPr>
            <w:r>
              <w:rPr>
                <w:noProof/>
              </w:rPr>
              <w:t>Î4</w:t>
            </w:r>
          </w:p>
        </w:tc>
        <w:tc>
          <w:tcPr>
            <w:tcW w:w="859" w:type="dxa"/>
            <w:shd w:val="clear" w:color="auto" w:fill="C6EFCE"/>
            <w:noWrap/>
          </w:tcPr>
          <w:p w14:paraId="075AD0EC" w14:textId="77777777" w:rsidR="00FA7C11" w:rsidRDefault="00D84965">
            <w:pPr>
              <w:pStyle w:val="P68B1DB1-Normal66"/>
              <w:spacing w:after="200" w:line="276" w:lineRule="auto"/>
              <w:jc w:val="center"/>
              <w:rPr>
                <w:noProof/>
              </w:rPr>
            </w:pPr>
            <w:r>
              <w:rPr>
                <w:noProof/>
              </w:rPr>
              <w:t>2024</w:t>
            </w:r>
          </w:p>
        </w:tc>
        <w:tc>
          <w:tcPr>
            <w:tcW w:w="4244" w:type="dxa"/>
            <w:shd w:val="clear" w:color="auto" w:fill="C6EFCE"/>
            <w:noWrap/>
          </w:tcPr>
          <w:p w14:paraId="420D95BF" w14:textId="17404910"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Vor fi puse în aplicare noi caracteristici pentru a îmbunătăți digitalizarea sistemului de justiție:</w:t>
            </w:r>
            <w:r>
              <w:rPr>
                <w:rFonts w:ascii="Times New Roman" w:hAnsi="Times New Roman" w:cs="Times New Roman"/>
                <w:noProof/>
              </w:rPr>
              <w:br/>
            </w:r>
            <w:r>
              <w:rPr>
                <w:rFonts w:ascii="Times New Roman" w:eastAsia="Calibri" w:hAnsi="Times New Roman" w:cs="Times New Roman"/>
                <w:noProof/>
                <w:color w:val="000000" w:themeColor="text1"/>
              </w:rPr>
              <w:t xml:space="preserve">— Livrarea electronică completă a documentelor către cetățeni prin intermediul căsuței poștale electronice a utilizatorului și informații privind livrarea electronică în cazul transmiterii documentelor prin livrare fizică; </w:t>
            </w:r>
            <w:r>
              <w:rPr>
                <w:rFonts w:ascii="Times New Roman" w:hAnsi="Times New Roman" w:cs="Times New Roman"/>
                <w:noProof/>
              </w:rPr>
              <w:br/>
              <w:t xml:space="preserve"> </w:t>
            </w:r>
            <w:r>
              <w:rPr>
                <w:rFonts w:ascii="Times New Roman" w:eastAsia="Calibri" w:hAnsi="Times New Roman" w:cs="Times New Roman"/>
                <w:noProof/>
                <w:color w:val="000000" w:themeColor="text1"/>
              </w:rPr>
              <w:t xml:space="preserve">Îmbunătățirea experienței utilizatorilor prin punerea în aplicare a unui plan de acțiune care să conțină recomandări privind aspectele tehnice și gestionarea IT (recomandări privind procesele administrative și operaționale </w:t>
            </w:r>
            <w:r>
              <w:rPr>
                <w:rFonts w:ascii="Times New Roman" w:eastAsia="Calibri" w:hAnsi="Times New Roman" w:cs="Times New Roman"/>
                <w:noProof/>
                <w:color w:val="000000" w:themeColor="text1"/>
                <w:u w:val="single"/>
              </w:rPr>
              <w:t>și</w:t>
            </w:r>
            <w:r>
              <w:rPr>
                <w:rFonts w:ascii="Times New Roman" w:eastAsia="Calibri" w:hAnsi="Times New Roman" w:cs="Times New Roman"/>
                <w:noProof/>
                <w:color w:val="000000" w:themeColor="text1"/>
              </w:rPr>
              <w:t xml:space="preserve"> recomandări tehnice); </w:t>
            </w:r>
            <w:r>
              <w:rPr>
                <w:rFonts w:ascii="Times New Roman" w:hAnsi="Times New Roman" w:cs="Times New Roman"/>
                <w:noProof/>
              </w:rPr>
              <w:br/>
              <w:t xml:space="preserve"> </w:t>
            </w:r>
            <w:r>
              <w:rPr>
                <w:rFonts w:ascii="Times New Roman" w:eastAsia="Calibri" w:hAnsi="Times New Roman" w:cs="Times New Roman"/>
                <w:noProof/>
                <w:color w:val="000000" w:themeColor="text1"/>
              </w:rPr>
              <w:t>— O nouă arhitectură integrată în cadrul Centrului de servicii partajate pentru a reduce blocajele din sistem, a spori stabilitatea și a permite interoperabilitatea cu alte sisteme.</w:t>
            </w:r>
          </w:p>
        </w:tc>
      </w:tr>
      <w:tr w:rsidR="00FA7C11" w14:paraId="609757DC" w14:textId="77777777">
        <w:trPr>
          <w:trHeight w:val="283"/>
        </w:trPr>
        <w:tc>
          <w:tcPr>
            <w:tcW w:w="810" w:type="dxa"/>
            <w:shd w:val="clear" w:color="auto" w:fill="C6EFCE"/>
            <w:noWrap/>
          </w:tcPr>
          <w:p w14:paraId="2FC1B501" w14:textId="77777777" w:rsidR="00FA7C11" w:rsidRDefault="00D84965">
            <w:pPr>
              <w:pStyle w:val="P68B1DB1-Normal66"/>
              <w:spacing w:after="200" w:line="276" w:lineRule="auto"/>
              <w:jc w:val="center"/>
              <w:rPr>
                <w:noProof/>
              </w:rPr>
            </w:pPr>
            <w:r>
              <w:rPr>
                <w:noProof/>
              </w:rPr>
              <w:t>225</w:t>
            </w:r>
          </w:p>
        </w:tc>
        <w:tc>
          <w:tcPr>
            <w:tcW w:w="1284" w:type="dxa"/>
            <w:shd w:val="clear" w:color="auto" w:fill="C6EFCE"/>
            <w:noWrap/>
          </w:tcPr>
          <w:p w14:paraId="3549A2A2" w14:textId="77777777" w:rsidR="00FA7C11" w:rsidRDefault="00D84965">
            <w:pPr>
              <w:pStyle w:val="P68B1DB1-Normal66"/>
              <w:spacing w:after="200" w:line="276" w:lineRule="auto"/>
              <w:jc w:val="center"/>
              <w:rPr>
                <w:noProof/>
              </w:rPr>
            </w:pPr>
            <w:r>
              <w:rPr>
                <w:noProof/>
              </w:rPr>
              <w:t>C2.5. R1-I2</w:t>
            </w:r>
          </w:p>
        </w:tc>
        <w:tc>
          <w:tcPr>
            <w:tcW w:w="1134" w:type="dxa"/>
            <w:shd w:val="clear" w:color="auto" w:fill="C6EFCE"/>
            <w:noWrap/>
          </w:tcPr>
          <w:p w14:paraId="64F0EE53" w14:textId="77777777" w:rsidR="00FA7C11" w:rsidRDefault="00D84965">
            <w:pPr>
              <w:pStyle w:val="P68B1DB1-Normal66"/>
              <w:spacing w:after="200" w:line="276" w:lineRule="auto"/>
              <w:jc w:val="center"/>
              <w:rPr>
                <w:noProof/>
              </w:rPr>
            </w:pPr>
            <w:r>
              <w:rPr>
                <w:noProof/>
              </w:rPr>
              <w:t>T</w:t>
            </w:r>
          </w:p>
        </w:tc>
        <w:tc>
          <w:tcPr>
            <w:tcW w:w="1842" w:type="dxa"/>
            <w:shd w:val="clear" w:color="auto" w:fill="C6EFCE"/>
            <w:noWrap/>
          </w:tcPr>
          <w:p w14:paraId="09F3DF51" w14:textId="77777777" w:rsidR="00FA7C11" w:rsidRDefault="00D84965">
            <w:pPr>
              <w:pStyle w:val="P68B1DB1-Normal66"/>
              <w:spacing w:after="200" w:line="276" w:lineRule="auto"/>
              <w:rPr>
                <w:noProof/>
              </w:rPr>
            </w:pPr>
            <w:r>
              <w:rPr>
                <w:noProof/>
              </w:rPr>
              <w:t xml:space="preserve">60 % din datele cadastrale și cadastrale integrate </w:t>
            </w:r>
          </w:p>
        </w:tc>
        <w:tc>
          <w:tcPr>
            <w:tcW w:w="2268" w:type="dxa"/>
            <w:shd w:val="clear" w:color="auto" w:fill="C6EFCE"/>
            <w:noWrap/>
          </w:tcPr>
          <w:p w14:paraId="6BCACEE2"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5E6FB799" w14:textId="77777777" w:rsidR="00FA7C11" w:rsidRDefault="00D84965">
            <w:pPr>
              <w:pStyle w:val="P68B1DB1-Normal66"/>
              <w:spacing w:after="200" w:line="276" w:lineRule="auto"/>
              <w:jc w:val="center"/>
              <w:rPr>
                <w:noProof/>
              </w:rPr>
            </w:pPr>
            <w:r>
              <w:rPr>
                <w:noProof/>
              </w:rPr>
              <w:t>% (procent)</w:t>
            </w:r>
          </w:p>
        </w:tc>
        <w:tc>
          <w:tcPr>
            <w:tcW w:w="1134" w:type="dxa"/>
            <w:shd w:val="clear" w:color="auto" w:fill="C6EFCE"/>
            <w:noWrap/>
          </w:tcPr>
          <w:p w14:paraId="7EE36064" w14:textId="77777777" w:rsidR="00FA7C11" w:rsidRDefault="00D84965">
            <w:pPr>
              <w:pStyle w:val="P68B1DB1-Normal66"/>
              <w:spacing w:after="200" w:line="276" w:lineRule="auto"/>
              <w:jc w:val="center"/>
              <w:rPr>
                <w:noProof/>
              </w:rPr>
            </w:pPr>
            <w:r>
              <w:rPr>
                <w:noProof/>
              </w:rPr>
              <w:t>3,86</w:t>
            </w:r>
          </w:p>
        </w:tc>
        <w:tc>
          <w:tcPr>
            <w:tcW w:w="706" w:type="dxa"/>
            <w:shd w:val="clear" w:color="auto" w:fill="C6EFCE"/>
            <w:noWrap/>
          </w:tcPr>
          <w:p w14:paraId="73F5C72C" w14:textId="77777777" w:rsidR="00FA7C11" w:rsidRDefault="00D84965">
            <w:pPr>
              <w:pStyle w:val="P68B1DB1-Normal66"/>
              <w:spacing w:after="200" w:line="276" w:lineRule="auto"/>
              <w:jc w:val="center"/>
              <w:rPr>
                <w:noProof/>
              </w:rPr>
            </w:pPr>
            <w:r>
              <w:rPr>
                <w:noProof/>
              </w:rPr>
              <w:t>60</w:t>
            </w:r>
          </w:p>
        </w:tc>
        <w:tc>
          <w:tcPr>
            <w:tcW w:w="709" w:type="dxa"/>
            <w:shd w:val="clear" w:color="auto" w:fill="C6EFCE"/>
            <w:noWrap/>
          </w:tcPr>
          <w:p w14:paraId="36E6E416" w14:textId="77777777" w:rsidR="00FA7C11" w:rsidRDefault="00D84965">
            <w:pPr>
              <w:pStyle w:val="P68B1DB1-Normal66"/>
              <w:spacing w:after="200" w:line="276" w:lineRule="auto"/>
              <w:jc w:val="center"/>
              <w:rPr>
                <w:noProof/>
              </w:rPr>
            </w:pPr>
            <w:r>
              <w:rPr>
                <w:noProof/>
              </w:rPr>
              <w:t>Î2</w:t>
            </w:r>
          </w:p>
        </w:tc>
        <w:tc>
          <w:tcPr>
            <w:tcW w:w="859" w:type="dxa"/>
            <w:shd w:val="clear" w:color="auto" w:fill="C6EFCE"/>
            <w:noWrap/>
          </w:tcPr>
          <w:p w14:paraId="52C8F8A2" w14:textId="77777777" w:rsidR="00FA7C11" w:rsidRDefault="00D84965">
            <w:pPr>
              <w:pStyle w:val="P68B1DB1-Normal66"/>
              <w:spacing w:after="200" w:line="276" w:lineRule="auto"/>
              <w:jc w:val="center"/>
              <w:rPr>
                <w:noProof/>
              </w:rPr>
            </w:pPr>
            <w:r>
              <w:rPr>
                <w:noProof/>
              </w:rPr>
              <w:t>2026</w:t>
            </w:r>
          </w:p>
        </w:tc>
        <w:tc>
          <w:tcPr>
            <w:tcW w:w="4244" w:type="dxa"/>
            <w:shd w:val="clear" w:color="auto" w:fill="C6EFCE"/>
            <w:noWrap/>
          </w:tcPr>
          <w:p w14:paraId="02F73420" w14:textId="77777777" w:rsidR="00FA7C11" w:rsidRDefault="00D84965">
            <w:pPr>
              <w:pStyle w:val="P68B1DB1-Normal59"/>
              <w:spacing w:after="200" w:line="276" w:lineRule="auto"/>
              <w:rPr>
                <w:rFonts w:ascii="Times New Roman" w:eastAsia="Times New Roman" w:hAnsi="Times New Roman" w:cs="Times New Roman"/>
                <w:noProof/>
              </w:rPr>
            </w:pPr>
            <w:r>
              <w:rPr>
                <w:rFonts w:ascii="Times New Roman" w:eastAsia="Times New Roman" w:hAnsi="Times New Roman" w:cs="Times New Roman"/>
                <w:noProof/>
                <w:color w:val="000000" w:themeColor="text1"/>
              </w:rPr>
              <w:t>A prezentat raportul final al contractantului care conține lista municipalităților cadastrale</w:t>
            </w:r>
            <w:r>
              <w:rPr>
                <w:rFonts w:ascii="Times New Roman" w:eastAsia="Times New Roman" w:hAnsi="Times New Roman" w:cs="Times New Roman"/>
                <w:noProof/>
              </w:rPr>
              <w:t xml:space="preserve"> </w:t>
            </w:r>
            <w:r>
              <w:rPr>
                <w:rFonts w:ascii="Times New Roman" w:hAnsi="Times New Roman" w:cs="Times New Roman"/>
                <w:noProof/>
                <w:color w:val="000000" w:themeColor="text1"/>
              </w:rPr>
              <w:t xml:space="preserve">cu procentul de parcele cadastrale din baza de date funciare (BZP) pentru fiecare municipalitate cadastrală, confirmând că 60 % din datele cadastrale și cadastrale au fost integrate. Raportul confirmă, de asemenea, că modulul </w:t>
            </w:r>
            <w:r>
              <w:rPr>
                <w:rFonts w:ascii="Times New Roman" w:eastAsia="Times New Roman" w:hAnsi="Times New Roman" w:cs="Times New Roman"/>
                <w:noProof/>
              </w:rPr>
              <w:t>software (asistent virtual) bazat pe inteligența artificială este creat.</w:t>
            </w:r>
          </w:p>
        </w:tc>
      </w:tr>
      <w:tr w:rsidR="00FA7C11" w14:paraId="071F541F" w14:textId="77777777">
        <w:trPr>
          <w:trHeight w:val="283"/>
        </w:trPr>
        <w:tc>
          <w:tcPr>
            <w:tcW w:w="810" w:type="dxa"/>
            <w:shd w:val="clear" w:color="auto" w:fill="C6EFCE"/>
            <w:noWrap/>
          </w:tcPr>
          <w:p w14:paraId="29128185" w14:textId="77777777" w:rsidR="00FA7C11" w:rsidRDefault="00D84965">
            <w:pPr>
              <w:pStyle w:val="P68B1DB1-Normal66"/>
              <w:spacing w:after="200" w:line="276" w:lineRule="auto"/>
              <w:jc w:val="center"/>
              <w:rPr>
                <w:noProof/>
              </w:rPr>
            </w:pPr>
            <w:r>
              <w:rPr>
                <w:noProof/>
              </w:rPr>
              <w:t>226</w:t>
            </w:r>
          </w:p>
        </w:tc>
        <w:tc>
          <w:tcPr>
            <w:tcW w:w="1284" w:type="dxa"/>
            <w:shd w:val="clear" w:color="auto" w:fill="C6EFCE"/>
            <w:noWrap/>
          </w:tcPr>
          <w:p w14:paraId="45FF99B1" w14:textId="77777777" w:rsidR="00FA7C11" w:rsidRDefault="00D84965">
            <w:pPr>
              <w:pStyle w:val="P68B1DB1-Normal66"/>
              <w:spacing w:after="200" w:line="276" w:lineRule="auto"/>
              <w:jc w:val="center"/>
              <w:rPr>
                <w:noProof/>
              </w:rPr>
            </w:pPr>
            <w:r>
              <w:rPr>
                <w:noProof/>
              </w:rPr>
              <w:t>C2.5. R1-I3</w:t>
            </w:r>
          </w:p>
        </w:tc>
        <w:tc>
          <w:tcPr>
            <w:tcW w:w="1134" w:type="dxa"/>
            <w:shd w:val="clear" w:color="auto" w:fill="C6EFCE"/>
            <w:noWrap/>
          </w:tcPr>
          <w:p w14:paraId="79B7F4FD" w14:textId="77777777" w:rsidR="00FA7C11" w:rsidRDefault="00D84965">
            <w:pPr>
              <w:pStyle w:val="P68B1DB1-Normal66"/>
              <w:spacing w:after="200" w:line="276" w:lineRule="auto"/>
              <w:jc w:val="center"/>
              <w:rPr>
                <w:noProof/>
              </w:rPr>
            </w:pPr>
            <w:r>
              <w:rPr>
                <w:noProof/>
              </w:rPr>
              <w:t>M</w:t>
            </w:r>
          </w:p>
        </w:tc>
        <w:tc>
          <w:tcPr>
            <w:tcW w:w="1842" w:type="dxa"/>
            <w:shd w:val="clear" w:color="auto" w:fill="C6EFCE"/>
            <w:noWrap/>
          </w:tcPr>
          <w:p w14:paraId="213E7803" w14:textId="739659E2" w:rsidR="00FA7C11" w:rsidRDefault="00D84965">
            <w:pPr>
              <w:pStyle w:val="P68B1DB1-Normal66"/>
              <w:spacing w:after="200" w:line="276" w:lineRule="auto"/>
              <w:rPr>
                <w:noProof/>
              </w:rPr>
            </w:pPr>
            <w:r>
              <w:rPr>
                <w:noProof/>
              </w:rPr>
              <w:t>Toate hotărârile judecătorești noi pronunțate în primă instanță și în a doua instanță care pun capăt procedurilor sunt anonimizate și publicate pe portal</w:t>
            </w:r>
          </w:p>
        </w:tc>
        <w:tc>
          <w:tcPr>
            <w:tcW w:w="2268" w:type="dxa"/>
            <w:shd w:val="clear" w:color="auto" w:fill="C6EFCE"/>
            <w:noWrap/>
          </w:tcPr>
          <w:p w14:paraId="748EC65B" w14:textId="77777777" w:rsidR="00FA7C11" w:rsidRDefault="00D84965">
            <w:pPr>
              <w:pStyle w:val="P68B1DB1-Normal66"/>
              <w:spacing w:after="200" w:line="276" w:lineRule="auto"/>
              <w:rPr>
                <w:noProof/>
              </w:rPr>
            </w:pPr>
            <w:r>
              <w:rPr>
                <w:noProof/>
              </w:rPr>
              <w:t>Este operațional un sistem de publicare publică și de căutare a hotărârilor judecătorești.</w:t>
            </w:r>
          </w:p>
        </w:tc>
        <w:tc>
          <w:tcPr>
            <w:tcW w:w="1067" w:type="dxa"/>
            <w:shd w:val="clear" w:color="auto" w:fill="C6EFCE"/>
            <w:noWrap/>
          </w:tcPr>
          <w:p w14:paraId="245C84E6" w14:textId="77777777" w:rsidR="00FA7C11" w:rsidRDefault="00D84965">
            <w:pPr>
              <w:pStyle w:val="P68B1DB1-Normal66"/>
              <w:spacing w:after="200" w:line="276" w:lineRule="auto"/>
              <w:jc w:val="center"/>
              <w:rPr>
                <w:noProof/>
              </w:rPr>
            </w:pPr>
            <w:r>
              <w:rPr>
                <w:noProof/>
              </w:rPr>
              <w:t> </w:t>
            </w:r>
          </w:p>
        </w:tc>
        <w:tc>
          <w:tcPr>
            <w:tcW w:w="1134" w:type="dxa"/>
            <w:shd w:val="clear" w:color="auto" w:fill="C6EFCE"/>
            <w:noWrap/>
          </w:tcPr>
          <w:p w14:paraId="0C633E81" w14:textId="77777777" w:rsidR="00FA7C11" w:rsidRDefault="00D84965">
            <w:pPr>
              <w:pStyle w:val="P68B1DB1-Normal66"/>
              <w:spacing w:after="200" w:line="276" w:lineRule="auto"/>
              <w:jc w:val="center"/>
              <w:rPr>
                <w:noProof/>
              </w:rPr>
            </w:pPr>
            <w:r>
              <w:rPr>
                <w:noProof/>
              </w:rPr>
              <w:t> </w:t>
            </w:r>
          </w:p>
        </w:tc>
        <w:tc>
          <w:tcPr>
            <w:tcW w:w="706" w:type="dxa"/>
            <w:shd w:val="clear" w:color="auto" w:fill="C6EFCE"/>
            <w:noWrap/>
          </w:tcPr>
          <w:p w14:paraId="56619143" w14:textId="77777777" w:rsidR="00FA7C11" w:rsidRDefault="00D84965">
            <w:pPr>
              <w:pStyle w:val="P68B1DB1-Normal66"/>
              <w:spacing w:after="200" w:line="276" w:lineRule="auto"/>
              <w:jc w:val="center"/>
              <w:rPr>
                <w:noProof/>
              </w:rPr>
            </w:pPr>
            <w:r>
              <w:rPr>
                <w:noProof/>
              </w:rPr>
              <w:t> </w:t>
            </w:r>
          </w:p>
        </w:tc>
        <w:tc>
          <w:tcPr>
            <w:tcW w:w="709" w:type="dxa"/>
            <w:shd w:val="clear" w:color="auto" w:fill="C6EFCE"/>
            <w:noWrap/>
          </w:tcPr>
          <w:p w14:paraId="780E8C3B" w14:textId="77777777" w:rsidR="00FA7C11" w:rsidRDefault="00D84965">
            <w:pPr>
              <w:pStyle w:val="P68B1DB1-Normal66"/>
              <w:spacing w:after="200" w:line="276" w:lineRule="auto"/>
              <w:jc w:val="center"/>
              <w:rPr>
                <w:noProof/>
              </w:rPr>
            </w:pPr>
            <w:r>
              <w:rPr>
                <w:noProof/>
              </w:rPr>
              <w:t>Î4</w:t>
            </w:r>
          </w:p>
        </w:tc>
        <w:tc>
          <w:tcPr>
            <w:tcW w:w="859" w:type="dxa"/>
            <w:shd w:val="clear" w:color="auto" w:fill="C6EFCE"/>
            <w:noWrap/>
          </w:tcPr>
          <w:p w14:paraId="6126ABEB" w14:textId="77777777" w:rsidR="00FA7C11" w:rsidRDefault="00D84965">
            <w:pPr>
              <w:pStyle w:val="P68B1DB1-Normal66"/>
              <w:spacing w:after="200" w:line="276" w:lineRule="auto"/>
              <w:jc w:val="center"/>
              <w:rPr>
                <w:noProof/>
              </w:rPr>
            </w:pPr>
            <w:r>
              <w:rPr>
                <w:noProof/>
              </w:rPr>
              <w:t>2024</w:t>
            </w:r>
          </w:p>
        </w:tc>
        <w:tc>
          <w:tcPr>
            <w:tcW w:w="4244" w:type="dxa"/>
            <w:shd w:val="clear" w:color="auto" w:fill="C6EFCE"/>
            <w:noWrap/>
          </w:tcPr>
          <w:p w14:paraId="239E3336" w14:textId="77777777" w:rsidR="00FA7C11" w:rsidRDefault="00D84965">
            <w:pPr>
              <w:pStyle w:val="P68B1DB1-Normal66"/>
              <w:spacing w:after="200" w:line="276" w:lineRule="auto"/>
              <w:rPr>
                <w:noProof/>
              </w:rPr>
            </w:pPr>
            <w:r>
              <w:rPr>
                <w:noProof/>
              </w:rPr>
              <w:t>Noile funcționalități includ publicarea pe internet a tuturor hotărârilor pronunțate în primă instanță și în a doua instanță, cu opțiuni de căutare elaborate și metode automatizate de anonimizare care respectă normele de protecție a datelor cu caracter personal.</w:t>
            </w:r>
          </w:p>
        </w:tc>
      </w:tr>
      <w:tr w:rsidR="00FA7C11" w14:paraId="74DF7CAB" w14:textId="77777777">
        <w:trPr>
          <w:trHeight w:val="283"/>
        </w:trPr>
        <w:tc>
          <w:tcPr>
            <w:tcW w:w="810" w:type="dxa"/>
            <w:shd w:val="clear" w:color="auto" w:fill="C6EFCE"/>
            <w:noWrap/>
          </w:tcPr>
          <w:p w14:paraId="57EAD0E6" w14:textId="77777777" w:rsidR="00FA7C11" w:rsidRDefault="00D84965">
            <w:pPr>
              <w:pStyle w:val="P68B1DB1-Normal66"/>
              <w:spacing w:after="200" w:line="276" w:lineRule="auto"/>
              <w:jc w:val="center"/>
              <w:rPr>
                <w:noProof/>
              </w:rPr>
            </w:pPr>
            <w:r>
              <w:rPr>
                <w:noProof/>
              </w:rPr>
              <w:t>227</w:t>
            </w:r>
          </w:p>
        </w:tc>
        <w:tc>
          <w:tcPr>
            <w:tcW w:w="1284" w:type="dxa"/>
            <w:shd w:val="clear" w:color="auto" w:fill="C6EFCE"/>
            <w:noWrap/>
          </w:tcPr>
          <w:p w14:paraId="665CE4C3" w14:textId="77777777" w:rsidR="00FA7C11" w:rsidRDefault="00D84965">
            <w:pPr>
              <w:pStyle w:val="P68B1DB1-Normal66"/>
              <w:spacing w:after="200" w:line="276" w:lineRule="auto"/>
              <w:jc w:val="center"/>
              <w:rPr>
                <w:noProof/>
              </w:rPr>
            </w:pPr>
            <w:r>
              <w:rPr>
                <w:noProof/>
              </w:rPr>
              <w:t>C2.5. R1-I4</w:t>
            </w:r>
          </w:p>
        </w:tc>
        <w:tc>
          <w:tcPr>
            <w:tcW w:w="1134" w:type="dxa"/>
            <w:shd w:val="clear" w:color="auto" w:fill="C6EFCE"/>
            <w:noWrap/>
          </w:tcPr>
          <w:p w14:paraId="14C10B8C" w14:textId="77777777" w:rsidR="00FA7C11" w:rsidRDefault="00D84965">
            <w:pPr>
              <w:pStyle w:val="P68B1DB1-Normal66"/>
              <w:spacing w:after="200" w:line="276" w:lineRule="auto"/>
              <w:jc w:val="center"/>
              <w:rPr>
                <w:noProof/>
              </w:rPr>
            </w:pPr>
            <w:r>
              <w:rPr>
                <w:noProof/>
              </w:rPr>
              <w:t>T</w:t>
            </w:r>
          </w:p>
        </w:tc>
        <w:tc>
          <w:tcPr>
            <w:tcW w:w="1842" w:type="dxa"/>
            <w:shd w:val="clear" w:color="auto" w:fill="C6EFCE"/>
            <w:noWrap/>
          </w:tcPr>
          <w:p w14:paraId="4CE4B341" w14:textId="77777777" w:rsidR="00FA7C11" w:rsidRDefault="00D84965">
            <w:pPr>
              <w:pStyle w:val="P68B1DB1-Normal66"/>
              <w:spacing w:after="200" w:line="276" w:lineRule="auto"/>
              <w:rPr>
                <w:noProof/>
              </w:rPr>
            </w:pPr>
            <w:r>
              <w:rPr>
                <w:noProof/>
              </w:rPr>
              <w:t xml:space="preserve">Construirea unei zone de garaj pentru piața justiției din Zagreb </w:t>
            </w:r>
          </w:p>
        </w:tc>
        <w:tc>
          <w:tcPr>
            <w:tcW w:w="2268" w:type="dxa"/>
            <w:shd w:val="clear" w:color="auto" w:fill="C6EFCE"/>
            <w:noWrap/>
          </w:tcPr>
          <w:p w14:paraId="7CBDA3B2"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123DD0C3" w14:textId="77777777" w:rsidR="00FA7C11" w:rsidRDefault="00D84965">
            <w:pPr>
              <w:pStyle w:val="P68B1DB1-Normal66"/>
              <w:spacing w:after="200" w:line="276" w:lineRule="auto"/>
              <w:jc w:val="center"/>
              <w:rPr>
                <w:noProof/>
              </w:rPr>
            </w:pPr>
            <w:r>
              <w:rPr>
                <w:noProof/>
              </w:rPr>
              <w:t>Număr (brutto m²)</w:t>
            </w:r>
          </w:p>
        </w:tc>
        <w:tc>
          <w:tcPr>
            <w:tcW w:w="1134" w:type="dxa"/>
            <w:shd w:val="clear" w:color="auto" w:fill="C6EFCE"/>
            <w:noWrap/>
          </w:tcPr>
          <w:p w14:paraId="687E8E4C" w14:textId="77777777" w:rsidR="00FA7C11" w:rsidRDefault="00D84965">
            <w:pPr>
              <w:pStyle w:val="P68B1DB1-Normal66"/>
              <w:spacing w:after="200" w:line="276" w:lineRule="auto"/>
              <w:jc w:val="center"/>
              <w:rPr>
                <w:noProof/>
              </w:rPr>
            </w:pPr>
            <w:r>
              <w:rPr>
                <w:noProof/>
              </w:rPr>
              <w:t>0</w:t>
            </w:r>
          </w:p>
        </w:tc>
        <w:tc>
          <w:tcPr>
            <w:tcW w:w="706" w:type="dxa"/>
            <w:shd w:val="clear" w:color="auto" w:fill="C6EFCE"/>
            <w:noWrap/>
          </w:tcPr>
          <w:p w14:paraId="5A25E20F" w14:textId="77777777" w:rsidR="00FA7C11" w:rsidRDefault="00D84965">
            <w:pPr>
              <w:pStyle w:val="P68B1DB1-Normal66"/>
              <w:spacing w:after="200" w:line="276" w:lineRule="auto"/>
              <w:jc w:val="center"/>
              <w:rPr>
                <w:noProof/>
                <w:color w:val="000000" w:themeColor="text1"/>
              </w:rPr>
            </w:pPr>
            <w:r>
              <w:rPr>
                <w:noProof/>
              </w:rPr>
              <w:t>45 000</w:t>
            </w:r>
          </w:p>
        </w:tc>
        <w:tc>
          <w:tcPr>
            <w:tcW w:w="709" w:type="dxa"/>
            <w:shd w:val="clear" w:color="auto" w:fill="C6EFCE"/>
            <w:noWrap/>
          </w:tcPr>
          <w:p w14:paraId="7A5E3B3A" w14:textId="77777777" w:rsidR="00FA7C11" w:rsidRDefault="00D84965">
            <w:pPr>
              <w:pStyle w:val="P68B1DB1-Normal66"/>
              <w:spacing w:after="200" w:line="276" w:lineRule="auto"/>
              <w:jc w:val="center"/>
              <w:rPr>
                <w:noProof/>
              </w:rPr>
            </w:pPr>
            <w:r>
              <w:rPr>
                <w:noProof/>
              </w:rPr>
              <w:t>Î2</w:t>
            </w:r>
          </w:p>
        </w:tc>
        <w:tc>
          <w:tcPr>
            <w:tcW w:w="859" w:type="dxa"/>
            <w:shd w:val="clear" w:color="auto" w:fill="C6EFCE"/>
            <w:noWrap/>
          </w:tcPr>
          <w:p w14:paraId="0C1321D9" w14:textId="77777777" w:rsidR="00FA7C11" w:rsidRDefault="00D84965">
            <w:pPr>
              <w:pStyle w:val="P68B1DB1-Normal66"/>
              <w:spacing w:after="200" w:line="276" w:lineRule="auto"/>
              <w:jc w:val="center"/>
              <w:rPr>
                <w:noProof/>
              </w:rPr>
            </w:pPr>
            <w:r>
              <w:rPr>
                <w:noProof/>
              </w:rPr>
              <w:t>2026</w:t>
            </w:r>
          </w:p>
        </w:tc>
        <w:tc>
          <w:tcPr>
            <w:tcW w:w="4244" w:type="dxa"/>
            <w:shd w:val="clear" w:color="auto" w:fill="C6EFCE"/>
            <w:noWrap/>
          </w:tcPr>
          <w:p w14:paraId="55064C62" w14:textId="6063C382" w:rsidR="00FA7C11" w:rsidRDefault="00D84965">
            <w:pPr>
              <w:pStyle w:val="P68B1DB1-Normal66"/>
              <w:spacing w:after="200" w:line="276" w:lineRule="auto"/>
              <w:rPr>
                <w:noProof/>
                <w:color w:val="000000" w:themeColor="text1"/>
              </w:rPr>
            </w:pPr>
            <w:r>
              <w:rPr>
                <w:noProof/>
              </w:rPr>
              <w:t xml:space="preserve">Se construiește un garaj cu o suprafață de 45 000 m², după cum urmează: </w:t>
            </w:r>
          </w:p>
          <w:p w14:paraId="6DAD4189" w14:textId="77777777" w:rsidR="00FA7C11" w:rsidRDefault="00D84965">
            <w:pPr>
              <w:pStyle w:val="P68B1DB1-Normal59"/>
              <w:spacing w:after="200" w:line="276" w:lineRule="auto"/>
              <w:rPr>
                <w:rFonts w:ascii="Times New Roman" w:eastAsia="Calibri" w:hAnsi="Times New Roman" w:cs="Times New Roman"/>
                <w:noProof/>
                <w:color w:val="000000" w:themeColor="text1"/>
              </w:rPr>
            </w:pPr>
            <w:r>
              <w:rPr>
                <w:rFonts w:ascii="Times New Roman" w:eastAsia="Calibri" w:hAnsi="Times New Roman" w:cs="Times New Roman"/>
                <w:noProof/>
                <w:color w:val="000000" w:themeColor="text1"/>
              </w:rPr>
              <w:t>1. un raport privind stadiul construcției clădirii, întocmit de inginerul supraveghetor, care să dovedească faptul că clădirea a fost construită;</w:t>
            </w:r>
            <w:r>
              <w:rPr>
                <w:rFonts w:ascii="Times New Roman" w:hAnsi="Times New Roman" w:cs="Times New Roman"/>
                <w:noProof/>
              </w:rPr>
              <w:br/>
            </w:r>
            <w:r>
              <w:rPr>
                <w:rFonts w:ascii="Times New Roman" w:eastAsia="Calibri" w:hAnsi="Times New Roman" w:cs="Times New Roman"/>
                <w:noProof/>
                <w:color w:val="000000" w:themeColor="text1"/>
              </w:rPr>
              <w:t>2.Studiu geodezic al clădirii construite</w:t>
            </w:r>
            <w:r>
              <w:rPr>
                <w:rFonts w:ascii="Times New Roman" w:hAnsi="Times New Roman" w:cs="Times New Roman"/>
                <w:noProof/>
              </w:rPr>
              <w:br/>
              <w:t xml:space="preserve"> </w:t>
            </w:r>
            <w:r>
              <w:rPr>
                <w:rFonts w:ascii="Times New Roman" w:eastAsia="Calibri" w:hAnsi="Times New Roman" w:cs="Times New Roman"/>
                <w:noProof/>
                <w:color w:val="000000" w:themeColor="text1"/>
              </w:rPr>
              <w:t>3.Cardul de performanță energetică a clădirilor</w:t>
            </w:r>
          </w:p>
          <w:p w14:paraId="2AB8213A" w14:textId="77777777" w:rsidR="00FA7C11" w:rsidRDefault="00D84965">
            <w:pPr>
              <w:pStyle w:val="P68B1DB1-Normal66"/>
              <w:spacing w:after="200" w:line="276" w:lineRule="auto"/>
              <w:rPr>
                <w:noProof/>
              </w:rPr>
            </w:pPr>
            <w:r>
              <w:rPr>
                <w:noProof/>
              </w:rPr>
              <w:t>Investiția se referă la construirea unei clădiri noi, cu o cerere de energie primară (PED) care este cu cel puțin 20 % mai mică decât clădirea al cărei consum de energie este aproape egal cu zero (NZEB).</w:t>
            </w:r>
          </w:p>
        </w:tc>
      </w:tr>
      <w:tr w:rsidR="00FA7C11" w14:paraId="581A1A62" w14:textId="77777777">
        <w:trPr>
          <w:trHeight w:val="283"/>
        </w:trPr>
        <w:tc>
          <w:tcPr>
            <w:tcW w:w="810" w:type="dxa"/>
            <w:shd w:val="clear" w:color="auto" w:fill="C6EFCE"/>
            <w:noWrap/>
          </w:tcPr>
          <w:p w14:paraId="3CBE9AB7" w14:textId="77777777" w:rsidR="00FA7C11" w:rsidRDefault="00D84965">
            <w:pPr>
              <w:pStyle w:val="P68B1DB1-Normal66"/>
              <w:spacing w:after="200" w:line="276" w:lineRule="auto"/>
              <w:jc w:val="center"/>
              <w:rPr>
                <w:noProof/>
              </w:rPr>
            </w:pPr>
            <w:r>
              <w:rPr>
                <w:noProof/>
              </w:rPr>
              <w:t>228</w:t>
            </w:r>
          </w:p>
        </w:tc>
        <w:tc>
          <w:tcPr>
            <w:tcW w:w="1284" w:type="dxa"/>
            <w:shd w:val="clear" w:color="auto" w:fill="C6EFCE"/>
            <w:noWrap/>
          </w:tcPr>
          <w:p w14:paraId="77423C36" w14:textId="77777777" w:rsidR="00FA7C11" w:rsidRDefault="00D84965">
            <w:pPr>
              <w:pStyle w:val="P68B1DB1-Normal66"/>
              <w:spacing w:after="200" w:line="276" w:lineRule="auto"/>
              <w:jc w:val="center"/>
              <w:rPr>
                <w:noProof/>
              </w:rPr>
            </w:pPr>
            <w:r>
              <w:rPr>
                <w:noProof/>
              </w:rPr>
              <w:t>C2.5. R1-I5</w:t>
            </w:r>
          </w:p>
        </w:tc>
        <w:tc>
          <w:tcPr>
            <w:tcW w:w="1134" w:type="dxa"/>
            <w:shd w:val="clear" w:color="auto" w:fill="C6EFCE"/>
            <w:noWrap/>
          </w:tcPr>
          <w:p w14:paraId="430CECBC" w14:textId="77777777" w:rsidR="00FA7C11" w:rsidRDefault="00D84965">
            <w:pPr>
              <w:pStyle w:val="P68B1DB1-Normal66"/>
              <w:spacing w:after="200" w:line="276" w:lineRule="auto"/>
              <w:jc w:val="center"/>
              <w:rPr>
                <w:noProof/>
              </w:rPr>
            </w:pPr>
            <w:r>
              <w:rPr>
                <w:noProof/>
              </w:rPr>
              <w:t>T</w:t>
            </w:r>
          </w:p>
        </w:tc>
        <w:tc>
          <w:tcPr>
            <w:tcW w:w="1842" w:type="dxa"/>
            <w:shd w:val="clear" w:color="auto" w:fill="C6EFCE"/>
            <w:noWrap/>
          </w:tcPr>
          <w:p w14:paraId="61E2D1B8" w14:textId="77777777" w:rsidR="00FA7C11" w:rsidRDefault="00D84965">
            <w:pPr>
              <w:pStyle w:val="P68B1DB1-Normal66"/>
              <w:spacing w:after="200" w:line="276" w:lineRule="auto"/>
              <w:rPr>
                <w:noProof/>
              </w:rPr>
            </w:pPr>
            <w:r>
              <w:rPr>
                <w:noProof/>
              </w:rPr>
              <w:t>Clădiri ale instanțelor nou renovate care respectă Regulamentul tehnic privind utilizarea rațională a energiei și protecția termică în clădiri</w:t>
            </w:r>
          </w:p>
        </w:tc>
        <w:tc>
          <w:tcPr>
            <w:tcW w:w="2268" w:type="dxa"/>
            <w:shd w:val="clear" w:color="auto" w:fill="C6EFCE"/>
            <w:noWrap/>
          </w:tcPr>
          <w:p w14:paraId="55946F7C"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3A85DA9D" w14:textId="77777777" w:rsidR="00FA7C11" w:rsidRDefault="00D84965">
            <w:pPr>
              <w:pStyle w:val="P68B1DB1-Normal66"/>
              <w:spacing w:after="200" w:line="276" w:lineRule="auto"/>
              <w:jc w:val="center"/>
              <w:rPr>
                <w:noProof/>
              </w:rPr>
            </w:pPr>
            <w:r>
              <w:rPr>
                <w:noProof/>
              </w:rPr>
              <w:t>Număr</w:t>
            </w:r>
          </w:p>
        </w:tc>
        <w:tc>
          <w:tcPr>
            <w:tcW w:w="1134" w:type="dxa"/>
            <w:shd w:val="clear" w:color="auto" w:fill="C6EFCE"/>
            <w:noWrap/>
          </w:tcPr>
          <w:p w14:paraId="3C208876" w14:textId="77777777" w:rsidR="00FA7C11" w:rsidRDefault="00D84965">
            <w:pPr>
              <w:pStyle w:val="P68B1DB1-Normal66"/>
              <w:spacing w:after="200" w:line="276" w:lineRule="auto"/>
              <w:jc w:val="center"/>
              <w:rPr>
                <w:noProof/>
              </w:rPr>
            </w:pPr>
            <w:r>
              <w:rPr>
                <w:noProof/>
              </w:rPr>
              <w:t>0</w:t>
            </w:r>
          </w:p>
        </w:tc>
        <w:tc>
          <w:tcPr>
            <w:tcW w:w="706" w:type="dxa"/>
            <w:shd w:val="clear" w:color="auto" w:fill="C6EFCE"/>
            <w:noWrap/>
          </w:tcPr>
          <w:p w14:paraId="471FDF06" w14:textId="77777777" w:rsidR="00FA7C11" w:rsidRDefault="00D84965">
            <w:pPr>
              <w:pStyle w:val="P68B1DB1-Normal66"/>
              <w:spacing w:after="200" w:line="276" w:lineRule="auto"/>
              <w:jc w:val="center"/>
              <w:rPr>
                <w:noProof/>
              </w:rPr>
            </w:pPr>
            <w:r>
              <w:rPr>
                <w:noProof/>
              </w:rPr>
              <w:t>20</w:t>
            </w:r>
          </w:p>
        </w:tc>
        <w:tc>
          <w:tcPr>
            <w:tcW w:w="709" w:type="dxa"/>
            <w:shd w:val="clear" w:color="auto" w:fill="C6EFCE"/>
            <w:noWrap/>
          </w:tcPr>
          <w:p w14:paraId="2CBBBFF3" w14:textId="77777777" w:rsidR="00FA7C11" w:rsidRDefault="00D84965">
            <w:pPr>
              <w:pStyle w:val="P68B1DB1-Normal66"/>
              <w:spacing w:after="200" w:line="276" w:lineRule="auto"/>
              <w:jc w:val="center"/>
              <w:rPr>
                <w:noProof/>
              </w:rPr>
            </w:pPr>
            <w:r>
              <w:rPr>
                <w:noProof/>
              </w:rPr>
              <w:t>Î2</w:t>
            </w:r>
          </w:p>
        </w:tc>
        <w:tc>
          <w:tcPr>
            <w:tcW w:w="859" w:type="dxa"/>
            <w:shd w:val="clear" w:color="auto" w:fill="C6EFCE"/>
            <w:noWrap/>
          </w:tcPr>
          <w:p w14:paraId="39BF8DCB" w14:textId="77777777" w:rsidR="00FA7C11" w:rsidRDefault="00D84965">
            <w:pPr>
              <w:pStyle w:val="P68B1DB1-Normal66"/>
              <w:spacing w:after="200" w:line="276" w:lineRule="auto"/>
              <w:jc w:val="center"/>
              <w:rPr>
                <w:noProof/>
              </w:rPr>
            </w:pPr>
            <w:r>
              <w:rPr>
                <w:noProof/>
              </w:rPr>
              <w:t>2024</w:t>
            </w:r>
          </w:p>
        </w:tc>
        <w:tc>
          <w:tcPr>
            <w:tcW w:w="4244" w:type="dxa"/>
            <w:shd w:val="clear" w:color="auto" w:fill="C6EFCE"/>
            <w:noWrap/>
          </w:tcPr>
          <w:p w14:paraId="04AF6749" w14:textId="35B400A9" w:rsidR="00FA7C11" w:rsidRDefault="00D84965">
            <w:pPr>
              <w:pStyle w:val="P68B1DB1-Normal66"/>
              <w:spacing w:after="200" w:line="276" w:lineRule="auto"/>
              <w:rPr>
                <w:noProof/>
              </w:rPr>
            </w:pPr>
            <w:r>
              <w:rPr>
                <w:noProof/>
              </w:rPr>
              <w:t xml:space="preserve">Se finalizează renovarea a 20 de clădiri judiciare. Clădirile renovate recent trebuie să respecte standardele privind utilizarea rațională a energiei și protecția termică. Investiția vizează, în medie, cel puțin o renovare de amploare medie, astfel cum este definită în Recomandarea (UE) 2019/786 a Comisiei privind renovarea clădirilor, având ca rezultat realizarea unei reduceri cu cel puțin 30 % a cererii de energie primară; sau realizează, în medie, o reducere de cel puțin 30 % a emisiilor directe și indirecte de GES în comparație cu emisiile ex ante. În plus, accesul în clădiri este adaptat persoanelor cu handicap, iar această adaptare este însoțită de respectarea standardelor tehnice de protecție împotriva incendiilor și de protecție împotriva incendiilor, precum și de proiectarea funcțională a interioarelor. În acest ciclu de investiții, se acordă prioritate amplasării autorităților judiciare în regiunile mai puțin dezvoltate din punct de vedere economic din Croația. </w:t>
            </w:r>
          </w:p>
        </w:tc>
      </w:tr>
      <w:tr w:rsidR="00FA7C11" w14:paraId="07F80B61" w14:textId="77777777">
        <w:trPr>
          <w:trHeight w:val="283"/>
        </w:trPr>
        <w:tc>
          <w:tcPr>
            <w:tcW w:w="810" w:type="dxa"/>
            <w:shd w:val="clear" w:color="auto" w:fill="C6EFCE"/>
            <w:noWrap/>
          </w:tcPr>
          <w:p w14:paraId="7C730AA6" w14:textId="77777777" w:rsidR="00FA7C11" w:rsidRDefault="00D84965">
            <w:pPr>
              <w:pStyle w:val="P68B1DB1-Normal66"/>
              <w:spacing w:after="200" w:line="276" w:lineRule="auto"/>
              <w:jc w:val="center"/>
              <w:rPr>
                <w:noProof/>
              </w:rPr>
            </w:pPr>
            <w:r>
              <w:rPr>
                <w:noProof/>
              </w:rPr>
              <w:t>229</w:t>
            </w:r>
          </w:p>
        </w:tc>
        <w:tc>
          <w:tcPr>
            <w:tcW w:w="1284" w:type="dxa"/>
            <w:shd w:val="clear" w:color="auto" w:fill="C6EFCE"/>
            <w:noWrap/>
          </w:tcPr>
          <w:p w14:paraId="646C7578" w14:textId="77777777" w:rsidR="00FA7C11" w:rsidRDefault="00D84965">
            <w:pPr>
              <w:pStyle w:val="P68B1DB1-Normal66"/>
              <w:spacing w:after="200" w:line="276" w:lineRule="auto"/>
              <w:jc w:val="center"/>
              <w:rPr>
                <w:noProof/>
              </w:rPr>
            </w:pPr>
            <w:r>
              <w:rPr>
                <w:noProof/>
              </w:rPr>
              <w:t>C2.5. R1-I6</w:t>
            </w:r>
          </w:p>
        </w:tc>
        <w:tc>
          <w:tcPr>
            <w:tcW w:w="1134" w:type="dxa"/>
            <w:shd w:val="clear" w:color="auto" w:fill="C6EFCE"/>
            <w:noWrap/>
          </w:tcPr>
          <w:p w14:paraId="2FE35D7A" w14:textId="77777777" w:rsidR="00FA7C11" w:rsidRDefault="00D84965">
            <w:pPr>
              <w:pStyle w:val="P68B1DB1-Normal66"/>
              <w:spacing w:after="200" w:line="276" w:lineRule="auto"/>
              <w:jc w:val="center"/>
              <w:rPr>
                <w:noProof/>
              </w:rPr>
            </w:pPr>
            <w:r>
              <w:rPr>
                <w:noProof/>
              </w:rPr>
              <w:t>M</w:t>
            </w:r>
          </w:p>
        </w:tc>
        <w:tc>
          <w:tcPr>
            <w:tcW w:w="1842" w:type="dxa"/>
            <w:shd w:val="clear" w:color="auto" w:fill="C6EFCE"/>
            <w:noWrap/>
          </w:tcPr>
          <w:p w14:paraId="4085E5D7" w14:textId="77777777" w:rsidR="00FA7C11" w:rsidRDefault="00D84965">
            <w:pPr>
              <w:pStyle w:val="P68B1DB1-Normal66"/>
              <w:spacing w:after="200" w:line="276" w:lineRule="auto"/>
              <w:rPr>
                <w:noProof/>
              </w:rPr>
            </w:pPr>
            <w:r>
              <w:rPr>
                <w:noProof/>
              </w:rPr>
              <w:t>Toate instanțele de prim grad de jurisdicție sunt echipate și îndeplinesc condițiile pentru a fi audiate de la distanță.</w:t>
            </w:r>
          </w:p>
        </w:tc>
        <w:tc>
          <w:tcPr>
            <w:tcW w:w="2268" w:type="dxa"/>
            <w:shd w:val="clear" w:color="auto" w:fill="C6EFCE"/>
            <w:noWrap/>
          </w:tcPr>
          <w:p w14:paraId="6BCF3EBF" w14:textId="77777777" w:rsidR="00FA7C11" w:rsidRDefault="00D84965">
            <w:pPr>
              <w:pStyle w:val="P68B1DB1-Normal66"/>
              <w:spacing w:after="200" w:line="276" w:lineRule="auto"/>
              <w:rPr>
                <w:noProof/>
              </w:rPr>
            </w:pPr>
            <w:r>
              <w:rPr>
                <w:noProof/>
              </w:rPr>
              <w:t>Organizarea de audieri la distanță în toate instanțele de prim grad de jurisdicție</w:t>
            </w:r>
          </w:p>
        </w:tc>
        <w:tc>
          <w:tcPr>
            <w:tcW w:w="1067" w:type="dxa"/>
            <w:shd w:val="clear" w:color="auto" w:fill="C6EFCE"/>
            <w:noWrap/>
          </w:tcPr>
          <w:p w14:paraId="08A716D5" w14:textId="77777777" w:rsidR="00FA7C11" w:rsidRDefault="00D84965">
            <w:pPr>
              <w:pStyle w:val="P68B1DB1-Normal66"/>
              <w:spacing w:after="200" w:line="276" w:lineRule="auto"/>
              <w:jc w:val="center"/>
              <w:rPr>
                <w:noProof/>
              </w:rPr>
            </w:pPr>
            <w:r>
              <w:rPr>
                <w:noProof/>
              </w:rPr>
              <w:t> </w:t>
            </w:r>
          </w:p>
        </w:tc>
        <w:tc>
          <w:tcPr>
            <w:tcW w:w="1134" w:type="dxa"/>
            <w:shd w:val="clear" w:color="auto" w:fill="C6EFCE"/>
            <w:noWrap/>
          </w:tcPr>
          <w:p w14:paraId="0D239D28" w14:textId="77777777" w:rsidR="00FA7C11" w:rsidRDefault="00D84965">
            <w:pPr>
              <w:pStyle w:val="P68B1DB1-Normal66"/>
              <w:spacing w:after="200" w:line="276" w:lineRule="auto"/>
              <w:jc w:val="center"/>
              <w:rPr>
                <w:noProof/>
              </w:rPr>
            </w:pPr>
            <w:r>
              <w:rPr>
                <w:noProof/>
              </w:rPr>
              <w:t> </w:t>
            </w:r>
          </w:p>
        </w:tc>
        <w:tc>
          <w:tcPr>
            <w:tcW w:w="706" w:type="dxa"/>
            <w:shd w:val="clear" w:color="auto" w:fill="C6EFCE"/>
            <w:noWrap/>
          </w:tcPr>
          <w:p w14:paraId="2A50CEB7" w14:textId="77777777" w:rsidR="00FA7C11" w:rsidRDefault="00D84965">
            <w:pPr>
              <w:pStyle w:val="P68B1DB1-Normal66"/>
              <w:spacing w:after="200" w:line="276" w:lineRule="auto"/>
              <w:jc w:val="center"/>
              <w:rPr>
                <w:noProof/>
              </w:rPr>
            </w:pPr>
            <w:r>
              <w:rPr>
                <w:noProof/>
              </w:rPr>
              <w:t> </w:t>
            </w:r>
          </w:p>
        </w:tc>
        <w:tc>
          <w:tcPr>
            <w:tcW w:w="709" w:type="dxa"/>
            <w:shd w:val="clear" w:color="auto" w:fill="C6EFCE"/>
            <w:noWrap/>
          </w:tcPr>
          <w:p w14:paraId="79170B62" w14:textId="77777777" w:rsidR="00FA7C11" w:rsidRDefault="00D84965">
            <w:pPr>
              <w:pStyle w:val="P68B1DB1-Normal66"/>
              <w:spacing w:after="200" w:line="276" w:lineRule="auto"/>
              <w:jc w:val="center"/>
              <w:rPr>
                <w:noProof/>
              </w:rPr>
            </w:pPr>
            <w:r>
              <w:rPr>
                <w:noProof/>
              </w:rPr>
              <w:t>Î4</w:t>
            </w:r>
          </w:p>
        </w:tc>
        <w:tc>
          <w:tcPr>
            <w:tcW w:w="859" w:type="dxa"/>
            <w:shd w:val="clear" w:color="auto" w:fill="C6EFCE"/>
            <w:noWrap/>
          </w:tcPr>
          <w:p w14:paraId="041CA4B1" w14:textId="77777777" w:rsidR="00FA7C11" w:rsidRDefault="00D84965">
            <w:pPr>
              <w:pStyle w:val="P68B1DB1-Normal66"/>
              <w:spacing w:after="200" w:line="276" w:lineRule="auto"/>
              <w:jc w:val="center"/>
              <w:rPr>
                <w:noProof/>
              </w:rPr>
            </w:pPr>
            <w:r>
              <w:rPr>
                <w:noProof/>
              </w:rPr>
              <w:t>2022</w:t>
            </w:r>
          </w:p>
        </w:tc>
        <w:tc>
          <w:tcPr>
            <w:tcW w:w="4244" w:type="dxa"/>
            <w:shd w:val="clear" w:color="auto" w:fill="C6EFCE"/>
            <w:noWrap/>
          </w:tcPr>
          <w:p w14:paraId="59E6D7F7" w14:textId="77777777" w:rsidR="00FA7C11" w:rsidRDefault="00D84965">
            <w:pPr>
              <w:pStyle w:val="P68B1DB1-Normal66"/>
              <w:spacing w:after="200" w:line="276" w:lineRule="auto"/>
              <w:rPr>
                <w:noProof/>
              </w:rPr>
            </w:pPr>
            <w:r>
              <w:rPr>
                <w:noProof/>
              </w:rPr>
              <w:t>Condițiile prealabile prevăzute pentru audierile la distanță în toate instanțele de prim grad de jurisdicție sunt operaționale.</w:t>
            </w:r>
          </w:p>
        </w:tc>
      </w:tr>
      <w:tr w:rsidR="00FA7C11" w14:paraId="29CE7982" w14:textId="77777777">
        <w:trPr>
          <w:trHeight w:val="283"/>
        </w:trPr>
        <w:tc>
          <w:tcPr>
            <w:tcW w:w="810" w:type="dxa"/>
            <w:shd w:val="clear" w:color="auto" w:fill="C6EFCE"/>
            <w:noWrap/>
          </w:tcPr>
          <w:p w14:paraId="51D94A40" w14:textId="77777777" w:rsidR="00FA7C11" w:rsidRDefault="00D84965">
            <w:pPr>
              <w:pStyle w:val="P68B1DB1-Normal66"/>
              <w:spacing w:after="200" w:line="276" w:lineRule="auto"/>
              <w:jc w:val="center"/>
              <w:rPr>
                <w:noProof/>
              </w:rPr>
            </w:pPr>
            <w:r>
              <w:rPr>
                <w:noProof/>
              </w:rPr>
              <w:t>230</w:t>
            </w:r>
          </w:p>
        </w:tc>
        <w:tc>
          <w:tcPr>
            <w:tcW w:w="1284" w:type="dxa"/>
            <w:shd w:val="clear" w:color="auto" w:fill="C6EFCE"/>
            <w:noWrap/>
          </w:tcPr>
          <w:p w14:paraId="18025411" w14:textId="77777777" w:rsidR="00FA7C11" w:rsidRDefault="00D84965">
            <w:pPr>
              <w:pStyle w:val="P68B1DB1-Normal66"/>
              <w:spacing w:after="200" w:line="276" w:lineRule="auto"/>
              <w:jc w:val="center"/>
              <w:rPr>
                <w:noProof/>
              </w:rPr>
            </w:pPr>
            <w:r>
              <w:rPr>
                <w:noProof/>
              </w:rPr>
              <w:t>C2.5. R1-I6</w:t>
            </w:r>
          </w:p>
        </w:tc>
        <w:tc>
          <w:tcPr>
            <w:tcW w:w="1134" w:type="dxa"/>
            <w:shd w:val="clear" w:color="auto" w:fill="C6EFCE"/>
            <w:noWrap/>
          </w:tcPr>
          <w:p w14:paraId="2C5FC959" w14:textId="77777777" w:rsidR="00FA7C11" w:rsidRDefault="00D84965">
            <w:pPr>
              <w:pStyle w:val="P68B1DB1-Normal66"/>
              <w:spacing w:after="200" w:line="276" w:lineRule="auto"/>
              <w:jc w:val="center"/>
              <w:rPr>
                <w:noProof/>
              </w:rPr>
            </w:pPr>
            <w:r>
              <w:rPr>
                <w:noProof/>
              </w:rPr>
              <w:t>M</w:t>
            </w:r>
          </w:p>
        </w:tc>
        <w:tc>
          <w:tcPr>
            <w:tcW w:w="1842" w:type="dxa"/>
            <w:shd w:val="clear" w:color="auto" w:fill="C6EFCE"/>
            <w:noWrap/>
          </w:tcPr>
          <w:p w14:paraId="71BC2582" w14:textId="52ED9207" w:rsidR="00FA7C11" w:rsidRDefault="00D84965">
            <w:pPr>
              <w:pStyle w:val="P68B1DB1-Normal66"/>
              <w:spacing w:after="200" w:line="276" w:lineRule="auto"/>
              <w:rPr>
                <w:noProof/>
              </w:rPr>
            </w:pPr>
            <w:r>
              <w:rPr>
                <w:noProof/>
              </w:rPr>
              <w:t xml:space="preserve">Modernizarea infrastructurii TIC în cadrul organismelor judiciare </w:t>
            </w:r>
          </w:p>
        </w:tc>
        <w:tc>
          <w:tcPr>
            <w:tcW w:w="2268" w:type="dxa"/>
            <w:shd w:val="clear" w:color="auto" w:fill="C6EFCE"/>
            <w:noWrap/>
          </w:tcPr>
          <w:p w14:paraId="59F7E5AF" w14:textId="77777777" w:rsidR="00FA7C11" w:rsidRDefault="00D84965">
            <w:pPr>
              <w:pStyle w:val="P68B1DB1-Normal76"/>
              <w:spacing w:after="200" w:line="276" w:lineRule="auto"/>
              <w:rPr>
                <w:noProof/>
              </w:rPr>
            </w:pPr>
            <w:r>
              <w:rPr>
                <w:noProof/>
              </w:rPr>
              <w:t>Dovada/certificatul de livrare a echipamentelor de rețea și a infrastructurii de rețea</w:t>
            </w:r>
          </w:p>
        </w:tc>
        <w:tc>
          <w:tcPr>
            <w:tcW w:w="1067" w:type="dxa"/>
            <w:shd w:val="clear" w:color="auto" w:fill="C6EFCE"/>
            <w:noWrap/>
          </w:tcPr>
          <w:p w14:paraId="1633555A" w14:textId="77777777" w:rsidR="00FA7C11" w:rsidRDefault="00D84965">
            <w:pPr>
              <w:pStyle w:val="P68B1DB1-Normal66"/>
              <w:spacing w:after="200" w:line="276" w:lineRule="auto"/>
              <w:jc w:val="center"/>
              <w:rPr>
                <w:noProof/>
              </w:rPr>
            </w:pPr>
            <w:r>
              <w:rPr>
                <w:noProof/>
              </w:rPr>
              <w:t> </w:t>
            </w:r>
          </w:p>
        </w:tc>
        <w:tc>
          <w:tcPr>
            <w:tcW w:w="1134" w:type="dxa"/>
            <w:shd w:val="clear" w:color="auto" w:fill="C6EFCE"/>
            <w:noWrap/>
          </w:tcPr>
          <w:p w14:paraId="4A5E0AF4" w14:textId="77777777" w:rsidR="00FA7C11" w:rsidRDefault="00D84965">
            <w:pPr>
              <w:pStyle w:val="P68B1DB1-Normal66"/>
              <w:spacing w:after="200" w:line="276" w:lineRule="auto"/>
              <w:jc w:val="center"/>
              <w:rPr>
                <w:noProof/>
              </w:rPr>
            </w:pPr>
            <w:r>
              <w:rPr>
                <w:noProof/>
              </w:rPr>
              <w:t> </w:t>
            </w:r>
          </w:p>
        </w:tc>
        <w:tc>
          <w:tcPr>
            <w:tcW w:w="706" w:type="dxa"/>
            <w:shd w:val="clear" w:color="auto" w:fill="C6EFCE"/>
            <w:noWrap/>
          </w:tcPr>
          <w:p w14:paraId="14D70165" w14:textId="77777777" w:rsidR="00FA7C11" w:rsidRDefault="00D84965">
            <w:pPr>
              <w:pStyle w:val="P68B1DB1-Normal66"/>
              <w:spacing w:after="200" w:line="276" w:lineRule="auto"/>
              <w:jc w:val="center"/>
              <w:rPr>
                <w:noProof/>
              </w:rPr>
            </w:pPr>
            <w:r>
              <w:rPr>
                <w:noProof/>
              </w:rPr>
              <w:t> </w:t>
            </w:r>
          </w:p>
        </w:tc>
        <w:tc>
          <w:tcPr>
            <w:tcW w:w="709" w:type="dxa"/>
            <w:shd w:val="clear" w:color="auto" w:fill="C6EFCE"/>
            <w:noWrap/>
          </w:tcPr>
          <w:p w14:paraId="175D2F80" w14:textId="77777777" w:rsidR="00FA7C11" w:rsidRDefault="00D84965">
            <w:pPr>
              <w:pStyle w:val="P68B1DB1-Normal66"/>
              <w:spacing w:after="200" w:line="276" w:lineRule="auto"/>
              <w:jc w:val="center"/>
              <w:rPr>
                <w:noProof/>
              </w:rPr>
            </w:pPr>
            <w:r>
              <w:rPr>
                <w:noProof/>
              </w:rPr>
              <w:t>Î4</w:t>
            </w:r>
          </w:p>
        </w:tc>
        <w:tc>
          <w:tcPr>
            <w:tcW w:w="859" w:type="dxa"/>
            <w:shd w:val="clear" w:color="auto" w:fill="C6EFCE"/>
            <w:noWrap/>
          </w:tcPr>
          <w:p w14:paraId="6CF3F0A1" w14:textId="77777777" w:rsidR="00FA7C11" w:rsidRDefault="00D84965">
            <w:pPr>
              <w:pStyle w:val="P68B1DB1-Normal66"/>
              <w:spacing w:after="200" w:line="276" w:lineRule="auto"/>
              <w:jc w:val="center"/>
              <w:rPr>
                <w:noProof/>
              </w:rPr>
            </w:pPr>
            <w:r>
              <w:rPr>
                <w:noProof/>
              </w:rPr>
              <w:t>2025</w:t>
            </w:r>
          </w:p>
        </w:tc>
        <w:tc>
          <w:tcPr>
            <w:tcW w:w="4244" w:type="dxa"/>
            <w:shd w:val="clear" w:color="auto" w:fill="C6EFCE"/>
            <w:noWrap/>
          </w:tcPr>
          <w:p w14:paraId="656333FE" w14:textId="77777777" w:rsidR="00FA7C11" w:rsidRDefault="00D84965">
            <w:pPr>
              <w:pStyle w:val="P68B1DB1-Normal70"/>
              <w:spacing w:after="200" w:line="276" w:lineRule="auto"/>
              <w:rPr>
                <w:noProof/>
              </w:rPr>
            </w:pPr>
            <w:r>
              <w:rPr>
                <w:noProof/>
              </w:rPr>
              <w:t>Se</w:t>
            </w:r>
            <w:r>
              <w:rPr>
                <w:noProof/>
                <w:color w:val="000000" w:themeColor="text1"/>
              </w:rPr>
              <w:t xml:space="preserve"> furnizează dovada/certificatul de livrare a echipamentelor de rețea și a infrastructurii de rețea modernizate.</w:t>
            </w:r>
          </w:p>
        </w:tc>
      </w:tr>
    </w:tbl>
    <w:p w14:paraId="711828B8" w14:textId="77777777" w:rsidR="00FA7C11" w:rsidRDefault="00FA7C11">
      <w:pPr>
        <w:spacing w:line="240" w:lineRule="auto"/>
        <w:jc w:val="both"/>
        <w:rPr>
          <w:rFonts w:eastAsia="Calibri"/>
          <w:noProof/>
        </w:rPr>
      </w:pPr>
    </w:p>
    <w:p w14:paraId="46DF1966" w14:textId="77777777" w:rsidR="00FA7C11" w:rsidRDefault="00FA7C11">
      <w:pPr>
        <w:rPr>
          <w:rFonts w:eastAsia="Calibri"/>
          <w:noProof/>
        </w:rPr>
        <w:sectPr w:rsidR="00FA7C11" w:rsidSect="00FA29B2">
          <w:headerReference w:type="even" r:id="rId212"/>
          <w:headerReference w:type="default" r:id="rId213"/>
          <w:footerReference w:type="even" r:id="rId214"/>
          <w:footerReference w:type="default" r:id="rId215"/>
          <w:headerReference w:type="first" r:id="rId216"/>
          <w:footerReference w:type="first" r:id="rId217"/>
          <w:pgSz w:w="16839" w:h="11907" w:orient="landscape"/>
          <w:pgMar w:top="1134" w:right="1134" w:bottom="1134" w:left="1134" w:header="567" w:footer="567" w:gutter="0"/>
          <w:cols w:space="708"/>
          <w:docGrid w:linePitch="360"/>
        </w:sectPr>
      </w:pPr>
    </w:p>
    <w:p w14:paraId="77DE2FF3" w14:textId="77777777" w:rsidR="00FA7C11" w:rsidRDefault="00D84965">
      <w:pPr>
        <w:pStyle w:val="P68B1DB1-Normal80"/>
        <w:outlineLvl w:val="1"/>
        <w:rPr>
          <w:rFonts w:ascii="Times New Roman" w:eastAsia="SimSun" w:hAnsi="Times New Roman" w:cs="Times New Roman"/>
          <w:b/>
          <w:bCs/>
          <w:noProof/>
        </w:rPr>
      </w:pPr>
      <w:r>
        <w:rPr>
          <w:rFonts w:ascii="Times New Roman" w:eastAsia="SimSun" w:hAnsi="Times New Roman" w:cs="Times New Roman"/>
          <w:b/>
          <w:noProof/>
        </w:rPr>
        <w:t xml:space="preserve">K.3. </w:t>
      </w:r>
      <w:r>
        <w:rPr>
          <w:rFonts w:ascii="Times New Roman" w:hAnsi="Times New Roman" w:cs="Times New Roman"/>
          <w:noProof/>
        </w:rPr>
        <w:t xml:space="preserve"> </w:t>
      </w:r>
      <w:r>
        <w:rPr>
          <w:rFonts w:ascii="Times New Roman" w:eastAsia="SimSun" w:hAnsi="Times New Roman" w:cs="Times New Roman"/>
          <w:b/>
          <w:noProof/>
        </w:rPr>
        <w:t>Descrierea reformelor și a investițiilor pentru împrumut</w:t>
      </w:r>
    </w:p>
    <w:p w14:paraId="21E26B93" w14:textId="77777777" w:rsidR="00FA7C11" w:rsidRDefault="00D84965">
      <w:pPr>
        <w:pStyle w:val="P68B1DB1-Normal42"/>
        <w:spacing w:line="240" w:lineRule="auto"/>
        <w:jc w:val="both"/>
        <w:rPr>
          <w:noProof/>
        </w:rPr>
      </w:pPr>
      <w:r>
        <w:rPr>
          <w:noProof/>
        </w:rPr>
        <w:t xml:space="preserve">Investiția C2.5 R1-I7 – Punerea în aplicare a proiectului Pieței Justiției din Zagreb </w:t>
      </w:r>
    </w:p>
    <w:p w14:paraId="0645A845" w14:textId="77777777" w:rsidR="00FA7C11" w:rsidRDefault="00D84965">
      <w:pPr>
        <w:pStyle w:val="P68B1DB1-Normal33"/>
        <w:spacing w:line="240" w:lineRule="auto"/>
        <w:jc w:val="both"/>
        <w:rPr>
          <w:noProof/>
        </w:rPr>
      </w:pPr>
      <w:r>
        <w:rPr>
          <w:noProof/>
        </w:rPr>
        <w:t xml:space="preserve">Obiectivul investiției este de a moderniza infrastructura fizică prin punerea în aplicare a proiectului „Justice Square”. </w:t>
      </w:r>
    </w:p>
    <w:p w14:paraId="39550595" w14:textId="77777777" w:rsidR="00FA7C11" w:rsidRDefault="00D84965">
      <w:pPr>
        <w:pStyle w:val="P68B1DB1-Normal33"/>
        <w:spacing w:line="240" w:lineRule="auto"/>
        <w:jc w:val="both"/>
        <w:rPr>
          <w:noProof/>
        </w:rPr>
      </w:pPr>
      <w:r>
        <w:rPr>
          <w:noProof/>
        </w:rPr>
        <w:t xml:space="preserve">Investiția constă în construirea unei clădiri de 26 000 m². </w:t>
      </w:r>
    </w:p>
    <w:p w14:paraId="0DC3E68B" w14:textId="77777777" w:rsidR="00FA7C11" w:rsidRDefault="00FA7C11">
      <w:pPr>
        <w:spacing w:line="240" w:lineRule="auto"/>
        <w:jc w:val="both"/>
        <w:rPr>
          <w:rFonts w:ascii="Times New Roman" w:eastAsia="Calibri" w:hAnsi="Times New Roman" w:cs="Times New Roman"/>
          <w:noProof/>
          <w:sz w:val="24"/>
          <w:szCs w:val="24"/>
        </w:rPr>
        <w:sectPr w:rsidR="00FA7C11" w:rsidSect="00FA29B2">
          <w:headerReference w:type="even" r:id="rId218"/>
          <w:headerReference w:type="default" r:id="rId219"/>
          <w:footerReference w:type="even" r:id="rId220"/>
          <w:footerReference w:type="default" r:id="rId221"/>
          <w:headerReference w:type="first" r:id="rId222"/>
          <w:footerReference w:type="first" r:id="rId223"/>
          <w:pgSz w:w="11907" w:h="16839"/>
          <w:pgMar w:top="1134" w:right="1134" w:bottom="1134" w:left="1134" w:header="567" w:footer="567" w:gutter="0"/>
          <w:cols w:space="708"/>
          <w:docGrid w:linePitch="360"/>
        </w:sectPr>
      </w:pPr>
    </w:p>
    <w:p w14:paraId="2F702BED" w14:textId="72AE4274" w:rsidR="00FA7C11" w:rsidRDefault="00D84965">
      <w:pPr>
        <w:pStyle w:val="paragraph"/>
        <w:spacing w:before="0" w:beforeAutospacing="0" w:after="0" w:afterAutospacing="0"/>
        <w:ind w:left="840"/>
        <w:jc w:val="both"/>
        <w:rPr>
          <w:rFonts w:ascii="Segoe UI" w:hAnsi="Segoe UI" w:cs="Segoe UI"/>
          <w:noProof/>
          <w:sz w:val="18"/>
          <w:szCs w:val="18"/>
        </w:rPr>
      </w:pPr>
      <w:r>
        <w:rPr>
          <w:rStyle w:val="normaltextrun"/>
          <w:b/>
          <w:noProof/>
        </w:rPr>
        <w:t xml:space="preserve">K.4. </w:t>
      </w:r>
      <w:r>
        <w:rPr>
          <w:noProof/>
        </w:rPr>
        <w:t xml:space="preserve"> </w:t>
      </w:r>
      <w:r>
        <w:rPr>
          <w:rStyle w:val="normaltextrun"/>
          <w:b/>
          <w:noProof/>
          <w:u w:val="single"/>
        </w:rPr>
        <w:t>Jaloane, ținte, indicatori și calendarul de monitorizare și implementare aplicabile împrumutului</w:t>
      </w:r>
      <w:r>
        <w:rPr>
          <w:rStyle w:val="normaltextrun"/>
          <w:b/>
          <w:noProof/>
        </w:rPr>
        <w:t xml:space="preserve"> </w:t>
      </w:r>
    </w:p>
    <w:p w14:paraId="7D51FD3C" w14:textId="77777777" w:rsidR="00FA7C11" w:rsidRDefault="00FA7C11">
      <w:pPr>
        <w:pStyle w:val="paragraph"/>
        <w:spacing w:before="0" w:beforeAutospacing="0" w:after="0" w:afterAutospacing="0"/>
        <w:ind w:left="840"/>
        <w:jc w:val="both"/>
        <w:rPr>
          <w:rFonts w:ascii="Segoe UI" w:hAnsi="Segoe UI" w:cs="Segoe UI"/>
          <w:noProof/>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1332"/>
        <w:gridCol w:w="1555"/>
        <w:gridCol w:w="1528"/>
        <w:gridCol w:w="1868"/>
        <w:gridCol w:w="1012"/>
        <w:gridCol w:w="1015"/>
        <w:gridCol w:w="945"/>
        <w:gridCol w:w="1079"/>
        <w:gridCol w:w="801"/>
        <w:gridCol w:w="2695"/>
      </w:tblGrid>
      <w:tr w:rsidR="00FA7C11" w14:paraId="3533E19D" w14:textId="77777777">
        <w:trPr>
          <w:trHeight w:val="300"/>
          <w:jc w:val="center"/>
        </w:trPr>
        <w:tc>
          <w:tcPr>
            <w:tcW w:w="978" w:type="dxa"/>
            <w:vMerge w:val="restart"/>
            <w:shd w:val="clear" w:color="auto" w:fill="BDD7EE"/>
            <w:vAlign w:val="center"/>
          </w:tcPr>
          <w:p w14:paraId="4D6CD457" w14:textId="77777777" w:rsidR="00FA7C11" w:rsidRDefault="00D84965">
            <w:pPr>
              <w:pStyle w:val="P68B1DB1-Normal76"/>
              <w:spacing w:after="0" w:line="240" w:lineRule="auto"/>
              <w:jc w:val="center"/>
              <w:rPr>
                <w:noProof/>
              </w:rPr>
            </w:pPr>
            <w:r>
              <w:rPr>
                <w:b/>
                <w:noProof/>
              </w:rPr>
              <w:t>Număr</w:t>
            </w:r>
            <w:r>
              <w:rPr>
                <w:noProof/>
              </w:rPr>
              <w:t> </w:t>
            </w:r>
          </w:p>
        </w:tc>
        <w:tc>
          <w:tcPr>
            <w:tcW w:w="1403" w:type="dxa"/>
            <w:vMerge w:val="restart"/>
            <w:shd w:val="clear" w:color="auto" w:fill="BDD7EE"/>
            <w:vAlign w:val="center"/>
          </w:tcPr>
          <w:p w14:paraId="631AFD06" w14:textId="77777777" w:rsidR="00FA7C11" w:rsidRDefault="00D84965">
            <w:pPr>
              <w:pStyle w:val="P68B1DB1-Normal76"/>
              <w:spacing w:after="0" w:line="240" w:lineRule="auto"/>
              <w:jc w:val="center"/>
              <w:rPr>
                <w:noProof/>
              </w:rPr>
            </w:pPr>
            <w:r>
              <w:rPr>
                <w:b/>
                <w:noProof/>
              </w:rPr>
              <w:t>Măsură conexă (reformă sau investiții)</w:t>
            </w:r>
            <w:r>
              <w:rPr>
                <w:noProof/>
              </w:rPr>
              <w:t> </w:t>
            </w:r>
          </w:p>
        </w:tc>
        <w:tc>
          <w:tcPr>
            <w:tcW w:w="1250" w:type="dxa"/>
            <w:vMerge w:val="restart"/>
            <w:shd w:val="clear" w:color="auto" w:fill="BDD7EE"/>
            <w:vAlign w:val="center"/>
          </w:tcPr>
          <w:p w14:paraId="1D69ACD8" w14:textId="77777777" w:rsidR="00FA7C11" w:rsidRDefault="00D84965">
            <w:pPr>
              <w:pStyle w:val="P68B1DB1-Normal76"/>
              <w:spacing w:after="0" w:line="240" w:lineRule="auto"/>
              <w:jc w:val="center"/>
              <w:rPr>
                <w:noProof/>
              </w:rPr>
            </w:pPr>
            <w:r>
              <w:rPr>
                <w:b/>
                <w:noProof/>
              </w:rPr>
              <w:t>Etapă/Obiectiv</w:t>
            </w:r>
            <w:r>
              <w:rPr>
                <w:noProof/>
              </w:rPr>
              <w:t> </w:t>
            </w:r>
          </w:p>
        </w:tc>
        <w:tc>
          <w:tcPr>
            <w:tcW w:w="1667" w:type="dxa"/>
            <w:vMerge w:val="restart"/>
            <w:shd w:val="clear" w:color="auto" w:fill="BDD7EE"/>
            <w:vAlign w:val="center"/>
          </w:tcPr>
          <w:p w14:paraId="7A188FE4" w14:textId="77777777" w:rsidR="00FA7C11" w:rsidRDefault="00D84965">
            <w:pPr>
              <w:pStyle w:val="P68B1DB1-Normal76"/>
              <w:spacing w:after="0" w:line="240" w:lineRule="auto"/>
              <w:jc w:val="center"/>
              <w:rPr>
                <w:noProof/>
              </w:rPr>
            </w:pPr>
            <w:r>
              <w:rPr>
                <w:b/>
                <w:noProof/>
              </w:rPr>
              <w:t>Nume</w:t>
            </w:r>
            <w:r>
              <w:rPr>
                <w:noProof/>
              </w:rPr>
              <w:t> </w:t>
            </w:r>
          </w:p>
        </w:tc>
        <w:tc>
          <w:tcPr>
            <w:tcW w:w="2080" w:type="dxa"/>
            <w:vMerge w:val="restart"/>
            <w:shd w:val="clear" w:color="auto" w:fill="BDD7EE"/>
            <w:vAlign w:val="center"/>
          </w:tcPr>
          <w:p w14:paraId="1B550B3A" w14:textId="67D0E6FD" w:rsidR="00FA7C11" w:rsidRDefault="00D84965">
            <w:pPr>
              <w:spacing w:after="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b/>
                <w:noProof/>
                <w:sz w:val="20"/>
                <w:szCs w:val="20"/>
              </w:rPr>
              <w:t>Indicatori calitativi</w:t>
            </w:r>
            <w:r>
              <w:rPr>
                <w:rFonts w:ascii="Times New Roman" w:hAnsi="Times New Roman" w:cs="Times New Roman"/>
                <w:noProof/>
              </w:rPr>
              <w:br/>
            </w:r>
            <w:r>
              <w:rPr>
                <w:rFonts w:ascii="Times New Roman" w:eastAsia="Times New Roman" w:hAnsi="Times New Roman" w:cs="Times New Roman"/>
                <w:b/>
                <w:noProof/>
                <w:sz w:val="20"/>
                <w:szCs w:val="20"/>
              </w:rPr>
              <w:t>(pentru jaloane)</w:t>
            </w:r>
            <w:r>
              <w:rPr>
                <w:rFonts w:ascii="Times New Roman" w:eastAsia="Times New Roman" w:hAnsi="Times New Roman" w:cs="Times New Roman"/>
                <w:noProof/>
                <w:sz w:val="20"/>
                <w:szCs w:val="20"/>
              </w:rPr>
              <w:t xml:space="preserve"> </w:t>
            </w:r>
          </w:p>
        </w:tc>
        <w:tc>
          <w:tcPr>
            <w:tcW w:w="3029" w:type="dxa"/>
            <w:gridSpan w:val="3"/>
            <w:shd w:val="clear" w:color="auto" w:fill="BDD7EE"/>
            <w:vAlign w:val="center"/>
          </w:tcPr>
          <w:p w14:paraId="289C6B0A" w14:textId="5FBA7DC0" w:rsidR="00FA7C11" w:rsidRDefault="00D84965">
            <w:pPr>
              <w:spacing w:after="0" w:line="240" w:lineRule="auto"/>
              <w:jc w:val="center"/>
              <w:rPr>
                <w:rFonts w:ascii="Times New Roman" w:eastAsia="Times New Roman" w:hAnsi="Times New Roman" w:cs="Times New Roman"/>
                <w:noProof/>
                <w:sz w:val="20"/>
                <w:szCs w:val="20"/>
              </w:rPr>
            </w:pPr>
            <w:r>
              <w:rPr>
                <w:rFonts w:ascii="Times New Roman" w:eastAsia="Times New Roman" w:hAnsi="Times New Roman" w:cs="Times New Roman"/>
                <w:b/>
                <w:noProof/>
                <w:sz w:val="20"/>
                <w:szCs w:val="20"/>
              </w:rPr>
              <w:t>Indicatori cantitativi</w:t>
            </w:r>
            <w:r>
              <w:rPr>
                <w:rFonts w:ascii="Times New Roman" w:hAnsi="Times New Roman" w:cs="Times New Roman"/>
                <w:noProof/>
              </w:rPr>
              <w:br/>
            </w:r>
            <w:r>
              <w:rPr>
                <w:rFonts w:ascii="Times New Roman" w:eastAsia="Times New Roman" w:hAnsi="Times New Roman" w:cs="Times New Roman"/>
                <w:b/>
                <w:noProof/>
                <w:sz w:val="20"/>
                <w:szCs w:val="20"/>
              </w:rPr>
              <w:t>(pentru obiective)</w:t>
            </w:r>
            <w:r>
              <w:rPr>
                <w:rFonts w:ascii="Times New Roman" w:eastAsia="Times New Roman" w:hAnsi="Times New Roman" w:cs="Times New Roman"/>
                <w:noProof/>
                <w:sz w:val="20"/>
                <w:szCs w:val="20"/>
              </w:rPr>
              <w:t xml:space="preserve"> </w:t>
            </w:r>
          </w:p>
        </w:tc>
        <w:tc>
          <w:tcPr>
            <w:tcW w:w="1387" w:type="dxa"/>
            <w:gridSpan w:val="2"/>
            <w:shd w:val="clear" w:color="auto" w:fill="BDD7EE"/>
            <w:vAlign w:val="center"/>
          </w:tcPr>
          <w:p w14:paraId="13C3369A" w14:textId="469080FA" w:rsidR="00FA7C11" w:rsidRDefault="00D84965">
            <w:pPr>
              <w:pStyle w:val="P68B1DB1-Normal58"/>
              <w:spacing w:after="0" w:line="240" w:lineRule="auto"/>
              <w:jc w:val="center"/>
              <w:rPr>
                <w:noProof/>
              </w:rPr>
            </w:pPr>
            <w:r>
              <w:rPr>
                <w:noProof/>
              </w:rPr>
              <w:t xml:space="preserve">Timp </w:t>
            </w:r>
          </w:p>
        </w:tc>
        <w:tc>
          <w:tcPr>
            <w:tcW w:w="3043" w:type="dxa"/>
            <w:vMerge w:val="restart"/>
            <w:shd w:val="clear" w:color="auto" w:fill="BDD7EE"/>
            <w:vAlign w:val="center"/>
          </w:tcPr>
          <w:p w14:paraId="43126EDD" w14:textId="77777777" w:rsidR="00FA7C11" w:rsidRDefault="00D84965">
            <w:pPr>
              <w:pStyle w:val="P68B1DB1-Normal76"/>
              <w:spacing w:after="0" w:line="240" w:lineRule="auto"/>
              <w:jc w:val="center"/>
              <w:rPr>
                <w:noProof/>
              </w:rPr>
            </w:pPr>
            <w:r>
              <w:rPr>
                <w:b/>
                <w:noProof/>
              </w:rPr>
              <w:t>Descrierea fiecărui jalon și a fiecărei ținte</w:t>
            </w:r>
            <w:r>
              <w:rPr>
                <w:noProof/>
              </w:rPr>
              <w:t> </w:t>
            </w:r>
          </w:p>
        </w:tc>
      </w:tr>
      <w:tr w:rsidR="00FA7C11" w14:paraId="0B936B19" w14:textId="77777777">
        <w:trPr>
          <w:trHeight w:val="300"/>
          <w:jc w:val="center"/>
        </w:trPr>
        <w:tc>
          <w:tcPr>
            <w:tcW w:w="978" w:type="dxa"/>
            <w:vMerge/>
          </w:tcPr>
          <w:p w14:paraId="226308E5" w14:textId="77777777" w:rsidR="00FA7C11" w:rsidRDefault="00FA7C11">
            <w:pPr>
              <w:rPr>
                <w:rFonts w:ascii="Times New Roman" w:hAnsi="Times New Roman" w:cs="Times New Roman"/>
                <w:noProof/>
              </w:rPr>
            </w:pPr>
          </w:p>
        </w:tc>
        <w:tc>
          <w:tcPr>
            <w:tcW w:w="1403" w:type="dxa"/>
            <w:vMerge/>
          </w:tcPr>
          <w:p w14:paraId="4C591042" w14:textId="77777777" w:rsidR="00FA7C11" w:rsidRDefault="00FA7C11">
            <w:pPr>
              <w:rPr>
                <w:rFonts w:ascii="Times New Roman" w:hAnsi="Times New Roman" w:cs="Times New Roman"/>
                <w:noProof/>
              </w:rPr>
            </w:pPr>
          </w:p>
        </w:tc>
        <w:tc>
          <w:tcPr>
            <w:tcW w:w="1250" w:type="dxa"/>
            <w:vMerge/>
          </w:tcPr>
          <w:p w14:paraId="0FD1905E" w14:textId="77777777" w:rsidR="00FA7C11" w:rsidRDefault="00FA7C11">
            <w:pPr>
              <w:rPr>
                <w:rFonts w:ascii="Times New Roman" w:hAnsi="Times New Roman" w:cs="Times New Roman"/>
                <w:noProof/>
              </w:rPr>
            </w:pPr>
          </w:p>
        </w:tc>
        <w:tc>
          <w:tcPr>
            <w:tcW w:w="1667" w:type="dxa"/>
            <w:vMerge/>
          </w:tcPr>
          <w:p w14:paraId="759C1833" w14:textId="77777777" w:rsidR="00FA7C11" w:rsidRDefault="00FA7C11">
            <w:pPr>
              <w:rPr>
                <w:rFonts w:ascii="Times New Roman" w:hAnsi="Times New Roman" w:cs="Times New Roman"/>
                <w:noProof/>
              </w:rPr>
            </w:pPr>
          </w:p>
        </w:tc>
        <w:tc>
          <w:tcPr>
            <w:tcW w:w="2080" w:type="dxa"/>
            <w:vMerge/>
          </w:tcPr>
          <w:p w14:paraId="00594342" w14:textId="77777777" w:rsidR="00FA7C11" w:rsidRDefault="00FA7C11">
            <w:pPr>
              <w:rPr>
                <w:rFonts w:ascii="Times New Roman" w:hAnsi="Times New Roman" w:cs="Times New Roman"/>
                <w:noProof/>
              </w:rPr>
            </w:pPr>
          </w:p>
        </w:tc>
        <w:tc>
          <w:tcPr>
            <w:tcW w:w="1055" w:type="dxa"/>
            <w:shd w:val="clear" w:color="auto" w:fill="BDD7EE"/>
            <w:vAlign w:val="center"/>
          </w:tcPr>
          <w:p w14:paraId="7B75EFA6" w14:textId="77777777" w:rsidR="00FA7C11" w:rsidRDefault="00D84965">
            <w:pPr>
              <w:pStyle w:val="P68B1DB1-Normal58"/>
              <w:spacing w:after="0" w:line="240" w:lineRule="auto"/>
              <w:jc w:val="center"/>
              <w:rPr>
                <w:noProof/>
              </w:rPr>
            </w:pPr>
            <w:r>
              <w:rPr>
                <w:noProof/>
              </w:rPr>
              <w:t xml:space="preserve">Unitate </w:t>
            </w:r>
          </w:p>
        </w:tc>
        <w:tc>
          <w:tcPr>
            <w:tcW w:w="1028" w:type="dxa"/>
            <w:shd w:val="clear" w:color="auto" w:fill="BDD7EE"/>
            <w:vAlign w:val="center"/>
          </w:tcPr>
          <w:p w14:paraId="7677A7BE" w14:textId="0B52C8C9" w:rsidR="00FA7C11" w:rsidRDefault="00D84965">
            <w:pPr>
              <w:pStyle w:val="P68B1DB1-Normal58"/>
              <w:spacing w:after="0" w:line="240" w:lineRule="auto"/>
              <w:jc w:val="center"/>
              <w:rPr>
                <w:noProof/>
              </w:rPr>
            </w:pPr>
            <w:r>
              <w:rPr>
                <w:noProof/>
              </w:rPr>
              <w:t xml:space="preserve">Situația de referință </w:t>
            </w:r>
          </w:p>
        </w:tc>
        <w:tc>
          <w:tcPr>
            <w:tcW w:w="946" w:type="dxa"/>
            <w:shd w:val="clear" w:color="auto" w:fill="BDD7EE"/>
            <w:vAlign w:val="center"/>
          </w:tcPr>
          <w:p w14:paraId="676B1696" w14:textId="0D421A2B" w:rsidR="00FA7C11" w:rsidRDefault="00D84965">
            <w:pPr>
              <w:pStyle w:val="P68B1DB1-Normal58"/>
              <w:spacing w:after="0" w:line="240" w:lineRule="auto"/>
              <w:jc w:val="center"/>
              <w:rPr>
                <w:noProof/>
              </w:rPr>
            </w:pPr>
            <w:r>
              <w:rPr>
                <w:noProof/>
              </w:rPr>
              <w:t xml:space="preserve">Obiectiv </w:t>
            </w:r>
          </w:p>
        </w:tc>
        <w:tc>
          <w:tcPr>
            <w:tcW w:w="556" w:type="dxa"/>
            <w:shd w:val="clear" w:color="auto" w:fill="BDD7EE"/>
            <w:vAlign w:val="center"/>
          </w:tcPr>
          <w:p w14:paraId="124E6E5C" w14:textId="77777777" w:rsidR="00FA7C11" w:rsidRDefault="00D84965">
            <w:pPr>
              <w:pStyle w:val="P68B1DB1-Normal58"/>
              <w:spacing w:after="0" w:line="240" w:lineRule="auto"/>
              <w:jc w:val="center"/>
              <w:rPr>
                <w:noProof/>
              </w:rPr>
            </w:pPr>
            <w:r>
              <w:rPr>
                <w:noProof/>
              </w:rPr>
              <w:t>Trimestru</w:t>
            </w:r>
          </w:p>
        </w:tc>
        <w:tc>
          <w:tcPr>
            <w:tcW w:w="831" w:type="dxa"/>
            <w:shd w:val="clear" w:color="auto" w:fill="BDD7EE"/>
            <w:vAlign w:val="center"/>
          </w:tcPr>
          <w:p w14:paraId="65EC682E" w14:textId="77777777" w:rsidR="00FA7C11" w:rsidRDefault="00D84965">
            <w:pPr>
              <w:pStyle w:val="P68B1DB1-Normal76"/>
              <w:spacing w:after="0" w:line="240" w:lineRule="auto"/>
              <w:jc w:val="center"/>
              <w:rPr>
                <w:noProof/>
              </w:rPr>
            </w:pPr>
            <w:r>
              <w:rPr>
                <w:b/>
                <w:noProof/>
              </w:rPr>
              <w:t>Anul</w:t>
            </w:r>
            <w:r>
              <w:rPr>
                <w:noProof/>
              </w:rPr>
              <w:t> </w:t>
            </w:r>
          </w:p>
        </w:tc>
        <w:tc>
          <w:tcPr>
            <w:tcW w:w="3043" w:type="dxa"/>
            <w:vMerge/>
          </w:tcPr>
          <w:p w14:paraId="3965A5B9" w14:textId="77777777" w:rsidR="00FA7C11" w:rsidRDefault="00FA7C11">
            <w:pPr>
              <w:rPr>
                <w:rFonts w:ascii="Times New Roman" w:hAnsi="Times New Roman" w:cs="Times New Roman"/>
                <w:noProof/>
              </w:rPr>
            </w:pPr>
          </w:p>
        </w:tc>
      </w:tr>
      <w:tr w:rsidR="00FA7C11" w14:paraId="493C3C53" w14:textId="77777777">
        <w:trPr>
          <w:trHeight w:val="300"/>
          <w:jc w:val="center"/>
        </w:trPr>
        <w:tc>
          <w:tcPr>
            <w:tcW w:w="978" w:type="dxa"/>
            <w:shd w:val="clear" w:color="auto" w:fill="C6EFCE"/>
          </w:tcPr>
          <w:p w14:paraId="31805D19" w14:textId="77777777" w:rsidR="00FA7C11" w:rsidRDefault="00D84965">
            <w:pPr>
              <w:pStyle w:val="P68B1DB1-Normal123"/>
              <w:spacing w:after="0" w:line="240" w:lineRule="auto"/>
              <w:jc w:val="center"/>
              <w:rPr>
                <w:rFonts w:eastAsia="Calibri"/>
                <w:noProof/>
              </w:rPr>
            </w:pPr>
            <w:r>
              <w:rPr>
                <w:noProof/>
              </w:rPr>
              <w:t>443</w:t>
            </w:r>
          </w:p>
        </w:tc>
        <w:tc>
          <w:tcPr>
            <w:tcW w:w="1403" w:type="dxa"/>
            <w:shd w:val="clear" w:color="auto" w:fill="C6EFCE"/>
          </w:tcPr>
          <w:p w14:paraId="248058B5" w14:textId="77777777" w:rsidR="00FA7C11" w:rsidRDefault="00D84965">
            <w:pPr>
              <w:pStyle w:val="P68B1DB1-Normal66"/>
              <w:spacing w:after="0" w:line="240" w:lineRule="auto"/>
              <w:jc w:val="center"/>
              <w:rPr>
                <w:noProof/>
                <w:color w:val="000000" w:themeColor="text1"/>
              </w:rPr>
            </w:pPr>
            <w:r>
              <w:rPr>
                <w:noProof/>
              </w:rPr>
              <w:t>C2.5. R1-I7</w:t>
            </w:r>
          </w:p>
        </w:tc>
        <w:tc>
          <w:tcPr>
            <w:tcW w:w="1250" w:type="dxa"/>
            <w:shd w:val="clear" w:color="auto" w:fill="C6EFCE"/>
          </w:tcPr>
          <w:p w14:paraId="6AD7DC50" w14:textId="77777777" w:rsidR="00FA7C11" w:rsidRDefault="00D84965">
            <w:pPr>
              <w:pStyle w:val="P68B1DB1-Normal123"/>
              <w:spacing w:after="0" w:line="240" w:lineRule="auto"/>
              <w:jc w:val="center"/>
              <w:rPr>
                <w:rFonts w:eastAsia="Calibri"/>
                <w:noProof/>
              </w:rPr>
            </w:pPr>
            <w:r>
              <w:rPr>
                <w:noProof/>
              </w:rPr>
              <w:t>T</w:t>
            </w:r>
          </w:p>
        </w:tc>
        <w:tc>
          <w:tcPr>
            <w:tcW w:w="1667" w:type="dxa"/>
            <w:shd w:val="clear" w:color="auto" w:fill="C6EFCE"/>
          </w:tcPr>
          <w:p w14:paraId="762BCA9E" w14:textId="641A2891" w:rsidR="00FA7C11" w:rsidRDefault="00D84965">
            <w:pPr>
              <w:pStyle w:val="P68B1DB1-Normal123"/>
              <w:spacing w:after="0" w:line="240" w:lineRule="auto"/>
              <w:rPr>
                <w:rFonts w:eastAsia="Calibri"/>
                <w:noProof/>
              </w:rPr>
            </w:pPr>
            <w:r>
              <w:rPr>
                <w:noProof/>
              </w:rPr>
              <w:t xml:space="preserve">Clădire nou construită în Piața Justiției din Zagreb </w:t>
            </w:r>
          </w:p>
        </w:tc>
        <w:tc>
          <w:tcPr>
            <w:tcW w:w="2080" w:type="dxa"/>
            <w:shd w:val="clear" w:color="auto" w:fill="C6EFCE"/>
          </w:tcPr>
          <w:p w14:paraId="0908FC6C" w14:textId="77777777" w:rsidR="00FA7C11" w:rsidRDefault="00FA7C11">
            <w:pPr>
              <w:spacing w:after="0" w:line="240" w:lineRule="auto"/>
              <w:rPr>
                <w:rFonts w:ascii="Times New Roman" w:eastAsia="Calibri" w:hAnsi="Times New Roman" w:cs="Times New Roman"/>
                <w:noProof/>
                <w:color w:val="000000" w:themeColor="text1"/>
                <w:sz w:val="20"/>
                <w:szCs w:val="20"/>
              </w:rPr>
            </w:pPr>
          </w:p>
        </w:tc>
        <w:tc>
          <w:tcPr>
            <w:tcW w:w="1055" w:type="dxa"/>
            <w:shd w:val="clear" w:color="auto" w:fill="C6EFCE"/>
          </w:tcPr>
          <w:p w14:paraId="38C879CD" w14:textId="77777777" w:rsidR="00FA7C11" w:rsidRDefault="00D84965">
            <w:pPr>
              <w:pStyle w:val="P68B1DB1-Normal123"/>
              <w:spacing w:after="0" w:line="240" w:lineRule="auto"/>
              <w:jc w:val="center"/>
              <w:rPr>
                <w:rFonts w:eastAsia="Calibri"/>
                <w:noProof/>
              </w:rPr>
            </w:pPr>
            <w:r>
              <w:rPr>
                <w:noProof/>
              </w:rPr>
              <w:t>Număr (brutto m²)</w:t>
            </w:r>
          </w:p>
        </w:tc>
        <w:tc>
          <w:tcPr>
            <w:tcW w:w="1028" w:type="dxa"/>
            <w:shd w:val="clear" w:color="auto" w:fill="C6EFCE"/>
          </w:tcPr>
          <w:p w14:paraId="7DF57AA5" w14:textId="77777777" w:rsidR="00FA7C11" w:rsidRDefault="00D84965">
            <w:pPr>
              <w:pStyle w:val="P68B1DB1-Normal123"/>
              <w:spacing w:after="0" w:line="240" w:lineRule="auto"/>
              <w:jc w:val="center"/>
              <w:rPr>
                <w:rFonts w:eastAsia="Calibri"/>
                <w:noProof/>
              </w:rPr>
            </w:pPr>
            <w:r>
              <w:rPr>
                <w:noProof/>
              </w:rPr>
              <w:t>0</w:t>
            </w:r>
          </w:p>
        </w:tc>
        <w:tc>
          <w:tcPr>
            <w:tcW w:w="946" w:type="dxa"/>
            <w:shd w:val="clear" w:color="auto" w:fill="C6EFCE"/>
          </w:tcPr>
          <w:p w14:paraId="4D6F0F97" w14:textId="77777777" w:rsidR="00FA7C11" w:rsidRDefault="00D84965">
            <w:pPr>
              <w:pStyle w:val="P68B1DB1-Normal123"/>
              <w:spacing w:after="0" w:line="240" w:lineRule="auto"/>
              <w:jc w:val="center"/>
              <w:rPr>
                <w:rFonts w:eastAsia="Calibri"/>
                <w:noProof/>
              </w:rPr>
            </w:pPr>
            <w:r>
              <w:rPr>
                <w:noProof/>
              </w:rPr>
              <w:t>26 000</w:t>
            </w:r>
          </w:p>
        </w:tc>
        <w:tc>
          <w:tcPr>
            <w:tcW w:w="556" w:type="dxa"/>
            <w:shd w:val="clear" w:color="auto" w:fill="C6EFCE"/>
          </w:tcPr>
          <w:p w14:paraId="38B5F33D" w14:textId="77777777" w:rsidR="00FA7C11" w:rsidRDefault="00D84965">
            <w:pPr>
              <w:pStyle w:val="P68B1DB1-Normal123"/>
              <w:spacing w:after="0" w:line="240" w:lineRule="auto"/>
              <w:jc w:val="center"/>
              <w:rPr>
                <w:rFonts w:eastAsia="Calibri"/>
                <w:noProof/>
              </w:rPr>
            </w:pPr>
            <w:r>
              <w:rPr>
                <w:noProof/>
              </w:rPr>
              <w:t>Î2</w:t>
            </w:r>
          </w:p>
        </w:tc>
        <w:tc>
          <w:tcPr>
            <w:tcW w:w="831" w:type="dxa"/>
            <w:shd w:val="clear" w:color="auto" w:fill="C6EFCE"/>
          </w:tcPr>
          <w:p w14:paraId="37414DC4" w14:textId="77777777" w:rsidR="00FA7C11" w:rsidRDefault="00D84965">
            <w:pPr>
              <w:pStyle w:val="P68B1DB1-Normal123"/>
              <w:spacing w:after="0" w:line="240" w:lineRule="auto"/>
              <w:jc w:val="center"/>
              <w:rPr>
                <w:rFonts w:eastAsia="Calibri"/>
                <w:noProof/>
              </w:rPr>
            </w:pPr>
            <w:r>
              <w:rPr>
                <w:noProof/>
              </w:rPr>
              <w:t>2026</w:t>
            </w:r>
          </w:p>
        </w:tc>
        <w:tc>
          <w:tcPr>
            <w:tcW w:w="3043" w:type="dxa"/>
            <w:shd w:val="clear" w:color="auto" w:fill="C6EFCE"/>
          </w:tcPr>
          <w:p w14:paraId="5F51338A" w14:textId="7BD64DFA" w:rsidR="00FA7C11" w:rsidRDefault="00D84965">
            <w:pPr>
              <w:spacing w:after="200" w:line="276" w:lineRule="auto"/>
              <w:rPr>
                <w:rFonts w:ascii="Times New Roman" w:eastAsia="Calibri" w:hAnsi="Times New Roman" w:cs="Times New Roman"/>
                <w:noProof/>
                <w:color w:val="000000" w:themeColor="text1"/>
                <w:sz w:val="20"/>
                <w:szCs w:val="20"/>
              </w:rPr>
            </w:pPr>
            <w:r>
              <w:rPr>
                <w:rFonts w:ascii="Times New Roman" w:hAnsi="Times New Roman" w:cs="Times New Roman"/>
                <w:noProof/>
              </w:rPr>
              <w:t xml:space="preserve">Se construiește </w:t>
            </w:r>
            <w:r>
              <w:rPr>
                <w:rFonts w:ascii="Times New Roman" w:hAnsi="Times New Roman" w:cs="Times New Roman"/>
                <w:noProof/>
                <w:color w:val="000000" w:themeColor="text1"/>
                <w:sz w:val="20"/>
                <w:szCs w:val="20"/>
              </w:rPr>
              <w:t xml:space="preserve">o clădire de 26 000 m² în Piața Justiției din Zagreb, după cum reiese din: </w:t>
            </w:r>
            <w:r>
              <w:rPr>
                <w:rFonts w:ascii="Times New Roman" w:hAnsi="Times New Roman" w:cs="Times New Roman"/>
                <w:noProof/>
              </w:rPr>
              <w:br/>
            </w:r>
            <w:r>
              <w:rPr>
                <w:rFonts w:ascii="Times New Roman" w:eastAsia="Calibri" w:hAnsi="Times New Roman" w:cs="Times New Roman"/>
                <w:noProof/>
                <w:color w:val="000000" w:themeColor="text1"/>
                <w:sz w:val="20"/>
                <w:szCs w:val="20"/>
              </w:rPr>
              <w:t>1. un raport privind stadiul construcției clădirii, întocmit de inginerul supraveghetor, care să dovedească faptul că clădirea a fost construită;</w:t>
            </w:r>
            <w:r>
              <w:rPr>
                <w:rFonts w:ascii="Times New Roman" w:hAnsi="Times New Roman" w:cs="Times New Roman"/>
                <w:noProof/>
              </w:rPr>
              <w:br/>
              <w:t xml:space="preserve"> </w:t>
            </w:r>
            <w:r>
              <w:rPr>
                <w:rFonts w:ascii="Times New Roman" w:eastAsia="Calibri" w:hAnsi="Times New Roman" w:cs="Times New Roman"/>
                <w:noProof/>
                <w:color w:val="000000" w:themeColor="text1"/>
                <w:sz w:val="20"/>
                <w:szCs w:val="20"/>
              </w:rPr>
              <w:t>2.Studiu geodezic al clădirii construite</w:t>
            </w:r>
            <w:r>
              <w:rPr>
                <w:rFonts w:ascii="Times New Roman" w:hAnsi="Times New Roman" w:cs="Times New Roman"/>
                <w:noProof/>
              </w:rPr>
              <w:br/>
              <w:t xml:space="preserve"> </w:t>
            </w:r>
            <w:r>
              <w:rPr>
                <w:rFonts w:ascii="Times New Roman" w:eastAsia="Calibri" w:hAnsi="Times New Roman" w:cs="Times New Roman"/>
                <w:noProof/>
                <w:color w:val="000000" w:themeColor="text1"/>
                <w:sz w:val="20"/>
                <w:szCs w:val="20"/>
              </w:rPr>
              <w:t>3.Cardul de performanță energetică a clădirilor</w:t>
            </w:r>
          </w:p>
          <w:p w14:paraId="49331F15" w14:textId="77777777" w:rsidR="00FA7C11" w:rsidRDefault="00D84965">
            <w:pPr>
              <w:pStyle w:val="P68B1DB1-Normal123"/>
              <w:spacing w:after="0" w:line="240" w:lineRule="auto"/>
              <w:rPr>
                <w:rFonts w:eastAsia="Calibri"/>
                <w:noProof/>
              </w:rPr>
            </w:pPr>
            <w:r>
              <w:rPr>
                <w:noProof/>
              </w:rPr>
              <w:t>Investiția se referă la construirea unei clădiri noi, cu o cerere de energie primară (PED) care este cu cel puțin 20 % mai mică decât clădirea al cărei consum de energie este aproape egal cu zero (NZEB).</w:t>
            </w:r>
          </w:p>
        </w:tc>
      </w:tr>
    </w:tbl>
    <w:p w14:paraId="26E311DF" w14:textId="77777777" w:rsidR="00FA7C11" w:rsidRDefault="00FA7C11">
      <w:pPr>
        <w:spacing w:line="240" w:lineRule="auto"/>
        <w:jc w:val="both"/>
        <w:rPr>
          <w:rFonts w:eastAsia="Calibri"/>
          <w:noProof/>
        </w:rPr>
        <w:sectPr w:rsidR="00FA7C11" w:rsidSect="00FA29B2">
          <w:headerReference w:type="even" r:id="rId224"/>
          <w:headerReference w:type="default" r:id="rId225"/>
          <w:footerReference w:type="even" r:id="rId226"/>
          <w:footerReference w:type="default" r:id="rId227"/>
          <w:headerReference w:type="first" r:id="rId228"/>
          <w:footerReference w:type="first" r:id="rId229"/>
          <w:pgSz w:w="16839" w:h="11907" w:orient="landscape"/>
          <w:pgMar w:top="1134" w:right="1134" w:bottom="1134" w:left="1134" w:header="567" w:footer="567" w:gutter="0"/>
          <w:cols w:space="708"/>
          <w:docGrid w:linePitch="360"/>
        </w:sectPr>
      </w:pPr>
    </w:p>
    <w:p w14:paraId="70316A0E" w14:textId="77777777" w:rsidR="00FA7C11" w:rsidRDefault="00D84965">
      <w:pPr>
        <w:pStyle w:val="P68B1DB1-Normal32"/>
        <w:keepNext/>
        <w:tabs>
          <w:tab w:val="left" w:pos="850"/>
        </w:tabs>
        <w:spacing w:before="360" w:line="240" w:lineRule="auto"/>
        <w:ind w:left="850" w:hanging="850"/>
        <w:jc w:val="both"/>
        <w:outlineLvl w:val="0"/>
        <w:rPr>
          <w:noProof/>
        </w:rPr>
      </w:pPr>
      <w:r>
        <w:rPr>
          <w:noProof/>
        </w:rPr>
        <w:t>L. COMPONENTA 2.6: PREVENIREA ȘI COMBATEREA CORUPȚIEI</w:t>
      </w:r>
    </w:p>
    <w:p w14:paraId="32BE9751" w14:textId="59CDB935" w:rsidR="00FA7C11" w:rsidRDefault="00D84965">
      <w:pPr>
        <w:pStyle w:val="P68B1DB1-Normal33"/>
        <w:spacing w:line="240" w:lineRule="auto"/>
        <w:jc w:val="both"/>
        <w:rPr>
          <w:rFonts w:eastAsia="SimSun"/>
          <w:noProof/>
        </w:rPr>
      </w:pPr>
      <w:r>
        <w:rPr>
          <w:noProof/>
        </w:rPr>
        <w:t xml:space="preserve">Obiectivul componentei planului croat de redresare și reziliență este de a consolida cadrul de prevenire și sancționare a corupției prin măsuri care i) să sporească eficiența, coerența și deschiderea autorităților în lupta împotriva corupției, ii) să îmbunătățească punerea în aplicare a Legii privind dreptul de acces la informații, iii) să consolideze guvernanța corporativă în întreprinderile deținute în proporție majoritară de unitățile administrației publice locale și regionale și iv) să consolideze capacitatea de a introduce căi de atac judiciare în cadrul procedurilor de achiziții publice. </w:t>
      </w:r>
    </w:p>
    <w:p w14:paraId="54BFDE8F" w14:textId="77777777" w:rsidR="00FA7C11" w:rsidRDefault="00D84965">
      <w:pPr>
        <w:pStyle w:val="P68B1DB1-Normal33"/>
        <w:spacing w:line="240" w:lineRule="auto"/>
        <w:jc w:val="both"/>
        <w:rPr>
          <w:noProof/>
        </w:rPr>
      </w:pPr>
      <w:r>
        <w:rPr>
          <w:noProof/>
        </w:rPr>
        <w:t>Componenta sprijină abordarea recomandării specifice fiecărei țări privind necesitatea suplimentară de a consolida cadrul de prevenire și sancționare a corupției pentru a garanta utilizarea legală, transparentă și eficientă a fondurilor publice (recomandarea specifică fiecărei țări 4, 2019).</w:t>
      </w:r>
    </w:p>
    <w:p w14:paraId="5FC9EF83" w14:textId="77777777" w:rsidR="00FA7C11" w:rsidRDefault="00FA7C11">
      <w:pPr>
        <w:spacing w:line="240" w:lineRule="auto"/>
        <w:ind w:left="850"/>
        <w:jc w:val="both"/>
        <w:rPr>
          <w:rFonts w:ascii="Times New Roman" w:eastAsia="Times New Roman" w:hAnsi="Times New Roman" w:cs="Times New Roman"/>
          <w:noProof/>
          <w:sz w:val="24"/>
          <w:szCs w:val="24"/>
        </w:rPr>
      </w:pPr>
    </w:p>
    <w:p w14:paraId="60F64D14" w14:textId="77777777" w:rsidR="00FA7C11" w:rsidRDefault="00D84965">
      <w:pPr>
        <w:pStyle w:val="P68B1DB1-Normal57"/>
        <w:keepNext/>
        <w:spacing w:before="40" w:after="0"/>
        <w:ind w:left="851"/>
        <w:jc w:val="both"/>
        <w:outlineLvl w:val="1"/>
        <w:rPr>
          <w:noProof/>
        </w:rPr>
      </w:pPr>
      <w:r>
        <w:rPr>
          <w:noProof/>
        </w:rPr>
        <w:t xml:space="preserve">L.1. </w:t>
      </w:r>
      <w:r>
        <w:rPr>
          <w:noProof/>
        </w:rPr>
        <w:tab/>
        <w:t>Descrierea reformelor și a investițiilor pentru sprijinul financiar nerambursabil</w:t>
      </w:r>
    </w:p>
    <w:p w14:paraId="63F7E5F5" w14:textId="77777777" w:rsidR="00FA7C11" w:rsidRDefault="00FA7C11">
      <w:pPr>
        <w:spacing w:line="240" w:lineRule="auto"/>
        <w:ind w:left="851"/>
        <w:jc w:val="both"/>
        <w:rPr>
          <w:rFonts w:ascii="Times New Roman" w:eastAsia="Calibri" w:hAnsi="Times New Roman" w:cs="Times New Roman"/>
          <w:noProof/>
          <w:sz w:val="24"/>
          <w:szCs w:val="24"/>
          <w:u w:val="single"/>
        </w:rPr>
      </w:pPr>
    </w:p>
    <w:p w14:paraId="383DE536" w14:textId="77777777" w:rsidR="00FA7C11" w:rsidRDefault="00D84965">
      <w:pPr>
        <w:pStyle w:val="P68B1DB1-Normal33"/>
        <w:spacing w:line="240" w:lineRule="auto"/>
        <w:ind w:left="851"/>
        <w:jc w:val="both"/>
        <w:rPr>
          <w:noProof/>
        </w:rPr>
      </w:pPr>
      <w:r>
        <w:rPr>
          <w:noProof/>
          <w:u w:val="single"/>
        </w:rPr>
        <w:t>Reforma C2.6 R1 – Creșterea eficienței, a coerenței și a deschiderii autorităților în lupta împotriva corupției prin digitalizare, sporirea transparenței și îmbunătățirea coordonării.</w:t>
      </w:r>
      <w:r>
        <w:rPr>
          <w:noProof/>
        </w:rPr>
        <w:t xml:space="preserve"> </w:t>
      </w:r>
    </w:p>
    <w:p w14:paraId="398F1019" w14:textId="4C8F624D" w:rsidR="00FA7C11" w:rsidRDefault="00D84965">
      <w:pPr>
        <w:pStyle w:val="P68B1DB1-Normal33"/>
        <w:spacing w:line="240" w:lineRule="auto"/>
        <w:jc w:val="both"/>
        <w:rPr>
          <w:noProof/>
        </w:rPr>
      </w:pPr>
      <w:r>
        <w:rPr>
          <w:noProof/>
        </w:rPr>
        <w:t xml:space="preserve">Obiectivul acestei măsuri este de a îmbunătăți coordonarea și cooperarea autorităților implicate în punerea în aplicare a documentelor naționale de politică anticorupție. </w:t>
      </w:r>
    </w:p>
    <w:p w14:paraId="406973DC" w14:textId="77777777" w:rsidR="00FA7C11" w:rsidRDefault="00D84965">
      <w:pPr>
        <w:pStyle w:val="P68B1DB1-Normal33"/>
        <w:spacing w:line="240" w:lineRule="auto"/>
        <w:jc w:val="both"/>
        <w:rPr>
          <w:noProof/>
        </w:rPr>
      </w:pPr>
      <w:r>
        <w:rPr>
          <w:noProof/>
        </w:rPr>
        <w:t>Reforma constă în modificări ale cadrului legislativ privind prevenirea conflictelor de interese și protecția persoanelor care raportează nereguli și într-o nouă strategie anticorupție pentru perioada 2021-2030.</w:t>
      </w:r>
    </w:p>
    <w:p w14:paraId="288EA487" w14:textId="77777777" w:rsidR="00FA7C11" w:rsidRDefault="00D84965">
      <w:pPr>
        <w:pStyle w:val="P68B1DB1-Normal42"/>
        <w:keepNext/>
        <w:spacing w:line="240" w:lineRule="auto"/>
        <w:ind w:left="850"/>
        <w:jc w:val="both"/>
        <w:rPr>
          <w:noProof/>
        </w:rPr>
      </w:pPr>
      <w:r>
        <w:rPr>
          <w:noProof/>
        </w:rPr>
        <w:t>Investiția C2.6 R1-I1 – Implicarea publicului larg în lupta împotriva corupției prin sensibilizarea publicului cu privire la nocivitatea corupției</w:t>
      </w:r>
    </w:p>
    <w:p w14:paraId="034A8E36" w14:textId="77777777" w:rsidR="00FA7C11" w:rsidRDefault="00D84965">
      <w:pPr>
        <w:pStyle w:val="P68B1DB1-Normal33"/>
        <w:spacing w:line="240" w:lineRule="auto"/>
        <w:jc w:val="both"/>
        <w:rPr>
          <w:noProof/>
        </w:rPr>
      </w:pPr>
      <w:r>
        <w:rPr>
          <w:noProof/>
        </w:rPr>
        <w:t xml:space="preserve">Obiectivul acestei investiții este de a spori gradul de sensibilizare a publicului larg, a funcționarilor și a funcționarilor din administrația publică cu privire la nocivitatea corupției. </w:t>
      </w:r>
    </w:p>
    <w:p w14:paraId="5E3E65D0" w14:textId="27F8629D" w:rsidR="00FA7C11" w:rsidRDefault="00D84965">
      <w:pPr>
        <w:pStyle w:val="P68B1DB1-Normal33"/>
        <w:spacing w:line="240" w:lineRule="auto"/>
        <w:jc w:val="both"/>
        <w:rPr>
          <w:noProof/>
        </w:rPr>
      </w:pPr>
      <w:r>
        <w:rPr>
          <w:noProof/>
        </w:rPr>
        <w:t>Această investiție constă în publicarea unui raport de evaluare a impactului privind efectele campaniei naționale de informare împotriva corupției.</w:t>
      </w:r>
    </w:p>
    <w:p w14:paraId="1AD4BF3F" w14:textId="77777777" w:rsidR="00FA7C11" w:rsidRDefault="00D84965">
      <w:pPr>
        <w:pStyle w:val="P68B1DB1-Normal42"/>
        <w:keepNext/>
        <w:spacing w:line="240" w:lineRule="auto"/>
        <w:ind w:left="850"/>
        <w:jc w:val="both"/>
        <w:rPr>
          <w:noProof/>
        </w:rPr>
      </w:pPr>
      <w:r>
        <w:rPr>
          <w:noProof/>
        </w:rPr>
        <w:t>Investiția C2.6 R1-I2 – Digitalizarea sistemului de etică a funcționarilor publici.</w:t>
      </w:r>
    </w:p>
    <w:p w14:paraId="6EB9A6D4" w14:textId="77777777" w:rsidR="00FA7C11" w:rsidRDefault="00D84965">
      <w:pPr>
        <w:pStyle w:val="P68B1DB1-Normal33"/>
        <w:spacing w:line="240" w:lineRule="auto"/>
        <w:jc w:val="both"/>
        <w:rPr>
          <w:noProof/>
        </w:rPr>
      </w:pPr>
      <w:r>
        <w:rPr>
          <w:noProof/>
        </w:rPr>
        <w:t>Investiția include dezvoltarea și punerea în funcțiune a unui sistem de gestionare a infrastructurii de etică electronică pentru a moderniza și a îmbunătăți activitatea comisarilor pentru etică, a Comisiei pentru etică și a funcționarilor angajați de Serviciul de etică și integritate.</w:t>
      </w:r>
    </w:p>
    <w:p w14:paraId="63421623" w14:textId="77777777" w:rsidR="00FA7C11" w:rsidRDefault="00D84965">
      <w:pPr>
        <w:pStyle w:val="P68B1DB1-Normal33"/>
        <w:spacing w:line="240" w:lineRule="auto"/>
        <w:jc w:val="both"/>
        <w:rPr>
          <w:noProof/>
        </w:rPr>
      </w:pPr>
      <w:r>
        <w:rPr>
          <w:noProof/>
        </w:rPr>
        <w:t>Investiția se implementează integral până la 31 decembrie 2024.</w:t>
      </w:r>
    </w:p>
    <w:p w14:paraId="7958381E" w14:textId="77777777" w:rsidR="00FA7C11" w:rsidRDefault="00D84965">
      <w:pPr>
        <w:pStyle w:val="P68B1DB1-Normal42"/>
        <w:keepNext/>
        <w:spacing w:line="240" w:lineRule="auto"/>
        <w:ind w:left="850"/>
        <w:jc w:val="both"/>
        <w:rPr>
          <w:noProof/>
        </w:rPr>
      </w:pPr>
      <w:r>
        <w:rPr>
          <w:noProof/>
        </w:rPr>
        <w:t>Investiția C2.6 R1-I3 – Îmbunătățirea sistemului informatic privind declarațiile de avere ale funcționarilor de stat.</w:t>
      </w:r>
    </w:p>
    <w:p w14:paraId="486DDD52" w14:textId="77777777" w:rsidR="00FA7C11" w:rsidRDefault="00D84965">
      <w:pPr>
        <w:pStyle w:val="P68B1DB1-Normal33"/>
        <w:spacing w:line="240" w:lineRule="auto"/>
        <w:jc w:val="both"/>
        <w:rPr>
          <w:noProof/>
        </w:rPr>
      </w:pPr>
      <w:r>
        <w:rPr>
          <w:noProof/>
        </w:rPr>
        <w:t xml:space="preserve">Obiectivul investiției este de a consolida în continuare procedura de depunere și prelucrare a declarațiilor de avere ale funcționarilor prin automatizarea unora dintre procesele din sistemul informatic existent pentru depunerea declarației de avere a unui funcționar. </w:t>
      </w:r>
    </w:p>
    <w:p w14:paraId="39D06789" w14:textId="77777777" w:rsidR="00FA7C11" w:rsidRDefault="00D84965">
      <w:pPr>
        <w:pStyle w:val="P68B1DB1-Normal33"/>
        <w:spacing w:line="240" w:lineRule="auto"/>
        <w:jc w:val="both"/>
        <w:rPr>
          <w:noProof/>
        </w:rPr>
      </w:pPr>
      <w:r>
        <w:rPr>
          <w:noProof/>
        </w:rPr>
        <w:t>Investiția se finalizează până la 30 iunie 2024.</w:t>
      </w:r>
    </w:p>
    <w:p w14:paraId="0B20B6F5" w14:textId="77777777" w:rsidR="00FA7C11" w:rsidRDefault="00D84965">
      <w:pPr>
        <w:pStyle w:val="P68B1DB1-Normal33"/>
        <w:tabs>
          <w:tab w:val="left" w:pos="2670"/>
        </w:tabs>
        <w:rPr>
          <w:noProof/>
        </w:rPr>
      </w:pPr>
      <w:r>
        <w:rPr>
          <w:noProof/>
        </w:rPr>
        <w:tab/>
      </w:r>
    </w:p>
    <w:p w14:paraId="011793B9" w14:textId="77777777" w:rsidR="00FA7C11" w:rsidRDefault="00D84965">
      <w:pPr>
        <w:pStyle w:val="P68B1DB1-Normal42"/>
        <w:keepNext/>
        <w:spacing w:line="240" w:lineRule="auto"/>
        <w:ind w:left="850"/>
        <w:jc w:val="both"/>
        <w:rPr>
          <w:noProof/>
        </w:rPr>
      </w:pPr>
      <w:r>
        <w:rPr>
          <w:noProof/>
        </w:rPr>
        <w:t>Investiția C2.6 R1-I4 – Sprijinirea eficienței în lupta împotriva corupției și a criminalității organizate</w:t>
      </w:r>
    </w:p>
    <w:p w14:paraId="008AD4F6" w14:textId="77777777" w:rsidR="00FA7C11" w:rsidRDefault="00D84965">
      <w:pPr>
        <w:pStyle w:val="P68B1DB1-Normal33"/>
        <w:spacing w:line="240" w:lineRule="auto"/>
        <w:jc w:val="both"/>
        <w:rPr>
          <w:noProof/>
        </w:rPr>
      </w:pPr>
      <w:r>
        <w:rPr>
          <w:noProof/>
        </w:rPr>
        <w:t xml:space="preserve">Obiectivul acestei investiții este de a spori eficiența în lupta împotriva corupției și a criminalității organizate. </w:t>
      </w:r>
    </w:p>
    <w:p w14:paraId="6918900C" w14:textId="77777777" w:rsidR="00FA7C11" w:rsidRDefault="00D84965">
      <w:pPr>
        <w:pStyle w:val="P68B1DB1-Normal33"/>
        <w:keepNext/>
        <w:spacing w:line="240" w:lineRule="auto"/>
        <w:jc w:val="both"/>
        <w:rPr>
          <w:noProof/>
        </w:rPr>
      </w:pPr>
      <w:r>
        <w:rPr>
          <w:noProof/>
        </w:rPr>
        <w:t xml:space="preserve">Investiția constă în renovarea birourilor PNUSKOK din Zagreb și Split și în noi echipamente pentru 4 centre regionale ale Oficiului Național de Poliție pentru Combaterea Corupției și a Criminalității Organizate (PNUSKOK). </w:t>
      </w:r>
    </w:p>
    <w:p w14:paraId="6E5B07EA" w14:textId="77777777" w:rsidR="00FA7C11" w:rsidRDefault="00D84965">
      <w:pPr>
        <w:pStyle w:val="P68B1DB1-Normal42"/>
        <w:keepNext/>
        <w:spacing w:line="240" w:lineRule="auto"/>
        <w:ind w:left="720"/>
        <w:jc w:val="both"/>
        <w:rPr>
          <w:noProof/>
        </w:rPr>
      </w:pPr>
      <w:r>
        <w:rPr>
          <w:noProof/>
        </w:rPr>
        <w:t>Reforma C2.6 R2 – Îmbunătățirea punerii în aplicare a Legii privind dreptul de acces la informații</w:t>
      </w:r>
    </w:p>
    <w:p w14:paraId="354B8EA6" w14:textId="77777777" w:rsidR="00FA7C11" w:rsidRDefault="00D84965">
      <w:pPr>
        <w:pStyle w:val="P68B1DB1-Normal33"/>
        <w:spacing w:line="240" w:lineRule="auto"/>
        <w:jc w:val="both"/>
        <w:rPr>
          <w:noProof/>
        </w:rPr>
      </w:pPr>
      <w:r>
        <w:rPr>
          <w:noProof/>
        </w:rPr>
        <w:t xml:space="preserve">Legea privind dreptul de acces la informații este principalul instrument de exercitare a dreptului garantat constituțional al cetățenilor de a avea acces la informațiile deținute de autoritățile publice pentru a asigura transparența și deschiderea guvernului și în lupta împotriva corupției. Reforma include o evaluare aprofundată a legii și a efectelor acesteia asupra exercitării dreptului la informare, atât din perspectiva utilizatorilor, cât și a autorităților publice, urmată de adoptarea unor modificări ale Legii privind dreptul de acces pentru a reflecta recomandarea evaluării. </w:t>
      </w:r>
    </w:p>
    <w:p w14:paraId="2EAC4CD9" w14:textId="77777777" w:rsidR="00FA7C11" w:rsidRDefault="00D84965">
      <w:pPr>
        <w:pStyle w:val="P68B1DB1-Normal33"/>
        <w:spacing w:line="240" w:lineRule="auto"/>
        <w:jc w:val="both"/>
        <w:rPr>
          <w:noProof/>
        </w:rPr>
      </w:pPr>
      <w:r>
        <w:rPr>
          <w:noProof/>
        </w:rPr>
        <w:t>Reforma se finalizează până la 31 decembrie 2023.</w:t>
      </w:r>
    </w:p>
    <w:p w14:paraId="230CF2CE" w14:textId="77777777" w:rsidR="00FA7C11" w:rsidRDefault="00D84965">
      <w:pPr>
        <w:pStyle w:val="P68B1DB1-Normal42"/>
        <w:keepNext/>
        <w:spacing w:line="240" w:lineRule="auto"/>
        <w:ind w:left="850"/>
        <w:jc w:val="both"/>
        <w:rPr>
          <w:noProof/>
        </w:rPr>
      </w:pPr>
      <w:r>
        <w:rPr>
          <w:noProof/>
        </w:rPr>
        <w:t>Reforma C2.6 R3 – Îmbunătățirea guvernanței corporative în întreprinderile deținute în proporție majoritară de unitățile administrației publice locale și regionale</w:t>
      </w:r>
    </w:p>
    <w:p w14:paraId="42CB97BC" w14:textId="77777777" w:rsidR="00FA7C11" w:rsidRDefault="00D84965">
      <w:pPr>
        <w:pStyle w:val="P68B1DB1-Normal33"/>
        <w:spacing w:line="240" w:lineRule="auto"/>
        <w:jc w:val="both"/>
        <w:rPr>
          <w:noProof/>
        </w:rPr>
      </w:pPr>
      <w:r>
        <w:rPr>
          <w:noProof/>
        </w:rPr>
        <w:t xml:space="preserve">Obiectivul acestei reforme este de a îmbunătăți eficiența, transparența și responsabilitatea întreprinderilor guvernamentale locale. </w:t>
      </w:r>
    </w:p>
    <w:p w14:paraId="1788EB67" w14:textId="77777777" w:rsidR="00FA7C11" w:rsidRDefault="00D84965">
      <w:pPr>
        <w:pStyle w:val="P68B1DB1-Normal33"/>
        <w:spacing w:line="240" w:lineRule="auto"/>
        <w:jc w:val="both"/>
        <w:rPr>
          <w:noProof/>
        </w:rPr>
      </w:pPr>
      <w:r>
        <w:rPr>
          <w:noProof/>
        </w:rPr>
        <w:t xml:space="preserve">Această reformă constă în elaborarea unui manual pentru punerea în aplicare a recomandărilor OCDE privind guvernanța corporativă în întreprinderile deținute în majoritate de unități ale administrației publice locale și regionale, în evaluarea efectelor Programului anticorupție 2021-2022 pentru întreprinderile deținute în majoritate de unități ale administrației publice locale și regionale și în cursuri de formare. </w:t>
      </w:r>
    </w:p>
    <w:p w14:paraId="7ABB9BAA" w14:textId="77777777" w:rsidR="00FA7C11" w:rsidRDefault="00D84965">
      <w:pPr>
        <w:pStyle w:val="P68B1DB1-Normal33"/>
        <w:keepNext/>
        <w:spacing w:line="240" w:lineRule="auto"/>
        <w:ind w:left="850"/>
        <w:jc w:val="both"/>
        <w:rPr>
          <w:noProof/>
          <w:u w:val="double"/>
        </w:rPr>
      </w:pPr>
      <w:r>
        <w:rPr>
          <w:noProof/>
          <w:u w:val="single"/>
        </w:rPr>
        <w:t xml:space="preserve">Reforma C2.6 R4 – Consolidarea capacității de a recurge la căi de atac judiciare în cadrul </w:t>
      </w:r>
      <w:r>
        <w:rPr>
          <w:noProof/>
          <w:u w:val="double"/>
        </w:rPr>
        <w:t>procedurilor</w:t>
      </w:r>
      <w:r>
        <w:rPr>
          <w:noProof/>
          <w:u w:val="single"/>
        </w:rPr>
        <w:t xml:space="preserve"> de achiziții publice</w:t>
      </w:r>
    </w:p>
    <w:p w14:paraId="0A4FD361" w14:textId="77777777" w:rsidR="00FA7C11" w:rsidRDefault="00D84965">
      <w:pPr>
        <w:pStyle w:val="P68B1DB1-Normal33"/>
        <w:spacing w:line="240" w:lineRule="auto"/>
        <w:jc w:val="both"/>
        <w:rPr>
          <w:noProof/>
        </w:rPr>
      </w:pPr>
      <w:r>
        <w:rPr>
          <w:noProof/>
        </w:rPr>
        <w:t>Obiectivul reformei este de a consolida protecția judiciară în cadrul procedurilor de achiziții publice prin ateliere educaționale pentru judecători, care se preconizează că vor spori cunoștințele și sensibilizarea acestora cu privire la gestionarea riscurilor de corupție și la căile de atac judiciare în cadrul procedurilor de achiziții publice. Atelierele sunt organizate de Academia Judiciară ca parte a dezvoltării profesionale pe tot parcursul vieții a funcționarilor judiciari.</w:t>
      </w:r>
    </w:p>
    <w:p w14:paraId="336CE537" w14:textId="77777777" w:rsidR="00FA7C11" w:rsidRDefault="00D84965">
      <w:pPr>
        <w:pStyle w:val="P68B1DB1-Normal33"/>
        <w:spacing w:line="240" w:lineRule="auto"/>
        <w:rPr>
          <w:rStyle w:val="normaltextrun"/>
          <w:noProof/>
        </w:rPr>
        <w:sectPr w:rsidR="00FA7C11" w:rsidSect="00FA29B2">
          <w:headerReference w:type="even" r:id="rId230"/>
          <w:headerReference w:type="default" r:id="rId231"/>
          <w:footerReference w:type="even" r:id="rId232"/>
          <w:footerReference w:type="default" r:id="rId233"/>
          <w:headerReference w:type="first" r:id="rId234"/>
          <w:footerReference w:type="first" r:id="rId235"/>
          <w:pgSz w:w="11906" w:h="16838"/>
          <w:pgMar w:top="1134" w:right="1134" w:bottom="1134" w:left="1134" w:header="567" w:footer="567" w:gutter="0"/>
          <w:cols w:space="708"/>
          <w:docGrid w:linePitch="360"/>
        </w:sectPr>
      </w:pPr>
      <w:r>
        <w:rPr>
          <w:noProof/>
        </w:rPr>
        <w:t xml:space="preserve">Reforma se pune în aplicare până la 30 iunie 2024. </w:t>
      </w:r>
    </w:p>
    <w:p w14:paraId="73A23290" w14:textId="77777777" w:rsidR="00FA7C11" w:rsidRDefault="00D84965">
      <w:pPr>
        <w:pStyle w:val="P68B1DB1-Normal57"/>
        <w:keepNext/>
        <w:tabs>
          <w:tab w:val="num" w:pos="284"/>
        </w:tabs>
        <w:spacing w:before="40"/>
        <w:jc w:val="both"/>
        <w:outlineLvl w:val="1"/>
        <w:rPr>
          <w:noProof/>
        </w:rPr>
      </w:pPr>
      <w:r>
        <w:rPr>
          <w:noProof/>
        </w:rPr>
        <w:t xml:space="preserve">L.2. </w:t>
      </w:r>
      <w:r>
        <w:rPr>
          <w:noProof/>
        </w:rPr>
        <w:tab/>
        <w:t>Jaloane, ținte, indicatori și calendarul de monitorizare și implementare aplicabile sprijinului financiar nerambursabil</w:t>
      </w:r>
    </w:p>
    <w:tbl>
      <w:tblPr>
        <w:tblW w:w="14959"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8"/>
        <w:gridCol w:w="1096"/>
        <w:gridCol w:w="1331"/>
        <w:gridCol w:w="1632"/>
        <w:gridCol w:w="2149"/>
        <w:gridCol w:w="1129"/>
        <w:gridCol w:w="800"/>
        <w:gridCol w:w="822"/>
        <w:gridCol w:w="1026"/>
        <w:gridCol w:w="835"/>
        <w:gridCol w:w="3247"/>
      </w:tblGrid>
      <w:tr w:rsidR="00FA7C11" w14:paraId="145BB218" w14:textId="77777777">
        <w:trPr>
          <w:trHeight w:val="635"/>
          <w:tblHeader/>
        </w:trPr>
        <w:tc>
          <w:tcPr>
            <w:tcW w:w="968" w:type="dxa"/>
            <w:vMerge w:val="restart"/>
            <w:shd w:val="clear" w:color="auto" w:fill="BDD7EE"/>
            <w:vAlign w:val="center"/>
            <w:hideMark/>
          </w:tcPr>
          <w:p w14:paraId="307AB85F" w14:textId="77777777" w:rsidR="00FA7C11" w:rsidRDefault="00D84965">
            <w:pPr>
              <w:pStyle w:val="P68B1DB1-Normal58"/>
              <w:spacing w:after="0" w:line="276" w:lineRule="auto"/>
              <w:jc w:val="center"/>
              <w:rPr>
                <w:bCs/>
                <w:noProof/>
              </w:rPr>
            </w:pPr>
            <w:r>
              <w:rPr>
                <w:noProof/>
              </w:rPr>
              <w:t>Număr</w:t>
            </w:r>
          </w:p>
        </w:tc>
        <w:tc>
          <w:tcPr>
            <w:tcW w:w="1108" w:type="dxa"/>
            <w:vMerge w:val="restart"/>
            <w:shd w:val="clear" w:color="auto" w:fill="BDD7EE"/>
            <w:vAlign w:val="center"/>
            <w:hideMark/>
          </w:tcPr>
          <w:p w14:paraId="6EFFEA4D" w14:textId="77777777" w:rsidR="00FA7C11" w:rsidRDefault="00D84965">
            <w:pPr>
              <w:pStyle w:val="P68B1DB1-Normal58"/>
              <w:spacing w:after="0" w:line="276" w:lineRule="auto"/>
              <w:jc w:val="center"/>
              <w:rPr>
                <w:bCs/>
                <w:noProof/>
              </w:rPr>
            </w:pPr>
            <w:r>
              <w:rPr>
                <w:noProof/>
              </w:rPr>
              <w:t>Măsură</w:t>
            </w:r>
          </w:p>
        </w:tc>
        <w:tc>
          <w:tcPr>
            <w:tcW w:w="1120" w:type="dxa"/>
            <w:vMerge w:val="restart"/>
            <w:shd w:val="clear" w:color="auto" w:fill="BDD7EE"/>
            <w:vAlign w:val="center"/>
            <w:hideMark/>
          </w:tcPr>
          <w:p w14:paraId="6ACC8B59" w14:textId="77777777" w:rsidR="00FA7C11" w:rsidRDefault="00D84965">
            <w:pPr>
              <w:pStyle w:val="P68B1DB1-Normal58"/>
              <w:spacing w:after="0" w:line="276" w:lineRule="auto"/>
              <w:jc w:val="center"/>
              <w:rPr>
                <w:bCs/>
                <w:noProof/>
              </w:rPr>
            </w:pPr>
            <w:r>
              <w:rPr>
                <w:noProof/>
              </w:rPr>
              <w:t>Etapă/Obiectiv</w:t>
            </w:r>
          </w:p>
        </w:tc>
        <w:tc>
          <w:tcPr>
            <w:tcW w:w="1649" w:type="dxa"/>
            <w:vMerge w:val="restart"/>
            <w:shd w:val="clear" w:color="auto" w:fill="BDD7EE"/>
            <w:vAlign w:val="center"/>
            <w:hideMark/>
          </w:tcPr>
          <w:p w14:paraId="440ACD71" w14:textId="77777777" w:rsidR="00FA7C11" w:rsidRDefault="00D84965">
            <w:pPr>
              <w:pStyle w:val="P68B1DB1-Normal58"/>
              <w:spacing w:after="0" w:line="276" w:lineRule="auto"/>
              <w:jc w:val="center"/>
              <w:rPr>
                <w:bCs/>
                <w:noProof/>
              </w:rPr>
            </w:pPr>
            <w:r>
              <w:rPr>
                <w:noProof/>
              </w:rPr>
              <w:t>Nume</w:t>
            </w:r>
          </w:p>
        </w:tc>
        <w:tc>
          <w:tcPr>
            <w:tcW w:w="2172" w:type="dxa"/>
            <w:vMerge w:val="restart"/>
            <w:shd w:val="clear" w:color="auto" w:fill="BDD7EE"/>
            <w:vAlign w:val="center"/>
            <w:hideMark/>
          </w:tcPr>
          <w:p w14:paraId="6D78487B"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779" w:type="dxa"/>
            <w:gridSpan w:val="3"/>
            <w:shd w:val="clear" w:color="auto" w:fill="BDD7EE"/>
            <w:vAlign w:val="center"/>
            <w:hideMark/>
          </w:tcPr>
          <w:p w14:paraId="3A818E1F"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881" w:type="dxa"/>
            <w:gridSpan w:val="2"/>
            <w:shd w:val="clear" w:color="auto" w:fill="BDD7EE"/>
            <w:vAlign w:val="center"/>
            <w:hideMark/>
          </w:tcPr>
          <w:p w14:paraId="1736036C" w14:textId="77777777" w:rsidR="00FA7C11" w:rsidRDefault="00D84965">
            <w:pPr>
              <w:pStyle w:val="P68B1DB1-Normal58"/>
              <w:spacing w:after="0" w:line="276" w:lineRule="auto"/>
              <w:jc w:val="center"/>
              <w:rPr>
                <w:bCs/>
                <w:noProof/>
              </w:rPr>
            </w:pPr>
            <w:r>
              <w:rPr>
                <w:noProof/>
              </w:rPr>
              <w:t>Timp</w:t>
            </w:r>
          </w:p>
        </w:tc>
        <w:tc>
          <w:tcPr>
            <w:tcW w:w="3282" w:type="dxa"/>
            <w:vMerge w:val="restart"/>
            <w:shd w:val="clear" w:color="auto" w:fill="BDD7EE"/>
            <w:vAlign w:val="center"/>
            <w:hideMark/>
          </w:tcPr>
          <w:p w14:paraId="0E2DF6A4"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59F95A41" w14:textId="77777777">
        <w:trPr>
          <w:trHeight w:val="503"/>
          <w:tblHeader/>
        </w:trPr>
        <w:tc>
          <w:tcPr>
            <w:tcW w:w="968" w:type="dxa"/>
            <w:vMerge/>
            <w:hideMark/>
          </w:tcPr>
          <w:p w14:paraId="1CCC0542"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08" w:type="dxa"/>
            <w:vMerge/>
            <w:hideMark/>
          </w:tcPr>
          <w:p w14:paraId="59F273D7"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20" w:type="dxa"/>
            <w:vMerge/>
            <w:hideMark/>
          </w:tcPr>
          <w:p w14:paraId="4552E828"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649" w:type="dxa"/>
            <w:vMerge/>
            <w:hideMark/>
          </w:tcPr>
          <w:p w14:paraId="18A11356" w14:textId="77777777" w:rsidR="00FA7C11" w:rsidRDefault="00FA7C11">
            <w:pPr>
              <w:spacing w:after="0" w:line="276" w:lineRule="auto"/>
              <w:rPr>
                <w:rFonts w:ascii="Times New Roman" w:eastAsia="Times New Roman" w:hAnsi="Times New Roman" w:cs="Times New Roman"/>
                <w:b/>
                <w:noProof/>
                <w:sz w:val="20"/>
                <w:szCs w:val="20"/>
              </w:rPr>
            </w:pPr>
          </w:p>
        </w:tc>
        <w:tc>
          <w:tcPr>
            <w:tcW w:w="2172" w:type="dxa"/>
            <w:vMerge/>
            <w:hideMark/>
          </w:tcPr>
          <w:p w14:paraId="766F84AF" w14:textId="77777777" w:rsidR="00FA7C11" w:rsidRDefault="00FA7C11">
            <w:pPr>
              <w:spacing w:after="0" w:line="276" w:lineRule="auto"/>
              <w:rPr>
                <w:rFonts w:ascii="Times New Roman" w:eastAsia="Times New Roman" w:hAnsi="Times New Roman" w:cs="Times New Roman"/>
                <w:b/>
                <w:noProof/>
                <w:sz w:val="20"/>
                <w:szCs w:val="20"/>
              </w:rPr>
            </w:pPr>
          </w:p>
        </w:tc>
        <w:tc>
          <w:tcPr>
            <w:tcW w:w="1141" w:type="dxa"/>
            <w:shd w:val="clear" w:color="auto" w:fill="BDD7EE"/>
            <w:vAlign w:val="center"/>
            <w:hideMark/>
          </w:tcPr>
          <w:p w14:paraId="2F42217D" w14:textId="77777777" w:rsidR="00FA7C11" w:rsidRDefault="00D84965">
            <w:pPr>
              <w:pStyle w:val="P68B1DB1-Normal58"/>
              <w:spacing w:after="0" w:line="276" w:lineRule="auto"/>
              <w:jc w:val="center"/>
              <w:rPr>
                <w:bCs/>
                <w:noProof/>
              </w:rPr>
            </w:pPr>
            <w:r>
              <w:rPr>
                <w:noProof/>
              </w:rPr>
              <w:t>Unitate</w:t>
            </w:r>
          </w:p>
        </w:tc>
        <w:tc>
          <w:tcPr>
            <w:tcW w:w="807" w:type="dxa"/>
            <w:shd w:val="clear" w:color="auto" w:fill="BDD7EE"/>
            <w:vAlign w:val="center"/>
            <w:hideMark/>
          </w:tcPr>
          <w:p w14:paraId="170B9241" w14:textId="77777777" w:rsidR="00FA7C11" w:rsidRDefault="00D84965">
            <w:pPr>
              <w:pStyle w:val="P68B1DB1-Normal58"/>
              <w:spacing w:after="0" w:line="276" w:lineRule="auto"/>
              <w:jc w:val="center"/>
              <w:rPr>
                <w:bCs/>
                <w:noProof/>
              </w:rPr>
            </w:pPr>
            <w:r>
              <w:rPr>
                <w:noProof/>
              </w:rPr>
              <w:t>Situația de referință</w:t>
            </w:r>
          </w:p>
        </w:tc>
        <w:tc>
          <w:tcPr>
            <w:tcW w:w="831" w:type="dxa"/>
            <w:shd w:val="clear" w:color="auto" w:fill="BDD7EE"/>
            <w:vAlign w:val="center"/>
            <w:hideMark/>
          </w:tcPr>
          <w:p w14:paraId="31F672EC" w14:textId="77777777" w:rsidR="00FA7C11" w:rsidRDefault="00D84965">
            <w:pPr>
              <w:pStyle w:val="P68B1DB1-Normal58"/>
              <w:spacing w:after="0" w:line="276" w:lineRule="auto"/>
              <w:jc w:val="center"/>
              <w:rPr>
                <w:bCs/>
                <w:noProof/>
              </w:rPr>
            </w:pPr>
            <w:r>
              <w:rPr>
                <w:noProof/>
              </w:rPr>
              <w:t>Obiectiv</w:t>
            </w:r>
          </w:p>
        </w:tc>
        <w:tc>
          <w:tcPr>
            <w:tcW w:w="1037" w:type="dxa"/>
            <w:shd w:val="clear" w:color="auto" w:fill="BDD7EE"/>
            <w:vAlign w:val="center"/>
            <w:hideMark/>
          </w:tcPr>
          <w:p w14:paraId="56A3A11F" w14:textId="77777777" w:rsidR="00FA7C11" w:rsidRDefault="00D84965">
            <w:pPr>
              <w:pStyle w:val="P68B1DB1-Normal58"/>
              <w:spacing w:after="0" w:line="276" w:lineRule="auto"/>
              <w:jc w:val="center"/>
              <w:rPr>
                <w:bCs/>
                <w:noProof/>
              </w:rPr>
            </w:pPr>
            <w:r>
              <w:rPr>
                <w:noProof/>
              </w:rPr>
              <w:t>Quareter</w:t>
            </w:r>
          </w:p>
        </w:tc>
        <w:tc>
          <w:tcPr>
            <w:tcW w:w="844" w:type="dxa"/>
            <w:shd w:val="clear" w:color="auto" w:fill="BDD7EE"/>
            <w:vAlign w:val="center"/>
            <w:hideMark/>
          </w:tcPr>
          <w:p w14:paraId="5E6916D9" w14:textId="77777777" w:rsidR="00FA7C11" w:rsidRDefault="00D84965">
            <w:pPr>
              <w:pStyle w:val="P68B1DB1-Normal58"/>
              <w:spacing w:after="0" w:line="276" w:lineRule="auto"/>
              <w:jc w:val="center"/>
              <w:rPr>
                <w:bCs/>
                <w:noProof/>
              </w:rPr>
            </w:pPr>
            <w:r>
              <w:rPr>
                <w:noProof/>
              </w:rPr>
              <w:t>Anul</w:t>
            </w:r>
          </w:p>
        </w:tc>
        <w:tc>
          <w:tcPr>
            <w:tcW w:w="3282" w:type="dxa"/>
            <w:vMerge/>
            <w:hideMark/>
          </w:tcPr>
          <w:p w14:paraId="009E74F4"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2766DB31" w14:textId="77777777">
        <w:trPr>
          <w:trHeight w:val="283"/>
        </w:trPr>
        <w:tc>
          <w:tcPr>
            <w:tcW w:w="968" w:type="dxa"/>
            <w:shd w:val="clear" w:color="auto" w:fill="C6EFCE"/>
            <w:noWrap/>
          </w:tcPr>
          <w:p w14:paraId="4E08507F" w14:textId="77777777" w:rsidR="00FA7C11" w:rsidRDefault="00D84965">
            <w:pPr>
              <w:pStyle w:val="P68B1DB1-Normal66"/>
              <w:spacing w:after="0" w:line="276" w:lineRule="auto"/>
              <w:jc w:val="center"/>
              <w:rPr>
                <w:noProof/>
              </w:rPr>
            </w:pPr>
            <w:r>
              <w:rPr>
                <w:noProof/>
              </w:rPr>
              <w:t>231</w:t>
            </w:r>
          </w:p>
        </w:tc>
        <w:tc>
          <w:tcPr>
            <w:tcW w:w="1108" w:type="dxa"/>
            <w:shd w:val="clear" w:color="auto" w:fill="C6EFCE"/>
            <w:noWrap/>
          </w:tcPr>
          <w:p w14:paraId="3004F81F" w14:textId="77777777" w:rsidR="00FA7C11" w:rsidRDefault="00D84965">
            <w:pPr>
              <w:pStyle w:val="P68B1DB1-Normal66"/>
              <w:spacing w:after="200" w:line="276" w:lineRule="auto"/>
              <w:jc w:val="center"/>
              <w:rPr>
                <w:noProof/>
              </w:rPr>
            </w:pPr>
            <w:r>
              <w:rPr>
                <w:noProof/>
              </w:rPr>
              <w:t>C2.6. R1</w:t>
            </w:r>
          </w:p>
        </w:tc>
        <w:tc>
          <w:tcPr>
            <w:tcW w:w="1120" w:type="dxa"/>
            <w:shd w:val="clear" w:color="auto" w:fill="C6EFCE"/>
            <w:noWrap/>
          </w:tcPr>
          <w:p w14:paraId="49AF8AE3" w14:textId="77777777" w:rsidR="00FA7C11" w:rsidRDefault="00D84965">
            <w:pPr>
              <w:pStyle w:val="P68B1DB1-Normal66"/>
              <w:spacing w:after="200" w:line="276" w:lineRule="auto"/>
              <w:jc w:val="center"/>
              <w:rPr>
                <w:noProof/>
              </w:rPr>
            </w:pPr>
            <w:r>
              <w:rPr>
                <w:noProof/>
              </w:rPr>
              <w:t>M</w:t>
            </w:r>
          </w:p>
        </w:tc>
        <w:tc>
          <w:tcPr>
            <w:tcW w:w="1649" w:type="dxa"/>
            <w:shd w:val="clear" w:color="auto" w:fill="C6EFCE"/>
            <w:noWrap/>
          </w:tcPr>
          <w:p w14:paraId="6E700732" w14:textId="77777777" w:rsidR="00FA7C11" w:rsidRDefault="00D84965">
            <w:pPr>
              <w:pStyle w:val="P68B1DB1-Normal66"/>
              <w:spacing w:after="200" w:line="276" w:lineRule="auto"/>
              <w:rPr>
                <w:noProof/>
              </w:rPr>
            </w:pPr>
            <w:r>
              <w:rPr>
                <w:noProof/>
              </w:rPr>
              <w:t>Adoptarea unei noi strategii anticorupție pentru perioada 2021-2030</w:t>
            </w:r>
          </w:p>
        </w:tc>
        <w:tc>
          <w:tcPr>
            <w:tcW w:w="2172" w:type="dxa"/>
            <w:shd w:val="clear" w:color="auto" w:fill="C6EFCE"/>
            <w:noWrap/>
          </w:tcPr>
          <w:p w14:paraId="5AD0F61C" w14:textId="77777777" w:rsidR="00FA7C11" w:rsidRDefault="00D84965">
            <w:pPr>
              <w:pStyle w:val="P68B1DB1-Normal66"/>
              <w:spacing w:after="200" w:line="276" w:lineRule="auto"/>
              <w:rPr>
                <w:noProof/>
              </w:rPr>
            </w:pPr>
            <w:r>
              <w:rPr>
                <w:noProof/>
              </w:rPr>
              <w:t>Noua strategie anticorupție 2021-2030 adoptată de Parlament și publicată în Jurnalul Oficial</w:t>
            </w:r>
          </w:p>
        </w:tc>
        <w:tc>
          <w:tcPr>
            <w:tcW w:w="1141" w:type="dxa"/>
            <w:shd w:val="clear" w:color="auto" w:fill="C6EFCE"/>
            <w:noWrap/>
          </w:tcPr>
          <w:p w14:paraId="1D7E6E36"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1656BF86" w14:textId="77777777" w:rsidR="00FA7C11" w:rsidRDefault="00D84965">
            <w:pPr>
              <w:pStyle w:val="P68B1DB1-Normal66"/>
              <w:spacing w:after="200" w:line="276" w:lineRule="auto"/>
              <w:jc w:val="center"/>
              <w:rPr>
                <w:noProof/>
              </w:rPr>
            </w:pPr>
            <w:r>
              <w:rPr>
                <w:noProof/>
              </w:rPr>
              <w:t> </w:t>
            </w:r>
          </w:p>
        </w:tc>
        <w:tc>
          <w:tcPr>
            <w:tcW w:w="831" w:type="dxa"/>
            <w:shd w:val="clear" w:color="auto" w:fill="C6EFCE"/>
            <w:noWrap/>
          </w:tcPr>
          <w:p w14:paraId="18FE2A1C"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69A23103" w14:textId="77777777" w:rsidR="00FA7C11" w:rsidRDefault="00D84965">
            <w:pPr>
              <w:pStyle w:val="P68B1DB1-Normal66"/>
              <w:spacing w:after="200" w:line="276" w:lineRule="auto"/>
              <w:jc w:val="center"/>
              <w:rPr>
                <w:noProof/>
              </w:rPr>
            </w:pPr>
            <w:r>
              <w:rPr>
                <w:noProof/>
              </w:rPr>
              <w:t>Î3</w:t>
            </w:r>
          </w:p>
        </w:tc>
        <w:tc>
          <w:tcPr>
            <w:tcW w:w="844" w:type="dxa"/>
            <w:shd w:val="clear" w:color="auto" w:fill="C6EFCE"/>
            <w:noWrap/>
          </w:tcPr>
          <w:p w14:paraId="0E3F2CD0" w14:textId="77777777" w:rsidR="00FA7C11" w:rsidRDefault="00D84965">
            <w:pPr>
              <w:pStyle w:val="P68B1DB1-Normal66"/>
              <w:spacing w:after="200" w:line="276" w:lineRule="auto"/>
              <w:jc w:val="center"/>
              <w:rPr>
                <w:noProof/>
              </w:rPr>
            </w:pPr>
            <w:r>
              <w:rPr>
                <w:noProof/>
              </w:rPr>
              <w:t>2021</w:t>
            </w:r>
          </w:p>
        </w:tc>
        <w:tc>
          <w:tcPr>
            <w:tcW w:w="3282" w:type="dxa"/>
            <w:shd w:val="clear" w:color="auto" w:fill="C6EFCE"/>
            <w:noWrap/>
          </w:tcPr>
          <w:p w14:paraId="28A6F08B" w14:textId="77777777" w:rsidR="00FA7C11" w:rsidRDefault="00D84965">
            <w:pPr>
              <w:pStyle w:val="P68B1DB1-Normal66"/>
              <w:spacing w:after="200" w:line="276" w:lineRule="auto"/>
              <w:rPr>
                <w:noProof/>
              </w:rPr>
            </w:pPr>
            <w:r>
              <w:rPr>
                <w:noProof/>
              </w:rPr>
              <w:t>Strategia include măsuri de gestionare a riscurilor de corupție în domeniile prioritare și de îndeplinire a următoarelor cinci obiective:</w:t>
            </w:r>
            <w:r>
              <w:rPr>
                <w:noProof/>
              </w:rPr>
              <w:br/>
              <w:t>• Consolidarea cadrului instituțional și normativ pentru combaterea corupției.</w:t>
            </w:r>
            <w:r>
              <w:rPr>
                <w:noProof/>
              </w:rPr>
              <w:br/>
              <w:t>• Sporirea transparenței și a deschiderii activității autorităților publice.</w:t>
            </w:r>
            <w:r>
              <w:rPr>
                <w:noProof/>
              </w:rPr>
              <w:br/>
              <w:t xml:space="preserve">• Consolidarea integrității și a sistemelor de gestionare a conflictelor de interese. </w:t>
            </w:r>
            <w:r>
              <w:rPr>
                <w:noProof/>
              </w:rPr>
              <w:br/>
              <w:t>• Consolidarea potențialului anticorupție în cadrul sistemului de achiziții publice.</w:t>
            </w:r>
            <w:r>
              <w:rPr>
                <w:noProof/>
              </w:rPr>
              <w:br/>
              <w:t xml:space="preserve">• Creșterea gradului de sensibilizare a publicului cu privire la nocivitatea corupției, la necesitatea de a raporta neregulile și de a spori transparența. </w:t>
            </w:r>
          </w:p>
        </w:tc>
      </w:tr>
      <w:tr w:rsidR="00FA7C11" w14:paraId="1E4D4ADA" w14:textId="77777777">
        <w:trPr>
          <w:trHeight w:val="283"/>
        </w:trPr>
        <w:tc>
          <w:tcPr>
            <w:tcW w:w="968" w:type="dxa"/>
            <w:shd w:val="clear" w:color="auto" w:fill="C6EFCE"/>
            <w:noWrap/>
          </w:tcPr>
          <w:p w14:paraId="2FF3A059" w14:textId="77777777" w:rsidR="00FA7C11" w:rsidRDefault="00D84965">
            <w:pPr>
              <w:pStyle w:val="P68B1DB1-Normal66"/>
              <w:spacing w:after="200" w:line="276" w:lineRule="auto"/>
              <w:jc w:val="center"/>
              <w:rPr>
                <w:noProof/>
              </w:rPr>
            </w:pPr>
            <w:r>
              <w:rPr>
                <w:noProof/>
              </w:rPr>
              <w:t>232</w:t>
            </w:r>
          </w:p>
        </w:tc>
        <w:tc>
          <w:tcPr>
            <w:tcW w:w="1108" w:type="dxa"/>
            <w:shd w:val="clear" w:color="auto" w:fill="C6EFCE"/>
            <w:noWrap/>
          </w:tcPr>
          <w:p w14:paraId="305B3CFE" w14:textId="77777777" w:rsidR="00FA7C11" w:rsidRDefault="00D84965">
            <w:pPr>
              <w:pStyle w:val="P68B1DB1-Normal66"/>
              <w:spacing w:after="200" w:line="276" w:lineRule="auto"/>
              <w:jc w:val="center"/>
              <w:rPr>
                <w:noProof/>
              </w:rPr>
            </w:pPr>
            <w:r>
              <w:rPr>
                <w:noProof/>
              </w:rPr>
              <w:t>C2.6. R1</w:t>
            </w:r>
          </w:p>
        </w:tc>
        <w:tc>
          <w:tcPr>
            <w:tcW w:w="1120" w:type="dxa"/>
            <w:shd w:val="clear" w:color="auto" w:fill="C6EFCE"/>
            <w:noWrap/>
          </w:tcPr>
          <w:p w14:paraId="373F9AC4" w14:textId="77777777" w:rsidR="00FA7C11" w:rsidRDefault="00D84965">
            <w:pPr>
              <w:pStyle w:val="P68B1DB1-Normal66"/>
              <w:spacing w:after="200" w:line="276" w:lineRule="auto"/>
              <w:jc w:val="center"/>
              <w:rPr>
                <w:noProof/>
              </w:rPr>
            </w:pPr>
            <w:r>
              <w:rPr>
                <w:noProof/>
              </w:rPr>
              <w:t>M</w:t>
            </w:r>
          </w:p>
        </w:tc>
        <w:tc>
          <w:tcPr>
            <w:tcW w:w="1649" w:type="dxa"/>
            <w:shd w:val="clear" w:color="auto" w:fill="C6EFCE"/>
            <w:noWrap/>
          </w:tcPr>
          <w:p w14:paraId="1E21176A" w14:textId="77777777" w:rsidR="00FA7C11" w:rsidRDefault="00D84965">
            <w:pPr>
              <w:pStyle w:val="P68B1DB1-Normal66"/>
              <w:spacing w:after="200" w:line="276" w:lineRule="auto"/>
              <w:rPr>
                <w:noProof/>
              </w:rPr>
            </w:pPr>
            <w:r>
              <w:rPr>
                <w:noProof/>
              </w:rPr>
              <w:t xml:space="preserve">Adoptarea noii legi privind prevenirea conflictelor de interese </w:t>
            </w:r>
          </w:p>
        </w:tc>
        <w:tc>
          <w:tcPr>
            <w:tcW w:w="2172" w:type="dxa"/>
            <w:shd w:val="clear" w:color="auto" w:fill="C6EFCE"/>
            <w:noWrap/>
          </w:tcPr>
          <w:p w14:paraId="768BF88C" w14:textId="77777777" w:rsidR="00FA7C11" w:rsidRDefault="00D84965">
            <w:pPr>
              <w:pStyle w:val="P68B1DB1-Normal66"/>
              <w:spacing w:after="200" w:line="276" w:lineRule="auto"/>
              <w:rPr>
                <w:noProof/>
              </w:rPr>
            </w:pPr>
            <w:r>
              <w:rPr>
                <w:noProof/>
              </w:rPr>
              <w:t xml:space="preserve">Intrarea în vigoare a legii de modificare a Legii privind prevenirea conflictelor de interese </w:t>
            </w:r>
          </w:p>
        </w:tc>
        <w:tc>
          <w:tcPr>
            <w:tcW w:w="1141" w:type="dxa"/>
            <w:shd w:val="clear" w:color="auto" w:fill="C6EFCE"/>
            <w:noWrap/>
          </w:tcPr>
          <w:p w14:paraId="72CB1827"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746A95C3" w14:textId="77777777" w:rsidR="00FA7C11" w:rsidRDefault="00D84965">
            <w:pPr>
              <w:pStyle w:val="P68B1DB1-Normal66"/>
              <w:spacing w:after="200" w:line="276" w:lineRule="auto"/>
              <w:jc w:val="center"/>
              <w:rPr>
                <w:noProof/>
              </w:rPr>
            </w:pPr>
            <w:r>
              <w:rPr>
                <w:noProof/>
              </w:rPr>
              <w:t> </w:t>
            </w:r>
          </w:p>
          <w:p w14:paraId="380054F3" w14:textId="77777777" w:rsidR="00FA7C11" w:rsidRDefault="00FA7C11">
            <w:pPr>
              <w:spacing w:after="200" w:line="276" w:lineRule="auto"/>
              <w:rPr>
                <w:rFonts w:ascii="Times New Roman" w:eastAsia="Calibri" w:hAnsi="Times New Roman" w:cs="Times New Roman"/>
                <w:noProof/>
                <w:sz w:val="20"/>
                <w:szCs w:val="20"/>
              </w:rPr>
            </w:pPr>
          </w:p>
        </w:tc>
        <w:tc>
          <w:tcPr>
            <w:tcW w:w="831" w:type="dxa"/>
            <w:shd w:val="clear" w:color="auto" w:fill="C6EFCE"/>
            <w:noWrap/>
          </w:tcPr>
          <w:p w14:paraId="7FC7B289"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2B191DD1" w14:textId="77777777" w:rsidR="00FA7C11" w:rsidRDefault="00D84965">
            <w:pPr>
              <w:pStyle w:val="P68B1DB1-Normal66"/>
              <w:spacing w:after="200" w:line="276" w:lineRule="auto"/>
              <w:jc w:val="center"/>
              <w:rPr>
                <w:noProof/>
              </w:rPr>
            </w:pPr>
            <w:r>
              <w:rPr>
                <w:noProof/>
              </w:rPr>
              <w:t>Î4</w:t>
            </w:r>
          </w:p>
        </w:tc>
        <w:tc>
          <w:tcPr>
            <w:tcW w:w="844" w:type="dxa"/>
            <w:shd w:val="clear" w:color="auto" w:fill="C6EFCE"/>
            <w:noWrap/>
          </w:tcPr>
          <w:p w14:paraId="7D99B210" w14:textId="77777777" w:rsidR="00FA7C11" w:rsidRDefault="00D84965">
            <w:pPr>
              <w:pStyle w:val="P68B1DB1-Normal66"/>
              <w:spacing w:after="200" w:line="276" w:lineRule="auto"/>
              <w:jc w:val="center"/>
              <w:rPr>
                <w:noProof/>
              </w:rPr>
            </w:pPr>
            <w:r>
              <w:rPr>
                <w:noProof/>
              </w:rPr>
              <w:t>2021</w:t>
            </w:r>
          </w:p>
        </w:tc>
        <w:tc>
          <w:tcPr>
            <w:tcW w:w="3282" w:type="dxa"/>
            <w:shd w:val="clear" w:color="auto" w:fill="C6EFCE"/>
            <w:noWrap/>
          </w:tcPr>
          <w:p w14:paraId="0C511989" w14:textId="3DE77657" w:rsidR="00FA7C11" w:rsidRDefault="00D84965">
            <w:pPr>
              <w:pStyle w:val="P68B1DB1-Normal66"/>
              <w:spacing w:after="200" w:line="276" w:lineRule="auto"/>
              <w:rPr>
                <w:noProof/>
              </w:rPr>
            </w:pPr>
            <w:r>
              <w:rPr>
                <w:noProof/>
              </w:rPr>
              <w:t xml:space="preserve">Legea privind prevenirea conflictelor de interese se modifică pentru i) a extinde domeniul de aplicare al legii în ceea ce privește destinatarii, inclusiv societățile deținute de unitățile administrației publice locale și regionale și societățile deținute de astfel de societăți, ii) a obliga anumite categorii de destinatari ai legii să completeze anual declarațiile de avere și să facă declarații în termenele stabilite, iii) a remedia orice potențial conflict de interese, iv) a reglementa posibilitatea unei mai bune determinări a sancțiunilor pentru încălcări prin introducerea principiului proporționalității în lege și a reglementa unele aspecte ale perioadei de răcire, inclusiv propuneri din partea Comitetului pentru soluționarea conflictelor de interese cu privire la modul de îmbunătățire a legii în practică și v) a oferi un temei juridic pentru elaborarea unui model de cod deontologic pentru membrii organismelor reprezentative ale unităților administrației publice locale și regionale, a cărui adoptare, punere în aplicare și supraveghere ar fi responsabilitatea organismelor reprezentative. </w:t>
            </w:r>
          </w:p>
        </w:tc>
      </w:tr>
      <w:tr w:rsidR="00FA7C11" w14:paraId="66F1AB0A" w14:textId="77777777">
        <w:trPr>
          <w:trHeight w:val="283"/>
        </w:trPr>
        <w:tc>
          <w:tcPr>
            <w:tcW w:w="968" w:type="dxa"/>
            <w:shd w:val="clear" w:color="auto" w:fill="C6EFCE"/>
            <w:noWrap/>
          </w:tcPr>
          <w:p w14:paraId="163D5BDF" w14:textId="77777777" w:rsidR="00FA7C11" w:rsidRDefault="00D84965">
            <w:pPr>
              <w:pStyle w:val="P68B1DB1-Normal66"/>
              <w:spacing w:after="200" w:line="276" w:lineRule="auto"/>
              <w:jc w:val="center"/>
              <w:rPr>
                <w:noProof/>
              </w:rPr>
            </w:pPr>
            <w:r>
              <w:rPr>
                <w:noProof/>
              </w:rPr>
              <w:t>233</w:t>
            </w:r>
          </w:p>
        </w:tc>
        <w:tc>
          <w:tcPr>
            <w:tcW w:w="1108" w:type="dxa"/>
            <w:shd w:val="clear" w:color="auto" w:fill="C6EFCE"/>
            <w:noWrap/>
          </w:tcPr>
          <w:p w14:paraId="4AFA4936" w14:textId="77777777" w:rsidR="00FA7C11" w:rsidRDefault="00D84965">
            <w:pPr>
              <w:pStyle w:val="P68B1DB1-Normal66"/>
              <w:spacing w:after="200" w:line="276" w:lineRule="auto"/>
              <w:jc w:val="center"/>
              <w:rPr>
                <w:noProof/>
              </w:rPr>
            </w:pPr>
            <w:r>
              <w:rPr>
                <w:noProof/>
              </w:rPr>
              <w:t>C2.6. R1</w:t>
            </w:r>
          </w:p>
        </w:tc>
        <w:tc>
          <w:tcPr>
            <w:tcW w:w="1120" w:type="dxa"/>
            <w:shd w:val="clear" w:color="auto" w:fill="C6EFCE"/>
            <w:noWrap/>
          </w:tcPr>
          <w:p w14:paraId="7ED7763A" w14:textId="77777777" w:rsidR="00FA7C11" w:rsidRDefault="00D84965">
            <w:pPr>
              <w:pStyle w:val="P68B1DB1-Normal66"/>
              <w:spacing w:after="200" w:line="276" w:lineRule="auto"/>
              <w:jc w:val="center"/>
              <w:rPr>
                <w:noProof/>
              </w:rPr>
            </w:pPr>
            <w:r>
              <w:rPr>
                <w:noProof/>
              </w:rPr>
              <w:t>M</w:t>
            </w:r>
          </w:p>
        </w:tc>
        <w:tc>
          <w:tcPr>
            <w:tcW w:w="1649" w:type="dxa"/>
            <w:shd w:val="clear" w:color="auto" w:fill="C6EFCE"/>
            <w:noWrap/>
          </w:tcPr>
          <w:p w14:paraId="2ADF9891" w14:textId="77777777" w:rsidR="00FA7C11" w:rsidRDefault="00D84965">
            <w:pPr>
              <w:pStyle w:val="P68B1DB1-Normal66"/>
              <w:spacing w:after="200" w:line="276" w:lineRule="auto"/>
              <w:rPr>
                <w:noProof/>
              </w:rPr>
            </w:pPr>
            <w:r>
              <w:rPr>
                <w:noProof/>
              </w:rPr>
              <w:t>Adoptarea modificărilor la Legea privind protecția persoanelor care raportează nereguli</w:t>
            </w:r>
          </w:p>
        </w:tc>
        <w:tc>
          <w:tcPr>
            <w:tcW w:w="2172" w:type="dxa"/>
            <w:shd w:val="clear" w:color="auto" w:fill="C6EFCE"/>
            <w:noWrap/>
          </w:tcPr>
          <w:p w14:paraId="5EECB223" w14:textId="77777777" w:rsidR="00FA7C11" w:rsidRDefault="00D84965">
            <w:pPr>
              <w:pStyle w:val="P68B1DB1-Normal66"/>
              <w:spacing w:after="200" w:line="276" w:lineRule="auto"/>
              <w:rPr>
                <w:noProof/>
              </w:rPr>
            </w:pPr>
            <w:r>
              <w:rPr>
                <w:noProof/>
              </w:rPr>
              <w:t xml:space="preserve">Intrarea în vigoare a modificărilor aduse Legii privind protecția persoanelor care raportează nereguli </w:t>
            </w:r>
          </w:p>
        </w:tc>
        <w:tc>
          <w:tcPr>
            <w:tcW w:w="1141" w:type="dxa"/>
            <w:shd w:val="clear" w:color="auto" w:fill="C6EFCE"/>
            <w:noWrap/>
          </w:tcPr>
          <w:p w14:paraId="397AE326"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3A68FB00" w14:textId="77777777" w:rsidR="00FA7C11" w:rsidRDefault="00D84965">
            <w:pPr>
              <w:pStyle w:val="P68B1DB1-Normal66"/>
              <w:spacing w:after="200" w:line="276" w:lineRule="auto"/>
              <w:jc w:val="center"/>
              <w:rPr>
                <w:noProof/>
              </w:rPr>
            </w:pPr>
            <w:r>
              <w:rPr>
                <w:noProof/>
              </w:rPr>
              <w:t> </w:t>
            </w:r>
          </w:p>
        </w:tc>
        <w:tc>
          <w:tcPr>
            <w:tcW w:w="831" w:type="dxa"/>
            <w:shd w:val="clear" w:color="auto" w:fill="C6EFCE"/>
            <w:noWrap/>
          </w:tcPr>
          <w:p w14:paraId="687212CD"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7B484093" w14:textId="77777777" w:rsidR="00FA7C11" w:rsidRDefault="00D84965">
            <w:pPr>
              <w:pStyle w:val="P68B1DB1-Normal66"/>
              <w:spacing w:after="200" w:line="276" w:lineRule="auto"/>
              <w:jc w:val="center"/>
              <w:rPr>
                <w:noProof/>
              </w:rPr>
            </w:pPr>
            <w:r>
              <w:rPr>
                <w:noProof/>
              </w:rPr>
              <w:t>Î4</w:t>
            </w:r>
          </w:p>
        </w:tc>
        <w:tc>
          <w:tcPr>
            <w:tcW w:w="844" w:type="dxa"/>
            <w:shd w:val="clear" w:color="auto" w:fill="C6EFCE"/>
            <w:noWrap/>
          </w:tcPr>
          <w:p w14:paraId="1DE23C25" w14:textId="77777777" w:rsidR="00FA7C11" w:rsidRDefault="00D84965">
            <w:pPr>
              <w:pStyle w:val="P68B1DB1-Normal66"/>
              <w:spacing w:after="200" w:line="276" w:lineRule="auto"/>
              <w:jc w:val="center"/>
              <w:rPr>
                <w:noProof/>
              </w:rPr>
            </w:pPr>
            <w:r>
              <w:rPr>
                <w:noProof/>
              </w:rPr>
              <w:t>2022</w:t>
            </w:r>
          </w:p>
        </w:tc>
        <w:tc>
          <w:tcPr>
            <w:tcW w:w="3282" w:type="dxa"/>
            <w:shd w:val="clear" w:color="auto" w:fill="C6EFCE"/>
            <w:noWrap/>
          </w:tcPr>
          <w:p w14:paraId="0B2A0AEC" w14:textId="77777777" w:rsidR="00FA7C11" w:rsidRDefault="00D84965">
            <w:pPr>
              <w:pStyle w:val="P68B1DB1-Normal66"/>
              <w:spacing w:after="200" w:line="276" w:lineRule="auto"/>
              <w:rPr>
                <w:noProof/>
              </w:rPr>
            </w:pPr>
            <w:r>
              <w:rPr>
                <w:noProof/>
              </w:rPr>
              <w:t>Legea privind protecția persoanelor care raportează nereguli se modifică pentru i) a îmbunătăți dispozițiile legii, ii) a clarifica noțiunea de persoană confidențială și iii) a prevedea dispoziții privind eliberarea unui certificat de înregistrare primit.</w:t>
            </w:r>
          </w:p>
        </w:tc>
      </w:tr>
      <w:tr w:rsidR="00FA7C11" w14:paraId="3C7251CC" w14:textId="77777777">
        <w:trPr>
          <w:trHeight w:val="283"/>
        </w:trPr>
        <w:tc>
          <w:tcPr>
            <w:tcW w:w="968" w:type="dxa"/>
            <w:shd w:val="clear" w:color="auto" w:fill="C6EFCE"/>
            <w:noWrap/>
          </w:tcPr>
          <w:p w14:paraId="603B9E62" w14:textId="77777777" w:rsidR="00FA7C11" w:rsidRDefault="00D84965">
            <w:pPr>
              <w:pStyle w:val="P68B1DB1-Normal66"/>
              <w:spacing w:after="200" w:line="276" w:lineRule="auto"/>
              <w:jc w:val="center"/>
              <w:rPr>
                <w:noProof/>
              </w:rPr>
            </w:pPr>
            <w:r>
              <w:rPr>
                <w:noProof/>
              </w:rPr>
              <w:t>234</w:t>
            </w:r>
          </w:p>
        </w:tc>
        <w:tc>
          <w:tcPr>
            <w:tcW w:w="1108" w:type="dxa"/>
            <w:shd w:val="clear" w:color="auto" w:fill="C6EFCE"/>
            <w:noWrap/>
          </w:tcPr>
          <w:p w14:paraId="6A380A30" w14:textId="77777777" w:rsidR="00FA7C11" w:rsidRDefault="00D84965">
            <w:pPr>
              <w:pStyle w:val="P68B1DB1-Normal66"/>
              <w:spacing w:after="200" w:line="276" w:lineRule="auto"/>
              <w:jc w:val="center"/>
              <w:rPr>
                <w:noProof/>
              </w:rPr>
            </w:pPr>
            <w:r>
              <w:rPr>
                <w:noProof/>
              </w:rPr>
              <w:t>C2.6. R1</w:t>
            </w:r>
          </w:p>
        </w:tc>
        <w:tc>
          <w:tcPr>
            <w:tcW w:w="1120" w:type="dxa"/>
            <w:shd w:val="clear" w:color="auto" w:fill="C6EFCE"/>
            <w:noWrap/>
          </w:tcPr>
          <w:p w14:paraId="02EBC58F" w14:textId="77777777" w:rsidR="00FA7C11" w:rsidRDefault="00D84965">
            <w:pPr>
              <w:pStyle w:val="P68B1DB1-Normal66"/>
              <w:spacing w:after="200" w:line="276" w:lineRule="auto"/>
              <w:jc w:val="center"/>
              <w:rPr>
                <w:noProof/>
              </w:rPr>
            </w:pPr>
            <w:r>
              <w:rPr>
                <w:noProof/>
              </w:rPr>
              <w:t>M</w:t>
            </w:r>
          </w:p>
        </w:tc>
        <w:tc>
          <w:tcPr>
            <w:tcW w:w="1649" w:type="dxa"/>
            <w:shd w:val="clear" w:color="auto" w:fill="C6EFCE"/>
            <w:noWrap/>
          </w:tcPr>
          <w:p w14:paraId="2A06A491" w14:textId="77777777" w:rsidR="00FA7C11" w:rsidRDefault="00D84965">
            <w:pPr>
              <w:pStyle w:val="P68B1DB1-Normal66"/>
              <w:spacing w:after="200" w:line="276" w:lineRule="auto"/>
              <w:rPr>
                <w:noProof/>
              </w:rPr>
            </w:pPr>
            <w:r>
              <w:rPr>
                <w:noProof/>
              </w:rPr>
              <w:t>Adoptarea unui cod deontologic pentru parlamentari și a unui cod deontologic pentru funcționarii executivului</w:t>
            </w:r>
          </w:p>
        </w:tc>
        <w:tc>
          <w:tcPr>
            <w:tcW w:w="2172" w:type="dxa"/>
            <w:shd w:val="clear" w:color="auto" w:fill="C6EFCE"/>
            <w:noWrap/>
          </w:tcPr>
          <w:p w14:paraId="5BE40932" w14:textId="77777777" w:rsidR="00FA7C11" w:rsidRDefault="00D84965">
            <w:pPr>
              <w:pStyle w:val="P68B1DB1-Normal66"/>
              <w:spacing w:after="200" w:line="276" w:lineRule="auto"/>
              <w:rPr>
                <w:noProof/>
              </w:rPr>
            </w:pPr>
            <w:r>
              <w:rPr>
                <w:noProof/>
              </w:rPr>
              <w:t>Intrarea în vigoare a Codului deontologic al parlamentarilor și a Codului deontologic al funcționarilor executivi</w:t>
            </w:r>
          </w:p>
        </w:tc>
        <w:tc>
          <w:tcPr>
            <w:tcW w:w="1141" w:type="dxa"/>
            <w:shd w:val="clear" w:color="auto" w:fill="C6EFCE"/>
            <w:noWrap/>
          </w:tcPr>
          <w:p w14:paraId="5641AEAF"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30D76284" w14:textId="77777777" w:rsidR="00FA7C11" w:rsidRDefault="00D84965">
            <w:pPr>
              <w:pStyle w:val="P68B1DB1-Normal66"/>
              <w:spacing w:after="200" w:line="276" w:lineRule="auto"/>
              <w:jc w:val="center"/>
              <w:rPr>
                <w:noProof/>
              </w:rPr>
            </w:pPr>
            <w:r>
              <w:rPr>
                <w:noProof/>
              </w:rPr>
              <w:t> </w:t>
            </w:r>
          </w:p>
        </w:tc>
        <w:tc>
          <w:tcPr>
            <w:tcW w:w="831" w:type="dxa"/>
            <w:shd w:val="clear" w:color="auto" w:fill="C6EFCE"/>
            <w:noWrap/>
          </w:tcPr>
          <w:p w14:paraId="51EB2DDB"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464B0479" w14:textId="77777777" w:rsidR="00FA7C11" w:rsidRDefault="00D84965">
            <w:pPr>
              <w:pStyle w:val="P68B1DB1-Normal66"/>
              <w:spacing w:after="200" w:line="276" w:lineRule="auto"/>
              <w:jc w:val="center"/>
              <w:rPr>
                <w:noProof/>
              </w:rPr>
            </w:pPr>
            <w:r>
              <w:rPr>
                <w:noProof/>
              </w:rPr>
              <w:t>Î4</w:t>
            </w:r>
          </w:p>
        </w:tc>
        <w:tc>
          <w:tcPr>
            <w:tcW w:w="844" w:type="dxa"/>
            <w:shd w:val="clear" w:color="auto" w:fill="C6EFCE"/>
            <w:noWrap/>
          </w:tcPr>
          <w:p w14:paraId="46F76E99" w14:textId="77777777" w:rsidR="00FA7C11" w:rsidRDefault="00D84965">
            <w:pPr>
              <w:pStyle w:val="P68B1DB1-Normal66"/>
              <w:spacing w:after="200" w:line="276" w:lineRule="auto"/>
              <w:jc w:val="center"/>
              <w:rPr>
                <w:noProof/>
              </w:rPr>
            </w:pPr>
            <w:r>
              <w:rPr>
                <w:noProof/>
              </w:rPr>
              <w:t>2023</w:t>
            </w:r>
          </w:p>
        </w:tc>
        <w:tc>
          <w:tcPr>
            <w:tcW w:w="3282" w:type="dxa"/>
            <w:shd w:val="clear" w:color="auto" w:fill="C6EFCE"/>
            <w:noWrap/>
          </w:tcPr>
          <w:p w14:paraId="1D5AB8DA" w14:textId="77777777" w:rsidR="00FA7C11" w:rsidRDefault="00D84965">
            <w:pPr>
              <w:pStyle w:val="P68B1DB1-Normal66"/>
              <w:spacing w:after="200" w:line="276" w:lineRule="auto"/>
              <w:rPr>
                <w:noProof/>
              </w:rPr>
            </w:pPr>
            <w:r>
              <w:rPr>
                <w:noProof/>
              </w:rPr>
              <w:t>Codul deontologic al parlamentarilor și al funcționarilor executivi va oferi orientări cu privire la conflictele de interese și la alte aspecte legate de integritate.</w:t>
            </w:r>
          </w:p>
        </w:tc>
      </w:tr>
      <w:tr w:rsidR="00FA7C11" w14:paraId="584EA1EA" w14:textId="77777777">
        <w:trPr>
          <w:trHeight w:val="283"/>
        </w:trPr>
        <w:tc>
          <w:tcPr>
            <w:tcW w:w="968" w:type="dxa"/>
            <w:shd w:val="clear" w:color="auto" w:fill="C6EFCE"/>
            <w:noWrap/>
          </w:tcPr>
          <w:p w14:paraId="08B8C758" w14:textId="77777777" w:rsidR="00FA7C11" w:rsidRDefault="00D84965">
            <w:pPr>
              <w:pStyle w:val="P68B1DB1-Normal66"/>
              <w:spacing w:after="200" w:line="276" w:lineRule="auto"/>
              <w:jc w:val="center"/>
              <w:rPr>
                <w:noProof/>
              </w:rPr>
            </w:pPr>
            <w:r>
              <w:rPr>
                <w:noProof/>
              </w:rPr>
              <w:t>235</w:t>
            </w:r>
          </w:p>
        </w:tc>
        <w:tc>
          <w:tcPr>
            <w:tcW w:w="1108" w:type="dxa"/>
            <w:shd w:val="clear" w:color="auto" w:fill="C6EFCE"/>
            <w:noWrap/>
          </w:tcPr>
          <w:p w14:paraId="33C43258" w14:textId="77777777" w:rsidR="00FA7C11" w:rsidRDefault="00D84965">
            <w:pPr>
              <w:pStyle w:val="P68B1DB1-Normal66"/>
              <w:spacing w:after="200" w:line="276" w:lineRule="auto"/>
              <w:jc w:val="center"/>
              <w:rPr>
                <w:noProof/>
              </w:rPr>
            </w:pPr>
            <w:r>
              <w:rPr>
                <w:noProof/>
              </w:rPr>
              <w:t>C2.6. R1</w:t>
            </w:r>
          </w:p>
        </w:tc>
        <w:tc>
          <w:tcPr>
            <w:tcW w:w="1120" w:type="dxa"/>
            <w:shd w:val="clear" w:color="auto" w:fill="C6EFCE"/>
            <w:noWrap/>
          </w:tcPr>
          <w:p w14:paraId="08CC165D" w14:textId="77777777" w:rsidR="00FA7C11" w:rsidRDefault="00D84965">
            <w:pPr>
              <w:pStyle w:val="P68B1DB1-Normal66"/>
              <w:spacing w:after="200" w:line="276" w:lineRule="auto"/>
              <w:jc w:val="center"/>
              <w:rPr>
                <w:noProof/>
              </w:rPr>
            </w:pPr>
            <w:r>
              <w:rPr>
                <w:noProof/>
              </w:rPr>
              <w:t>T</w:t>
            </w:r>
          </w:p>
        </w:tc>
        <w:tc>
          <w:tcPr>
            <w:tcW w:w="1649" w:type="dxa"/>
            <w:shd w:val="clear" w:color="auto" w:fill="C6EFCE"/>
            <w:noWrap/>
          </w:tcPr>
          <w:p w14:paraId="1882B0B3" w14:textId="77777777" w:rsidR="00FA7C11" w:rsidRDefault="00D84965">
            <w:pPr>
              <w:pStyle w:val="P68B1DB1-Normal66"/>
              <w:spacing w:after="200" w:line="276" w:lineRule="auto"/>
              <w:rPr>
                <w:noProof/>
              </w:rPr>
            </w:pPr>
            <w:r>
              <w:rPr>
                <w:noProof/>
              </w:rPr>
              <w:t xml:space="preserve">Majorarea bugetului de personal pentru angajații organismelor anticorupție din </w:t>
            </w:r>
            <w:r>
              <w:rPr>
                <w:noProof/>
                <w:u w:val="single"/>
              </w:rPr>
              <w:t>sistemul</w:t>
            </w:r>
            <w:r>
              <w:rPr>
                <w:noProof/>
              </w:rPr>
              <w:t xml:space="preserve"> judiciar.</w:t>
            </w:r>
          </w:p>
        </w:tc>
        <w:tc>
          <w:tcPr>
            <w:tcW w:w="2172" w:type="dxa"/>
            <w:shd w:val="clear" w:color="auto" w:fill="C6EFCE"/>
            <w:noWrap/>
          </w:tcPr>
          <w:p w14:paraId="68C17E5E" w14:textId="77777777" w:rsidR="00FA7C11" w:rsidRDefault="00D84965">
            <w:pPr>
              <w:pStyle w:val="P68B1DB1-Normal110"/>
              <w:spacing w:after="200" w:line="276" w:lineRule="auto"/>
              <w:rPr>
                <w:noProof/>
              </w:rPr>
            </w:pPr>
            <w:r>
              <w:rPr>
                <w:noProof/>
              </w:rPr>
              <w:t xml:space="preserve"> </w:t>
            </w:r>
          </w:p>
        </w:tc>
        <w:tc>
          <w:tcPr>
            <w:tcW w:w="1141" w:type="dxa"/>
            <w:shd w:val="clear" w:color="auto" w:fill="C6EFCE"/>
            <w:noWrap/>
          </w:tcPr>
          <w:p w14:paraId="6219D6F4" w14:textId="77777777" w:rsidR="00FA7C11" w:rsidRDefault="00D84965">
            <w:pPr>
              <w:pStyle w:val="P68B1DB1-Normal66"/>
              <w:spacing w:after="200" w:line="276" w:lineRule="auto"/>
              <w:jc w:val="center"/>
              <w:rPr>
                <w:noProof/>
              </w:rPr>
            </w:pPr>
            <w:r>
              <w:rPr>
                <w:noProof/>
              </w:rPr>
              <w:t>% (procent)</w:t>
            </w:r>
          </w:p>
        </w:tc>
        <w:tc>
          <w:tcPr>
            <w:tcW w:w="807" w:type="dxa"/>
            <w:shd w:val="clear" w:color="auto" w:fill="C6EFCE"/>
            <w:noWrap/>
          </w:tcPr>
          <w:p w14:paraId="145843AE" w14:textId="77777777" w:rsidR="00FA7C11" w:rsidRDefault="00D84965">
            <w:pPr>
              <w:pStyle w:val="P68B1DB1-Normal66"/>
              <w:spacing w:after="200" w:line="276" w:lineRule="auto"/>
              <w:jc w:val="center"/>
              <w:rPr>
                <w:noProof/>
              </w:rPr>
            </w:pPr>
            <w:r>
              <w:rPr>
                <w:noProof/>
              </w:rPr>
              <w:t>100</w:t>
            </w:r>
          </w:p>
        </w:tc>
        <w:tc>
          <w:tcPr>
            <w:tcW w:w="831" w:type="dxa"/>
            <w:shd w:val="clear" w:color="auto" w:fill="C6EFCE"/>
            <w:noWrap/>
          </w:tcPr>
          <w:p w14:paraId="1929396A" w14:textId="77777777" w:rsidR="00FA7C11" w:rsidRDefault="00D84965">
            <w:pPr>
              <w:pStyle w:val="P68B1DB1-Normal66"/>
              <w:spacing w:after="200" w:line="276" w:lineRule="auto"/>
              <w:jc w:val="center"/>
              <w:rPr>
                <w:noProof/>
              </w:rPr>
            </w:pPr>
            <w:r>
              <w:rPr>
                <w:noProof/>
              </w:rPr>
              <w:t>110</w:t>
            </w:r>
          </w:p>
        </w:tc>
        <w:tc>
          <w:tcPr>
            <w:tcW w:w="1037" w:type="dxa"/>
            <w:shd w:val="clear" w:color="auto" w:fill="C6EFCE"/>
            <w:noWrap/>
          </w:tcPr>
          <w:p w14:paraId="5D8C4AC2" w14:textId="77777777" w:rsidR="00FA7C11" w:rsidRDefault="00D84965">
            <w:pPr>
              <w:pStyle w:val="P68B1DB1-Normal66"/>
              <w:spacing w:after="200" w:line="276" w:lineRule="auto"/>
              <w:jc w:val="center"/>
              <w:rPr>
                <w:noProof/>
              </w:rPr>
            </w:pPr>
            <w:r>
              <w:rPr>
                <w:noProof/>
              </w:rPr>
              <w:t>Î2</w:t>
            </w:r>
          </w:p>
        </w:tc>
        <w:tc>
          <w:tcPr>
            <w:tcW w:w="844" w:type="dxa"/>
            <w:shd w:val="clear" w:color="auto" w:fill="C6EFCE"/>
            <w:noWrap/>
          </w:tcPr>
          <w:p w14:paraId="6A1CD79B" w14:textId="77777777" w:rsidR="00FA7C11" w:rsidRDefault="00D84965">
            <w:pPr>
              <w:pStyle w:val="P68B1DB1-Normal66"/>
              <w:spacing w:after="200" w:line="276" w:lineRule="auto"/>
              <w:jc w:val="center"/>
              <w:rPr>
                <w:noProof/>
              </w:rPr>
            </w:pPr>
            <w:r>
              <w:rPr>
                <w:noProof/>
              </w:rPr>
              <w:t>2024</w:t>
            </w:r>
          </w:p>
        </w:tc>
        <w:tc>
          <w:tcPr>
            <w:tcW w:w="3282" w:type="dxa"/>
            <w:shd w:val="clear" w:color="auto" w:fill="C6EFCE"/>
            <w:noWrap/>
          </w:tcPr>
          <w:p w14:paraId="6F883B0F" w14:textId="77777777" w:rsidR="00FA7C11" w:rsidRDefault="00D84965">
            <w:pPr>
              <w:pStyle w:val="P68B1DB1-Normal66"/>
              <w:spacing w:after="200" w:line="276" w:lineRule="auto"/>
              <w:rPr>
                <w:noProof/>
              </w:rPr>
            </w:pPr>
            <w:r>
              <w:rPr>
                <w:noProof/>
              </w:rPr>
              <w:t xml:space="preserve">Creșterea cu 10 % a bugetului pentru personal comparativ cu 2020 (inclusiv recrutarea și mobilitatea în cadrul sistemului judiciar). </w:t>
            </w:r>
          </w:p>
        </w:tc>
      </w:tr>
      <w:tr w:rsidR="00FA7C11" w14:paraId="2CD14432" w14:textId="77777777">
        <w:trPr>
          <w:trHeight w:val="283"/>
        </w:trPr>
        <w:tc>
          <w:tcPr>
            <w:tcW w:w="968" w:type="dxa"/>
            <w:shd w:val="clear" w:color="auto" w:fill="C6EFCE"/>
            <w:noWrap/>
          </w:tcPr>
          <w:p w14:paraId="5BA66466" w14:textId="77777777" w:rsidR="00FA7C11" w:rsidRDefault="00D84965">
            <w:pPr>
              <w:pStyle w:val="P68B1DB1-Normal66"/>
              <w:spacing w:after="200" w:line="276" w:lineRule="auto"/>
              <w:jc w:val="center"/>
              <w:rPr>
                <w:noProof/>
              </w:rPr>
            </w:pPr>
            <w:r>
              <w:rPr>
                <w:noProof/>
              </w:rPr>
              <w:t>236</w:t>
            </w:r>
          </w:p>
        </w:tc>
        <w:tc>
          <w:tcPr>
            <w:tcW w:w="1108" w:type="dxa"/>
            <w:shd w:val="clear" w:color="auto" w:fill="C6EFCE"/>
            <w:noWrap/>
          </w:tcPr>
          <w:p w14:paraId="19668775" w14:textId="77777777" w:rsidR="00FA7C11" w:rsidRDefault="00D84965">
            <w:pPr>
              <w:pStyle w:val="P68B1DB1-Normal66"/>
              <w:spacing w:after="200" w:line="276" w:lineRule="auto"/>
              <w:jc w:val="center"/>
              <w:rPr>
                <w:noProof/>
              </w:rPr>
            </w:pPr>
            <w:r>
              <w:rPr>
                <w:noProof/>
              </w:rPr>
              <w:t>C2.6. R1</w:t>
            </w:r>
          </w:p>
        </w:tc>
        <w:tc>
          <w:tcPr>
            <w:tcW w:w="1120" w:type="dxa"/>
            <w:shd w:val="clear" w:color="auto" w:fill="C6EFCE"/>
            <w:noWrap/>
          </w:tcPr>
          <w:p w14:paraId="0D674449" w14:textId="77777777" w:rsidR="00FA7C11" w:rsidRDefault="00D84965">
            <w:pPr>
              <w:pStyle w:val="P68B1DB1-Normal66"/>
              <w:spacing w:after="200" w:line="276" w:lineRule="auto"/>
              <w:jc w:val="center"/>
              <w:rPr>
                <w:noProof/>
              </w:rPr>
            </w:pPr>
            <w:r>
              <w:rPr>
                <w:noProof/>
              </w:rPr>
              <w:t>T</w:t>
            </w:r>
          </w:p>
        </w:tc>
        <w:tc>
          <w:tcPr>
            <w:tcW w:w="1649" w:type="dxa"/>
            <w:shd w:val="clear" w:color="auto" w:fill="C6EFCE"/>
            <w:noWrap/>
          </w:tcPr>
          <w:p w14:paraId="4DB36183" w14:textId="77777777" w:rsidR="00FA7C11" w:rsidRDefault="00D84965">
            <w:pPr>
              <w:pStyle w:val="P68B1DB1-Normal66"/>
              <w:spacing w:after="200" w:line="276" w:lineRule="auto"/>
              <w:rPr>
                <w:noProof/>
              </w:rPr>
            </w:pPr>
            <w:r>
              <w:rPr>
                <w:noProof/>
              </w:rPr>
              <w:t xml:space="preserve">Majorarea bugetului pentru achiziționarea de instrumente și echipamente informatice de către autoritățile judiciare în vederea investigării </w:t>
            </w:r>
            <w:r>
              <w:rPr>
                <w:noProof/>
                <w:u w:val="single"/>
              </w:rPr>
              <w:t>infracțiunilor</w:t>
            </w:r>
            <w:r>
              <w:rPr>
                <w:noProof/>
              </w:rPr>
              <w:t xml:space="preserve"> de corupție și de criminalitate organizată</w:t>
            </w:r>
          </w:p>
        </w:tc>
        <w:tc>
          <w:tcPr>
            <w:tcW w:w="2172" w:type="dxa"/>
            <w:shd w:val="clear" w:color="auto" w:fill="C6EFCE"/>
            <w:noWrap/>
          </w:tcPr>
          <w:p w14:paraId="75B0B2E2" w14:textId="77777777" w:rsidR="00FA7C11" w:rsidRDefault="00D84965">
            <w:pPr>
              <w:pStyle w:val="P68B1DB1-Normal66"/>
              <w:spacing w:after="200" w:line="276" w:lineRule="auto"/>
              <w:rPr>
                <w:noProof/>
              </w:rPr>
            </w:pPr>
            <w:r>
              <w:rPr>
                <w:noProof/>
              </w:rPr>
              <w:t xml:space="preserve"> </w:t>
            </w:r>
          </w:p>
        </w:tc>
        <w:tc>
          <w:tcPr>
            <w:tcW w:w="1141" w:type="dxa"/>
            <w:shd w:val="clear" w:color="auto" w:fill="C6EFCE"/>
            <w:noWrap/>
          </w:tcPr>
          <w:p w14:paraId="16CB6F35" w14:textId="77777777" w:rsidR="00FA7C11" w:rsidRDefault="00D84965">
            <w:pPr>
              <w:pStyle w:val="P68B1DB1-Normal66"/>
              <w:spacing w:after="200" w:line="276" w:lineRule="auto"/>
              <w:jc w:val="center"/>
              <w:rPr>
                <w:noProof/>
              </w:rPr>
            </w:pPr>
            <w:r>
              <w:rPr>
                <w:noProof/>
              </w:rPr>
              <w:t>% (procent)</w:t>
            </w:r>
          </w:p>
        </w:tc>
        <w:tc>
          <w:tcPr>
            <w:tcW w:w="807" w:type="dxa"/>
            <w:shd w:val="clear" w:color="auto" w:fill="C6EFCE"/>
            <w:noWrap/>
          </w:tcPr>
          <w:p w14:paraId="1575F556" w14:textId="77777777" w:rsidR="00FA7C11" w:rsidRDefault="00D84965">
            <w:pPr>
              <w:pStyle w:val="P68B1DB1-Normal66"/>
              <w:spacing w:after="200" w:line="276" w:lineRule="auto"/>
              <w:jc w:val="center"/>
              <w:rPr>
                <w:noProof/>
              </w:rPr>
            </w:pPr>
            <w:r>
              <w:rPr>
                <w:noProof/>
              </w:rPr>
              <w:t>100</w:t>
            </w:r>
          </w:p>
        </w:tc>
        <w:tc>
          <w:tcPr>
            <w:tcW w:w="831" w:type="dxa"/>
            <w:shd w:val="clear" w:color="auto" w:fill="C6EFCE"/>
            <w:noWrap/>
          </w:tcPr>
          <w:p w14:paraId="695196BE" w14:textId="77777777" w:rsidR="00FA7C11" w:rsidRDefault="00D84965">
            <w:pPr>
              <w:pStyle w:val="P68B1DB1-Normal66"/>
              <w:spacing w:after="200" w:line="276" w:lineRule="auto"/>
              <w:jc w:val="center"/>
              <w:rPr>
                <w:noProof/>
              </w:rPr>
            </w:pPr>
            <w:r>
              <w:rPr>
                <w:noProof/>
              </w:rPr>
              <w:t>120</w:t>
            </w:r>
          </w:p>
        </w:tc>
        <w:tc>
          <w:tcPr>
            <w:tcW w:w="1037" w:type="dxa"/>
            <w:shd w:val="clear" w:color="auto" w:fill="C6EFCE"/>
            <w:noWrap/>
          </w:tcPr>
          <w:p w14:paraId="7A10E132" w14:textId="77777777" w:rsidR="00FA7C11" w:rsidRDefault="00D84965">
            <w:pPr>
              <w:pStyle w:val="P68B1DB1-Normal66"/>
              <w:spacing w:after="200" w:line="276" w:lineRule="auto"/>
              <w:jc w:val="center"/>
              <w:rPr>
                <w:noProof/>
              </w:rPr>
            </w:pPr>
            <w:r>
              <w:rPr>
                <w:noProof/>
              </w:rPr>
              <w:t>Î2</w:t>
            </w:r>
          </w:p>
        </w:tc>
        <w:tc>
          <w:tcPr>
            <w:tcW w:w="844" w:type="dxa"/>
            <w:shd w:val="clear" w:color="auto" w:fill="C6EFCE"/>
            <w:noWrap/>
          </w:tcPr>
          <w:p w14:paraId="749C23C3" w14:textId="77777777" w:rsidR="00FA7C11" w:rsidRDefault="00D84965">
            <w:pPr>
              <w:pStyle w:val="P68B1DB1-Normal66"/>
              <w:spacing w:after="200" w:line="276" w:lineRule="auto"/>
              <w:jc w:val="center"/>
              <w:rPr>
                <w:noProof/>
              </w:rPr>
            </w:pPr>
            <w:r>
              <w:rPr>
                <w:noProof/>
              </w:rPr>
              <w:t>2024</w:t>
            </w:r>
          </w:p>
        </w:tc>
        <w:tc>
          <w:tcPr>
            <w:tcW w:w="3282" w:type="dxa"/>
            <w:shd w:val="clear" w:color="auto" w:fill="C6EFCE"/>
            <w:noWrap/>
          </w:tcPr>
          <w:p w14:paraId="2514DF8F" w14:textId="77777777" w:rsidR="00FA7C11" w:rsidRDefault="00D84965">
            <w:pPr>
              <w:pStyle w:val="P68B1DB1-Normal66"/>
              <w:spacing w:after="200" w:line="276" w:lineRule="auto"/>
              <w:rPr>
                <w:noProof/>
              </w:rPr>
            </w:pPr>
            <w:r>
              <w:rPr>
                <w:noProof/>
              </w:rPr>
              <w:t xml:space="preserve">Majorarea cu 20 % a bugetului față de 2020 pentru servicii informatice și echipamente informatice destinate autorităților anticorupție din sistemul judiciar. </w:t>
            </w:r>
          </w:p>
        </w:tc>
      </w:tr>
      <w:tr w:rsidR="00FA7C11" w14:paraId="7AFE09EC" w14:textId="77777777">
        <w:trPr>
          <w:trHeight w:val="283"/>
        </w:trPr>
        <w:tc>
          <w:tcPr>
            <w:tcW w:w="968" w:type="dxa"/>
            <w:shd w:val="clear" w:color="auto" w:fill="C6EFCE"/>
            <w:noWrap/>
          </w:tcPr>
          <w:p w14:paraId="7332046F" w14:textId="77777777" w:rsidR="00FA7C11" w:rsidRDefault="00D84965">
            <w:pPr>
              <w:pStyle w:val="P68B1DB1-Normal66"/>
              <w:spacing w:after="200" w:line="276" w:lineRule="auto"/>
              <w:jc w:val="center"/>
              <w:rPr>
                <w:noProof/>
              </w:rPr>
            </w:pPr>
            <w:r>
              <w:rPr>
                <w:noProof/>
              </w:rPr>
              <w:t>237</w:t>
            </w:r>
          </w:p>
        </w:tc>
        <w:tc>
          <w:tcPr>
            <w:tcW w:w="1108" w:type="dxa"/>
            <w:shd w:val="clear" w:color="auto" w:fill="C6EFCE"/>
            <w:noWrap/>
          </w:tcPr>
          <w:p w14:paraId="60E10118" w14:textId="77777777" w:rsidR="00FA7C11" w:rsidRDefault="00D84965">
            <w:pPr>
              <w:pStyle w:val="P68B1DB1-Normal66"/>
              <w:spacing w:after="200" w:line="276" w:lineRule="auto"/>
              <w:jc w:val="center"/>
              <w:rPr>
                <w:noProof/>
              </w:rPr>
            </w:pPr>
            <w:r>
              <w:rPr>
                <w:noProof/>
              </w:rPr>
              <w:t>C2.6. R1</w:t>
            </w:r>
          </w:p>
        </w:tc>
        <w:tc>
          <w:tcPr>
            <w:tcW w:w="1120" w:type="dxa"/>
            <w:shd w:val="clear" w:color="auto" w:fill="C6EFCE"/>
            <w:noWrap/>
          </w:tcPr>
          <w:p w14:paraId="32F3EFC7" w14:textId="77777777" w:rsidR="00FA7C11" w:rsidRDefault="00D84965">
            <w:pPr>
              <w:pStyle w:val="P68B1DB1-Normal66"/>
              <w:spacing w:after="200" w:line="276" w:lineRule="auto"/>
              <w:jc w:val="center"/>
              <w:rPr>
                <w:noProof/>
              </w:rPr>
            </w:pPr>
            <w:r>
              <w:rPr>
                <w:noProof/>
              </w:rPr>
              <w:t>M</w:t>
            </w:r>
          </w:p>
        </w:tc>
        <w:tc>
          <w:tcPr>
            <w:tcW w:w="1649" w:type="dxa"/>
            <w:shd w:val="clear" w:color="auto" w:fill="C6EFCE"/>
            <w:noWrap/>
          </w:tcPr>
          <w:p w14:paraId="53427B03" w14:textId="526CFFF2" w:rsidR="00FA7C11" w:rsidRDefault="00D84965">
            <w:pPr>
              <w:pStyle w:val="P68B1DB1-Normal66"/>
              <w:spacing w:after="200" w:line="276" w:lineRule="auto"/>
              <w:rPr>
                <w:noProof/>
              </w:rPr>
            </w:pPr>
            <w:r>
              <w:rPr>
                <w:noProof/>
              </w:rPr>
              <w:t>Crearea unei platforme informatice pentru monitorizarea punerii în aplicare a măsurilor naționale anticorupție</w:t>
            </w:r>
          </w:p>
        </w:tc>
        <w:tc>
          <w:tcPr>
            <w:tcW w:w="2172" w:type="dxa"/>
            <w:shd w:val="clear" w:color="auto" w:fill="C6EFCE"/>
            <w:noWrap/>
          </w:tcPr>
          <w:p w14:paraId="3875F423" w14:textId="77777777" w:rsidR="00FA7C11" w:rsidRDefault="00D84965">
            <w:pPr>
              <w:pStyle w:val="P68B1DB1-Normal66"/>
              <w:spacing w:after="200" w:line="276" w:lineRule="auto"/>
              <w:rPr>
                <w:noProof/>
              </w:rPr>
            </w:pPr>
            <w:r>
              <w:rPr>
                <w:noProof/>
              </w:rPr>
              <w:t xml:space="preserve">Platformă IT online și accesibilă </w:t>
            </w:r>
          </w:p>
        </w:tc>
        <w:tc>
          <w:tcPr>
            <w:tcW w:w="1141" w:type="dxa"/>
            <w:shd w:val="clear" w:color="auto" w:fill="C6EFCE"/>
            <w:noWrap/>
          </w:tcPr>
          <w:p w14:paraId="2023B896"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156D0C1D" w14:textId="77777777" w:rsidR="00FA7C11" w:rsidRDefault="00D84965">
            <w:pPr>
              <w:pStyle w:val="P68B1DB1-Normal66"/>
              <w:spacing w:after="200" w:line="276" w:lineRule="auto"/>
              <w:jc w:val="center"/>
              <w:rPr>
                <w:noProof/>
              </w:rPr>
            </w:pPr>
            <w:r>
              <w:rPr>
                <w:noProof/>
              </w:rPr>
              <w:t> </w:t>
            </w:r>
          </w:p>
        </w:tc>
        <w:tc>
          <w:tcPr>
            <w:tcW w:w="831" w:type="dxa"/>
            <w:shd w:val="clear" w:color="auto" w:fill="C6EFCE"/>
            <w:noWrap/>
          </w:tcPr>
          <w:p w14:paraId="1376822A"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446C3FA1" w14:textId="77777777" w:rsidR="00FA7C11" w:rsidRDefault="00D84965">
            <w:pPr>
              <w:pStyle w:val="P68B1DB1-Normal66"/>
              <w:spacing w:after="200" w:line="276" w:lineRule="auto"/>
              <w:jc w:val="center"/>
              <w:rPr>
                <w:noProof/>
              </w:rPr>
            </w:pPr>
            <w:r>
              <w:rPr>
                <w:noProof/>
              </w:rPr>
              <w:t>Î4</w:t>
            </w:r>
          </w:p>
        </w:tc>
        <w:tc>
          <w:tcPr>
            <w:tcW w:w="844" w:type="dxa"/>
            <w:shd w:val="clear" w:color="auto" w:fill="C6EFCE"/>
            <w:noWrap/>
          </w:tcPr>
          <w:p w14:paraId="07D1CA13" w14:textId="77777777" w:rsidR="00FA7C11" w:rsidRDefault="00D84965">
            <w:pPr>
              <w:pStyle w:val="P68B1DB1-Normal66"/>
              <w:spacing w:after="200" w:line="276" w:lineRule="auto"/>
              <w:jc w:val="center"/>
              <w:rPr>
                <w:noProof/>
              </w:rPr>
            </w:pPr>
            <w:r>
              <w:rPr>
                <w:noProof/>
              </w:rPr>
              <w:t>2025</w:t>
            </w:r>
          </w:p>
        </w:tc>
        <w:tc>
          <w:tcPr>
            <w:tcW w:w="3282" w:type="dxa"/>
            <w:shd w:val="clear" w:color="auto" w:fill="C6EFCE"/>
            <w:noWrap/>
          </w:tcPr>
          <w:p w14:paraId="1641F26D" w14:textId="3A56D90F"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Crearea unei platforme informatice pentru monitorizarea diferitelor domenii de prevenire a corupției: (1) protecția avertizorilor de integritate, (2) dreptul de acces la informații, (3) activitățile de lobby, (4) conflictele de interese, (5) coordonarea autorităților naționale pentru elaborarea, punerea în aplicare și monitorizarea punerii în aplicare a documentelor strategice și de punere în aplicare naționale, (6) actualizarea și publicarea listelor întreprinderilor deținute de stat și ale întreprinderilor deținute de administrația locală și de unitățile administrației regionale, (7) raportarea către Biroul Ombudsmanului, </w:t>
            </w:r>
            <w:r>
              <w:rPr>
                <w:rFonts w:ascii="Times New Roman" w:hAnsi="Times New Roman" w:cs="Times New Roman"/>
                <w:noProof/>
              </w:rPr>
              <w:br/>
            </w:r>
            <w:r>
              <w:rPr>
                <w:rFonts w:ascii="Times New Roman" w:eastAsia="Calibri" w:hAnsi="Times New Roman" w:cs="Times New Roman"/>
                <w:noProof/>
                <w:color w:val="000000" w:themeColor="text1"/>
              </w:rPr>
              <w:t xml:space="preserve"> </w:t>
            </w:r>
          </w:p>
        </w:tc>
      </w:tr>
      <w:tr w:rsidR="00FA7C11" w14:paraId="2C2EFCAF" w14:textId="77777777">
        <w:trPr>
          <w:trHeight w:val="283"/>
        </w:trPr>
        <w:tc>
          <w:tcPr>
            <w:tcW w:w="968" w:type="dxa"/>
            <w:shd w:val="clear" w:color="auto" w:fill="C6EFCE"/>
            <w:noWrap/>
          </w:tcPr>
          <w:p w14:paraId="7ECFAA20" w14:textId="77777777" w:rsidR="00FA7C11" w:rsidRDefault="00D84965">
            <w:pPr>
              <w:pStyle w:val="P68B1DB1-Normal66"/>
              <w:spacing w:after="200" w:line="276" w:lineRule="auto"/>
              <w:jc w:val="center"/>
              <w:rPr>
                <w:noProof/>
              </w:rPr>
            </w:pPr>
            <w:r>
              <w:rPr>
                <w:noProof/>
              </w:rPr>
              <w:t>238</w:t>
            </w:r>
          </w:p>
        </w:tc>
        <w:tc>
          <w:tcPr>
            <w:tcW w:w="1108" w:type="dxa"/>
            <w:shd w:val="clear" w:color="auto" w:fill="C6EFCE"/>
            <w:noWrap/>
          </w:tcPr>
          <w:p w14:paraId="7FBE9684" w14:textId="77777777" w:rsidR="00FA7C11" w:rsidRDefault="00D84965">
            <w:pPr>
              <w:pStyle w:val="P68B1DB1-Normal66"/>
              <w:spacing w:after="200" w:line="276" w:lineRule="auto"/>
              <w:jc w:val="center"/>
              <w:rPr>
                <w:noProof/>
              </w:rPr>
            </w:pPr>
            <w:r>
              <w:rPr>
                <w:noProof/>
              </w:rPr>
              <w:t>C2.6. R1</w:t>
            </w:r>
          </w:p>
        </w:tc>
        <w:tc>
          <w:tcPr>
            <w:tcW w:w="1120" w:type="dxa"/>
            <w:shd w:val="clear" w:color="auto" w:fill="C6EFCE"/>
            <w:noWrap/>
          </w:tcPr>
          <w:p w14:paraId="4DA140C3" w14:textId="77777777" w:rsidR="00FA7C11" w:rsidRDefault="00D84965">
            <w:pPr>
              <w:pStyle w:val="P68B1DB1-Normal66"/>
              <w:spacing w:after="200" w:line="276" w:lineRule="auto"/>
              <w:jc w:val="center"/>
              <w:rPr>
                <w:noProof/>
              </w:rPr>
            </w:pPr>
            <w:r>
              <w:rPr>
                <w:noProof/>
              </w:rPr>
              <w:t>T</w:t>
            </w:r>
          </w:p>
        </w:tc>
        <w:tc>
          <w:tcPr>
            <w:tcW w:w="1649" w:type="dxa"/>
            <w:shd w:val="clear" w:color="auto" w:fill="C6EFCE"/>
            <w:noWrap/>
          </w:tcPr>
          <w:p w14:paraId="3E3E4797" w14:textId="77777777" w:rsidR="00FA7C11" w:rsidRDefault="00D84965">
            <w:pPr>
              <w:pStyle w:val="P68B1DB1-Normal66"/>
              <w:spacing w:after="200" w:line="276" w:lineRule="auto"/>
              <w:rPr>
                <w:noProof/>
              </w:rPr>
            </w:pPr>
            <w:r>
              <w:rPr>
                <w:noProof/>
              </w:rPr>
              <w:t>Reducerea duratei medii a acțiunilor în justiție pentru infracțiuni de corupție și criminalitate organizată</w:t>
            </w:r>
          </w:p>
        </w:tc>
        <w:tc>
          <w:tcPr>
            <w:tcW w:w="2172" w:type="dxa"/>
            <w:shd w:val="clear" w:color="auto" w:fill="C6EFCE"/>
            <w:noWrap/>
          </w:tcPr>
          <w:p w14:paraId="764D4205" w14:textId="77777777" w:rsidR="00FA7C11" w:rsidRDefault="00D84965">
            <w:pPr>
              <w:pStyle w:val="P68B1DB1-Normal66"/>
              <w:spacing w:after="200" w:line="276" w:lineRule="auto"/>
              <w:rPr>
                <w:noProof/>
              </w:rPr>
            </w:pPr>
            <w:r>
              <w:rPr>
                <w:noProof/>
              </w:rPr>
              <w:t xml:space="preserve"> </w:t>
            </w:r>
          </w:p>
        </w:tc>
        <w:tc>
          <w:tcPr>
            <w:tcW w:w="1141" w:type="dxa"/>
            <w:shd w:val="clear" w:color="auto" w:fill="C6EFCE"/>
            <w:noWrap/>
          </w:tcPr>
          <w:p w14:paraId="0CEAB5AD" w14:textId="77777777" w:rsidR="00FA7C11" w:rsidRDefault="00D84965">
            <w:pPr>
              <w:pStyle w:val="P68B1DB1-Normal66"/>
              <w:spacing w:after="200" w:line="276" w:lineRule="auto"/>
              <w:jc w:val="center"/>
              <w:rPr>
                <w:noProof/>
              </w:rPr>
            </w:pPr>
            <w:r>
              <w:rPr>
                <w:noProof/>
              </w:rPr>
              <w:t>Număr</w:t>
            </w:r>
          </w:p>
        </w:tc>
        <w:tc>
          <w:tcPr>
            <w:tcW w:w="807" w:type="dxa"/>
            <w:shd w:val="clear" w:color="auto" w:fill="C6EFCE"/>
            <w:noWrap/>
          </w:tcPr>
          <w:p w14:paraId="23486B11" w14:textId="77777777" w:rsidR="00FA7C11" w:rsidRDefault="00D84965">
            <w:pPr>
              <w:pStyle w:val="P68B1DB1-Normal66"/>
              <w:spacing w:after="200" w:line="276" w:lineRule="auto"/>
              <w:jc w:val="center"/>
              <w:rPr>
                <w:noProof/>
              </w:rPr>
            </w:pPr>
            <w:r>
              <w:rPr>
                <w:noProof/>
              </w:rPr>
              <w:t>999</w:t>
            </w:r>
          </w:p>
        </w:tc>
        <w:tc>
          <w:tcPr>
            <w:tcW w:w="831" w:type="dxa"/>
            <w:shd w:val="clear" w:color="auto" w:fill="C6EFCE"/>
            <w:noWrap/>
          </w:tcPr>
          <w:p w14:paraId="2C402E03" w14:textId="77777777" w:rsidR="00FA7C11" w:rsidRDefault="00D84965">
            <w:pPr>
              <w:pStyle w:val="P68B1DB1-Normal66"/>
              <w:spacing w:after="200" w:line="276" w:lineRule="auto"/>
              <w:jc w:val="center"/>
              <w:rPr>
                <w:noProof/>
              </w:rPr>
            </w:pPr>
            <w:r>
              <w:rPr>
                <w:noProof/>
              </w:rPr>
              <w:t>799</w:t>
            </w:r>
          </w:p>
        </w:tc>
        <w:tc>
          <w:tcPr>
            <w:tcW w:w="1037" w:type="dxa"/>
            <w:shd w:val="clear" w:color="auto" w:fill="C6EFCE"/>
            <w:noWrap/>
          </w:tcPr>
          <w:p w14:paraId="353203D4" w14:textId="77777777" w:rsidR="00FA7C11" w:rsidRDefault="00D84965">
            <w:pPr>
              <w:pStyle w:val="P68B1DB1-Normal66"/>
              <w:spacing w:after="200" w:line="276" w:lineRule="auto"/>
              <w:jc w:val="center"/>
              <w:rPr>
                <w:noProof/>
              </w:rPr>
            </w:pPr>
            <w:r>
              <w:rPr>
                <w:noProof/>
              </w:rPr>
              <w:t>Î4</w:t>
            </w:r>
          </w:p>
        </w:tc>
        <w:tc>
          <w:tcPr>
            <w:tcW w:w="844" w:type="dxa"/>
            <w:shd w:val="clear" w:color="auto" w:fill="C6EFCE"/>
            <w:noWrap/>
          </w:tcPr>
          <w:p w14:paraId="5AC9B494" w14:textId="77777777" w:rsidR="00FA7C11" w:rsidRDefault="00D84965">
            <w:pPr>
              <w:pStyle w:val="P68B1DB1-Normal66"/>
              <w:spacing w:after="200" w:line="276" w:lineRule="auto"/>
              <w:jc w:val="center"/>
              <w:rPr>
                <w:noProof/>
              </w:rPr>
            </w:pPr>
            <w:r>
              <w:rPr>
                <w:noProof/>
              </w:rPr>
              <w:t>2024</w:t>
            </w:r>
          </w:p>
        </w:tc>
        <w:tc>
          <w:tcPr>
            <w:tcW w:w="3282" w:type="dxa"/>
            <w:shd w:val="clear" w:color="auto" w:fill="C6EFCE"/>
            <w:noWrap/>
          </w:tcPr>
          <w:p w14:paraId="0721866F" w14:textId="77777777" w:rsidR="00FA7C11" w:rsidRDefault="00D84965">
            <w:pPr>
              <w:pStyle w:val="P68B1DB1-Normal66"/>
              <w:spacing w:after="200" w:line="276" w:lineRule="auto"/>
              <w:rPr>
                <w:noProof/>
              </w:rPr>
            </w:pPr>
            <w:r>
              <w:rPr>
                <w:noProof/>
              </w:rPr>
              <w:t>Reducerea cu 200 de zile a duratei medii a cauzelor în instanță pentru infracțiuni de corupție și criminalitate organizată în comparație cu 1Q/2021 (999 de zile).</w:t>
            </w:r>
          </w:p>
        </w:tc>
      </w:tr>
      <w:tr w:rsidR="00FA7C11" w14:paraId="00216F14" w14:textId="77777777">
        <w:trPr>
          <w:trHeight w:val="283"/>
        </w:trPr>
        <w:tc>
          <w:tcPr>
            <w:tcW w:w="968" w:type="dxa"/>
            <w:shd w:val="clear" w:color="auto" w:fill="C6EFCE"/>
            <w:noWrap/>
          </w:tcPr>
          <w:p w14:paraId="21A08D6F" w14:textId="77777777" w:rsidR="00FA7C11" w:rsidRDefault="00D84965">
            <w:pPr>
              <w:pStyle w:val="P68B1DB1-Normal66"/>
              <w:spacing w:after="200" w:line="276" w:lineRule="auto"/>
              <w:jc w:val="center"/>
              <w:rPr>
                <w:noProof/>
              </w:rPr>
            </w:pPr>
            <w:r>
              <w:rPr>
                <w:noProof/>
              </w:rPr>
              <w:t>239</w:t>
            </w:r>
          </w:p>
        </w:tc>
        <w:tc>
          <w:tcPr>
            <w:tcW w:w="1108" w:type="dxa"/>
            <w:shd w:val="clear" w:color="auto" w:fill="C6EFCE"/>
            <w:noWrap/>
          </w:tcPr>
          <w:p w14:paraId="275E9638" w14:textId="77777777" w:rsidR="00FA7C11" w:rsidRDefault="00D84965">
            <w:pPr>
              <w:pStyle w:val="P68B1DB1-Normal66"/>
              <w:spacing w:after="200" w:line="276" w:lineRule="auto"/>
              <w:jc w:val="center"/>
              <w:rPr>
                <w:noProof/>
              </w:rPr>
            </w:pPr>
            <w:r>
              <w:rPr>
                <w:noProof/>
              </w:rPr>
              <w:t>C2.6. R1-I1</w:t>
            </w:r>
          </w:p>
        </w:tc>
        <w:tc>
          <w:tcPr>
            <w:tcW w:w="1120" w:type="dxa"/>
            <w:shd w:val="clear" w:color="auto" w:fill="C6EFCE"/>
            <w:noWrap/>
          </w:tcPr>
          <w:p w14:paraId="72B5B357" w14:textId="77777777" w:rsidR="00FA7C11" w:rsidRDefault="00D84965">
            <w:pPr>
              <w:pStyle w:val="P68B1DB1-Normal66"/>
              <w:spacing w:after="200" w:line="276" w:lineRule="auto"/>
              <w:jc w:val="center"/>
              <w:rPr>
                <w:noProof/>
              </w:rPr>
            </w:pPr>
            <w:r>
              <w:rPr>
                <w:noProof/>
              </w:rPr>
              <w:t>M</w:t>
            </w:r>
          </w:p>
        </w:tc>
        <w:tc>
          <w:tcPr>
            <w:tcW w:w="1649" w:type="dxa"/>
            <w:shd w:val="clear" w:color="auto" w:fill="C6EFCE"/>
            <w:noWrap/>
          </w:tcPr>
          <w:p w14:paraId="3FADF802" w14:textId="77777777" w:rsidR="00FA7C11" w:rsidRDefault="00D84965">
            <w:pPr>
              <w:pStyle w:val="P68B1DB1-Normal66"/>
              <w:spacing w:after="200" w:line="276" w:lineRule="auto"/>
              <w:rPr>
                <w:noProof/>
              </w:rPr>
            </w:pPr>
            <w:r>
              <w:rPr>
                <w:noProof/>
              </w:rPr>
              <w:t>Evaluarea efectelor campaniei naționale de informare împotriva corupției</w:t>
            </w:r>
          </w:p>
        </w:tc>
        <w:tc>
          <w:tcPr>
            <w:tcW w:w="2172" w:type="dxa"/>
            <w:shd w:val="clear" w:color="auto" w:fill="C6EFCE"/>
            <w:noWrap/>
          </w:tcPr>
          <w:p w14:paraId="101031AE" w14:textId="77777777" w:rsidR="00FA7C11" w:rsidRDefault="00D84965">
            <w:pPr>
              <w:pStyle w:val="P68B1DB1-Normal66"/>
              <w:spacing w:after="200" w:line="276" w:lineRule="auto"/>
              <w:rPr>
                <w:noProof/>
              </w:rPr>
            </w:pPr>
            <w:r>
              <w:rPr>
                <w:noProof/>
              </w:rPr>
              <w:t xml:space="preserve">Publicarea raportului de evaluare a impactului </w:t>
            </w:r>
          </w:p>
        </w:tc>
        <w:tc>
          <w:tcPr>
            <w:tcW w:w="1141" w:type="dxa"/>
            <w:shd w:val="clear" w:color="auto" w:fill="C6EFCE"/>
            <w:noWrap/>
          </w:tcPr>
          <w:p w14:paraId="584EA897"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5CA69487" w14:textId="77777777" w:rsidR="00FA7C11" w:rsidRDefault="00D84965">
            <w:pPr>
              <w:pStyle w:val="P68B1DB1-Normal66"/>
              <w:spacing w:after="200" w:line="276" w:lineRule="auto"/>
              <w:jc w:val="center"/>
              <w:rPr>
                <w:noProof/>
              </w:rPr>
            </w:pPr>
            <w:r>
              <w:rPr>
                <w:noProof/>
              </w:rPr>
              <w:t> </w:t>
            </w:r>
          </w:p>
        </w:tc>
        <w:tc>
          <w:tcPr>
            <w:tcW w:w="831" w:type="dxa"/>
            <w:shd w:val="clear" w:color="auto" w:fill="C6EFCE"/>
            <w:noWrap/>
          </w:tcPr>
          <w:p w14:paraId="7D9CD98E"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0553069D" w14:textId="77777777" w:rsidR="00FA7C11" w:rsidRDefault="00D84965">
            <w:pPr>
              <w:pStyle w:val="P68B1DB1-Normal66"/>
              <w:spacing w:after="200" w:line="276" w:lineRule="auto"/>
              <w:jc w:val="center"/>
              <w:rPr>
                <w:noProof/>
              </w:rPr>
            </w:pPr>
            <w:r>
              <w:rPr>
                <w:noProof/>
              </w:rPr>
              <w:t>Î2</w:t>
            </w:r>
          </w:p>
        </w:tc>
        <w:tc>
          <w:tcPr>
            <w:tcW w:w="844" w:type="dxa"/>
            <w:shd w:val="clear" w:color="auto" w:fill="C6EFCE"/>
            <w:noWrap/>
          </w:tcPr>
          <w:p w14:paraId="5D316969" w14:textId="77777777" w:rsidR="00FA7C11" w:rsidRDefault="00D84965">
            <w:pPr>
              <w:pStyle w:val="P68B1DB1-Normal66"/>
              <w:spacing w:after="200" w:line="276" w:lineRule="auto"/>
              <w:jc w:val="center"/>
              <w:rPr>
                <w:noProof/>
              </w:rPr>
            </w:pPr>
            <w:r>
              <w:rPr>
                <w:noProof/>
              </w:rPr>
              <w:t>2025</w:t>
            </w:r>
          </w:p>
        </w:tc>
        <w:tc>
          <w:tcPr>
            <w:tcW w:w="3282" w:type="dxa"/>
            <w:shd w:val="clear" w:color="auto" w:fill="C6EFCE"/>
            <w:noWrap/>
          </w:tcPr>
          <w:p w14:paraId="31576098" w14:textId="677A714B" w:rsidR="00FA7C11" w:rsidRDefault="00D84965">
            <w:pPr>
              <w:pStyle w:val="P68B1DB1-Normal66"/>
              <w:spacing w:after="200" w:line="276" w:lineRule="auto"/>
              <w:rPr>
                <w:noProof/>
              </w:rPr>
            </w:pPr>
            <w:r>
              <w:rPr>
                <w:noProof/>
              </w:rPr>
              <w:t xml:space="preserve">Raportul de evaluare a impactului se publică. Acesta conține recomandări privind evaluarea efectelor campaniei mediatice naționale împotriva corupției. </w:t>
            </w:r>
          </w:p>
        </w:tc>
      </w:tr>
      <w:tr w:rsidR="00FA7C11" w14:paraId="16864D64" w14:textId="77777777">
        <w:trPr>
          <w:trHeight w:val="283"/>
        </w:trPr>
        <w:tc>
          <w:tcPr>
            <w:tcW w:w="968" w:type="dxa"/>
            <w:shd w:val="clear" w:color="auto" w:fill="C6EFCE"/>
            <w:noWrap/>
          </w:tcPr>
          <w:p w14:paraId="1DAF0D29" w14:textId="77777777" w:rsidR="00FA7C11" w:rsidRDefault="00D84965">
            <w:pPr>
              <w:pStyle w:val="P68B1DB1-Normal66"/>
              <w:spacing w:after="200" w:line="276" w:lineRule="auto"/>
              <w:jc w:val="center"/>
              <w:rPr>
                <w:noProof/>
              </w:rPr>
            </w:pPr>
            <w:r>
              <w:rPr>
                <w:noProof/>
              </w:rPr>
              <w:t>240</w:t>
            </w:r>
          </w:p>
        </w:tc>
        <w:tc>
          <w:tcPr>
            <w:tcW w:w="1108" w:type="dxa"/>
            <w:shd w:val="clear" w:color="auto" w:fill="C6EFCE"/>
            <w:noWrap/>
          </w:tcPr>
          <w:p w14:paraId="5F98AEE4" w14:textId="77777777" w:rsidR="00FA7C11" w:rsidRDefault="00D84965">
            <w:pPr>
              <w:pStyle w:val="P68B1DB1-Normal66"/>
              <w:spacing w:after="200" w:line="276" w:lineRule="auto"/>
              <w:jc w:val="center"/>
              <w:rPr>
                <w:noProof/>
              </w:rPr>
            </w:pPr>
            <w:r>
              <w:rPr>
                <w:noProof/>
              </w:rPr>
              <w:t>C2.6. R1-I2</w:t>
            </w:r>
          </w:p>
        </w:tc>
        <w:tc>
          <w:tcPr>
            <w:tcW w:w="1120" w:type="dxa"/>
            <w:shd w:val="clear" w:color="auto" w:fill="C6EFCE"/>
            <w:noWrap/>
          </w:tcPr>
          <w:p w14:paraId="7F7A569D" w14:textId="77777777" w:rsidR="00FA7C11" w:rsidRDefault="00D84965">
            <w:pPr>
              <w:pStyle w:val="P68B1DB1-Normal66"/>
              <w:spacing w:after="200" w:line="276" w:lineRule="auto"/>
              <w:jc w:val="center"/>
              <w:rPr>
                <w:noProof/>
              </w:rPr>
            </w:pPr>
            <w:r>
              <w:rPr>
                <w:noProof/>
              </w:rPr>
              <w:t>M</w:t>
            </w:r>
          </w:p>
        </w:tc>
        <w:tc>
          <w:tcPr>
            <w:tcW w:w="1649" w:type="dxa"/>
            <w:shd w:val="clear" w:color="auto" w:fill="C6EFCE"/>
            <w:noWrap/>
          </w:tcPr>
          <w:p w14:paraId="1359B38F" w14:textId="77777777" w:rsidR="00FA7C11" w:rsidRDefault="00D84965">
            <w:pPr>
              <w:pStyle w:val="P68B1DB1-Normal66"/>
              <w:spacing w:after="200" w:line="276" w:lineRule="auto"/>
              <w:rPr>
                <w:noProof/>
              </w:rPr>
            </w:pPr>
            <w:r>
              <w:rPr>
                <w:noProof/>
              </w:rPr>
              <w:t>Instituirea unui sistem de informații pentru gestionarea infrastructurii etice a funcționarilor publici</w:t>
            </w:r>
          </w:p>
        </w:tc>
        <w:tc>
          <w:tcPr>
            <w:tcW w:w="2172" w:type="dxa"/>
            <w:shd w:val="clear" w:color="auto" w:fill="C6EFCE"/>
            <w:noWrap/>
          </w:tcPr>
          <w:p w14:paraId="734A256D" w14:textId="77777777" w:rsidR="00FA7C11" w:rsidRDefault="00D84965">
            <w:pPr>
              <w:pStyle w:val="P68B1DB1-Normal66"/>
              <w:spacing w:after="200" w:line="276" w:lineRule="auto"/>
              <w:rPr>
                <w:noProof/>
              </w:rPr>
            </w:pPr>
            <w:r>
              <w:rPr>
                <w:noProof/>
              </w:rPr>
              <w:t>Sistemul informatic a fost complet dezvoltat și pus în funcțiune</w:t>
            </w:r>
          </w:p>
        </w:tc>
        <w:tc>
          <w:tcPr>
            <w:tcW w:w="1141" w:type="dxa"/>
            <w:shd w:val="clear" w:color="auto" w:fill="C6EFCE"/>
            <w:noWrap/>
          </w:tcPr>
          <w:p w14:paraId="7E8AB470"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2A3937FB" w14:textId="77777777" w:rsidR="00FA7C11" w:rsidRDefault="00D84965">
            <w:pPr>
              <w:pStyle w:val="P68B1DB1-Normal66"/>
              <w:spacing w:after="200" w:line="276" w:lineRule="auto"/>
              <w:jc w:val="center"/>
              <w:rPr>
                <w:noProof/>
              </w:rPr>
            </w:pPr>
            <w:r>
              <w:rPr>
                <w:noProof/>
              </w:rPr>
              <w:t> </w:t>
            </w:r>
          </w:p>
        </w:tc>
        <w:tc>
          <w:tcPr>
            <w:tcW w:w="831" w:type="dxa"/>
            <w:shd w:val="clear" w:color="auto" w:fill="C6EFCE"/>
            <w:noWrap/>
          </w:tcPr>
          <w:p w14:paraId="7025656F"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65B13794" w14:textId="77777777" w:rsidR="00FA7C11" w:rsidRDefault="00D84965">
            <w:pPr>
              <w:pStyle w:val="P68B1DB1-Normal66"/>
              <w:spacing w:after="200" w:line="276" w:lineRule="auto"/>
              <w:jc w:val="center"/>
              <w:rPr>
                <w:noProof/>
              </w:rPr>
            </w:pPr>
            <w:r>
              <w:rPr>
                <w:noProof/>
              </w:rPr>
              <w:t>Î4</w:t>
            </w:r>
          </w:p>
        </w:tc>
        <w:tc>
          <w:tcPr>
            <w:tcW w:w="844" w:type="dxa"/>
            <w:shd w:val="clear" w:color="auto" w:fill="C6EFCE"/>
            <w:noWrap/>
          </w:tcPr>
          <w:p w14:paraId="5AAE041A" w14:textId="77777777" w:rsidR="00FA7C11" w:rsidRDefault="00D84965">
            <w:pPr>
              <w:pStyle w:val="P68B1DB1-Normal66"/>
              <w:spacing w:after="200" w:line="276" w:lineRule="auto"/>
              <w:jc w:val="center"/>
              <w:rPr>
                <w:noProof/>
              </w:rPr>
            </w:pPr>
            <w:r>
              <w:rPr>
                <w:noProof/>
              </w:rPr>
              <w:t>2024</w:t>
            </w:r>
          </w:p>
        </w:tc>
        <w:tc>
          <w:tcPr>
            <w:tcW w:w="3282" w:type="dxa"/>
            <w:shd w:val="clear" w:color="auto" w:fill="C6EFCE"/>
            <w:noWrap/>
          </w:tcPr>
          <w:p w14:paraId="60E04364" w14:textId="77777777" w:rsidR="00FA7C11" w:rsidRDefault="00D84965">
            <w:pPr>
              <w:pStyle w:val="P68B1DB1-Normal66"/>
              <w:spacing w:after="200" w:line="276" w:lineRule="auto"/>
              <w:contextualSpacing/>
              <w:rPr>
                <w:noProof/>
              </w:rPr>
            </w:pPr>
            <w:r>
              <w:rPr>
                <w:noProof/>
              </w:rPr>
              <w:t xml:space="preserve">Se dezvoltă și se pune în funcțiune un sistem electronic de gestionare a infrastructurii în vederea modernizării și îmbunătățirii activității comisarilor pentru etică, a Comisiei pentru etică și a funcționarilor care lucrează în cadrul Serviciului de etică și integritate, care cuprinde funcționalități de prelucrare a cel puțin următoarelor categorii de plângeri: </w:t>
            </w:r>
            <w:r>
              <w:rPr>
                <w:noProof/>
              </w:rPr>
              <w:br/>
              <w:t xml:space="preserve">Plângeri privind modul în care sunt tratați cetățenii de către funcționari </w:t>
            </w:r>
            <w:r>
              <w:rPr>
                <w:noProof/>
              </w:rPr>
              <w:br/>
              <w:t>— Plângeri cu privire la comportamentul în apariții publice.</w:t>
            </w:r>
            <w:r>
              <w:rPr>
                <w:noProof/>
              </w:rPr>
              <w:br/>
              <w:t>— Plângeri cu privire la obținerea de beneficii materiale sau de altă natură.</w:t>
            </w:r>
            <w:r>
              <w:rPr>
                <w:noProof/>
              </w:rPr>
              <w:br/>
              <w:t>— Plângeri privind conflictele de interese.</w:t>
            </w:r>
            <w:r>
              <w:rPr>
                <w:noProof/>
              </w:rPr>
              <w:br/>
              <w:t>— Plângeri din partea funcționarilor publici cu privire la alți funcționari publici, inclusiv cu privire la comportamentul superiorilor ierarhici.</w:t>
            </w:r>
          </w:p>
        </w:tc>
      </w:tr>
      <w:tr w:rsidR="00FA7C11" w14:paraId="0B94AD96" w14:textId="77777777">
        <w:trPr>
          <w:trHeight w:val="283"/>
        </w:trPr>
        <w:tc>
          <w:tcPr>
            <w:tcW w:w="968" w:type="dxa"/>
            <w:shd w:val="clear" w:color="auto" w:fill="C6EFCE"/>
            <w:noWrap/>
          </w:tcPr>
          <w:p w14:paraId="3953A4AF" w14:textId="77777777" w:rsidR="00FA7C11" w:rsidRDefault="00D84965">
            <w:pPr>
              <w:pStyle w:val="P68B1DB1-Normal66"/>
              <w:spacing w:after="200" w:line="276" w:lineRule="auto"/>
              <w:jc w:val="center"/>
              <w:rPr>
                <w:noProof/>
              </w:rPr>
            </w:pPr>
            <w:r>
              <w:rPr>
                <w:noProof/>
              </w:rPr>
              <w:t>241</w:t>
            </w:r>
          </w:p>
        </w:tc>
        <w:tc>
          <w:tcPr>
            <w:tcW w:w="1108" w:type="dxa"/>
            <w:shd w:val="clear" w:color="auto" w:fill="C6EFCE"/>
            <w:noWrap/>
          </w:tcPr>
          <w:p w14:paraId="58E19F9F" w14:textId="77777777" w:rsidR="00FA7C11" w:rsidRDefault="00D84965">
            <w:pPr>
              <w:pStyle w:val="P68B1DB1-Normal66"/>
              <w:spacing w:after="200" w:line="276" w:lineRule="auto"/>
              <w:jc w:val="center"/>
              <w:rPr>
                <w:noProof/>
              </w:rPr>
            </w:pPr>
            <w:r>
              <w:rPr>
                <w:noProof/>
              </w:rPr>
              <w:t>C2.6. R1-I3</w:t>
            </w:r>
          </w:p>
        </w:tc>
        <w:tc>
          <w:tcPr>
            <w:tcW w:w="1120" w:type="dxa"/>
            <w:shd w:val="clear" w:color="auto" w:fill="C6EFCE"/>
            <w:noWrap/>
          </w:tcPr>
          <w:p w14:paraId="62B56CA1" w14:textId="77777777" w:rsidR="00FA7C11" w:rsidRDefault="00D84965">
            <w:pPr>
              <w:pStyle w:val="P68B1DB1-Normal66"/>
              <w:spacing w:after="200" w:line="276" w:lineRule="auto"/>
              <w:jc w:val="center"/>
              <w:rPr>
                <w:noProof/>
              </w:rPr>
            </w:pPr>
            <w:r>
              <w:rPr>
                <w:noProof/>
              </w:rPr>
              <w:t>M</w:t>
            </w:r>
          </w:p>
        </w:tc>
        <w:tc>
          <w:tcPr>
            <w:tcW w:w="1649" w:type="dxa"/>
            <w:shd w:val="clear" w:color="auto" w:fill="C6EFCE"/>
            <w:noWrap/>
          </w:tcPr>
          <w:p w14:paraId="65153C78" w14:textId="77777777" w:rsidR="00FA7C11" w:rsidRDefault="00D84965">
            <w:pPr>
              <w:pStyle w:val="P68B1DB1-Normal66"/>
              <w:spacing w:after="200" w:line="276" w:lineRule="auto"/>
              <w:rPr>
                <w:noProof/>
              </w:rPr>
            </w:pPr>
            <w:r>
              <w:rPr>
                <w:noProof/>
              </w:rPr>
              <w:t>Sisteme îmbunătățite de informații privind declarațiile de avere pentru funcționarii de stat și funcționarii din justiție</w:t>
            </w:r>
          </w:p>
        </w:tc>
        <w:tc>
          <w:tcPr>
            <w:tcW w:w="2172" w:type="dxa"/>
            <w:shd w:val="clear" w:color="auto" w:fill="C6EFCE"/>
            <w:noWrap/>
          </w:tcPr>
          <w:p w14:paraId="7ABDBB94" w14:textId="77777777" w:rsidR="00FA7C11" w:rsidRDefault="00D84965">
            <w:pPr>
              <w:pStyle w:val="P68B1DB1-Normal66"/>
              <w:spacing w:after="200" w:line="276" w:lineRule="auto"/>
              <w:rPr>
                <w:noProof/>
              </w:rPr>
            </w:pPr>
            <w:r>
              <w:rPr>
                <w:noProof/>
              </w:rPr>
              <w:t>Sistemele de informații au fost modernizate și puse în aplicare</w:t>
            </w:r>
          </w:p>
        </w:tc>
        <w:tc>
          <w:tcPr>
            <w:tcW w:w="1141" w:type="dxa"/>
            <w:shd w:val="clear" w:color="auto" w:fill="C6EFCE"/>
            <w:noWrap/>
          </w:tcPr>
          <w:p w14:paraId="5BD223DC"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27B69BF2" w14:textId="77777777" w:rsidR="00FA7C11" w:rsidRDefault="00D84965">
            <w:pPr>
              <w:pStyle w:val="P68B1DB1-Normal66"/>
              <w:spacing w:after="200" w:line="276" w:lineRule="auto"/>
              <w:jc w:val="center"/>
              <w:rPr>
                <w:noProof/>
              </w:rPr>
            </w:pPr>
            <w:r>
              <w:rPr>
                <w:noProof/>
              </w:rPr>
              <w:t> </w:t>
            </w:r>
          </w:p>
        </w:tc>
        <w:tc>
          <w:tcPr>
            <w:tcW w:w="831" w:type="dxa"/>
            <w:shd w:val="clear" w:color="auto" w:fill="C6EFCE"/>
            <w:noWrap/>
          </w:tcPr>
          <w:p w14:paraId="23895168"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6604C8FD" w14:textId="77777777" w:rsidR="00FA7C11" w:rsidRDefault="00D84965">
            <w:pPr>
              <w:pStyle w:val="P68B1DB1-Normal66"/>
              <w:spacing w:after="200" w:line="276" w:lineRule="auto"/>
              <w:jc w:val="center"/>
              <w:rPr>
                <w:noProof/>
              </w:rPr>
            </w:pPr>
            <w:r>
              <w:rPr>
                <w:noProof/>
              </w:rPr>
              <w:t>Î2</w:t>
            </w:r>
          </w:p>
        </w:tc>
        <w:tc>
          <w:tcPr>
            <w:tcW w:w="844" w:type="dxa"/>
            <w:shd w:val="clear" w:color="auto" w:fill="C6EFCE"/>
            <w:noWrap/>
          </w:tcPr>
          <w:p w14:paraId="609F7351" w14:textId="77777777" w:rsidR="00FA7C11" w:rsidRDefault="00D84965">
            <w:pPr>
              <w:pStyle w:val="P68B1DB1-Normal66"/>
              <w:spacing w:after="200" w:line="276" w:lineRule="auto"/>
              <w:jc w:val="center"/>
              <w:rPr>
                <w:noProof/>
              </w:rPr>
            </w:pPr>
            <w:r>
              <w:rPr>
                <w:noProof/>
              </w:rPr>
              <w:t>2024</w:t>
            </w:r>
          </w:p>
        </w:tc>
        <w:tc>
          <w:tcPr>
            <w:tcW w:w="3282" w:type="dxa"/>
            <w:shd w:val="clear" w:color="auto" w:fill="C6EFCE"/>
            <w:noWrap/>
          </w:tcPr>
          <w:p w14:paraId="6017C95C" w14:textId="77777777" w:rsidR="00FA7C11" w:rsidRDefault="00D84965">
            <w:pPr>
              <w:pStyle w:val="P68B1DB1-Normal66"/>
              <w:spacing w:after="200" w:line="276" w:lineRule="auto"/>
              <w:rPr>
                <w:noProof/>
              </w:rPr>
            </w:pPr>
            <w:r>
              <w:rPr>
                <w:noProof/>
              </w:rPr>
              <w:t xml:space="preserve">Sistemul actual de depunere a declarațiilor de avere ale funcționarilor va fi îmbunătățit, permițând completarea automată a datelor din surse publice disponibile și îmbunătățind condițiile prealabile pentru verificarea informațiilor conținute în declarațiile de avere ale funcționarilor de stat și ale funcționarilor din justiție. </w:t>
            </w:r>
          </w:p>
        </w:tc>
      </w:tr>
      <w:tr w:rsidR="00FA7C11" w14:paraId="1993E176" w14:textId="77777777">
        <w:trPr>
          <w:trHeight w:val="283"/>
        </w:trPr>
        <w:tc>
          <w:tcPr>
            <w:tcW w:w="968" w:type="dxa"/>
            <w:shd w:val="clear" w:color="auto" w:fill="C6EFCE"/>
            <w:noWrap/>
          </w:tcPr>
          <w:p w14:paraId="61D3FAD4" w14:textId="77777777" w:rsidR="00FA7C11" w:rsidRDefault="00D84965">
            <w:pPr>
              <w:pStyle w:val="P68B1DB1-Normal66"/>
              <w:spacing w:after="200" w:line="276" w:lineRule="auto"/>
              <w:jc w:val="center"/>
              <w:rPr>
                <w:noProof/>
              </w:rPr>
            </w:pPr>
            <w:r>
              <w:rPr>
                <w:noProof/>
              </w:rPr>
              <w:t>242</w:t>
            </w:r>
          </w:p>
        </w:tc>
        <w:tc>
          <w:tcPr>
            <w:tcW w:w="1108" w:type="dxa"/>
            <w:shd w:val="clear" w:color="auto" w:fill="C6EFCE"/>
            <w:noWrap/>
          </w:tcPr>
          <w:p w14:paraId="1C4A7EB8" w14:textId="77777777" w:rsidR="00FA7C11" w:rsidRDefault="00D84965">
            <w:pPr>
              <w:pStyle w:val="P68B1DB1-Normal66"/>
              <w:spacing w:after="200" w:line="276" w:lineRule="auto"/>
              <w:jc w:val="center"/>
              <w:rPr>
                <w:noProof/>
              </w:rPr>
            </w:pPr>
            <w:r>
              <w:rPr>
                <w:noProof/>
              </w:rPr>
              <w:t>C2.6. R1-I4</w:t>
            </w:r>
          </w:p>
        </w:tc>
        <w:tc>
          <w:tcPr>
            <w:tcW w:w="1120" w:type="dxa"/>
            <w:shd w:val="clear" w:color="auto" w:fill="C6EFCE"/>
            <w:noWrap/>
          </w:tcPr>
          <w:p w14:paraId="70EC1B4D" w14:textId="77777777" w:rsidR="00FA7C11" w:rsidRDefault="00D84965">
            <w:pPr>
              <w:pStyle w:val="P68B1DB1-Normal66"/>
              <w:spacing w:after="200" w:line="276" w:lineRule="auto"/>
              <w:jc w:val="center"/>
              <w:rPr>
                <w:noProof/>
              </w:rPr>
            </w:pPr>
            <w:r>
              <w:rPr>
                <w:noProof/>
              </w:rPr>
              <w:t>T</w:t>
            </w:r>
          </w:p>
        </w:tc>
        <w:tc>
          <w:tcPr>
            <w:tcW w:w="1649" w:type="dxa"/>
            <w:shd w:val="clear" w:color="auto" w:fill="C6EFCE"/>
            <w:noWrap/>
          </w:tcPr>
          <w:p w14:paraId="2CE05D99" w14:textId="77777777" w:rsidR="00FA7C11" w:rsidRDefault="00D84965">
            <w:pPr>
              <w:pStyle w:val="P68B1DB1-Normal66"/>
              <w:spacing w:after="200" w:line="276" w:lineRule="auto"/>
              <w:rPr>
                <w:noProof/>
              </w:rPr>
            </w:pPr>
            <w:r>
              <w:rPr>
                <w:noProof/>
              </w:rPr>
              <w:t xml:space="preserve">Modernizarea a 4 centre regionale ale Oficiului Național de Poliție pentru Combaterea Corupției și a Criminalității Organizate (PN USKOK) </w:t>
            </w:r>
          </w:p>
        </w:tc>
        <w:tc>
          <w:tcPr>
            <w:tcW w:w="2172" w:type="dxa"/>
            <w:shd w:val="clear" w:color="auto" w:fill="C6EFCE"/>
            <w:noWrap/>
          </w:tcPr>
          <w:p w14:paraId="36737D8A" w14:textId="77777777" w:rsidR="00FA7C11" w:rsidRDefault="00D84965">
            <w:pPr>
              <w:pStyle w:val="P68B1DB1-Normal66"/>
              <w:spacing w:after="200" w:line="276" w:lineRule="auto"/>
              <w:rPr>
                <w:noProof/>
              </w:rPr>
            </w:pPr>
            <w:r>
              <w:rPr>
                <w:noProof/>
              </w:rPr>
              <w:t xml:space="preserve"> </w:t>
            </w:r>
          </w:p>
        </w:tc>
        <w:tc>
          <w:tcPr>
            <w:tcW w:w="1141" w:type="dxa"/>
            <w:shd w:val="clear" w:color="auto" w:fill="C6EFCE"/>
            <w:noWrap/>
          </w:tcPr>
          <w:p w14:paraId="07A3F180" w14:textId="77777777" w:rsidR="00FA7C11" w:rsidRDefault="00D84965">
            <w:pPr>
              <w:pStyle w:val="P68B1DB1-Normal66"/>
              <w:spacing w:after="200" w:line="276" w:lineRule="auto"/>
              <w:jc w:val="center"/>
              <w:rPr>
                <w:noProof/>
              </w:rPr>
            </w:pPr>
            <w:r>
              <w:rPr>
                <w:noProof/>
              </w:rPr>
              <w:t>Număr</w:t>
            </w:r>
          </w:p>
        </w:tc>
        <w:tc>
          <w:tcPr>
            <w:tcW w:w="807" w:type="dxa"/>
            <w:shd w:val="clear" w:color="auto" w:fill="C6EFCE"/>
            <w:noWrap/>
          </w:tcPr>
          <w:p w14:paraId="37747139" w14:textId="77777777" w:rsidR="00FA7C11" w:rsidRDefault="00D84965">
            <w:pPr>
              <w:pStyle w:val="P68B1DB1-Normal66"/>
              <w:spacing w:after="200" w:line="276" w:lineRule="auto"/>
              <w:jc w:val="center"/>
              <w:rPr>
                <w:noProof/>
              </w:rPr>
            </w:pPr>
            <w:r>
              <w:rPr>
                <w:noProof/>
              </w:rPr>
              <w:t>0</w:t>
            </w:r>
          </w:p>
        </w:tc>
        <w:tc>
          <w:tcPr>
            <w:tcW w:w="831" w:type="dxa"/>
            <w:shd w:val="clear" w:color="auto" w:fill="C6EFCE"/>
            <w:noWrap/>
          </w:tcPr>
          <w:p w14:paraId="09287A9E" w14:textId="77777777" w:rsidR="00FA7C11" w:rsidRDefault="00D84965">
            <w:pPr>
              <w:pStyle w:val="P68B1DB1-Normal66"/>
              <w:spacing w:after="200" w:line="276" w:lineRule="auto"/>
              <w:jc w:val="center"/>
              <w:rPr>
                <w:noProof/>
              </w:rPr>
            </w:pPr>
            <w:r>
              <w:rPr>
                <w:noProof/>
              </w:rPr>
              <w:t>4</w:t>
            </w:r>
          </w:p>
        </w:tc>
        <w:tc>
          <w:tcPr>
            <w:tcW w:w="1037" w:type="dxa"/>
            <w:shd w:val="clear" w:color="auto" w:fill="C6EFCE"/>
            <w:noWrap/>
          </w:tcPr>
          <w:p w14:paraId="70F4A9E1" w14:textId="77777777" w:rsidR="00FA7C11" w:rsidRDefault="00D84965">
            <w:pPr>
              <w:pStyle w:val="P68B1DB1-Normal66"/>
              <w:spacing w:after="200" w:line="276" w:lineRule="auto"/>
              <w:jc w:val="center"/>
              <w:rPr>
                <w:noProof/>
              </w:rPr>
            </w:pPr>
            <w:r>
              <w:rPr>
                <w:noProof/>
              </w:rPr>
              <w:t>Î2</w:t>
            </w:r>
          </w:p>
        </w:tc>
        <w:tc>
          <w:tcPr>
            <w:tcW w:w="844" w:type="dxa"/>
            <w:shd w:val="clear" w:color="auto" w:fill="C6EFCE"/>
            <w:noWrap/>
          </w:tcPr>
          <w:p w14:paraId="75261C90" w14:textId="77777777" w:rsidR="00FA7C11" w:rsidRDefault="00D84965">
            <w:pPr>
              <w:pStyle w:val="P68B1DB1-Normal66"/>
              <w:spacing w:after="200" w:line="276" w:lineRule="auto"/>
              <w:jc w:val="center"/>
              <w:rPr>
                <w:noProof/>
              </w:rPr>
            </w:pPr>
            <w:r>
              <w:rPr>
                <w:noProof/>
              </w:rPr>
              <w:t>2025</w:t>
            </w:r>
          </w:p>
        </w:tc>
        <w:tc>
          <w:tcPr>
            <w:tcW w:w="3282" w:type="dxa"/>
            <w:shd w:val="clear" w:color="auto" w:fill="C6EFCE"/>
            <w:noWrap/>
          </w:tcPr>
          <w:p w14:paraId="5222BC05" w14:textId="77777777" w:rsidR="00FA7C11" w:rsidRDefault="00D84965">
            <w:pPr>
              <w:pStyle w:val="P68B1DB1-Normal59"/>
              <w:spacing w:after="200" w:line="276" w:lineRule="auto"/>
              <w:rPr>
                <w:rFonts w:ascii="Times New Roman" w:eastAsia="Calibri" w:hAnsi="Times New Roman" w:cs="Times New Roman"/>
                <w:noProof/>
              </w:rPr>
            </w:pPr>
            <w:r>
              <w:rPr>
                <w:rFonts w:ascii="Times New Roman" w:eastAsia="Times New Roman" w:hAnsi="Times New Roman" w:cs="Times New Roman"/>
                <w:noProof/>
                <w:color w:val="333333"/>
              </w:rPr>
              <w:t>Rapoartele</w:t>
            </w:r>
            <w:r>
              <w:rPr>
                <w:rFonts w:ascii="Times New Roman" w:hAnsi="Times New Roman" w:cs="Times New Roman"/>
                <w:noProof/>
                <w:color w:val="000000" w:themeColor="text1"/>
              </w:rPr>
              <w:t xml:space="preserve"> inginerului coordonator și rapoartele privind eficiența renovării energetice se furnizează pentru centrele regionale PN USKOK din Zagreb și Split. </w:t>
            </w:r>
            <w:r>
              <w:rPr>
                <w:rFonts w:ascii="Times New Roman" w:hAnsi="Times New Roman" w:cs="Times New Roman"/>
                <w:noProof/>
              </w:rPr>
              <w:br/>
            </w:r>
            <w:r>
              <w:rPr>
                <w:rFonts w:ascii="Times New Roman" w:eastAsia="Calibri" w:hAnsi="Times New Roman" w:cs="Times New Roman"/>
                <w:noProof/>
                <w:color w:val="000000" w:themeColor="text1"/>
              </w:rPr>
              <w:t>Certificatele de livrare pentru noile echipamente informatice, de exemplu pentru utilizarea instrumentelor software și a serverelor de stocare a probelor digitale, se eliberează pentru toate cele patru centre regionale.</w:t>
            </w:r>
          </w:p>
        </w:tc>
      </w:tr>
      <w:tr w:rsidR="00FA7C11" w14:paraId="3C803202" w14:textId="77777777">
        <w:trPr>
          <w:trHeight w:val="283"/>
        </w:trPr>
        <w:tc>
          <w:tcPr>
            <w:tcW w:w="968" w:type="dxa"/>
            <w:shd w:val="clear" w:color="auto" w:fill="C6EFCE"/>
            <w:noWrap/>
          </w:tcPr>
          <w:p w14:paraId="593D36F2" w14:textId="77777777" w:rsidR="00FA7C11" w:rsidRDefault="00D84965">
            <w:pPr>
              <w:pStyle w:val="P68B1DB1-Normal66"/>
              <w:spacing w:after="200" w:line="276" w:lineRule="auto"/>
              <w:jc w:val="center"/>
              <w:rPr>
                <w:noProof/>
              </w:rPr>
            </w:pPr>
            <w:r>
              <w:rPr>
                <w:noProof/>
              </w:rPr>
              <w:t>243</w:t>
            </w:r>
          </w:p>
        </w:tc>
        <w:tc>
          <w:tcPr>
            <w:tcW w:w="1108" w:type="dxa"/>
            <w:shd w:val="clear" w:color="auto" w:fill="C6EFCE"/>
            <w:noWrap/>
          </w:tcPr>
          <w:p w14:paraId="1C71BBE8" w14:textId="77777777" w:rsidR="00FA7C11" w:rsidRDefault="00D84965">
            <w:pPr>
              <w:pStyle w:val="P68B1DB1-Normal66"/>
              <w:spacing w:after="200" w:line="276" w:lineRule="auto"/>
              <w:jc w:val="center"/>
              <w:rPr>
                <w:noProof/>
              </w:rPr>
            </w:pPr>
            <w:r>
              <w:rPr>
                <w:noProof/>
              </w:rPr>
              <w:t>C2.6. R2</w:t>
            </w:r>
          </w:p>
        </w:tc>
        <w:tc>
          <w:tcPr>
            <w:tcW w:w="1120" w:type="dxa"/>
            <w:shd w:val="clear" w:color="auto" w:fill="C6EFCE"/>
            <w:noWrap/>
          </w:tcPr>
          <w:p w14:paraId="52426C87" w14:textId="77777777" w:rsidR="00FA7C11" w:rsidRDefault="00D84965">
            <w:pPr>
              <w:pStyle w:val="P68B1DB1-Normal66"/>
              <w:spacing w:after="200" w:line="276" w:lineRule="auto"/>
              <w:jc w:val="center"/>
              <w:rPr>
                <w:noProof/>
              </w:rPr>
            </w:pPr>
            <w:r>
              <w:rPr>
                <w:noProof/>
              </w:rPr>
              <w:t>M</w:t>
            </w:r>
          </w:p>
        </w:tc>
        <w:tc>
          <w:tcPr>
            <w:tcW w:w="1649" w:type="dxa"/>
            <w:shd w:val="clear" w:color="auto" w:fill="C6EFCE"/>
            <w:noWrap/>
          </w:tcPr>
          <w:p w14:paraId="594A4830" w14:textId="77777777" w:rsidR="00FA7C11" w:rsidRDefault="00D84965">
            <w:pPr>
              <w:pStyle w:val="P68B1DB1-Normal66"/>
              <w:spacing w:after="200" w:line="276" w:lineRule="auto"/>
              <w:rPr>
                <w:noProof/>
              </w:rPr>
            </w:pPr>
            <w:r>
              <w:rPr>
                <w:noProof/>
              </w:rPr>
              <w:t xml:space="preserve">Evaluarea efectelor Legii privind dreptul de acces la informații </w:t>
            </w:r>
          </w:p>
        </w:tc>
        <w:tc>
          <w:tcPr>
            <w:tcW w:w="2172" w:type="dxa"/>
            <w:shd w:val="clear" w:color="auto" w:fill="C6EFCE"/>
            <w:noWrap/>
          </w:tcPr>
          <w:p w14:paraId="11C04EC7" w14:textId="77777777" w:rsidR="00FA7C11" w:rsidRDefault="00D84965">
            <w:pPr>
              <w:pStyle w:val="P68B1DB1-Normal66"/>
              <w:spacing w:after="200" w:line="276" w:lineRule="auto"/>
              <w:rPr>
                <w:noProof/>
              </w:rPr>
            </w:pPr>
            <w:r>
              <w:rPr>
                <w:noProof/>
              </w:rPr>
              <w:t>Publicarea raportului de evaluare referitor la Legea privind dreptul de acces la informații</w:t>
            </w:r>
          </w:p>
        </w:tc>
        <w:tc>
          <w:tcPr>
            <w:tcW w:w="1141" w:type="dxa"/>
            <w:shd w:val="clear" w:color="auto" w:fill="C6EFCE"/>
            <w:noWrap/>
          </w:tcPr>
          <w:p w14:paraId="199AED01"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6783087E" w14:textId="77777777" w:rsidR="00FA7C11" w:rsidRDefault="00D84965">
            <w:pPr>
              <w:pStyle w:val="P68B1DB1-Normal66"/>
              <w:spacing w:after="200" w:line="276" w:lineRule="auto"/>
              <w:jc w:val="center"/>
              <w:rPr>
                <w:noProof/>
              </w:rPr>
            </w:pPr>
            <w:r>
              <w:rPr>
                <w:noProof/>
              </w:rPr>
              <w:t> </w:t>
            </w:r>
          </w:p>
        </w:tc>
        <w:tc>
          <w:tcPr>
            <w:tcW w:w="831" w:type="dxa"/>
            <w:shd w:val="clear" w:color="auto" w:fill="C6EFCE"/>
            <w:noWrap/>
          </w:tcPr>
          <w:p w14:paraId="28E9AE67"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27D47D16" w14:textId="77777777" w:rsidR="00FA7C11" w:rsidRDefault="00D84965">
            <w:pPr>
              <w:pStyle w:val="P68B1DB1-Normal66"/>
              <w:spacing w:after="200" w:line="276" w:lineRule="auto"/>
              <w:jc w:val="center"/>
              <w:rPr>
                <w:noProof/>
              </w:rPr>
            </w:pPr>
            <w:r>
              <w:rPr>
                <w:noProof/>
              </w:rPr>
              <w:t>Î4</w:t>
            </w:r>
          </w:p>
        </w:tc>
        <w:tc>
          <w:tcPr>
            <w:tcW w:w="844" w:type="dxa"/>
            <w:shd w:val="clear" w:color="auto" w:fill="C6EFCE"/>
            <w:noWrap/>
          </w:tcPr>
          <w:p w14:paraId="1DCF7C67" w14:textId="77777777" w:rsidR="00FA7C11" w:rsidRDefault="00D84965">
            <w:pPr>
              <w:pStyle w:val="P68B1DB1-Normal66"/>
              <w:spacing w:after="200" w:line="276" w:lineRule="auto"/>
              <w:jc w:val="center"/>
              <w:rPr>
                <w:noProof/>
              </w:rPr>
            </w:pPr>
            <w:r>
              <w:rPr>
                <w:noProof/>
              </w:rPr>
              <w:t>2023</w:t>
            </w:r>
          </w:p>
        </w:tc>
        <w:tc>
          <w:tcPr>
            <w:tcW w:w="3282" w:type="dxa"/>
            <w:shd w:val="clear" w:color="auto" w:fill="C6EFCE"/>
            <w:noWrap/>
          </w:tcPr>
          <w:p w14:paraId="3BE432DE" w14:textId="7DB2C0F4" w:rsidR="00FA7C11" w:rsidRDefault="00D84965">
            <w:pPr>
              <w:pStyle w:val="P68B1DB1-Normal66"/>
              <w:spacing w:after="200" w:line="276" w:lineRule="auto"/>
              <w:rPr>
                <w:noProof/>
              </w:rPr>
            </w:pPr>
            <w:r>
              <w:rPr>
                <w:noProof/>
              </w:rPr>
              <w:t xml:space="preserve">Studiu publicat cu recomandări privind evaluarea efectelor Legii privind dreptul de acces la informații și impactul acesteia asupra segmentului de exerciții garantat prin Constituție din perspectiva utilizatorilor și a autorităților publice. Recomandările vor fi luate în considerare în contextul viitoarelor modificări ale Legii privind dreptul de acces. </w:t>
            </w:r>
          </w:p>
        </w:tc>
      </w:tr>
      <w:tr w:rsidR="00FA7C11" w14:paraId="30A18F24" w14:textId="77777777">
        <w:trPr>
          <w:trHeight w:val="283"/>
        </w:trPr>
        <w:tc>
          <w:tcPr>
            <w:tcW w:w="968" w:type="dxa"/>
            <w:shd w:val="clear" w:color="auto" w:fill="C6EFCE"/>
            <w:noWrap/>
          </w:tcPr>
          <w:p w14:paraId="1D0B5BE2" w14:textId="77777777" w:rsidR="00FA7C11" w:rsidRDefault="00D84965">
            <w:pPr>
              <w:pStyle w:val="P68B1DB1-Normal66"/>
              <w:spacing w:after="200" w:line="276" w:lineRule="auto"/>
              <w:jc w:val="center"/>
              <w:rPr>
                <w:noProof/>
              </w:rPr>
            </w:pPr>
            <w:r>
              <w:rPr>
                <w:noProof/>
              </w:rPr>
              <w:t>244 </w:t>
            </w:r>
          </w:p>
        </w:tc>
        <w:tc>
          <w:tcPr>
            <w:tcW w:w="1108" w:type="dxa"/>
            <w:shd w:val="clear" w:color="auto" w:fill="C6EFCE"/>
            <w:noWrap/>
          </w:tcPr>
          <w:p w14:paraId="57D0A8D1" w14:textId="77777777" w:rsidR="00FA7C11" w:rsidRDefault="00D84965">
            <w:pPr>
              <w:pStyle w:val="P68B1DB1-Normal66"/>
              <w:spacing w:after="200" w:line="276" w:lineRule="auto"/>
              <w:jc w:val="center"/>
              <w:rPr>
                <w:noProof/>
              </w:rPr>
            </w:pPr>
            <w:r>
              <w:rPr>
                <w:noProof/>
              </w:rPr>
              <w:t>C2.6. R3 </w:t>
            </w:r>
          </w:p>
        </w:tc>
        <w:tc>
          <w:tcPr>
            <w:tcW w:w="1120" w:type="dxa"/>
            <w:shd w:val="clear" w:color="auto" w:fill="C6EFCE"/>
            <w:noWrap/>
          </w:tcPr>
          <w:p w14:paraId="7AE95135" w14:textId="77777777" w:rsidR="00FA7C11" w:rsidRDefault="00D84965">
            <w:pPr>
              <w:pStyle w:val="P68B1DB1-Normal66"/>
              <w:spacing w:after="200" w:line="276" w:lineRule="auto"/>
              <w:jc w:val="center"/>
              <w:rPr>
                <w:noProof/>
              </w:rPr>
            </w:pPr>
            <w:r>
              <w:rPr>
                <w:noProof/>
              </w:rPr>
              <w:t>M </w:t>
            </w:r>
          </w:p>
        </w:tc>
        <w:tc>
          <w:tcPr>
            <w:tcW w:w="1649" w:type="dxa"/>
            <w:shd w:val="clear" w:color="auto" w:fill="C6EFCE"/>
            <w:noWrap/>
          </w:tcPr>
          <w:p w14:paraId="63DD650C" w14:textId="3E235D2F" w:rsidR="00FA7C11" w:rsidRDefault="00D84965">
            <w:pPr>
              <w:pStyle w:val="P68B1DB1-Normal66"/>
              <w:spacing w:after="200" w:line="276" w:lineRule="auto"/>
              <w:rPr>
                <w:noProof/>
              </w:rPr>
            </w:pPr>
            <w:r>
              <w:rPr>
                <w:noProof/>
              </w:rPr>
              <w:t xml:space="preserve">Aplicarea recomandărilor OCDE în materie de guvernanță corporativă privind participația majoritară a unităților locale și regionale </w:t>
            </w:r>
          </w:p>
        </w:tc>
        <w:tc>
          <w:tcPr>
            <w:tcW w:w="2172" w:type="dxa"/>
            <w:shd w:val="clear" w:color="auto" w:fill="C6EFCE"/>
            <w:noWrap/>
          </w:tcPr>
          <w:p w14:paraId="3F7A74DF" w14:textId="77777777" w:rsidR="00FA7C11" w:rsidRDefault="00D84965">
            <w:pPr>
              <w:pStyle w:val="P68B1DB1-Normal66"/>
              <w:spacing w:after="200" w:line="276" w:lineRule="auto"/>
              <w:rPr>
                <w:noProof/>
              </w:rPr>
            </w:pPr>
            <w:r>
              <w:rPr>
                <w:noProof/>
              </w:rPr>
              <w:t>Publicarea unui manual pentru aplicarea recomandărilor OCDE privind guvernanța corporativă în unitățile locale și regionale deținute în proporție majoritară </w:t>
            </w:r>
          </w:p>
        </w:tc>
        <w:tc>
          <w:tcPr>
            <w:tcW w:w="1141" w:type="dxa"/>
            <w:shd w:val="clear" w:color="auto" w:fill="C6EFCE"/>
            <w:noWrap/>
          </w:tcPr>
          <w:p w14:paraId="57E25DFC" w14:textId="77777777" w:rsidR="00FA7C11" w:rsidRDefault="00D84965">
            <w:pPr>
              <w:pStyle w:val="P68B1DB1-Normal66"/>
              <w:spacing w:after="200" w:line="276" w:lineRule="auto"/>
              <w:jc w:val="center"/>
              <w:rPr>
                <w:noProof/>
              </w:rPr>
            </w:pPr>
            <w:r>
              <w:rPr>
                <w:noProof/>
              </w:rPr>
              <w:t>  </w:t>
            </w:r>
          </w:p>
        </w:tc>
        <w:tc>
          <w:tcPr>
            <w:tcW w:w="807" w:type="dxa"/>
            <w:shd w:val="clear" w:color="auto" w:fill="C6EFCE"/>
            <w:noWrap/>
          </w:tcPr>
          <w:p w14:paraId="223C779F" w14:textId="77777777" w:rsidR="00FA7C11" w:rsidRDefault="00D84965">
            <w:pPr>
              <w:pStyle w:val="P68B1DB1-Normal66"/>
              <w:spacing w:after="200" w:line="276" w:lineRule="auto"/>
              <w:jc w:val="center"/>
              <w:rPr>
                <w:noProof/>
              </w:rPr>
            </w:pPr>
            <w:r>
              <w:rPr>
                <w:noProof/>
              </w:rPr>
              <w:t>  </w:t>
            </w:r>
          </w:p>
        </w:tc>
        <w:tc>
          <w:tcPr>
            <w:tcW w:w="831" w:type="dxa"/>
            <w:shd w:val="clear" w:color="auto" w:fill="C6EFCE"/>
            <w:noWrap/>
          </w:tcPr>
          <w:p w14:paraId="04C5D7E5" w14:textId="77777777" w:rsidR="00FA7C11" w:rsidRDefault="00D84965">
            <w:pPr>
              <w:pStyle w:val="P68B1DB1-Normal66"/>
              <w:spacing w:after="200" w:line="276" w:lineRule="auto"/>
              <w:jc w:val="center"/>
              <w:rPr>
                <w:noProof/>
              </w:rPr>
            </w:pPr>
            <w:r>
              <w:rPr>
                <w:noProof/>
              </w:rPr>
              <w:t>  </w:t>
            </w:r>
          </w:p>
        </w:tc>
        <w:tc>
          <w:tcPr>
            <w:tcW w:w="1037" w:type="dxa"/>
            <w:shd w:val="clear" w:color="auto" w:fill="C6EFCE"/>
            <w:noWrap/>
          </w:tcPr>
          <w:p w14:paraId="34F82A75" w14:textId="77777777" w:rsidR="00FA7C11" w:rsidRDefault="00D84965">
            <w:pPr>
              <w:pStyle w:val="P68B1DB1-Normal66"/>
              <w:spacing w:after="200" w:line="276" w:lineRule="auto"/>
              <w:jc w:val="center"/>
              <w:rPr>
                <w:noProof/>
              </w:rPr>
            </w:pPr>
            <w:r>
              <w:rPr>
                <w:noProof/>
              </w:rPr>
              <w:t>Î1 </w:t>
            </w:r>
          </w:p>
        </w:tc>
        <w:tc>
          <w:tcPr>
            <w:tcW w:w="844" w:type="dxa"/>
            <w:shd w:val="clear" w:color="auto" w:fill="C6EFCE"/>
            <w:noWrap/>
          </w:tcPr>
          <w:p w14:paraId="2F81A22C" w14:textId="77777777" w:rsidR="00FA7C11" w:rsidRDefault="00D84965">
            <w:pPr>
              <w:pStyle w:val="P68B1DB1-Normal66"/>
              <w:spacing w:after="200" w:line="276" w:lineRule="auto"/>
              <w:jc w:val="center"/>
              <w:rPr>
                <w:noProof/>
              </w:rPr>
            </w:pPr>
            <w:r>
              <w:rPr>
                <w:noProof/>
              </w:rPr>
              <w:t>2024 </w:t>
            </w:r>
          </w:p>
        </w:tc>
        <w:tc>
          <w:tcPr>
            <w:tcW w:w="3282" w:type="dxa"/>
            <w:shd w:val="clear" w:color="auto" w:fill="C6EFCE"/>
            <w:noWrap/>
          </w:tcPr>
          <w:p w14:paraId="1B373965" w14:textId="2F04CC4B" w:rsidR="00FA7C11" w:rsidRDefault="00D84965">
            <w:pPr>
              <w:pStyle w:val="P68B1DB1-Normal66"/>
              <w:spacing w:after="200" w:line="276" w:lineRule="auto"/>
              <w:rPr>
                <w:noProof/>
              </w:rPr>
            </w:pPr>
            <w:r>
              <w:rPr>
                <w:noProof/>
              </w:rPr>
              <w:t>Manual publicat privind: </w:t>
            </w:r>
            <w:r>
              <w:rPr>
                <w:noProof/>
              </w:rPr>
              <w:br/>
              <w:t xml:space="preserve">— Aplicarea recomandărilor OCDE privind guvernanța corporativă în cadrul acționariatului majoritar de către unitățile administrației publice locale și regionale. </w:t>
            </w:r>
            <w:r>
              <w:rPr>
                <w:noProof/>
              </w:rPr>
              <w:br/>
              <w:t>— Introducerea și punerea în aplicare a unei funcții de conformitate în toate entitățile juridice obligate să o instituie. Importanța punerii în aplicare a politicilor anticorupție, a introducerii unui cod de etică și a unei funcții de conformitate mai bine stabilite, pentru a confirma că întreprinderea pune în aplicare cu atenție prevenirea comportamentului neetic, precum și o cultură organizațională care încurajează comportamentul etic și conformitatea. </w:t>
            </w:r>
          </w:p>
        </w:tc>
      </w:tr>
      <w:tr w:rsidR="00FA7C11" w14:paraId="33EE4599" w14:textId="77777777">
        <w:trPr>
          <w:trHeight w:val="283"/>
        </w:trPr>
        <w:tc>
          <w:tcPr>
            <w:tcW w:w="968" w:type="dxa"/>
            <w:shd w:val="clear" w:color="auto" w:fill="C6EFCE"/>
            <w:noWrap/>
          </w:tcPr>
          <w:p w14:paraId="40FD1B70" w14:textId="77777777" w:rsidR="00FA7C11" w:rsidRDefault="00D84965">
            <w:pPr>
              <w:pStyle w:val="P68B1DB1-Normal66"/>
              <w:spacing w:after="200" w:line="276" w:lineRule="auto"/>
              <w:jc w:val="center"/>
              <w:rPr>
                <w:noProof/>
              </w:rPr>
            </w:pPr>
            <w:r>
              <w:rPr>
                <w:noProof/>
              </w:rPr>
              <w:t>245 </w:t>
            </w:r>
          </w:p>
        </w:tc>
        <w:tc>
          <w:tcPr>
            <w:tcW w:w="1108" w:type="dxa"/>
            <w:shd w:val="clear" w:color="auto" w:fill="C6EFCE"/>
            <w:noWrap/>
          </w:tcPr>
          <w:p w14:paraId="49127CD7" w14:textId="77777777" w:rsidR="00FA7C11" w:rsidRDefault="00D84965">
            <w:pPr>
              <w:pStyle w:val="P68B1DB1-Normal66"/>
              <w:spacing w:after="200" w:line="276" w:lineRule="auto"/>
              <w:jc w:val="center"/>
              <w:rPr>
                <w:noProof/>
              </w:rPr>
            </w:pPr>
            <w:r>
              <w:rPr>
                <w:noProof/>
              </w:rPr>
              <w:t>C2.6. R3 </w:t>
            </w:r>
          </w:p>
        </w:tc>
        <w:tc>
          <w:tcPr>
            <w:tcW w:w="1120" w:type="dxa"/>
            <w:shd w:val="clear" w:color="auto" w:fill="C6EFCE"/>
            <w:noWrap/>
          </w:tcPr>
          <w:p w14:paraId="654C262F" w14:textId="77777777" w:rsidR="00FA7C11" w:rsidRDefault="00D84965">
            <w:pPr>
              <w:pStyle w:val="P68B1DB1-Normal66"/>
              <w:spacing w:after="200" w:line="276" w:lineRule="auto"/>
              <w:jc w:val="center"/>
              <w:rPr>
                <w:noProof/>
              </w:rPr>
            </w:pPr>
            <w:r>
              <w:rPr>
                <w:noProof/>
              </w:rPr>
              <w:t>M </w:t>
            </w:r>
          </w:p>
        </w:tc>
        <w:tc>
          <w:tcPr>
            <w:tcW w:w="1649" w:type="dxa"/>
            <w:shd w:val="clear" w:color="auto" w:fill="C6EFCE"/>
            <w:noWrap/>
          </w:tcPr>
          <w:p w14:paraId="3561D05C" w14:textId="2B0B992C" w:rsidR="00FA7C11" w:rsidRDefault="00D84965">
            <w:pPr>
              <w:pStyle w:val="P68B1DB1-Normal66"/>
              <w:spacing w:after="200" w:line="276" w:lineRule="auto"/>
              <w:rPr>
                <w:noProof/>
              </w:rPr>
            </w:pPr>
            <w:r>
              <w:rPr>
                <w:noProof/>
              </w:rPr>
              <w:t>Evaluarea efectelor punerii în aplicare a Programului anticorupție 2021-2022 pentru societățile deținute în proporție majoritară de administrația locală și de unitățile administrației regionale </w:t>
            </w:r>
          </w:p>
        </w:tc>
        <w:tc>
          <w:tcPr>
            <w:tcW w:w="2172" w:type="dxa"/>
            <w:shd w:val="clear" w:color="auto" w:fill="C6EFCE"/>
            <w:noWrap/>
          </w:tcPr>
          <w:p w14:paraId="048339DC" w14:textId="54C838B5" w:rsidR="00FA7C11" w:rsidRDefault="00D84965">
            <w:pPr>
              <w:pStyle w:val="P68B1DB1-Normal66"/>
              <w:spacing w:after="200" w:line="276" w:lineRule="auto"/>
              <w:rPr>
                <w:noProof/>
              </w:rPr>
            </w:pPr>
            <w:r>
              <w:rPr>
                <w:noProof/>
              </w:rPr>
              <w:t xml:space="preserve">Publicarea raportului de evaluare a impactului </w:t>
            </w:r>
          </w:p>
        </w:tc>
        <w:tc>
          <w:tcPr>
            <w:tcW w:w="1141" w:type="dxa"/>
            <w:shd w:val="clear" w:color="auto" w:fill="C6EFCE"/>
            <w:noWrap/>
          </w:tcPr>
          <w:p w14:paraId="394F57A2" w14:textId="11A10C1A" w:rsidR="00FA7C11" w:rsidRDefault="00D84965">
            <w:pPr>
              <w:pStyle w:val="P68B1DB1-Normal66"/>
              <w:spacing w:after="200" w:line="276" w:lineRule="auto"/>
              <w:jc w:val="center"/>
              <w:rPr>
                <w:noProof/>
              </w:rPr>
            </w:pPr>
            <w:r>
              <w:rPr>
                <w:noProof/>
              </w:rPr>
              <w:t xml:space="preserve"> </w:t>
            </w:r>
          </w:p>
        </w:tc>
        <w:tc>
          <w:tcPr>
            <w:tcW w:w="807" w:type="dxa"/>
            <w:shd w:val="clear" w:color="auto" w:fill="C6EFCE"/>
            <w:noWrap/>
          </w:tcPr>
          <w:p w14:paraId="33E1A9DC" w14:textId="18EA89D7" w:rsidR="00FA7C11" w:rsidRDefault="00D84965">
            <w:pPr>
              <w:pStyle w:val="P68B1DB1-Normal66"/>
              <w:spacing w:after="200" w:line="276" w:lineRule="auto"/>
              <w:jc w:val="center"/>
              <w:rPr>
                <w:noProof/>
              </w:rPr>
            </w:pPr>
            <w:r>
              <w:rPr>
                <w:noProof/>
              </w:rPr>
              <w:t xml:space="preserve"> </w:t>
            </w:r>
          </w:p>
        </w:tc>
        <w:tc>
          <w:tcPr>
            <w:tcW w:w="831" w:type="dxa"/>
            <w:shd w:val="clear" w:color="auto" w:fill="C6EFCE"/>
            <w:noWrap/>
          </w:tcPr>
          <w:p w14:paraId="733E25C0" w14:textId="13DA9338" w:rsidR="00FA7C11" w:rsidRDefault="00D84965">
            <w:pPr>
              <w:pStyle w:val="P68B1DB1-Normal66"/>
              <w:spacing w:after="200" w:line="276" w:lineRule="auto"/>
              <w:jc w:val="center"/>
              <w:rPr>
                <w:noProof/>
              </w:rPr>
            </w:pPr>
            <w:r>
              <w:rPr>
                <w:noProof/>
              </w:rPr>
              <w:t xml:space="preserve"> </w:t>
            </w:r>
          </w:p>
        </w:tc>
        <w:tc>
          <w:tcPr>
            <w:tcW w:w="1037" w:type="dxa"/>
            <w:shd w:val="clear" w:color="auto" w:fill="C6EFCE"/>
            <w:noWrap/>
          </w:tcPr>
          <w:p w14:paraId="323B25DF" w14:textId="77777777" w:rsidR="00FA7C11" w:rsidRDefault="00D84965">
            <w:pPr>
              <w:pStyle w:val="P68B1DB1-Normal66"/>
              <w:spacing w:after="200" w:line="276" w:lineRule="auto"/>
              <w:jc w:val="center"/>
              <w:rPr>
                <w:noProof/>
              </w:rPr>
            </w:pPr>
            <w:r>
              <w:rPr>
                <w:noProof/>
              </w:rPr>
              <w:t>Î2 </w:t>
            </w:r>
          </w:p>
        </w:tc>
        <w:tc>
          <w:tcPr>
            <w:tcW w:w="844" w:type="dxa"/>
            <w:shd w:val="clear" w:color="auto" w:fill="C6EFCE"/>
            <w:noWrap/>
          </w:tcPr>
          <w:p w14:paraId="22289DE0" w14:textId="77777777" w:rsidR="00FA7C11" w:rsidRDefault="00D84965">
            <w:pPr>
              <w:pStyle w:val="P68B1DB1-Normal66"/>
              <w:spacing w:after="200" w:line="276" w:lineRule="auto"/>
              <w:jc w:val="center"/>
              <w:rPr>
                <w:noProof/>
              </w:rPr>
            </w:pPr>
            <w:r>
              <w:rPr>
                <w:noProof/>
              </w:rPr>
              <w:t>2026 </w:t>
            </w:r>
          </w:p>
        </w:tc>
        <w:tc>
          <w:tcPr>
            <w:tcW w:w="3282" w:type="dxa"/>
            <w:shd w:val="clear" w:color="auto" w:fill="C6EFCE"/>
            <w:noWrap/>
          </w:tcPr>
          <w:p w14:paraId="0B3D6741" w14:textId="77777777" w:rsidR="00FA7C11" w:rsidRDefault="00D84965">
            <w:pPr>
              <w:pStyle w:val="P68B1DB1-Normal66"/>
              <w:spacing w:after="200" w:line="276" w:lineRule="auto"/>
              <w:rPr>
                <w:noProof/>
                <w:color w:val="000000" w:themeColor="text1"/>
              </w:rPr>
            </w:pPr>
            <w:r>
              <w:rPr>
                <w:noProof/>
              </w:rPr>
              <w:t xml:space="preserve">Se publică raportul privind efectele punerii în aplicare. Metodologia elaborată în raport permite evaluarea efectelor punerii în aplicare a Programului anticorupție asupra societăților deținute de unitățile administrației publice locale și regionale, precum și a viitoarelor astfel de documente. </w:t>
            </w:r>
          </w:p>
          <w:p w14:paraId="4DAEEA06" w14:textId="417A5EDD" w:rsidR="00FA7C11" w:rsidRDefault="00D84965">
            <w:pPr>
              <w:pStyle w:val="P68B1DB1-Normal70"/>
              <w:spacing w:after="200" w:line="276" w:lineRule="auto"/>
              <w:rPr>
                <w:noProof/>
                <w:color w:val="000000" w:themeColor="text1"/>
              </w:rPr>
            </w:pPr>
            <w:r>
              <w:rPr>
                <w:noProof/>
                <w:color w:val="000000" w:themeColor="text1"/>
              </w:rPr>
              <w:t xml:space="preserve">Se organizează 5 cursuri de formare privind aplicarea Manualului pentru punerea în aplicare a recomandărilor OCDE privind guvernanța corporativă în întreprinderile deținute în majoritate de unități locale și regionale și importanța consolidării integrității și a combaterii corupției. </w:t>
            </w:r>
          </w:p>
          <w:p w14:paraId="4A54D7F9" w14:textId="77777777" w:rsidR="00FA7C11" w:rsidRDefault="00D84965">
            <w:pPr>
              <w:pStyle w:val="P68B1DB1-Normal66"/>
              <w:spacing w:after="200" w:line="276" w:lineRule="auto"/>
              <w:rPr>
                <w:noProof/>
              </w:rPr>
            </w:pPr>
            <w:r>
              <w:rPr>
                <w:noProof/>
              </w:rPr>
              <w:t>Se organizează 3 mese rotunde și 1 conferință privind guvernanța corporativă în societățile deținute în proporție majoritară de unitățile administrației publice locale și regionale.</w:t>
            </w:r>
          </w:p>
        </w:tc>
      </w:tr>
      <w:tr w:rsidR="00FA7C11" w14:paraId="50F8CA40" w14:textId="77777777">
        <w:trPr>
          <w:trHeight w:val="283"/>
        </w:trPr>
        <w:tc>
          <w:tcPr>
            <w:tcW w:w="968" w:type="dxa"/>
            <w:shd w:val="clear" w:color="auto" w:fill="C6EFCE"/>
            <w:noWrap/>
          </w:tcPr>
          <w:p w14:paraId="56F0C5C3" w14:textId="77777777" w:rsidR="00FA7C11" w:rsidRDefault="00D84965">
            <w:pPr>
              <w:pStyle w:val="P68B1DB1-Normal66"/>
              <w:spacing w:after="200" w:line="276" w:lineRule="auto"/>
              <w:jc w:val="center"/>
              <w:rPr>
                <w:noProof/>
              </w:rPr>
            </w:pPr>
            <w:r>
              <w:rPr>
                <w:noProof/>
              </w:rPr>
              <w:t>246 </w:t>
            </w:r>
          </w:p>
        </w:tc>
        <w:tc>
          <w:tcPr>
            <w:tcW w:w="1108" w:type="dxa"/>
            <w:shd w:val="clear" w:color="auto" w:fill="C6EFCE"/>
            <w:noWrap/>
          </w:tcPr>
          <w:p w14:paraId="6DDFB91B" w14:textId="77777777" w:rsidR="00FA7C11" w:rsidRDefault="00D84965">
            <w:pPr>
              <w:pStyle w:val="P68B1DB1-Normal66"/>
              <w:spacing w:after="200" w:line="276" w:lineRule="auto"/>
              <w:jc w:val="center"/>
              <w:rPr>
                <w:noProof/>
              </w:rPr>
            </w:pPr>
            <w:r>
              <w:rPr>
                <w:noProof/>
              </w:rPr>
              <w:t>C2.6. R4 </w:t>
            </w:r>
          </w:p>
        </w:tc>
        <w:tc>
          <w:tcPr>
            <w:tcW w:w="1120" w:type="dxa"/>
            <w:shd w:val="clear" w:color="auto" w:fill="C6EFCE"/>
            <w:noWrap/>
          </w:tcPr>
          <w:p w14:paraId="3ACD36E5" w14:textId="77777777" w:rsidR="00FA7C11" w:rsidRDefault="00D84965">
            <w:pPr>
              <w:pStyle w:val="P68B1DB1-Normal66"/>
              <w:spacing w:after="200" w:line="276" w:lineRule="auto"/>
              <w:jc w:val="center"/>
              <w:rPr>
                <w:noProof/>
              </w:rPr>
            </w:pPr>
            <w:r>
              <w:rPr>
                <w:noProof/>
              </w:rPr>
              <w:t>T </w:t>
            </w:r>
          </w:p>
        </w:tc>
        <w:tc>
          <w:tcPr>
            <w:tcW w:w="1649" w:type="dxa"/>
            <w:shd w:val="clear" w:color="auto" w:fill="C6EFCE"/>
            <w:noWrap/>
          </w:tcPr>
          <w:p w14:paraId="6DBFD338" w14:textId="77777777" w:rsidR="00FA7C11" w:rsidRDefault="00D84965">
            <w:pPr>
              <w:pStyle w:val="P68B1DB1-Normal66"/>
              <w:spacing w:after="200" w:line="276" w:lineRule="auto"/>
              <w:rPr>
                <w:noProof/>
              </w:rPr>
            </w:pPr>
            <w:r>
              <w:rPr>
                <w:noProof/>
              </w:rPr>
              <w:t>Formarea judecătorilor cu privire la gestionarea riscurilor de corupție în domeniul achizițiilor publice și al protecției judiciare în cadrul procedurilor de achiziții publice </w:t>
            </w:r>
          </w:p>
        </w:tc>
        <w:tc>
          <w:tcPr>
            <w:tcW w:w="2172" w:type="dxa"/>
            <w:shd w:val="clear" w:color="auto" w:fill="C6EFCE"/>
            <w:noWrap/>
          </w:tcPr>
          <w:p w14:paraId="7316F7FD" w14:textId="347E1A4F" w:rsidR="00FA7C11" w:rsidRDefault="00D84965">
            <w:pPr>
              <w:pStyle w:val="P68B1DB1-Normal66"/>
              <w:spacing w:after="200" w:line="276" w:lineRule="auto"/>
              <w:rPr>
                <w:noProof/>
              </w:rPr>
            </w:pPr>
            <w:r>
              <w:rPr>
                <w:noProof/>
              </w:rPr>
              <w:t xml:space="preserve"> </w:t>
            </w:r>
          </w:p>
        </w:tc>
        <w:tc>
          <w:tcPr>
            <w:tcW w:w="1141" w:type="dxa"/>
            <w:shd w:val="clear" w:color="auto" w:fill="C6EFCE"/>
            <w:noWrap/>
          </w:tcPr>
          <w:p w14:paraId="53348D6F" w14:textId="77777777" w:rsidR="00FA7C11" w:rsidRDefault="00D84965">
            <w:pPr>
              <w:pStyle w:val="P68B1DB1-Normal66"/>
              <w:spacing w:after="200" w:line="276" w:lineRule="auto"/>
              <w:jc w:val="center"/>
              <w:rPr>
                <w:noProof/>
              </w:rPr>
            </w:pPr>
            <w:r>
              <w:rPr>
                <w:noProof/>
              </w:rPr>
              <w:t>Număr </w:t>
            </w:r>
          </w:p>
        </w:tc>
        <w:tc>
          <w:tcPr>
            <w:tcW w:w="807" w:type="dxa"/>
            <w:shd w:val="clear" w:color="auto" w:fill="C6EFCE"/>
            <w:noWrap/>
          </w:tcPr>
          <w:p w14:paraId="2222C427" w14:textId="77777777" w:rsidR="00FA7C11" w:rsidRDefault="00D84965">
            <w:pPr>
              <w:pStyle w:val="P68B1DB1-Normal66"/>
              <w:spacing w:after="200" w:line="276" w:lineRule="auto"/>
              <w:jc w:val="center"/>
              <w:rPr>
                <w:noProof/>
              </w:rPr>
            </w:pPr>
            <w:r>
              <w:rPr>
                <w:noProof/>
              </w:rPr>
              <w:t>0 </w:t>
            </w:r>
          </w:p>
        </w:tc>
        <w:tc>
          <w:tcPr>
            <w:tcW w:w="831" w:type="dxa"/>
            <w:shd w:val="clear" w:color="auto" w:fill="C6EFCE"/>
            <w:noWrap/>
          </w:tcPr>
          <w:p w14:paraId="2ACBC411" w14:textId="77777777" w:rsidR="00FA7C11" w:rsidRDefault="00D84965">
            <w:pPr>
              <w:pStyle w:val="P68B1DB1-Normal66"/>
              <w:spacing w:after="200" w:line="276" w:lineRule="auto"/>
              <w:jc w:val="center"/>
              <w:rPr>
                <w:noProof/>
              </w:rPr>
            </w:pPr>
            <w:r>
              <w:rPr>
                <w:noProof/>
              </w:rPr>
              <w:t>20 </w:t>
            </w:r>
          </w:p>
        </w:tc>
        <w:tc>
          <w:tcPr>
            <w:tcW w:w="1037" w:type="dxa"/>
            <w:shd w:val="clear" w:color="auto" w:fill="C6EFCE"/>
            <w:noWrap/>
          </w:tcPr>
          <w:p w14:paraId="662D86FB" w14:textId="77777777" w:rsidR="00FA7C11" w:rsidRDefault="00D84965">
            <w:pPr>
              <w:pStyle w:val="P68B1DB1-Normal66"/>
              <w:spacing w:after="200" w:line="276" w:lineRule="auto"/>
              <w:jc w:val="center"/>
              <w:rPr>
                <w:noProof/>
              </w:rPr>
            </w:pPr>
            <w:r>
              <w:rPr>
                <w:noProof/>
              </w:rPr>
              <w:t>Î2 </w:t>
            </w:r>
          </w:p>
        </w:tc>
        <w:tc>
          <w:tcPr>
            <w:tcW w:w="844" w:type="dxa"/>
            <w:shd w:val="clear" w:color="auto" w:fill="C6EFCE"/>
            <w:noWrap/>
          </w:tcPr>
          <w:p w14:paraId="7BA03DF8" w14:textId="77777777" w:rsidR="00FA7C11" w:rsidRDefault="00D84965">
            <w:pPr>
              <w:pStyle w:val="P68B1DB1-Normal66"/>
              <w:spacing w:after="200" w:line="276" w:lineRule="auto"/>
              <w:jc w:val="center"/>
              <w:rPr>
                <w:noProof/>
              </w:rPr>
            </w:pPr>
            <w:r>
              <w:rPr>
                <w:noProof/>
              </w:rPr>
              <w:t>2024 </w:t>
            </w:r>
          </w:p>
        </w:tc>
        <w:tc>
          <w:tcPr>
            <w:tcW w:w="3282" w:type="dxa"/>
            <w:shd w:val="clear" w:color="auto" w:fill="C6EFCE"/>
            <w:noWrap/>
          </w:tcPr>
          <w:p w14:paraId="4D765DC9" w14:textId="5106B57B" w:rsidR="00FA7C11" w:rsidRDefault="00D84965">
            <w:pPr>
              <w:pStyle w:val="P68B1DB1-Normal66"/>
              <w:spacing w:after="200" w:line="276" w:lineRule="auto"/>
              <w:rPr>
                <w:noProof/>
              </w:rPr>
            </w:pPr>
            <w:r>
              <w:rPr>
                <w:noProof/>
              </w:rPr>
              <w:t xml:space="preserve">20 judecători ai Înaltei Curți Administrative a Croației sunt formați în domeniul gestionării riscurilor de corupție în domeniul achizițiilor publice și al căilor de atac judiciare în cadrul procedurilor de achiziții publice. În acest scop, Academia Judiciară organizează 2 ateliere ca parte a dezvoltării profesionale pe tot parcursul vieții a funcționarilor judiciari, sub forma formării clasice/periodice și a învățării la distanță, în funcție de circumstanțe, pentru a consolida și mai mult protecția judiciară în cadrul procedurilor de achiziții publice. </w:t>
            </w:r>
          </w:p>
        </w:tc>
      </w:tr>
    </w:tbl>
    <w:p w14:paraId="7373D81B" w14:textId="77777777" w:rsidR="00FA7C11" w:rsidRDefault="00FA7C11">
      <w:pPr>
        <w:rPr>
          <w:noProof/>
        </w:rPr>
        <w:sectPr w:rsidR="00FA7C11" w:rsidSect="00FA29B2">
          <w:headerReference w:type="even" r:id="rId236"/>
          <w:headerReference w:type="default" r:id="rId237"/>
          <w:footerReference w:type="even" r:id="rId238"/>
          <w:footerReference w:type="default" r:id="rId239"/>
          <w:headerReference w:type="first" r:id="rId240"/>
          <w:footerReference w:type="first" r:id="rId241"/>
          <w:pgSz w:w="16839" w:h="11907" w:orient="landscape"/>
          <w:pgMar w:top="1134" w:right="1134" w:bottom="1134" w:left="1134" w:header="567" w:footer="567" w:gutter="0"/>
          <w:cols w:space="708"/>
          <w:docGrid w:linePitch="360"/>
        </w:sectPr>
      </w:pPr>
    </w:p>
    <w:p w14:paraId="3E36825D" w14:textId="77777777" w:rsidR="00FA7C11" w:rsidRDefault="00D84965">
      <w:pPr>
        <w:pStyle w:val="P68B1DB1-Normal91"/>
        <w:keepNext/>
        <w:tabs>
          <w:tab w:val="left" w:pos="850"/>
        </w:tabs>
        <w:spacing w:before="360" w:line="240" w:lineRule="auto"/>
        <w:ind w:left="850" w:hanging="850"/>
        <w:jc w:val="both"/>
        <w:outlineLvl w:val="0"/>
        <w:rPr>
          <w:noProof/>
        </w:rPr>
      </w:pPr>
      <w:r>
        <w:rPr>
          <w:noProof/>
        </w:rPr>
        <w:t>M. COMPONENTA 2.7: CONSOLIDAREA CADRULUI BUGETAR</w:t>
      </w:r>
    </w:p>
    <w:p w14:paraId="4C33FBAE" w14:textId="77777777" w:rsidR="00FA7C11" w:rsidRDefault="00D84965">
      <w:pPr>
        <w:pStyle w:val="P68B1DB1-Normal94"/>
        <w:spacing w:line="240" w:lineRule="auto"/>
        <w:jc w:val="both"/>
        <w:rPr>
          <w:noProof/>
        </w:rPr>
      </w:pPr>
      <w:r>
        <w:rPr>
          <w:noProof/>
        </w:rPr>
        <w:t>Această componentă vizează consolidarea în continuare a cadrului fiscal și a disciplinei fiscale prin intermediul noii legi a bugetului pentru a îmbunătăți procesele bugetare, a îmbunătăți raportarea financiară și a dezvolta un model de proiecție macroeconomică.</w:t>
      </w:r>
    </w:p>
    <w:p w14:paraId="014B3082" w14:textId="77777777" w:rsidR="00FA7C11" w:rsidRDefault="00D84965">
      <w:pPr>
        <w:pStyle w:val="P68B1DB1-Normal94"/>
        <w:spacing w:line="240" w:lineRule="auto"/>
        <w:jc w:val="both"/>
        <w:rPr>
          <w:noProof/>
        </w:rPr>
      </w:pPr>
      <w:r>
        <w:rPr>
          <w:noProof/>
        </w:rPr>
        <w:t xml:space="preserve">Consolidarea cadrului bugetar este unul dintre elementele-cheie pentru îmbunătățirea sustenabilității finanțelor publice, care, la rândul său, contribuie la stabilitatea macroeconomică și creează condițiile prealabile pentru creșterea ratelor potențiale de creștere, precum și pentru redresarea și reziliența economică. </w:t>
      </w:r>
    </w:p>
    <w:p w14:paraId="3C90AD17" w14:textId="77777777" w:rsidR="00FA7C11" w:rsidRDefault="00D84965">
      <w:pPr>
        <w:pStyle w:val="P68B1DB1-Normal94"/>
        <w:spacing w:after="200" w:line="276" w:lineRule="auto"/>
        <w:jc w:val="both"/>
        <w:rPr>
          <w:noProof/>
          <w:szCs w:val="24"/>
        </w:rPr>
      </w:pPr>
      <w:r>
        <w:rPr>
          <w:noProof/>
        </w:rPr>
        <w:t>Componenta abordează recomandările specifice fiecărei țări privind consolidarea cadrului bugetar (recomandările specifice fiecărei țări 1 și 2019) și continuarea politicilor bugetare menite să asigure poziții bugetare prudente pe termen mediu (recomandările specifice fiecărei țări 1 și 2020).</w:t>
      </w:r>
    </w:p>
    <w:p w14:paraId="154D183C" w14:textId="77777777" w:rsidR="00FA7C11" w:rsidRDefault="00FA7C11">
      <w:pPr>
        <w:spacing w:line="240" w:lineRule="auto"/>
        <w:jc w:val="both"/>
        <w:rPr>
          <w:rFonts w:ascii="Times New Roman" w:eastAsia="Calibri" w:hAnsi="Times New Roman" w:cs="Times New Roman"/>
          <w:noProof/>
          <w:sz w:val="24"/>
          <w:szCs w:val="24"/>
        </w:rPr>
      </w:pPr>
    </w:p>
    <w:p w14:paraId="49A782AC" w14:textId="77777777" w:rsidR="00FA7C11" w:rsidRDefault="00D84965">
      <w:pPr>
        <w:pStyle w:val="P68B1DB1-Normal92"/>
        <w:keepNext/>
        <w:tabs>
          <w:tab w:val="num" w:pos="850"/>
        </w:tabs>
        <w:spacing w:before="40" w:after="0"/>
        <w:ind w:left="851"/>
        <w:jc w:val="both"/>
        <w:outlineLvl w:val="1"/>
        <w:rPr>
          <w:noProof/>
        </w:rPr>
      </w:pPr>
      <w:r>
        <w:rPr>
          <w:noProof/>
        </w:rPr>
        <w:t xml:space="preserve">M.1. </w:t>
      </w:r>
      <w:r>
        <w:rPr>
          <w:noProof/>
        </w:rPr>
        <w:tab/>
        <w:t>Descrierea reformelor și a investițiilor pentru sprijinul financiar nerambursabil</w:t>
      </w:r>
    </w:p>
    <w:p w14:paraId="3A4CE843" w14:textId="77777777" w:rsidR="00FA7C11" w:rsidRDefault="00FA7C11">
      <w:pPr>
        <w:keepNext/>
        <w:spacing w:line="240" w:lineRule="auto"/>
        <w:ind w:left="850"/>
        <w:jc w:val="both"/>
        <w:rPr>
          <w:rFonts w:ascii="Times New Roman" w:eastAsia="Calibri" w:hAnsi="Times New Roman" w:cs="Times New Roman"/>
          <w:noProof/>
          <w:sz w:val="24"/>
          <w:szCs w:val="28"/>
          <w:u w:val="single"/>
        </w:rPr>
      </w:pPr>
    </w:p>
    <w:p w14:paraId="33771BC5" w14:textId="77777777" w:rsidR="00FA7C11" w:rsidRDefault="00D84965">
      <w:pPr>
        <w:pStyle w:val="P68B1DB1-Normal94"/>
        <w:keepNext/>
        <w:spacing w:line="240" w:lineRule="auto"/>
        <w:ind w:left="850"/>
        <w:jc w:val="both"/>
        <w:rPr>
          <w:noProof/>
        </w:rPr>
      </w:pPr>
      <w:r>
        <w:rPr>
          <w:noProof/>
          <w:u w:val="single"/>
        </w:rPr>
        <w:t>Reforma C2.7 R1 – Îmbunătățirea planificării bugetare și a</w:t>
      </w:r>
      <w:r>
        <w:rPr>
          <w:noProof/>
        </w:rPr>
        <w:t xml:space="preserve"> raportării </w:t>
      </w:r>
    </w:p>
    <w:p w14:paraId="7B712EB4" w14:textId="77777777" w:rsidR="00FA7C11" w:rsidRDefault="00D84965">
      <w:pPr>
        <w:pStyle w:val="P68B1DB1-Normal124"/>
        <w:spacing w:line="240" w:lineRule="auto"/>
        <w:jc w:val="both"/>
        <w:rPr>
          <w:rFonts w:eastAsia="Calibri"/>
          <w:noProof/>
        </w:rPr>
      </w:pPr>
      <w:r>
        <w:rPr>
          <w:noProof/>
        </w:rPr>
        <w:t>Obiectivul acestei reforme este de a modifica Legea bugetului pentru a îmbunătăți procesele bugetare și documentele bugetare conexe, precum și raportarea financiară, asigurând astfel dezvoltarea unui sistem eficient și durabil de gestionare a finanțelor publice.</w:t>
      </w:r>
    </w:p>
    <w:p w14:paraId="40199CF0" w14:textId="77777777" w:rsidR="00FA7C11" w:rsidRDefault="00D84965">
      <w:pPr>
        <w:pStyle w:val="P68B1DB1-Normal125"/>
        <w:spacing w:line="240" w:lineRule="auto"/>
        <w:jc w:val="both"/>
        <w:rPr>
          <w:noProof/>
        </w:rPr>
      </w:pPr>
      <w:r>
        <w:rPr>
          <w:noProof/>
        </w:rPr>
        <w:t>Reforma include:</w:t>
      </w:r>
    </w:p>
    <w:p w14:paraId="31A66C3E" w14:textId="77777777" w:rsidR="00FA7C11" w:rsidRDefault="00D84965">
      <w:pPr>
        <w:pStyle w:val="P68B1DB1-Normal126"/>
        <w:numPr>
          <w:ilvl w:val="0"/>
          <w:numId w:val="67"/>
        </w:numPr>
        <w:spacing w:before="120" w:after="120" w:line="240" w:lineRule="auto"/>
        <w:jc w:val="both"/>
        <w:rPr>
          <w:rFonts w:eastAsia="Calibri"/>
          <w:noProof/>
        </w:rPr>
      </w:pPr>
      <w:r>
        <w:rPr>
          <w:noProof/>
        </w:rPr>
        <w:t>Elaborarea și adoptarea noii legi a bugetului.</w:t>
      </w:r>
    </w:p>
    <w:p w14:paraId="5893642F" w14:textId="77777777" w:rsidR="00FA7C11" w:rsidRDefault="00D84965">
      <w:pPr>
        <w:pStyle w:val="P68B1DB1-Normal126"/>
        <w:numPr>
          <w:ilvl w:val="0"/>
          <w:numId w:val="67"/>
        </w:numPr>
        <w:spacing w:before="120" w:after="120" w:line="240" w:lineRule="auto"/>
        <w:jc w:val="both"/>
        <w:rPr>
          <w:rFonts w:eastAsia="Calibri"/>
          <w:noProof/>
        </w:rPr>
      </w:pPr>
      <w:r>
        <w:rPr>
          <w:noProof/>
        </w:rPr>
        <w:t>Asigurarea funcționalității depline a Comisiei pentru politica fiscală, prin numirea unui nou președinte pe baza unui apel public.</w:t>
      </w:r>
    </w:p>
    <w:p w14:paraId="29773ADD" w14:textId="77777777" w:rsidR="00FA7C11" w:rsidRDefault="00D84965">
      <w:pPr>
        <w:pStyle w:val="P68B1DB1-Normal125"/>
        <w:spacing w:line="240" w:lineRule="auto"/>
        <w:jc w:val="both"/>
        <w:rPr>
          <w:rFonts w:eastAsia="Calibri"/>
          <w:noProof/>
        </w:rPr>
      </w:pPr>
      <w:r>
        <w:rPr>
          <w:noProof/>
        </w:rPr>
        <w:t>Reforma se finalizează până la 31 martie 2022.</w:t>
      </w:r>
    </w:p>
    <w:p w14:paraId="5E19F751" w14:textId="77777777" w:rsidR="00FA7C11" w:rsidRDefault="00D84965">
      <w:pPr>
        <w:pStyle w:val="P68B1DB1-Normal127"/>
        <w:keepNext/>
        <w:spacing w:line="240" w:lineRule="auto"/>
        <w:ind w:left="850"/>
        <w:jc w:val="both"/>
        <w:rPr>
          <w:noProof/>
        </w:rPr>
      </w:pPr>
      <w:r>
        <w:rPr>
          <w:noProof/>
        </w:rPr>
        <w:t>Reforma C2.7 R2 – Dezvoltarea unui model macroeconomic structural al economiei croate</w:t>
      </w:r>
    </w:p>
    <w:p w14:paraId="2531BFC2" w14:textId="36F0ACE8" w:rsidR="00FA7C11" w:rsidRDefault="00D84965">
      <w:pPr>
        <w:pStyle w:val="P68B1DB1-Normal125"/>
        <w:spacing w:after="200" w:line="276" w:lineRule="auto"/>
        <w:jc w:val="both"/>
        <w:rPr>
          <w:rFonts w:eastAsia="Calibri"/>
          <w:noProof/>
          <w:szCs w:val="24"/>
        </w:rPr>
      </w:pPr>
      <w:r>
        <w:rPr>
          <w:noProof/>
        </w:rPr>
        <w:t>Scopul reformei este de a dezvolta un model macroeconomic structural al economiei croate, care să fie adecvat pentru elaborarea de previziuni macroeconomice pe termen mediu, simulând efectele politicilor economice și evaluările impactului șocurilor și, în cele din urmă, de a consolida capacitatea Ministerului Finanțelor de a pregăti previziuni bugetare.</w:t>
      </w:r>
    </w:p>
    <w:p w14:paraId="00964D72" w14:textId="77777777" w:rsidR="00FA7C11" w:rsidRDefault="00D84965">
      <w:pPr>
        <w:pStyle w:val="P68B1DB1-Normal124"/>
        <w:spacing w:line="240" w:lineRule="auto"/>
        <w:jc w:val="both"/>
        <w:rPr>
          <w:rFonts w:eastAsia="Calibri"/>
          <w:noProof/>
          <w:u w:val="single"/>
        </w:rPr>
      </w:pPr>
      <w:r>
        <w:rPr>
          <w:noProof/>
        </w:rPr>
        <w:t xml:space="preserve">Reforma se finalizează până la 30 septembrie 2022. </w:t>
      </w:r>
    </w:p>
    <w:p w14:paraId="2125CB55" w14:textId="77777777" w:rsidR="00FA7C11" w:rsidRDefault="00FA7C11">
      <w:pPr>
        <w:rPr>
          <w:noProof/>
        </w:rPr>
        <w:sectPr w:rsidR="00FA7C11" w:rsidSect="00FA29B2">
          <w:headerReference w:type="even" r:id="rId242"/>
          <w:headerReference w:type="default" r:id="rId243"/>
          <w:footerReference w:type="even" r:id="rId244"/>
          <w:footerReference w:type="default" r:id="rId245"/>
          <w:headerReference w:type="first" r:id="rId246"/>
          <w:footerReference w:type="first" r:id="rId247"/>
          <w:pgSz w:w="11907" w:h="16839"/>
          <w:pgMar w:top="1134" w:right="1134" w:bottom="1134" w:left="1134" w:header="567" w:footer="567" w:gutter="0"/>
          <w:cols w:space="708"/>
          <w:docGrid w:linePitch="360"/>
        </w:sectPr>
      </w:pPr>
    </w:p>
    <w:p w14:paraId="41F64935" w14:textId="77777777" w:rsidR="00FA7C11" w:rsidRDefault="00D84965">
      <w:pPr>
        <w:pStyle w:val="P68B1DB1-Normal57"/>
        <w:keepNext/>
        <w:tabs>
          <w:tab w:val="num" w:pos="850"/>
        </w:tabs>
        <w:spacing w:before="40" w:after="0"/>
        <w:ind w:left="851"/>
        <w:jc w:val="both"/>
        <w:outlineLvl w:val="1"/>
        <w:rPr>
          <w:noProof/>
        </w:rPr>
      </w:pPr>
      <w:r>
        <w:rPr>
          <w:noProof/>
        </w:rPr>
        <w:t xml:space="preserve">M.2. </w:t>
      </w:r>
      <w:r>
        <w:rPr>
          <w:noProof/>
        </w:rPr>
        <w:tab/>
        <w:t>Jaloane, ținte, indicatori și calendarul de monitorizare și implementare aplicabile sprijinului financiar nerambursabil</w:t>
      </w:r>
    </w:p>
    <w:p w14:paraId="2063469E" w14:textId="77777777" w:rsidR="00FA7C11" w:rsidRDefault="00FA7C11">
      <w:pPr>
        <w:keepNext/>
        <w:tabs>
          <w:tab w:val="num" w:pos="850"/>
        </w:tabs>
        <w:spacing w:before="40" w:after="0"/>
        <w:ind w:left="851"/>
        <w:jc w:val="both"/>
        <w:outlineLvl w:val="1"/>
        <w:rPr>
          <w:rFonts w:eastAsia="SimSun"/>
          <w:b/>
          <w:noProof/>
          <w:szCs w:val="24"/>
          <w:u w:val="single"/>
        </w:rPr>
      </w:pPr>
    </w:p>
    <w:tbl>
      <w:tblPr>
        <w:tblW w:w="14867" w:type="dxa"/>
        <w:jc w:val="center"/>
        <w:tblCellMar>
          <w:top w:w="28" w:type="dxa"/>
          <w:left w:w="28" w:type="dxa"/>
          <w:bottom w:w="28" w:type="dxa"/>
          <w:right w:w="28" w:type="dxa"/>
        </w:tblCellMar>
        <w:tblLook w:val="04A0" w:firstRow="1" w:lastRow="0" w:firstColumn="1" w:lastColumn="0" w:noHBand="0" w:noVBand="1"/>
      </w:tblPr>
      <w:tblGrid>
        <w:gridCol w:w="768"/>
        <w:gridCol w:w="850"/>
        <w:gridCol w:w="1345"/>
        <w:gridCol w:w="2171"/>
        <w:gridCol w:w="1951"/>
        <w:gridCol w:w="734"/>
        <w:gridCol w:w="826"/>
        <w:gridCol w:w="850"/>
        <w:gridCol w:w="919"/>
        <w:gridCol w:w="806"/>
        <w:gridCol w:w="4249"/>
      </w:tblGrid>
      <w:tr w:rsidR="00FA7C11" w14:paraId="6544993A" w14:textId="77777777">
        <w:trPr>
          <w:trHeight w:val="919"/>
          <w:tblHeader/>
          <w:jc w:val="center"/>
        </w:trPr>
        <w:tc>
          <w:tcPr>
            <w:tcW w:w="768"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B98DACA" w14:textId="77777777" w:rsidR="00FA7C11" w:rsidRDefault="00D84965">
            <w:pPr>
              <w:pStyle w:val="P68B1DB1-Normal58"/>
              <w:spacing w:after="0" w:line="276" w:lineRule="auto"/>
              <w:jc w:val="center"/>
              <w:rPr>
                <w:bCs/>
                <w:noProof/>
              </w:rPr>
            </w:pPr>
            <w:r>
              <w:rPr>
                <w:noProof/>
              </w:rPr>
              <w:t>Număr</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20E447C" w14:textId="77777777" w:rsidR="00FA7C11" w:rsidRDefault="00D84965">
            <w:pPr>
              <w:pStyle w:val="P68B1DB1-Normal58"/>
              <w:spacing w:after="0" w:line="276" w:lineRule="auto"/>
              <w:jc w:val="center"/>
              <w:rPr>
                <w:bCs/>
                <w:noProof/>
              </w:rPr>
            </w:pPr>
            <w:r>
              <w:rPr>
                <w:noProof/>
              </w:rPr>
              <w:t>Măsură</w:t>
            </w:r>
          </w:p>
        </w:tc>
        <w:tc>
          <w:tcPr>
            <w:tcW w:w="101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8661F5E" w14:textId="77777777" w:rsidR="00FA7C11" w:rsidRDefault="00D84965">
            <w:pPr>
              <w:pStyle w:val="P68B1DB1-Normal58"/>
              <w:spacing w:after="0" w:line="276" w:lineRule="auto"/>
              <w:jc w:val="center"/>
              <w:rPr>
                <w:bCs/>
                <w:noProof/>
              </w:rPr>
            </w:pPr>
            <w:r>
              <w:rPr>
                <w:noProof/>
              </w:rPr>
              <w:t>Etapă/Obiectiv</w:t>
            </w:r>
          </w:p>
        </w:tc>
        <w:tc>
          <w:tcPr>
            <w:tcW w:w="2171" w:type="dxa"/>
            <w:vMerge w:val="restart"/>
            <w:tcBorders>
              <w:top w:val="single" w:sz="4" w:space="0" w:color="auto"/>
              <w:left w:val="nil"/>
              <w:bottom w:val="single" w:sz="4" w:space="0" w:color="000000"/>
              <w:right w:val="single" w:sz="4" w:space="0" w:color="auto"/>
            </w:tcBorders>
            <w:shd w:val="clear" w:color="auto" w:fill="BDD7EE"/>
            <w:vAlign w:val="center"/>
            <w:hideMark/>
          </w:tcPr>
          <w:p w14:paraId="50CE1637" w14:textId="77777777" w:rsidR="00FA7C11" w:rsidRDefault="00D84965">
            <w:pPr>
              <w:pStyle w:val="P68B1DB1-Normal58"/>
              <w:spacing w:after="0" w:line="276" w:lineRule="auto"/>
              <w:jc w:val="center"/>
              <w:rPr>
                <w:bCs/>
                <w:noProof/>
              </w:rPr>
            </w:pPr>
            <w:r>
              <w:rPr>
                <w:noProof/>
              </w:rPr>
              <w:t>Nume</w:t>
            </w:r>
          </w:p>
        </w:tc>
        <w:tc>
          <w:tcPr>
            <w:tcW w:w="195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D37173F"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410" w:type="dxa"/>
            <w:gridSpan w:val="3"/>
            <w:tcBorders>
              <w:top w:val="single" w:sz="4" w:space="0" w:color="auto"/>
              <w:left w:val="nil"/>
              <w:bottom w:val="single" w:sz="4" w:space="0" w:color="auto"/>
              <w:right w:val="single" w:sz="4" w:space="0" w:color="auto"/>
            </w:tcBorders>
            <w:shd w:val="clear" w:color="auto" w:fill="BDD7EE"/>
            <w:vAlign w:val="center"/>
            <w:hideMark/>
          </w:tcPr>
          <w:p w14:paraId="15838882"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451" w:type="dxa"/>
            <w:gridSpan w:val="2"/>
            <w:tcBorders>
              <w:top w:val="single" w:sz="4" w:space="0" w:color="auto"/>
              <w:left w:val="nil"/>
              <w:bottom w:val="single" w:sz="4" w:space="0" w:color="auto"/>
              <w:right w:val="single" w:sz="4" w:space="0" w:color="auto"/>
            </w:tcBorders>
            <w:shd w:val="clear" w:color="auto" w:fill="BDD7EE"/>
            <w:vAlign w:val="center"/>
            <w:hideMark/>
          </w:tcPr>
          <w:p w14:paraId="721894AD" w14:textId="77777777" w:rsidR="00FA7C11" w:rsidRDefault="00D84965">
            <w:pPr>
              <w:pStyle w:val="P68B1DB1-Normal58"/>
              <w:spacing w:after="0" w:line="276" w:lineRule="auto"/>
              <w:jc w:val="center"/>
              <w:rPr>
                <w:bCs/>
                <w:noProof/>
              </w:rPr>
            </w:pPr>
            <w:r>
              <w:rPr>
                <w:noProof/>
              </w:rPr>
              <w:t xml:space="preserve">Timp </w:t>
            </w:r>
          </w:p>
        </w:tc>
        <w:tc>
          <w:tcPr>
            <w:tcW w:w="42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0CAC8E"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48F5F9F7" w14:textId="77777777">
        <w:trPr>
          <w:trHeight w:val="508"/>
          <w:tblHeader/>
          <w:jc w:val="center"/>
        </w:trPr>
        <w:tc>
          <w:tcPr>
            <w:tcW w:w="768" w:type="dxa"/>
            <w:vMerge/>
            <w:tcBorders>
              <w:top w:val="single" w:sz="4" w:space="0" w:color="auto"/>
              <w:left w:val="single" w:sz="4" w:space="0" w:color="auto"/>
              <w:bottom w:val="single" w:sz="4" w:space="0" w:color="000000"/>
              <w:right w:val="single" w:sz="4" w:space="0" w:color="auto"/>
            </w:tcBorders>
            <w:hideMark/>
          </w:tcPr>
          <w:p w14:paraId="13B73784"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850" w:type="dxa"/>
            <w:vMerge/>
            <w:tcBorders>
              <w:top w:val="single" w:sz="4" w:space="0" w:color="auto"/>
              <w:left w:val="single" w:sz="4" w:space="0" w:color="auto"/>
              <w:bottom w:val="single" w:sz="4" w:space="0" w:color="000000"/>
              <w:right w:val="single" w:sz="4" w:space="0" w:color="auto"/>
            </w:tcBorders>
            <w:hideMark/>
          </w:tcPr>
          <w:p w14:paraId="76D97693"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17" w:type="dxa"/>
            <w:vMerge/>
            <w:tcBorders>
              <w:top w:val="single" w:sz="4" w:space="0" w:color="auto"/>
              <w:left w:val="single" w:sz="4" w:space="0" w:color="auto"/>
              <w:bottom w:val="single" w:sz="4" w:space="0" w:color="000000"/>
              <w:right w:val="single" w:sz="4" w:space="0" w:color="auto"/>
            </w:tcBorders>
            <w:hideMark/>
          </w:tcPr>
          <w:p w14:paraId="0FA6EB61"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171" w:type="dxa"/>
            <w:vMerge/>
            <w:tcBorders>
              <w:top w:val="single" w:sz="4" w:space="0" w:color="auto"/>
              <w:left w:val="nil"/>
              <w:bottom w:val="single" w:sz="4" w:space="0" w:color="000000"/>
              <w:right w:val="single" w:sz="4" w:space="0" w:color="auto"/>
            </w:tcBorders>
            <w:hideMark/>
          </w:tcPr>
          <w:p w14:paraId="11A09307" w14:textId="77777777" w:rsidR="00FA7C11" w:rsidRDefault="00FA7C11">
            <w:pPr>
              <w:spacing w:after="0" w:line="276" w:lineRule="auto"/>
              <w:rPr>
                <w:rFonts w:ascii="Times New Roman" w:eastAsia="Times New Roman" w:hAnsi="Times New Roman" w:cs="Times New Roman"/>
                <w:b/>
                <w:noProof/>
                <w:sz w:val="20"/>
                <w:szCs w:val="20"/>
              </w:rPr>
            </w:pPr>
          </w:p>
        </w:tc>
        <w:tc>
          <w:tcPr>
            <w:tcW w:w="1951" w:type="dxa"/>
            <w:vMerge/>
            <w:tcBorders>
              <w:top w:val="single" w:sz="4" w:space="0" w:color="auto"/>
              <w:left w:val="single" w:sz="4" w:space="0" w:color="auto"/>
              <w:bottom w:val="single" w:sz="4" w:space="0" w:color="000000"/>
              <w:right w:val="single" w:sz="4" w:space="0" w:color="auto"/>
            </w:tcBorders>
            <w:hideMark/>
          </w:tcPr>
          <w:p w14:paraId="58351C27" w14:textId="77777777" w:rsidR="00FA7C11" w:rsidRDefault="00FA7C11">
            <w:pPr>
              <w:spacing w:after="0" w:line="276" w:lineRule="auto"/>
              <w:rPr>
                <w:rFonts w:ascii="Times New Roman" w:eastAsia="Times New Roman" w:hAnsi="Times New Roman" w:cs="Times New Roman"/>
                <w:b/>
                <w:noProof/>
                <w:sz w:val="20"/>
                <w:szCs w:val="20"/>
              </w:rPr>
            </w:pPr>
          </w:p>
        </w:tc>
        <w:tc>
          <w:tcPr>
            <w:tcW w:w="734" w:type="dxa"/>
            <w:tcBorders>
              <w:top w:val="nil"/>
              <w:left w:val="nil"/>
              <w:bottom w:val="single" w:sz="4" w:space="0" w:color="auto"/>
              <w:right w:val="single" w:sz="4" w:space="0" w:color="auto"/>
            </w:tcBorders>
            <w:shd w:val="clear" w:color="auto" w:fill="BDD7EE"/>
            <w:vAlign w:val="center"/>
            <w:hideMark/>
          </w:tcPr>
          <w:p w14:paraId="0885EF3F" w14:textId="77777777" w:rsidR="00FA7C11" w:rsidRDefault="00D84965">
            <w:pPr>
              <w:pStyle w:val="P68B1DB1-Normal58"/>
              <w:spacing w:after="0" w:line="276" w:lineRule="auto"/>
              <w:jc w:val="center"/>
              <w:rPr>
                <w:bCs/>
                <w:noProof/>
              </w:rPr>
            </w:pPr>
            <w:r>
              <w:rPr>
                <w:noProof/>
              </w:rPr>
              <w:t>Unitate</w:t>
            </w:r>
          </w:p>
        </w:tc>
        <w:tc>
          <w:tcPr>
            <w:tcW w:w="826" w:type="dxa"/>
            <w:tcBorders>
              <w:top w:val="nil"/>
              <w:left w:val="nil"/>
              <w:bottom w:val="single" w:sz="4" w:space="0" w:color="auto"/>
              <w:right w:val="single" w:sz="4" w:space="0" w:color="auto"/>
            </w:tcBorders>
            <w:shd w:val="clear" w:color="auto" w:fill="BDD7EE"/>
            <w:vAlign w:val="center"/>
            <w:hideMark/>
          </w:tcPr>
          <w:p w14:paraId="1537E6A8" w14:textId="77777777" w:rsidR="00FA7C11" w:rsidRDefault="00D84965">
            <w:pPr>
              <w:pStyle w:val="P68B1DB1-Normal58"/>
              <w:spacing w:after="0" w:line="276" w:lineRule="auto"/>
              <w:jc w:val="center"/>
              <w:rPr>
                <w:bCs/>
                <w:noProof/>
              </w:rPr>
            </w:pPr>
            <w:r>
              <w:rPr>
                <w:noProof/>
              </w:rPr>
              <w:t>Situația de referință</w:t>
            </w:r>
          </w:p>
        </w:tc>
        <w:tc>
          <w:tcPr>
            <w:tcW w:w="850" w:type="dxa"/>
            <w:tcBorders>
              <w:top w:val="nil"/>
              <w:left w:val="nil"/>
              <w:bottom w:val="single" w:sz="4" w:space="0" w:color="auto"/>
              <w:right w:val="single" w:sz="4" w:space="0" w:color="auto"/>
            </w:tcBorders>
            <w:shd w:val="clear" w:color="auto" w:fill="BDD7EE"/>
            <w:vAlign w:val="center"/>
            <w:hideMark/>
          </w:tcPr>
          <w:p w14:paraId="1C98794D" w14:textId="77777777" w:rsidR="00FA7C11" w:rsidRDefault="00D84965">
            <w:pPr>
              <w:pStyle w:val="P68B1DB1-Normal58"/>
              <w:spacing w:after="0" w:line="276" w:lineRule="auto"/>
              <w:jc w:val="center"/>
              <w:rPr>
                <w:bCs/>
                <w:noProof/>
              </w:rPr>
            </w:pPr>
            <w:r>
              <w:rPr>
                <w:noProof/>
              </w:rPr>
              <w:t>Obiectiv</w:t>
            </w:r>
          </w:p>
        </w:tc>
        <w:tc>
          <w:tcPr>
            <w:tcW w:w="645" w:type="dxa"/>
            <w:tcBorders>
              <w:top w:val="nil"/>
              <w:left w:val="nil"/>
              <w:bottom w:val="single" w:sz="4" w:space="0" w:color="auto"/>
              <w:right w:val="single" w:sz="4" w:space="0" w:color="auto"/>
            </w:tcBorders>
            <w:shd w:val="clear" w:color="auto" w:fill="BDD7EE"/>
            <w:vAlign w:val="center"/>
            <w:hideMark/>
          </w:tcPr>
          <w:p w14:paraId="20723047" w14:textId="77777777" w:rsidR="00FA7C11" w:rsidRDefault="00D84965">
            <w:pPr>
              <w:pStyle w:val="P68B1DB1-Normal58"/>
              <w:spacing w:after="0" w:line="276" w:lineRule="auto"/>
              <w:jc w:val="center"/>
              <w:rPr>
                <w:bCs/>
                <w:noProof/>
              </w:rPr>
            </w:pPr>
            <w:r>
              <w:rPr>
                <w:noProof/>
              </w:rPr>
              <w:t>Trimestru</w:t>
            </w:r>
          </w:p>
        </w:tc>
        <w:tc>
          <w:tcPr>
            <w:tcW w:w="806" w:type="dxa"/>
            <w:tcBorders>
              <w:top w:val="nil"/>
              <w:left w:val="nil"/>
              <w:bottom w:val="single" w:sz="4" w:space="0" w:color="auto"/>
              <w:right w:val="single" w:sz="4" w:space="0" w:color="auto"/>
            </w:tcBorders>
            <w:shd w:val="clear" w:color="auto" w:fill="BDD7EE"/>
            <w:vAlign w:val="center"/>
            <w:hideMark/>
          </w:tcPr>
          <w:p w14:paraId="57B2DB33" w14:textId="77777777" w:rsidR="00FA7C11" w:rsidRDefault="00D84965">
            <w:pPr>
              <w:pStyle w:val="P68B1DB1-Normal58"/>
              <w:spacing w:after="0" w:line="276" w:lineRule="auto"/>
              <w:jc w:val="center"/>
              <w:rPr>
                <w:bCs/>
                <w:noProof/>
              </w:rPr>
            </w:pPr>
            <w:r>
              <w:rPr>
                <w:noProof/>
              </w:rPr>
              <w:t>Anul</w:t>
            </w:r>
          </w:p>
        </w:tc>
        <w:tc>
          <w:tcPr>
            <w:tcW w:w="4249" w:type="dxa"/>
            <w:vMerge/>
            <w:tcBorders>
              <w:top w:val="single" w:sz="4" w:space="0" w:color="auto"/>
              <w:left w:val="single" w:sz="4" w:space="0" w:color="auto"/>
              <w:bottom w:val="single" w:sz="4" w:space="0" w:color="auto"/>
              <w:right w:val="single" w:sz="4" w:space="0" w:color="auto"/>
            </w:tcBorders>
            <w:hideMark/>
          </w:tcPr>
          <w:p w14:paraId="03901157"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73A22F5B"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1F835DE3" w14:textId="77777777" w:rsidR="00FA7C11" w:rsidRDefault="00D84965">
            <w:pPr>
              <w:pStyle w:val="P68B1DB1-Normal66"/>
              <w:spacing w:after="0" w:line="276" w:lineRule="auto"/>
              <w:jc w:val="center"/>
              <w:rPr>
                <w:noProof/>
              </w:rPr>
            </w:pPr>
            <w:r>
              <w:rPr>
                <w:noProof/>
              </w:rPr>
              <w:t>247</w:t>
            </w:r>
          </w:p>
        </w:tc>
        <w:tc>
          <w:tcPr>
            <w:tcW w:w="850" w:type="dxa"/>
            <w:tcBorders>
              <w:top w:val="nil"/>
              <w:left w:val="nil"/>
              <w:bottom w:val="single" w:sz="4" w:space="0" w:color="auto"/>
              <w:right w:val="single" w:sz="4" w:space="0" w:color="auto"/>
            </w:tcBorders>
            <w:shd w:val="clear" w:color="auto" w:fill="C6EFCE"/>
            <w:noWrap/>
          </w:tcPr>
          <w:p w14:paraId="0DB58930" w14:textId="77777777" w:rsidR="00FA7C11" w:rsidRDefault="00D84965">
            <w:pPr>
              <w:pStyle w:val="P68B1DB1-Normal66"/>
              <w:spacing w:after="200" w:line="276" w:lineRule="auto"/>
              <w:jc w:val="center"/>
              <w:rPr>
                <w:noProof/>
              </w:rPr>
            </w:pPr>
            <w:r>
              <w:rPr>
                <w:noProof/>
              </w:rPr>
              <w:t>C2.7. R1</w:t>
            </w:r>
          </w:p>
        </w:tc>
        <w:tc>
          <w:tcPr>
            <w:tcW w:w="1017" w:type="dxa"/>
            <w:tcBorders>
              <w:top w:val="nil"/>
              <w:left w:val="nil"/>
              <w:bottom w:val="single" w:sz="4" w:space="0" w:color="auto"/>
              <w:right w:val="single" w:sz="4" w:space="0" w:color="auto"/>
            </w:tcBorders>
            <w:shd w:val="clear" w:color="auto" w:fill="C6EFCE"/>
            <w:noWrap/>
          </w:tcPr>
          <w:p w14:paraId="085CA100" w14:textId="77777777" w:rsidR="00FA7C11" w:rsidRDefault="00D84965">
            <w:pPr>
              <w:pStyle w:val="P68B1DB1-Normal66"/>
              <w:spacing w:after="200" w:line="276" w:lineRule="auto"/>
              <w:jc w:val="center"/>
              <w:rPr>
                <w:noProof/>
              </w:rPr>
            </w:pPr>
            <w:r>
              <w:rPr>
                <w:noProof/>
              </w:rPr>
              <w:t>M</w:t>
            </w:r>
          </w:p>
        </w:tc>
        <w:tc>
          <w:tcPr>
            <w:tcW w:w="2171" w:type="dxa"/>
            <w:tcBorders>
              <w:top w:val="nil"/>
              <w:left w:val="nil"/>
              <w:bottom w:val="single" w:sz="4" w:space="0" w:color="auto"/>
              <w:right w:val="single" w:sz="4" w:space="0" w:color="auto"/>
            </w:tcBorders>
            <w:shd w:val="clear" w:color="auto" w:fill="C6EFCE"/>
            <w:noWrap/>
          </w:tcPr>
          <w:p w14:paraId="64993711" w14:textId="77777777" w:rsidR="00FA7C11" w:rsidRDefault="00D84965">
            <w:pPr>
              <w:pStyle w:val="P68B1DB1-Normal66"/>
              <w:spacing w:after="200" w:line="276" w:lineRule="auto"/>
              <w:rPr>
                <w:noProof/>
              </w:rPr>
            </w:pPr>
            <w:r>
              <w:rPr>
                <w:noProof/>
              </w:rPr>
              <w:t>Consolidarea cadrului fiscal prin adoptarea legii bugetului în vederea îmbunătățirii proceselor bugetare</w:t>
            </w:r>
          </w:p>
        </w:tc>
        <w:tc>
          <w:tcPr>
            <w:tcW w:w="1951" w:type="dxa"/>
            <w:tcBorders>
              <w:top w:val="nil"/>
              <w:left w:val="nil"/>
              <w:bottom w:val="single" w:sz="4" w:space="0" w:color="auto"/>
              <w:right w:val="single" w:sz="4" w:space="0" w:color="auto"/>
            </w:tcBorders>
            <w:shd w:val="clear" w:color="auto" w:fill="C6EFCE"/>
            <w:noWrap/>
          </w:tcPr>
          <w:p w14:paraId="64E27E9C" w14:textId="77777777" w:rsidR="00FA7C11" w:rsidRDefault="00D84965">
            <w:pPr>
              <w:pStyle w:val="P68B1DB1-Normal66"/>
              <w:spacing w:after="200" w:line="276" w:lineRule="auto"/>
              <w:rPr>
                <w:noProof/>
              </w:rPr>
            </w:pPr>
            <w:r>
              <w:rPr>
                <w:noProof/>
              </w:rPr>
              <w:t xml:space="preserve">Intrarea în vigoare a noii legi a bugetului </w:t>
            </w:r>
          </w:p>
        </w:tc>
        <w:tc>
          <w:tcPr>
            <w:tcW w:w="734" w:type="dxa"/>
            <w:tcBorders>
              <w:top w:val="nil"/>
              <w:left w:val="nil"/>
              <w:bottom w:val="single" w:sz="4" w:space="0" w:color="auto"/>
              <w:right w:val="single" w:sz="4" w:space="0" w:color="auto"/>
            </w:tcBorders>
            <w:shd w:val="clear" w:color="auto" w:fill="C6EFCE"/>
            <w:noWrap/>
          </w:tcPr>
          <w:p w14:paraId="6020150A" w14:textId="77777777" w:rsidR="00FA7C11" w:rsidRDefault="00D84965">
            <w:pPr>
              <w:pStyle w:val="P68B1DB1-Normal66"/>
              <w:spacing w:after="200" w:line="276" w:lineRule="auto"/>
              <w:jc w:val="center"/>
              <w:rPr>
                <w:noProof/>
              </w:rPr>
            </w:pPr>
            <w:r>
              <w:rPr>
                <w:noProof/>
              </w:rPr>
              <w:t> </w:t>
            </w:r>
          </w:p>
        </w:tc>
        <w:tc>
          <w:tcPr>
            <w:tcW w:w="826" w:type="dxa"/>
            <w:tcBorders>
              <w:top w:val="nil"/>
              <w:left w:val="nil"/>
              <w:bottom w:val="single" w:sz="4" w:space="0" w:color="auto"/>
              <w:right w:val="single" w:sz="4" w:space="0" w:color="auto"/>
            </w:tcBorders>
            <w:shd w:val="clear" w:color="auto" w:fill="C6EFCE"/>
            <w:noWrap/>
          </w:tcPr>
          <w:p w14:paraId="49D40FD3" w14:textId="77777777" w:rsidR="00FA7C11" w:rsidRDefault="00D84965">
            <w:pPr>
              <w:pStyle w:val="P68B1DB1-Normal66"/>
              <w:spacing w:after="200"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677000C5" w14:textId="77777777" w:rsidR="00FA7C11" w:rsidRDefault="00D84965">
            <w:pPr>
              <w:pStyle w:val="P68B1DB1-Normal66"/>
              <w:spacing w:after="200" w:line="276" w:lineRule="auto"/>
              <w:jc w:val="center"/>
              <w:rPr>
                <w:noProof/>
              </w:rPr>
            </w:pPr>
            <w:r>
              <w:rPr>
                <w:noProof/>
              </w:rPr>
              <w:t> </w:t>
            </w:r>
          </w:p>
        </w:tc>
        <w:tc>
          <w:tcPr>
            <w:tcW w:w="645" w:type="dxa"/>
            <w:tcBorders>
              <w:top w:val="nil"/>
              <w:left w:val="nil"/>
              <w:bottom w:val="single" w:sz="4" w:space="0" w:color="auto"/>
              <w:right w:val="single" w:sz="4" w:space="0" w:color="auto"/>
            </w:tcBorders>
            <w:shd w:val="clear" w:color="auto" w:fill="C6EFCE"/>
            <w:noWrap/>
          </w:tcPr>
          <w:p w14:paraId="4EDA6DB7" w14:textId="77777777" w:rsidR="00FA7C11" w:rsidRDefault="00D84965">
            <w:pPr>
              <w:pStyle w:val="P68B1DB1-Normal66"/>
              <w:spacing w:after="200" w:line="276" w:lineRule="auto"/>
              <w:jc w:val="center"/>
              <w:rPr>
                <w:noProof/>
              </w:rPr>
            </w:pPr>
            <w:r>
              <w:rPr>
                <w:noProof/>
              </w:rPr>
              <w:t>Î4</w:t>
            </w:r>
          </w:p>
        </w:tc>
        <w:tc>
          <w:tcPr>
            <w:tcW w:w="806" w:type="dxa"/>
            <w:tcBorders>
              <w:top w:val="nil"/>
              <w:left w:val="nil"/>
              <w:bottom w:val="single" w:sz="4" w:space="0" w:color="auto"/>
              <w:right w:val="single" w:sz="4" w:space="0" w:color="auto"/>
            </w:tcBorders>
            <w:shd w:val="clear" w:color="auto" w:fill="C6EFCE"/>
            <w:noWrap/>
          </w:tcPr>
          <w:p w14:paraId="2CAFF1C1" w14:textId="77777777" w:rsidR="00FA7C11" w:rsidRDefault="00D84965">
            <w:pPr>
              <w:pStyle w:val="P68B1DB1-Normal66"/>
              <w:spacing w:after="200" w:line="276" w:lineRule="auto"/>
              <w:jc w:val="center"/>
              <w:rPr>
                <w:noProof/>
              </w:rPr>
            </w:pPr>
            <w:r>
              <w:rPr>
                <w:noProof/>
              </w:rPr>
              <w:t>2021</w:t>
            </w:r>
          </w:p>
        </w:tc>
        <w:tc>
          <w:tcPr>
            <w:tcW w:w="4249" w:type="dxa"/>
            <w:tcBorders>
              <w:top w:val="nil"/>
              <w:left w:val="nil"/>
              <w:bottom w:val="single" w:sz="4" w:space="0" w:color="auto"/>
              <w:right w:val="single" w:sz="4" w:space="0" w:color="auto"/>
            </w:tcBorders>
            <w:shd w:val="clear" w:color="auto" w:fill="C6EFCE"/>
            <w:noWrap/>
          </w:tcPr>
          <w:p w14:paraId="74DA3EA5" w14:textId="77777777" w:rsidR="00FA7C11" w:rsidRDefault="00D84965">
            <w:pPr>
              <w:pStyle w:val="P68B1DB1-Normal66"/>
              <w:spacing w:after="200" w:line="276" w:lineRule="auto"/>
              <w:rPr>
                <w:noProof/>
              </w:rPr>
            </w:pPr>
            <w:r>
              <w:rPr>
                <w:noProof/>
              </w:rPr>
              <w:t>Noua lege a bugetului stabilește procesul și documentele-cheie pentru pregătirea, adoptarea și execuția bugetului de stat, bugetul unităților administrației publice locale și regionale și al utilizatorilor extrabugetari ai acestora, cadrul de împrumut pentru unitățile administrației publice locale și regionale, monitorizarea utilizării veniturilor proprii și alocate, previzionarea și controlul cheltuielilor viitoare, inclusiv al angajamentelor multianuale, permițând, de asemenea, o mai mare flexibilitate în punerea în aplicare a proiectelor UE și asigurând conformitatea cu Directiva 2011/85 a Consiliului pentru a institui un sistem mai eficient de raportare financiară și statistică.</w:t>
            </w:r>
          </w:p>
        </w:tc>
      </w:tr>
      <w:tr w:rsidR="00FA7C11" w14:paraId="2DB76179"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2FFFBA29" w14:textId="77777777" w:rsidR="00FA7C11" w:rsidRDefault="00D84965">
            <w:pPr>
              <w:pStyle w:val="P68B1DB1-Normal66"/>
              <w:spacing w:after="200" w:line="276" w:lineRule="auto"/>
              <w:jc w:val="center"/>
              <w:rPr>
                <w:noProof/>
              </w:rPr>
            </w:pPr>
            <w:r>
              <w:rPr>
                <w:noProof/>
              </w:rPr>
              <w:t>248</w:t>
            </w:r>
          </w:p>
        </w:tc>
        <w:tc>
          <w:tcPr>
            <w:tcW w:w="850" w:type="dxa"/>
            <w:tcBorders>
              <w:top w:val="nil"/>
              <w:left w:val="nil"/>
              <w:bottom w:val="single" w:sz="4" w:space="0" w:color="auto"/>
              <w:right w:val="single" w:sz="4" w:space="0" w:color="auto"/>
            </w:tcBorders>
            <w:shd w:val="clear" w:color="auto" w:fill="C6EFCE"/>
            <w:noWrap/>
          </w:tcPr>
          <w:p w14:paraId="0095735E" w14:textId="77777777" w:rsidR="00FA7C11" w:rsidRDefault="00D84965">
            <w:pPr>
              <w:pStyle w:val="P68B1DB1-Normal66"/>
              <w:spacing w:after="200" w:line="276" w:lineRule="auto"/>
              <w:jc w:val="center"/>
              <w:rPr>
                <w:noProof/>
              </w:rPr>
            </w:pPr>
            <w:r>
              <w:rPr>
                <w:noProof/>
              </w:rPr>
              <w:t>C2.7. R1</w:t>
            </w:r>
          </w:p>
        </w:tc>
        <w:tc>
          <w:tcPr>
            <w:tcW w:w="1017" w:type="dxa"/>
            <w:tcBorders>
              <w:top w:val="nil"/>
              <w:left w:val="nil"/>
              <w:bottom w:val="single" w:sz="4" w:space="0" w:color="auto"/>
              <w:right w:val="single" w:sz="4" w:space="0" w:color="auto"/>
            </w:tcBorders>
            <w:shd w:val="clear" w:color="auto" w:fill="C6EFCE"/>
            <w:noWrap/>
          </w:tcPr>
          <w:p w14:paraId="007780AB" w14:textId="77777777" w:rsidR="00FA7C11" w:rsidRDefault="00D84965">
            <w:pPr>
              <w:pStyle w:val="P68B1DB1-Normal66"/>
              <w:spacing w:after="200" w:line="276" w:lineRule="auto"/>
              <w:jc w:val="center"/>
              <w:rPr>
                <w:noProof/>
              </w:rPr>
            </w:pPr>
            <w:r>
              <w:rPr>
                <w:noProof/>
              </w:rPr>
              <w:t>M</w:t>
            </w:r>
          </w:p>
        </w:tc>
        <w:tc>
          <w:tcPr>
            <w:tcW w:w="2171" w:type="dxa"/>
            <w:tcBorders>
              <w:top w:val="nil"/>
              <w:left w:val="nil"/>
              <w:bottom w:val="single" w:sz="4" w:space="0" w:color="auto"/>
              <w:right w:val="single" w:sz="4" w:space="0" w:color="auto"/>
            </w:tcBorders>
            <w:shd w:val="clear" w:color="auto" w:fill="C6EFCE"/>
            <w:noWrap/>
          </w:tcPr>
          <w:p w14:paraId="038FD759" w14:textId="77777777" w:rsidR="00FA7C11" w:rsidRDefault="00D84965">
            <w:pPr>
              <w:pStyle w:val="P68B1DB1-Normal66"/>
              <w:spacing w:after="200" w:line="276" w:lineRule="auto"/>
              <w:rPr>
                <w:noProof/>
              </w:rPr>
            </w:pPr>
            <w:r>
              <w:rPr>
                <w:noProof/>
              </w:rPr>
              <w:t>Asigurarea funcționalității depline a Comisiei pentru politica bugetară.</w:t>
            </w:r>
          </w:p>
        </w:tc>
        <w:tc>
          <w:tcPr>
            <w:tcW w:w="1951" w:type="dxa"/>
            <w:tcBorders>
              <w:top w:val="nil"/>
              <w:left w:val="nil"/>
              <w:bottom w:val="single" w:sz="4" w:space="0" w:color="auto"/>
              <w:right w:val="single" w:sz="4" w:space="0" w:color="auto"/>
            </w:tcBorders>
            <w:shd w:val="clear" w:color="auto" w:fill="C6EFCE"/>
            <w:noWrap/>
          </w:tcPr>
          <w:p w14:paraId="40452B49" w14:textId="2E9D58C9" w:rsidR="00FA7C11" w:rsidRDefault="00D84965">
            <w:pPr>
              <w:pStyle w:val="P68B1DB1-Normal66"/>
              <w:spacing w:after="200" w:line="276" w:lineRule="auto"/>
              <w:rPr>
                <w:noProof/>
              </w:rPr>
            </w:pPr>
            <w:r>
              <w:rPr>
                <w:noProof/>
              </w:rPr>
              <w:t xml:space="preserve">Numirea de către Parlament a noului președinte al Comisiei pentru politică bugetară </w:t>
            </w:r>
          </w:p>
        </w:tc>
        <w:tc>
          <w:tcPr>
            <w:tcW w:w="734" w:type="dxa"/>
            <w:tcBorders>
              <w:top w:val="nil"/>
              <w:left w:val="nil"/>
              <w:bottom w:val="single" w:sz="4" w:space="0" w:color="auto"/>
              <w:right w:val="single" w:sz="4" w:space="0" w:color="auto"/>
            </w:tcBorders>
            <w:shd w:val="clear" w:color="auto" w:fill="C6EFCE"/>
            <w:noWrap/>
          </w:tcPr>
          <w:p w14:paraId="389A78B1" w14:textId="77777777" w:rsidR="00FA7C11" w:rsidRDefault="00D84965">
            <w:pPr>
              <w:pStyle w:val="P68B1DB1-Normal66"/>
              <w:spacing w:after="200" w:line="276" w:lineRule="auto"/>
              <w:jc w:val="center"/>
              <w:rPr>
                <w:noProof/>
              </w:rPr>
            </w:pPr>
            <w:r>
              <w:rPr>
                <w:noProof/>
              </w:rPr>
              <w:t> </w:t>
            </w:r>
          </w:p>
        </w:tc>
        <w:tc>
          <w:tcPr>
            <w:tcW w:w="826" w:type="dxa"/>
            <w:tcBorders>
              <w:top w:val="nil"/>
              <w:left w:val="nil"/>
              <w:bottom w:val="single" w:sz="4" w:space="0" w:color="auto"/>
              <w:right w:val="single" w:sz="4" w:space="0" w:color="auto"/>
            </w:tcBorders>
            <w:shd w:val="clear" w:color="auto" w:fill="C6EFCE"/>
            <w:noWrap/>
          </w:tcPr>
          <w:p w14:paraId="1914F1A0" w14:textId="77777777" w:rsidR="00FA7C11" w:rsidRDefault="00D84965">
            <w:pPr>
              <w:pStyle w:val="P68B1DB1-Normal66"/>
              <w:spacing w:after="200"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53863A00" w14:textId="77777777" w:rsidR="00FA7C11" w:rsidRDefault="00D84965">
            <w:pPr>
              <w:pStyle w:val="P68B1DB1-Normal66"/>
              <w:spacing w:after="200" w:line="276" w:lineRule="auto"/>
              <w:jc w:val="center"/>
              <w:rPr>
                <w:noProof/>
              </w:rPr>
            </w:pPr>
            <w:r>
              <w:rPr>
                <w:noProof/>
              </w:rPr>
              <w:t> </w:t>
            </w:r>
          </w:p>
        </w:tc>
        <w:tc>
          <w:tcPr>
            <w:tcW w:w="645" w:type="dxa"/>
            <w:tcBorders>
              <w:top w:val="nil"/>
              <w:left w:val="nil"/>
              <w:bottom w:val="single" w:sz="4" w:space="0" w:color="auto"/>
              <w:right w:val="single" w:sz="4" w:space="0" w:color="auto"/>
            </w:tcBorders>
            <w:shd w:val="clear" w:color="auto" w:fill="C6EFCE"/>
            <w:noWrap/>
          </w:tcPr>
          <w:p w14:paraId="5F6BF8A6" w14:textId="77777777" w:rsidR="00FA7C11" w:rsidRDefault="00D84965">
            <w:pPr>
              <w:pStyle w:val="P68B1DB1-Normal66"/>
              <w:spacing w:after="200" w:line="276" w:lineRule="auto"/>
              <w:jc w:val="center"/>
              <w:rPr>
                <w:noProof/>
              </w:rPr>
            </w:pPr>
            <w:r>
              <w:rPr>
                <w:noProof/>
              </w:rPr>
              <w:t>Î4</w:t>
            </w:r>
          </w:p>
        </w:tc>
        <w:tc>
          <w:tcPr>
            <w:tcW w:w="806" w:type="dxa"/>
            <w:tcBorders>
              <w:top w:val="nil"/>
              <w:left w:val="nil"/>
              <w:bottom w:val="single" w:sz="4" w:space="0" w:color="auto"/>
              <w:right w:val="single" w:sz="4" w:space="0" w:color="auto"/>
            </w:tcBorders>
            <w:shd w:val="clear" w:color="auto" w:fill="C6EFCE"/>
            <w:noWrap/>
          </w:tcPr>
          <w:p w14:paraId="4C2EF2AA" w14:textId="77777777" w:rsidR="00FA7C11" w:rsidRDefault="00D84965">
            <w:pPr>
              <w:pStyle w:val="P68B1DB1-Normal66"/>
              <w:spacing w:after="200" w:line="276" w:lineRule="auto"/>
              <w:jc w:val="center"/>
              <w:rPr>
                <w:noProof/>
              </w:rPr>
            </w:pPr>
            <w:r>
              <w:rPr>
                <w:noProof/>
              </w:rPr>
              <w:t>2021</w:t>
            </w:r>
          </w:p>
        </w:tc>
        <w:tc>
          <w:tcPr>
            <w:tcW w:w="4249" w:type="dxa"/>
            <w:tcBorders>
              <w:top w:val="nil"/>
              <w:left w:val="nil"/>
              <w:bottom w:val="single" w:sz="4" w:space="0" w:color="auto"/>
              <w:right w:val="single" w:sz="4" w:space="0" w:color="auto"/>
            </w:tcBorders>
            <w:shd w:val="clear" w:color="auto" w:fill="C6EFCE"/>
            <w:noWrap/>
          </w:tcPr>
          <w:p w14:paraId="40202EFC" w14:textId="77777777" w:rsidR="00FA7C11" w:rsidRDefault="00D84965">
            <w:pPr>
              <w:pStyle w:val="P68B1DB1-Normal66"/>
              <w:spacing w:after="200" w:line="276" w:lineRule="auto"/>
              <w:rPr>
                <w:noProof/>
              </w:rPr>
            </w:pPr>
            <w:r>
              <w:rPr>
                <w:noProof/>
              </w:rPr>
              <w:t>Numirea unui nou președinte al Comisiei pentru politica bugetară asigură funcționalitatea deplină a Comisiei și punerea în aplicare a Legii privind răspunderea fiscală (OG 111/2018).</w:t>
            </w:r>
          </w:p>
        </w:tc>
      </w:tr>
      <w:tr w:rsidR="00FA7C11" w14:paraId="65753DFE"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6F233652" w14:textId="77777777" w:rsidR="00FA7C11" w:rsidRDefault="00D84965">
            <w:pPr>
              <w:pStyle w:val="P68B1DB1-Normal66"/>
              <w:spacing w:after="200" w:line="276" w:lineRule="auto"/>
              <w:jc w:val="center"/>
              <w:rPr>
                <w:noProof/>
              </w:rPr>
            </w:pPr>
            <w:r>
              <w:rPr>
                <w:noProof/>
              </w:rPr>
              <w:t>249</w:t>
            </w:r>
          </w:p>
        </w:tc>
        <w:tc>
          <w:tcPr>
            <w:tcW w:w="850" w:type="dxa"/>
            <w:tcBorders>
              <w:top w:val="nil"/>
              <w:left w:val="nil"/>
              <w:bottom w:val="single" w:sz="4" w:space="0" w:color="auto"/>
              <w:right w:val="single" w:sz="4" w:space="0" w:color="auto"/>
            </w:tcBorders>
            <w:shd w:val="clear" w:color="auto" w:fill="C6EFCE"/>
            <w:noWrap/>
          </w:tcPr>
          <w:p w14:paraId="34E7E00D" w14:textId="77777777" w:rsidR="00FA7C11" w:rsidRDefault="00D84965">
            <w:pPr>
              <w:pStyle w:val="P68B1DB1-Normal66"/>
              <w:spacing w:after="200" w:line="276" w:lineRule="auto"/>
              <w:jc w:val="center"/>
              <w:rPr>
                <w:noProof/>
              </w:rPr>
            </w:pPr>
            <w:r>
              <w:rPr>
                <w:noProof/>
              </w:rPr>
              <w:t>C2.7. R2</w:t>
            </w:r>
          </w:p>
        </w:tc>
        <w:tc>
          <w:tcPr>
            <w:tcW w:w="1017" w:type="dxa"/>
            <w:tcBorders>
              <w:top w:val="nil"/>
              <w:left w:val="nil"/>
              <w:bottom w:val="single" w:sz="4" w:space="0" w:color="auto"/>
              <w:right w:val="single" w:sz="4" w:space="0" w:color="auto"/>
            </w:tcBorders>
            <w:shd w:val="clear" w:color="auto" w:fill="C6EFCE"/>
            <w:noWrap/>
          </w:tcPr>
          <w:p w14:paraId="3E8B1ABB" w14:textId="77777777" w:rsidR="00FA7C11" w:rsidRDefault="00D84965">
            <w:pPr>
              <w:pStyle w:val="P68B1DB1-Normal66"/>
              <w:spacing w:after="200" w:line="276" w:lineRule="auto"/>
              <w:jc w:val="center"/>
              <w:rPr>
                <w:noProof/>
              </w:rPr>
            </w:pPr>
            <w:r>
              <w:rPr>
                <w:noProof/>
              </w:rPr>
              <w:t>M</w:t>
            </w:r>
          </w:p>
        </w:tc>
        <w:tc>
          <w:tcPr>
            <w:tcW w:w="2171" w:type="dxa"/>
            <w:tcBorders>
              <w:top w:val="nil"/>
              <w:left w:val="nil"/>
              <w:bottom w:val="single" w:sz="4" w:space="0" w:color="auto"/>
              <w:right w:val="single" w:sz="4" w:space="0" w:color="auto"/>
            </w:tcBorders>
            <w:shd w:val="clear" w:color="auto" w:fill="C6EFCE"/>
            <w:noWrap/>
          </w:tcPr>
          <w:p w14:paraId="798D40C3" w14:textId="77777777" w:rsidR="00FA7C11" w:rsidRDefault="00D84965">
            <w:pPr>
              <w:pStyle w:val="P68B1DB1-Normal66"/>
              <w:spacing w:after="200" w:line="276" w:lineRule="auto"/>
              <w:rPr>
                <w:noProof/>
              </w:rPr>
            </w:pPr>
            <w:r>
              <w:rPr>
                <w:noProof/>
              </w:rPr>
              <w:t>Dezvoltarea unui model macroeconomic structural al economiei croate pentru elaborarea de previziuni macroeconomice pe termen mediu, planificare bugetară</w:t>
            </w:r>
            <w:r>
              <w:rPr>
                <w:noProof/>
              </w:rPr>
              <w:br/>
              <w:t>și analize de politică economică</w:t>
            </w:r>
          </w:p>
        </w:tc>
        <w:tc>
          <w:tcPr>
            <w:tcW w:w="1951" w:type="dxa"/>
            <w:tcBorders>
              <w:top w:val="nil"/>
              <w:left w:val="nil"/>
              <w:bottom w:val="single" w:sz="4" w:space="0" w:color="auto"/>
              <w:right w:val="single" w:sz="4" w:space="0" w:color="auto"/>
            </w:tcBorders>
            <w:shd w:val="clear" w:color="auto" w:fill="C6EFCE"/>
            <w:noWrap/>
          </w:tcPr>
          <w:p w14:paraId="3AFA67F6" w14:textId="77777777" w:rsidR="00FA7C11" w:rsidRDefault="00D84965">
            <w:pPr>
              <w:pStyle w:val="P68B1DB1-Normal66"/>
              <w:spacing w:after="200" w:line="276" w:lineRule="auto"/>
              <w:rPr>
                <w:noProof/>
              </w:rPr>
            </w:pPr>
            <w:r>
              <w:rPr>
                <w:noProof/>
              </w:rPr>
              <w:t>Dezvoltarea și utilizarea unui model structural de proiecție macroeconomică a economiei croate pe deplin funcțional pentru a elabora proiecții care să stea la baza bugetului anual.</w:t>
            </w:r>
          </w:p>
        </w:tc>
        <w:tc>
          <w:tcPr>
            <w:tcW w:w="734" w:type="dxa"/>
            <w:tcBorders>
              <w:top w:val="nil"/>
              <w:left w:val="nil"/>
              <w:bottom w:val="single" w:sz="4" w:space="0" w:color="auto"/>
              <w:right w:val="single" w:sz="4" w:space="0" w:color="auto"/>
            </w:tcBorders>
            <w:shd w:val="clear" w:color="auto" w:fill="C6EFCE"/>
            <w:noWrap/>
          </w:tcPr>
          <w:p w14:paraId="33730A3B" w14:textId="77777777" w:rsidR="00FA7C11" w:rsidRDefault="00D84965">
            <w:pPr>
              <w:pStyle w:val="P68B1DB1-Normal66"/>
              <w:spacing w:after="200" w:line="276" w:lineRule="auto"/>
              <w:jc w:val="center"/>
              <w:rPr>
                <w:noProof/>
              </w:rPr>
            </w:pPr>
            <w:r>
              <w:rPr>
                <w:noProof/>
              </w:rPr>
              <w:t> </w:t>
            </w:r>
          </w:p>
        </w:tc>
        <w:tc>
          <w:tcPr>
            <w:tcW w:w="826" w:type="dxa"/>
            <w:tcBorders>
              <w:top w:val="nil"/>
              <w:left w:val="nil"/>
              <w:bottom w:val="single" w:sz="4" w:space="0" w:color="auto"/>
              <w:right w:val="single" w:sz="4" w:space="0" w:color="auto"/>
            </w:tcBorders>
            <w:shd w:val="clear" w:color="auto" w:fill="C6EFCE"/>
            <w:noWrap/>
          </w:tcPr>
          <w:p w14:paraId="5F5C464F" w14:textId="77777777" w:rsidR="00FA7C11" w:rsidRDefault="00D84965">
            <w:pPr>
              <w:pStyle w:val="P68B1DB1-Normal66"/>
              <w:spacing w:after="200" w:line="276" w:lineRule="auto"/>
              <w:jc w:val="center"/>
              <w:rPr>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72022C79" w14:textId="77777777" w:rsidR="00FA7C11" w:rsidRDefault="00D84965">
            <w:pPr>
              <w:pStyle w:val="P68B1DB1-Normal66"/>
              <w:spacing w:after="200" w:line="276" w:lineRule="auto"/>
              <w:jc w:val="center"/>
              <w:rPr>
                <w:noProof/>
              </w:rPr>
            </w:pPr>
            <w:r>
              <w:rPr>
                <w:noProof/>
              </w:rPr>
              <w:t> </w:t>
            </w:r>
          </w:p>
        </w:tc>
        <w:tc>
          <w:tcPr>
            <w:tcW w:w="645" w:type="dxa"/>
            <w:tcBorders>
              <w:top w:val="nil"/>
              <w:left w:val="nil"/>
              <w:bottom w:val="single" w:sz="4" w:space="0" w:color="auto"/>
              <w:right w:val="single" w:sz="4" w:space="0" w:color="auto"/>
            </w:tcBorders>
            <w:shd w:val="clear" w:color="auto" w:fill="C6EFCE"/>
            <w:noWrap/>
          </w:tcPr>
          <w:p w14:paraId="58710DC0" w14:textId="77777777" w:rsidR="00FA7C11" w:rsidRDefault="00D84965">
            <w:pPr>
              <w:pStyle w:val="P68B1DB1-Normal66"/>
              <w:spacing w:after="200" w:line="276" w:lineRule="auto"/>
              <w:jc w:val="center"/>
              <w:rPr>
                <w:noProof/>
              </w:rPr>
            </w:pPr>
            <w:r>
              <w:rPr>
                <w:noProof/>
              </w:rPr>
              <w:t>Î3</w:t>
            </w:r>
          </w:p>
        </w:tc>
        <w:tc>
          <w:tcPr>
            <w:tcW w:w="806" w:type="dxa"/>
            <w:tcBorders>
              <w:top w:val="nil"/>
              <w:left w:val="nil"/>
              <w:bottom w:val="single" w:sz="4" w:space="0" w:color="auto"/>
              <w:right w:val="single" w:sz="4" w:space="0" w:color="auto"/>
            </w:tcBorders>
            <w:shd w:val="clear" w:color="auto" w:fill="C6EFCE"/>
            <w:noWrap/>
          </w:tcPr>
          <w:p w14:paraId="042958E5" w14:textId="77777777" w:rsidR="00FA7C11" w:rsidRDefault="00D84965">
            <w:pPr>
              <w:pStyle w:val="P68B1DB1-Normal66"/>
              <w:spacing w:after="200" w:line="276" w:lineRule="auto"/>
              <w:jc w:val="center"/>
              <w:rPr>
                <w:noProof/>
              </w:rPr>
            </w:pPr>
            <w:r>
              <w:rPr>
                <w:noProof/>
              </w:rPr>
              <w:t>2022</w:t>
            </w:r>
          </w:p>
        </w:tc>
        <w:tc>
          <w:tcPr>
            <w:tcW w:w="4249" w:type="dxa"/>
            <w:tcBorders>
              <w:top w:val="nil"/>
              <w:left w:val="nil"/>
              <w:bottom w:val="single" w:sz="4" w:space="0" w:color="auto"/>
              <w:right w:val="single" w:sz="4" w:space="0" w:color="auto"/>
            </w:tcBorders>
            <w:shd w:val="clear" w:color="auto" w:fill="C6EFCE"/>
            <w:noWrap/>
          </w:tcPr>
          <w:p w14:paraId="4143EA03" w14:textId="77777777" w:rsidR="00FA7C11" w:rsidRDefault="00D84965">
            <w:pPr>
              <w:pStyle w:val="P68B1DB1-Normal66"/>
              <w:spacing w:after="200" w:line="276" w:lineRule="auto"/>
              <w:rPr>
                <w:noProof/>
              </w:rPr>
            </w:pPr>
            <w:r>
              <w:rPr>
                <w:noProof/>
              </w:rPr>
              <w:t>Se elaborează un model macroeconomic structural al economiei croate pentru elaborarea de previziuni macroeconomice pe termen mediu, pentru simularea efectelor politicilor economice și a impactului șocurilor și, în cele din urmă, pentru consolidarea capacității Ministerului Finanțelor de a pregăti previziunile bugetare. Modelul inițial va fi elaborat până la sfârșitul anului 2021 și va fi pe deplin operațional până la jumătatea anului 2022, permițând elaborarea de proiecții care să stea la baza bugetului pentru 2023. Rezultatele modelului sunt utilizate pentru pregătirea documentelor bugetare, îmbunătățind calitatea previziunilor bugetare pe termen mediu și, prin urmare, sustenabilitatea finanțelor publice.</w:t>
            </w:r>
          </w:p>
        </w:tc>
      </w:tr>
    </w:tbl>
    <w:p w14:paraId="5DD82F5C" w14:textId="77777777" w:rsidR="00FA7C11" w:rsidRDefault="00FA7C11">
      <w:pPr>
        <w:rPr>
          <w:noProof/>
        </w:rPr>
        <w:sectPr w:rsidR="00FA7C11" w:rsidSect="00FA29B2">
          <w:headerReference w:type="even" r:id="rId248"/>
          <w:headerReference w:type="default" r:id="rId249"/>
          <w:footerReference w:type="even" r:id="rId250"/>
          <w:footerReference w:type="default" r:id="rId251"/>
          <w:headerReference w:type="first" r:id="rId252"/>
          <w:footerReference w:type="first" r:id="rId253"/>
          <w:pgSz w:w="16839" w:h="11907" w:orient="landscape"/>
          <w:pgMar w:top="1134" w:right="1134" w:bottom="1134" w:left="1134" w:header="567" w:footer="567" w:gutter="0"/>
          <w:cols w:space="708"/>
          <w:docGrid w:linePitch="360"/>
        </w:sectPr>
      </w:pPr>
    </w:p>
    <w:p w14:paraId="499DC073" w14:textId="77777777" w:rsidR="00FA7C11" w:rsidRDefault="00D84965">
      <w:pPr>
        <w:pStyle w:val="P68B1DB1-Normal111"/>
        <w:keepNext/>
        <w:tabs>
          <w:tab w:val="left" w:pos="850"/>
        </w:tabs>
        <w:spacing w:before="360" w:line="240" w:lineRule="auto"/>
        <w:ind w:left="850" w:hanging="850"/>
        <w:jc w:val="both"/>
        <w:outlineLvl w:val="0"/>
        <w:rPr>
          <w:noProof/>
        </w:rPr>
      </w:pPr>
      <w:r>
        <w:rPr>
          <w:noProof/>
        </w:rPr>
        <w:t>N. COMPONENTA 2.8: CONSOLIDAREA CADRULUI ANTI-MONEY PRIVIND SPĂLAREA BANILOR</w:t>
      </w:r>
    </w:p>
    <w:p w14:paraId="43ECE86C" w14:textId="77777777" w:rsidR="00FA7C11" w:rsidRDefault="00D84965">
      <w:pPr>
        <w:pStyle w:val="P68B1DB1-Normal83"/>
        <w:spacing w:line="240" w:lineRule="auto"/>
        <w:jc w:val="both"/>
        <w:rPr>
          <w:noProof/>
        </w:rPr>
      </w:pPr>
      <w:r>
        <w:rPr>
          <w:noProof/>
        </w:rPr>
        <w:t>Obiectivul acestei componente este de a consolida capacitatea autorităților croate (autoritățile de supraveghere, Oficiul pentru Combaterea Spălării Banilor, autoritățile de aplicare a legii) de a combate spălarea banilor și finanțarea terorismului, de a-și îmbunătăți coordonarea și cooperarea și de a sensibiliza în continuare toate părțile interesate implicate.</w:t>
      </w:r>
    </w:p>
    <w:p w14:paraId="729D5F9B" w14:textId="77777777" w:rsidR="00FA7C11" w:rsidRDefault="00D84965">
      <w:pPr>
        <w:pStyle w:val="P68B1DB1-Normal83"/>
        <w:spacing w:line="240" w:lineRule="auto"/>
        <w:jc w:val="both"/>
        <w:rPr>
          <w:noProof/>
        </w:rPr>
      </w:pPr>
      <w:r>
        <w:rPr>
          <w:noProof/>
        </w:rPr>
        <w:t>Această reformă este conformă cu Planul de acțiune al Croației pentru participarea la mecanismul european al cursului de schimb II (MCS II).</w:t>
      </w:r>
    </w:p>
    <w:p w14:paraId="1A69BE7D" w14:textId="77777777" w:rsidR="00FA7C11" w:rsidRDefault="00FA7C11">
      <w:pPr>
        <w:spacing w:line="240" w:lineRule="auto"/>
        <w:jc w:val="both"/>
        <w:rPr>
          <w:rFonts w:ascii="Times New Roman" w:eastAsia="Times New Roman" w:hAnsi="Times New Roman" w:cs="Times New Roman"/>
          <w:noProof/>
          <w:sz w:val="24"/>
          <w:szCs w:val="24"/>
        </w:rPr>
      </w:pPr>
    </w:p>
    <w:p w14:paraId="65BD7A94" w14:textId="77777777" w:rsidR="00FA7C11" w:rsidRDefault="00D84965">
      <w:pPr>
        <w:pStyle w:val="P68B1DB1-Normal113"/>
        <w:keepNext/>
        <w:spacing w:before="40" w:after="0"/>
        <w:ind w:left="851"/>
        <w:jc w:val="both"/>
        <w:outlineLvl w:val="1"/>
        <w:rPr>
          <w:noProof/>
        </w:rPr>
      </w:pPr>
      <w:r>
        <w:rPr>
          <w:noProof/>
        </w:rPr>
        <w:t xml:space="preserve">N.1. </w:t>
      </w:r>
      <w:r>
        <w:rPr>
          <w:noProof/>
        </w:rPr>
        <w:tab/>
        <w:t>Descrierea reformelor și a investițiilor pentru sprijinul financiar nerambursabil</w:t>
      </w:r>
    </w:p>
    <w:p w14:paraId="3114704F" w14:textId="77777777" w:rsidR="00FA7C11" w:rsidRDefault="00D84965">
      <w:pPr>
        <w:pStyle w:val="P68B1DB1-Normal128"/>
        <w:keepNext/>
        <w:tabs>
          <w:tab w:val="num" w:pos="850"/>
        </w:tabs>
        <w:spacing w:before="240" w:after="0"/>
        <w:ind w:left="851"/>
        <w:jc w:val="both"/>
        <w:outlineLvl w:val="2"/>
        <w:rPr>
          <w:noProof/>
        </w:rPr>
      </w:pPr>
      <w:r>
        <w:rPr>
          <w:noProof/>
        </w:rPr>
        <w:t>Reforma C2.8 R1 – Sensibilizarea cu privire la necesitatea de a preveni spălarea banilor</w:t>
      </w:r>
    </w:p>
    <w:p w14:paraId="782559CB" w14:textId="77777777" w:rsidR="00FA7C11" w:rsidRDefault="00D84965">
      <w:pPr>
        <w:pStyle w:val="P68B1DB1-Normal46"/>
        <w:spacing w:line="240" w:lineRule="auto"/>
        <w:jc w:val="both"/>
        <w:rPr>
          <w:rFonts w:eastAsiaTheme="minorEastAsia"/>
          <w:noProof/>
        </w:rPr>
      </w:pPr>
      <w:r>
        <w:rPr>
          <w:noProof/>
        </w:rPr>
        <w:t>Scopul acestei reforme este de a menține eficiența sistemului financiar în conformitate cu standardele internaționale, prevenind în același timp fluxurile financiare nelegitime prin sensibilizarea, prin instituirea unui cadru de formare periodică, a tuturor instituțiilor și autorităților responsabile cu punerea în aplicare a măsurilor de combatere a spălării banilor.</w:t>
      </w:r>
    </w:p>
    <w:p w14:paraId="4BF2AB72" w14:textId="77777777" w:rsidR="00FA7C11" w:rsidRDefault="00D84965">
      <w:pPr>
        <w:pStyle w:val="P68B1DB1-Normal128"/>
        <w:keepNext/>
        <w:tabs>
          <w:tab w:val="num" w:pos="850"/>
        </w:tabs>
        <w:spacing w:before="240" w:after="0"/>
        <w:ind w:left="851"/>
        <w:jc w:val="both"/>
        <w:outlineLvl w:val="2"/>
        <w:rPr>
          <w:noProof/>
        </w:rPr>
      </w:pPr>
      <w:r>
        <w:rPr>
          <w:noProof/>
        </w:rPr>
        <w:t xml:space="preserve">Reforma C2.8 R2 – Consolidarea cooperării dintre Oficiul pentru Combaterea Spălării Banilor și autoritățile de supraveghere </w:t>
      </w:r>
    </w:p>
    <w:p w14:paraId="37A80111" w14:textId="77777777" w:rsidR="00FA7C11" w:rsidRDefault="00D84965">
      <w:pPr>
        <w:pStyle w:val="P68B1DB1-Normal129"/>
        <w:spacing w:line="240" w:lineRule="auto"/>
        <w:jc w:val="both"/>
        <w:rPr>
          <w:noProof/>
        </w:rPr>
      </w:pPr>
      <w:r>
        <w:rPr>
          <w:noProof/>
        </w:rPr>
        <w:t xml:space="preserve">Scopul acestei reforme este de a consolida cooperarea dintre Oficiul pentru Combaterea Spălării Banilor și autoritățile de supraveghere prin îmbunătățirea schimbului de informații și de bune practici în lupta împotriva spălării banilor și a finanțării terorismului. </w:t>
      </w:r>
    </w:p>
    <w:p w14:paraId="433DBC0C" w14:textId="77777777" w:rsidR="00FA7C11" w:rsidRDefault="00D84965">
      <w:pPr>
        <w:pStyle w:val="P68B1DB1-Normal128"/>
        <w:keepNext/>
        <w:tabs>
          <w:tab w:val="num" w:pos="850"/>
        </w:tabs>
        <w:ind w:left="851"/>
        <w:jc w:val="both"/>
        <w:outlineLvl w:val="2"/>
        <w:rPr>
          <w:noProof/>
        </w:rPr>
      </w:pPr>
      <w:r>
        <w:rPr>
          <w:noProof/>
        </w:rPr>
        <w:t>Reforma C2.8 R3 – Finalizarea punerii în aplicare a planului de acțiune pentru reducerea riscurilor identificate de spălare a banilor și de finanțare a terorismului</w:t>
      </w:r>
    </w:p>
    <w:p w14:paraId="3263EE27" w14:textId="77777777" w:rsidR="00FA7C11" w:rsidRDefault="00D84965">
      <w:pPr>
        <w:pStyle w:val="P68B1DB1-Normal129"/>
        <w:spacing w:line="240" w:lineRule="auto"/>
        <w:jc w:val="both"/>
        <w:rPr>
          <w:noProof/>
        </w:rPr>
      </w:pPr>
      <w:r>
        <w:rPr>
          <w:noProof/>
        </w:rPr>
        <w:t xml:space="preserve">Obiectivul general al acestei reforme este de a pune în aplicare planul de acțiune pentru reducerea riscurilor identificate în Evaluarea națională a riscurilor de spălare a banilor și de finanțare a terorismului din Croația, adoptată de guvern. Planul de acțiune conține măsuri care vizează, de exemplu, consolidarea capacității administrative a Oficiului pentru Combaterea Spălării Banilor, a Inspectoratului Financiar și a autorităților de supraveghere, creșterea numărului de activități de supraveghere, îmbunătățirea infrastructurii informatice și asigurarea formării funcționarilor din toate entitățile obligate în vederea consolidării cooperării și a capacității administrative. </w:t>
      </w:r>
    </w:p>
    <w:p w14:paraId="3EB4272F" w14:textId="77777777" w:rsidR="00FA7C11" w:rsidRDefault="00D84965">
      <w:pPr>
        <w:pStyle w:val="P68B1DB1-Normal128"/>
        <w:keepNext/>
        <w:tabs>
          <w:tab w:val="num" w:pos="850"/>
        </w:tabs>
        <w:ind w:left="851"/>
        <w:jc w:val="both"/>
        <w:outlineLvl w:val="2"/>
        <w:rPr>
          <w:noProof/>
        </w:rPr>
      </w:pPr>
      <w:r>
        <w:rPr>
          <w:noProof/>
        </w:rPr>
        <w:t>Reforma C2.8 R4 – Consolidarea supravegherii combaterii spălării banilor și a finanțării terorismului pe baza unei evaluări a riscurilor în sectorul financiar din Croația</w:t>
      </w:r>
    </w:p>
    <w:p w14:paraId="205007D3" w14:textId="77777777" w:rsidR="00FA7C11" w:rsidRDefault="00D84965">
      <w:pPr>
        <w:pStyle w:val="P68B1DB1-Normal46"/>
        <w:jc w:val="both"/>
        <w:rPr>
          <w:noProof/>
        </w:rPr>
      </w:pPr>
      <w:r>
        <w:rPr>
          <w:noProof/>
        </w:rPr>
        <w:t xml:space="preserve">Obiectivul general al acestei reforme este de a îmbunătăți cadrul pentru prevenirea spălării banilor și combaterea finanțării terorismului în Croația și de a consolida capacitatea instituțională și administrativă, prin punerea în aplicare a recomandărilor formulate în cadrul proiectului Instrumentului de sprijin tehnic (IST) privind dezvoltarea unei abordări bazate pe riscuri a supravegherii combaterii spălării banilor și a finanțării terorismului. </w:t>
      </w:r>
    </w:p>
    <w:p w14:paraId="3948E3A6" w14:textId="77777777" w:rsidR="00FA7C11" w:rsidRDefault="00D84965">
      <w:pPr>
        <w:pStyle w:val="P68B1DB1-Normal129"/>
        <w:rPr>
          <w:noProof/>
        </w:rPr>
      </w:pPr>
      <w:r>
        <w:rPr>
          <w:noProof/>
        </w:rPr>
        <w:t>Reforma se finalizează până la 31 decembrie 2025.</w:t>
      </w:r>
    </w:p>
    <w:p w14:paraId="3C522169" w14:textId="77777777" w:rsidR="00FA7C11" w:rsidRDefault="00FA7C11">
      <w:pPr>
        <w:rPr>
          <w:noProof/>
        </w:rPr>
        <w:sectPr w:rsidR="00FA7C11" w:rsidSect="00FA29B2">
          <w:headerReference w:type="even" r:id="rId254"/>
          <w:headerReference w:type="default" r:id="rId255"/>
          <w:footerReference w:type="even" r:id="rId256"/>
          <w:footerReference w:type="default" r:id="rId257"/>
          <w:headerReference w:type="first" r:id="rId258"/>
          <w:footerReference w:type="first" r:id="rId259"/>
          <w:pgSz w:w="11906" w:h="16838"/>
          <w:pgMar w:top="1134" w:right="1134" w:bottom="1134" w:left="1134" w:header="567" w:footer="567" w:gutter="0"/>
          <w:cols w:space="708"/>
          <w:docGrid w:linePitch="360"/>
        </w:sectPr>
      </w:pPr>
    </w:p>
    <w:p w14:paraId="35D88546" w14:textId="77777777" w:rsidR="00FA7C11" w:rsidRDefault="00D84965">
      <w:pPr>
        <w:pStyle w:val="P68B1DB1-Normal113"/>
        <w:keepNext/>
        <w:tabs>
          <w:tab w:val="num" w:pos="850"/>
        </w:tabs>
        <w:spacing w:before="40" w:after="0"/>
        <w:ind w:left="851"/>
        <w:jc w:val="both"/>
        <w:outlineLvl w:val="1"/>
        <w:rPr>
          <w:noProof/>
        </w:rPr>
      </w:pPr>
      <w:r>
        <w:rPr>
          <w:noProof/>
        </w:rPr>
        <w:t xml:space="preserve">N.2. </w:t>
      </w:r>
      <w:r>
        <w:rPr>
          <w:noProof/>
        </w:rPr>
        <w:tab/>
        <w:t>Jaloane, ținte, indicatori și calendarul de monitorizare și implementare aplicabile sprijinului financiar nerambursabil</w:t>
      </w:r>
    </w:p>
    <w:p w14:paraId="4E7D96E3" w14:textId="77777777" w:rsidR="00FA7C11" w:rsidRDefault="00FA7C11">
      <w:pPr>
        <w:keepNext/>
        <w:tabs>
          <w:tab w:val="num" w:pos="850"/>
        </w:tabs>
        <w:spacing w:before="40" w:after="0"/>
        <w:ind w:left="851"/>
        <w:jc w:val="both"/>
        <w:outlineLvl w:val="1"/>
        <w:rPr>
          <w:rFonts w:eastAsiaTheme="minorEastAsia"/>
          <w:b/>
          <w:noProof/>
          <w:szCs w:val="24"/>
          <w:u w:val="single"/>
        </w:rPr>
      </w:pPr>
    </w:p>
    <w:tbl>
      <w:tblPr>
        <w:tblW w:w="15081" w:type="dxa"/>
        <w:jc w:val="center"/>
        <w:tblLayout w:type="fixed"/>
        <w:tblCellMar>
          <w:top w:w="28" w:type="dxa"/>
          <w:left w:w="28" w:type="dxa"/>
          <w:bottom w:w="28" w:type="dxa"/>
          <w:right w:w="28" w:type="dxa"/>
        </w:tblCellMar>
        <w:tblLook w:val="04A0" w:firstRow="1" w:lastRow="0" w:firstColumn="1" w:lastColumn="0" w:noHBand="0" w:noVBand="1"/>
      </w:tblPr>
      <w:tblGrid>
        <w:gridCol w:w="846"/>
        <w:gridCol w:w="992"/>
        <w:gridCol w:w="1037"/>
        <w:gridCol w:w="1373"/>
        <w:gridCol w:w="2693"/>
        <w:gridCol w:w="851"/>
        <w:gridCol w:w="1134"/>
        <w:gridCol w:w="992"/>
        <w:gridCol w:w="957"/>
        <w:gridCol w:w="709"/>
        <w:gridCol w:w="3497"/>
      </w:tblGrid>
      <w:tr w:rsidR="00FA7C11" w14:paraId="7088FF70" w14:textId="77777777">
        <w:trPr>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124EBE" w14:textId="77777777" w:rsidR="00FA7C11" w:rsidRDefault="00D84965">
            <w:pPr>
              <w:pStyle w:val="P68B1DB1-Normal58"/>
              <w:spacing w:after="0" w:line="276" w:lineRule="auto"/>
              <w:jc w:val="center"/>
              <w:rPr>
                <w:bCs/>
                <w:noProof/>
              </w:rPr>
            </w:pPr>
            <w:r>
              <w:rPr>
                <w:noProof/>
              </w:rPr>
              <w:t>Număr</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63A56B" w14:textId="77777777" w:rsidR="00FA7C11" w:rsidRDefault="00D84965">
            <w:pPr>
              <w:pStyle w:val="P68B1DB1-Normal58"/>
              <w:spacing w:after="0" w:line="276" w:lineRule="auto"/>
              <w:jc w:val="center"/>
              <w:rPr>
                <w:bCs/>
                <w:noProof/>
              </w:rPr>
            </w:pPr>
            <w:r>
              <w:rPr>
                <w:noProof/>
              </w:rPr>
              <w:t>Măsură</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CDBDE7" w14:textId="77777777" w:rsidR="00FA7C11" w:rsidRDefault="00D84965">
            <w:pPr>
              <w:pStyle w:val="P68B1DB1-Normal58"/>
              <w:spacing w:after="0" w:line="276" w:lineRule="auto"/>
              <w:jc w:val="center"/>
              <w:rPr>
                <w:bCs/>
                <w:noProof/>
              </w:rPr>
            </w:pPr>
            <w:r>
              <w:rPr>
                <w:noProof/>
              </w:rPr>
              <w:t>Etapă/Obiectiv</w:t>
            </w:r>
          </w:p>
        </w:tc>
        <w:tc>
          <w:tcPr>
            <w:tcW w:w="1373" w:type="dxa"/>
            <w:vMerge w:val="restart"/>
            <w:tcBorders>
              <w:top w:val="single" w:sz="4" w:space="0" w:color="auto"/>
              <w:left w:val="nil"/>
              <w:bottom w:val="single" w:sz="4" w:space="0" w:color="auto"/>
              <w:right w:val="single" w:sz="4" w:space="0" w:color="auto"/>
            </w:tcBorders>
            <w:shd w:val="clear" w:color="auto" w:fill="BDD7EE"/>
            <w:vAlign w:val="center"/>
            <w:hideMark/>
          </w:tcPr>
          <w:p w14:paraId="64FB446C" w14:textId="77777777" w:rsidR="00FA7C11" w:rsidRDefault="00D84965">
            <w:pPr>
              <w:pStyle w:val="P68B1DB1-Normal58"/>
              <w:spacing w:after="0" w:line="276" w:lineRule="auto"/>
              <w:jc w:val="center"/>
              <w:rPr>
                <w:bCs/>
                <w:noProof/>
              </w:rPr>
            </w:pPr>
            <w:r>
              <w:rPr>
                <w:noProof/>
              </w:rPr>
              <w:t>Nume</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7CC6AB" w14:textId="77777777" w:rsidR="00FA7C11" w:rsidRDefault="00D84965">
            <w:pPr>
              <w:pStyle w:val="P68B1DB1-Normal59"/>
              <w:spacing w:after="0" w:line="276" w:lineRule="auto"/>
              <w:ind w:right="-72"/>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hAnsi="Times New Roman" w:cs="Times New Roman"/>
                <w:noProof/>
              </w:rPr>
              <w:br/>
            </w:r>
            <w:r>
              <w:rPr>
                <w:rFonts w:ascii="Times New Roman" w:eastAsia="Times New Roman" w:hAnsi="Times New Roman" w:cs="Times New Roman"/>
                <w:b/>
                <w:noProof/>
              </w:rPr>
              <w:t>(pentru jaloane)</w:t>
            </w:r>
          </w:p>
        </w:tc>
        <w:tc>
          <w:tcPr>
            <w:tcW w:w="2977" w:type="dxa"/>
            <w:gridSpan w:val="3"/>
            <w:tcBorders>
              <w:top w:val="single" w:sz="4" w:space="0" w:color="auto"/>
              <w:left w:val="nil"/>
              <w:bottom w:val="single" w:sz="4" w:space="0" w:color="auto"/>
              <w:right w:val="single" w:sz="4" w:space="0" w:color="auto"/>
            </w:tcBorders>
            <w:shd w:val="clear" w:color="auto" w:fill="BDD7EE"/>
            <w:vAlign w:val="center"/>
            <w:hideMark/>
          </w:tcPr>
          <w:p w14:paraId="4BDE4305"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hAnsi="Times New Roman" w:cs="Times New Roman"/>
                <w:noProof/>
              </w:rPr>
              <w:br/>
            </w:r>
            <w:r>
              <w:rPr>
                <w:rFonts w:ascii="Times New Roman" w:eastAsia="Times New Roman" w:hAnsi="Times New Roman" w:cs="Times New Roman"/>
                <w:b/>
                <w:noProof/>
              </w:rPr>
              <w:t>(pentru obiective)</w:t>
            </w:r>
          </w:p>
        </w:tc>
        <w:tc>
          <w:tcPr>
            <w:tcW w:w="1666" w:type="dxa"/>
            <w:gridSpan w:val="2"/>
            <w:tcBorders>
              <w:top w:val="single" w:sz="4" w:space="0" w:color="auto"/>
              <w:left w:val="nil"/>
              <w:bottom w:val="single" w:sz="4" w:space="0" w:color="auto"/>
              <w:right w:val="single" w:sz="4" w:space="0" w:color="auto"/>
            </w:tcBorders>
            <w:shd w:val="clear" w:color="auto" w:fill="BDD7EE"/>
            <w:vAlign w:val="center"/>
            <w:hideMark/>
          </w:tcPr>
          <w:p w14:paraId="28BDF9CC" w14:textId="77777777" w:rsidR="00FA7C11" w:rsidRDefault="00D84965">
            <w:pPr>
              <w:pStyle w:val="P68B1DB1-Normal58"/>
              <w:spacing w:after="0" w:line="276" w:lineRule="auto"/>
              <w:jc w:val="center"/>
              <w:rPr>
                <w:noProof/>
              </w:rPr>
            </w:pPr>
            <w:r>
              <w:rPr>
                <w:noProof/>
              </w:rPr>
              <w:t>Calendar orientativ pentru finalizare</w:t>
            </w:r>
          </w:p>
        </w:tc>
        <w:tc>
          <w:tcPr>
            <w:tcW w:w="34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24DEEE"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1161F0C1" w14:textId="77777777">
        <w:trPr>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52BC679E"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992" w:type="dxa"/>
            <w:vMerge/>
            <w:tcBorders>
              <w:top w:val="single" w:sz="4" w:space="0" w:color="auto"/>
              <w:left w:val="single" w:sz="4" w:space="0" w:color="auto"/>
              <w:bottom w:val="single" w:sz="4" w:space="0" w:color="auto"/>
              <w:right w:val="single" w:sz="4" w:space="0" w:color="auto"/>
            </w:tcBorders>
            <w:hideMark/>
          </w:tcPr>
          <w:p w14:paraId="20E0030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37" w:type="dxa"/>
            <w:vMerge/>
            <w:tcBorders>
              <w:top w:val="single" w:sz="4" w:space="0" w:color="auto"/>
              <w:left w:val="single" w:sz="4" w:space="0" w:color="auto"/>
              <w:bottom w:val="single" w:sz="4" w:space="0" w:color="auto"/>
              <w:right w:val="single" w:sz="4" w:space="0" w:color="auto"/>
            </w:tcBorders>
            <w:hideMark/>
          </w:tcPr>
          <w:p w14:paraId="4CE0C2DD"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373" w:type="dxa"/>
            <w:vMerge/>
            <w:tcBorders>
              <w:top w:val="single" w:sz="4" w:space="0" w:color="auto"/>
              <w:left w:val="single" w:sz="4" w:space="0" w:color="auto"/>
              <w:bottom w:val="single" w:sz="4" w:space="0" w:color="auto"/>
              <w:right w:val="single" w:sz="4" w:space="0" w:color="auto"/>
            </w:tcBorders>
            <w:hideMark/>
          </w:tcPr>
          <w:p w14:paraId="65A06F46" w14:textId="77777777" w:rsidR="00FA7C11" w:rsidRDefault="00FA7C11">
            <w:pPr>
              <w:spacing w:after="0" w:line="276" w:lineRule="auto"/>
              <w:rPr>
                <w:rFonts w:ascii="Times New Roman" w:eastAsia="Times New Roman" w:hAnsi="Times New Roman" w:cs="Times New Roman"/>
                <w:b/>
                <w:noProof/>
                <w:sz w:val="20"/>
                <w:szCs w:val="20"/>
              </w:rPr>
            </w:pPr>
          </w:p>
        </w:tc>
        <w:tc>
          <w:tcPr>
            <w:tcW w:w="2693" w:type="dxa"/>
            <w:vMerge/>
            <w:tcBorders>
              <w:top w:val="single" w:sz="4" w:space="0" w:color="auto"/>
              <w:left w:val="single" w:sz="4" w:space="0" w:color="auto"/>
              <w:bottom w:val="single" w:sz="4" w:space="0" w:color="auto"/>
              <w:right w:val="single" w:sz="4" w:space="0" w:color="auto"/>
            </w:tcBorders>
            <w:hideMark/>
          </w:tcPr>
          <w:p w14:paraId="56D9CC36" w14:textId="77777777" w:rsidR="00FA7C11" w:rsidRDefault="00FA7C11">
            <w:pPr>
              <w:spacing w:after="0" w:line="276" w:lineRule="auto"/>
              <w:rPr>
                <w:rFonts w:ascii="Times New Roman" w:eastAsia="Times New Roman" w:hAnsi="Times New Roman" w:cs="Times New Roman"/>
                <w:b/>
                <w:noProof/>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BDD7EE"/>
            <w:hideMark/>
          </w:tcPr>
          <w:p w14:paraId="7C7C1026" w14:textId="77777777" w:rsidR="00FA7C11" w:rsidRDefault="00D84965">
            <w:pPr>
              <w:pStyle w:val="P68B1DB1-Normal58"/>
              <w:spacing w:after="0" w:line="276" w:lineRule="auto"/>
              <w:jc w:val="center"/>
              <w:rPr>
                <w:bCs/>
                <w:noProof/>
              </w:rPr>
            </w:pPr>
            <w:r>
              <w:rPr>
                <w:noProof/>
              </w:rPr>
              <w:t>Unitate</w:t>
            </w:r>
          </w:p>
        </w:tc>
        <w:tc>
          <w:tcPr>
            <w:tcW w:w="1134" w:type="dxa"/>
            <w:tcBorders>
              <w:top w:val="single" w:sz="4" w:space="0" w:color="auto"/>
              <w:left w:val="single" w:sz="4" w:space="0" w:color="auto"/>
              <w:bottom w:val="single" w:sz="4" w:space="0" w:color="auto"/>
              <w:right w:val="single" w:sz="4" w:space="0" w:color="auto"/>
            </w:tcBorders>
            <w:shd w:val="clear" w:color="auto" w:fill="BDD7EE"/>
            <w:hideMark/>
          </w:tcPr>
          <w:p w14:paraId="3E848E85" w14:textId="77777777" w:rsidR="00FA7C11" w:rsidRDefault="00D84965">
            <w:pPr>
              <w:pStyle w:val="P68B1DB1-Normal58"/>
              <w:spacing w:after="0" w:line="276" w:lineRule="auto"/>
              <w:jc w:val="center"/>
              <w:rPr>
                <w:bCs/>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7EE"/>
            <w:hideMark/>
          </w:tcPr>
          <w:p w14:paraId="7E5C62F3" w14:textId="77777777" w:rsidR="00FA7C11" w:rsidRDefault="00D84965">
            <w:pPr>
              <w:pStyle w:val="P68B1DB1-Normal58"/>
              <w:spacing w:after="0" w:line="276" w:lineRule="auto"/>
              <w:jc w:val="center"/>
              <w:rPr>
                <w:bCs/>
                <w:noProof/>
              </w:rPr>
            </w:pPr>
            <w:r>
              <w:rPr>
                <w:noProof/>
              </w:rPr>
              <w:t>Obiectiv</w:t>
            </w:r>
          </w:p>
        </w:tc>
        <w:tc>
          <w:tcPr>
            <w:tcW w:w="957" w:type="dxa"/>
            <w:tcBorders>
              <w:top w:val="single" w:sz="4" w:space="0" w:color="auto"/>
              <w:left w:val="single" w:sz="4" w:space="0" w:color="auto"/>
              <w:bottom w:val="single" w:sz="4" w:space="0" w:color="auto"/>
              <w:right w:val="single" w:sz="4" w:space="0" w:color="auto"/>
            </w:tcBorders>
            <w:shd w:val="clear" w:color="auto" w:fill="BDD7EE"/>
            <w:hideMark/>
          </w:tcPr>
          <w:p w14:paraId="394CEDED" w14:textId="77777777" w:rsidR="00FA7C11" w:rsidRDefault="00D84965">
            <w:pPr>
              <w:pStyle w:val="P68B1DB1-Normal58"/>
              <w:spacing w:after="0" w:line="276" w:lineRule="auto"/>
              <w:jc w:val="center"/>
              <w:rPr>
                <w:bCs/>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hideMark/>
          </w:tcPr>
          <w:p w14:paraId="57507B6E" w14:textId="77777777" w:rsidR="00FA7C11" w:rsidRDefault="00D84965">
            <w:pPr>
              <w:pStyle w:val="P68B1DB1-Normal58"/>
              <w:spacing w:after="0" w:line="276" w:lineRule="auto"/>
              <w:jc w:val="center"/>
              <w:rPr>
                <w:bCs/>
                <w:noProof/>
              </w:rPr>
            </w:pPr>
            <w:r>
              <w:rPr>
                <w:noProof/>
              </w:rPr>
              <w:t>Anul</w:t>
            </w:r>
          </w:p>
        </w:tc>
        <w:tc>
          <w:tcPr>
            <w:tcW w:w="3497" w:type="dxa"/>
            <w:vMerge/>
            <w:tcBorders>
              <w:top w:val="single" w:sz="4" w:space="0" w:color="auto"/>
              <w:left w:val="single" w:sz="4" w:space="0" w:color="auto"/>
              <w:bottom w:val="single" w:sz="4" w:space="0" w:color="auto"/>
              <w:right w:val="single" w:sz="4" w:space="0" w:color="auto"/>
            </w:tcBorders>
            <w:hideMark/>
          </w:tcPr>
          <w:p w14:paraId="459C1F1A"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48E674CF"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55DDA73" w14:textId="77777777" w:rsidR="00FA7C11" w:rsidRDefault="00D84965">
            <w:pPr>
              <w:pStyle w:val="P68B1DB1-Normal102"/>
              <w:spacing w:after="0" w:line="276" w:lineRule="auto"/>
              <w:jc w:val="center"/>
              <w:rPr>
                <w:noProof/>
              </w:rPr>
            </w:pPr>
            <w:r>
              <w:rPr>
                <w:noProof/>
              </w:rPr>
              <w:t>250</w:t>
            </w:r>
          </w:p>
        </w:tc>
        <w:tc>
          <w:tcPr>
            <w:tcW w:w="992" w:type="dxa"/>
            <w:tcBorders>
              <w:top w:val="single" w:sz="4" w:space="0" w:color="auto"/>
              <w:left w:val="nil"/>
              <w:bottom w:val="single" w:sz="4" w:space="0" w:color="auto"/>
              <w:right w:val="single" w:sz="4" w:space="0" w:color="auto"/>
            </w:tcBorders>
            <w:shd w:val="clear" w:color="auto" w:fill="C6EFCE"/>
            <w:noWrap/>
          </w:tcPr>
          <w:p w14:paraId="2C9272C7" w14:textId="77777777" w:rsidR="00FA7C11" w:rsidRDefault="00D84965">
            <w:pPr>
              <w:pStyle w:val="P68B1DB1-Normal102"/>
              <w:spacing w:line="276" w:lineRule="auto"/>
              <w:jc w:val="center"/>
              <w:rPr>
                <w:noProof/>
              </w:rPr>
            </w:pPr>
            <w:r>
              <w:rPr>
                <w:noProof/>
              </w:rPr>
              <w:t>C2.8. R1</w:t>
            </w:r>
          </w:p>
        </w:tc>
        <w:tc>
          <w:tcPr>
            <w:tcW w:w="1037" w:type="dxa"/>
            <w:tcBorders>
              <w:top w:val="single" w:sz="4" w:space="0" w:color="auto"/>
              <w:left w:val="nil"/>
              <w:bottom w:val="single" w:sz="4" w:space="0" w:color="auto"/>
              <w:right w:val="single" w:sz="4" w:space="0" w:color="auto"/>
            </w:tcBorders>
            <w:shd w:val="clear" w:color="auto" w:fill="C6EFCE"/>
            <w:noWrap/>
          </w:tcPr>
          <w:p w14:paraId="0949FFA8" w14:textId="77777777" w:rsidR="00FA7C11" w:rsidRDefault="00D84965">
            <w:pPr>
              <w:pStyle w:val="P68B1DB1-Normal102"/>
              <w:spacing w:line="276" w:lineRule="auto"/>
              <w:jc w:val="center"/>
              <w:rPr>
                <w:noProof/>
              </w:rPr>
            </w:pPr>
            <w:r>
              <w:rPr>
                <w:noProof/>
              </w:rPr>
              <w:t>M</w:t>
            </w:r>
          </w:p>
        </w:tc>
        <w:tc>
          <w:tcPr>
            <w:tcW w:w="1373" w:type="dxa"/>
            <w:tcBorders>
              <w:top w:val="single" w:sz="4" w:space="0" w:color="auto"/>
              <w:left w:val="nil"/>
              <w:bottom w:val="single" w:sz="4" w:space="0" w:color="auto"/>
              <w:right w:val="single" w:sz="4" w:space="0" w:color="auto"/>
            </w:tcBorders>
            <w:shd w:val="clear" w:color="auto" w:fill="C6EFCE"/>
            <w:noWrap/>
          </w:tcPr>
          <w:p w14:paraId="76E18ED1" w14:textId="77777777" w:rsidR="00FA7C11" w:rsidRDefault="00D84965">
            <w:pPr>
              <w:pStyle w:val="P68B1DB1-Normal102"/>
              <w:spacing w:line="276" w:lineRule="auto"/>
              <w:rPr>
                <w:noProof/>
              </w:rPr>
            </w:pPr>
            <w:r>
              <w:rPr>
                <w:noProof/>
              </w:rPr>
              <w:t>Sensibilizarea tuturor părților responsabile prin formare periodică</w:t>
            </w:r>
          </w:p>
        </w:tc>
        <w:tc>
          <w:tcPr>
            <w:tcW w:w="2693" w:type="dxa"/>
            <w:tcBorders>
              <w:top w:val="single" w:sz="4" w:space="0" w:color="auto"/>
              <w:left w:val="nil"/>
              <w:bottom w:val="single" w:sz="4" w:space="0" w:color="auto"/>
              <w:right w:val="single" w:sz="4" w:space="0" w:color="auto"/>
            </w:tcBorders>
            <w:shd w:val="clear" w:color="auto" w:fill="C6EFCE"/>
            <w:noWrap/>
          </w:tcPr>
          <w:p w14:paraId="4630F05F" w14:textId="77777777" w:rsidR="00FA7C11" w:rsidRDefault="00D84965">
            <w:pPr>
              <w:pStyle w:val="P68B1DB1-Normal102"/>
              <w:spacing w:line="276" w:lineRule="auto"/>
              <w:rPr>
                <w:noProof/>
              </w:rPr>
            </w:pPr>
            <w:r>
              <w:rPr>
                <w:noProof/>
              </w:rPr>
              <w:t>Cadrul existent pentru formarea continuă a personalului obligat să raporteze cu privire la prevenirea spălării banilor și a finanțării terorismului</w:t>
            </w:r>
          </w:p>
        </w:tc>
        <w:tc>
          <w:tcPr>
            <w:tcW w:w="851" w:type="dxa"/>
            <w:tcBorders>
              <w:top w:val="single" w:sz="4" w:space="0" w:color="auto"/>
              <w:left w:val="nil"/>
              <w:bottom w:val="single" w:sz="4" w:space="0" w:color="auto"/>
              <w:right w:val="single" w:sz="4" w:space="0" w:color="auto"/>
            </w:tcBorders>
            <w:shd w:val="clear" w:color="auto" w:fill="C6EFCE"/>
            <w:noWrap/>
          </w:tcPr>
          <w:p w14:paraId="5E823D82" w14:textId="77777777" w:rsidR="00FA7C11" w:rsidRDefault="00D84965">
            <w:pPr>
              <w:pStyle w:val="P68B1DB1-Normal102"/>
              <w:spacing w:line="276" w:lineRule="auto"/>
              <w:jc w:val="center"/>
              <w:rPr>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457E8BA1" w14:textId="77777777" w:rsidR="00FA7C11" w:rsidRDefault="00D84965">
            <w:pPr>
              <w:pStyle w:val="P68B1DB1-Normal102"/>
              <w:spacing w:line="276" w:lineRule="auto"/>
              <w:jc w:val="center"/>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22BF6C71" w14:textId="77777777" w:rsidR="00FA7C11" w:rsidRDefault="00D84965">
            <w:pPr>
              <w:pStyle w:val="P68B1DB1-Normal102"/>
              <w:spacing w:line="276" w:lineRule="auto"/>
              <w:jc w:val="center"/>
              <w:rPr>
                <w:noProof/>
              </w:rPr>
            </w:pPr>
            <w:r>
              <w:rPr>
                <w:noProof/>
              </w:rPr>
              <w:t> </w:t>
            </w:r>
          </w:p>
        </w:tc>
        <w:tc>
          <w:tcPr>
            <w:tcW w:w="957" w:type="dxa"/>
            <w:tcBorders>
              <w:top w:val="single" w:sz="4" w:space="0" w:color="auto"/>
              <w:left w:val="nil"/>
              <w:bottom w:val="single" w:sz="4" w:space="0" w:color="auto"/>
              <w:right w:val="single" w:sz="4" w:space="0" w:color="auto"/>
            </w:tcBorders>
            <w:shd w:val="clear" w:color="auto" w:fill="C6EFCE"/>
            <w:noWrap/>
          </w:tcPr>
          <w:p w14:paraId="24AFF36F" w14:textId="77777777" w:rsidR="00FA7C11" w:rsidRDefault="00D84965">
            <w:pPr>
              <w:pStyle w:val="P68B1DB1-Normal102"/>
              <w:spacing w:line="276" w:lineRule="auto"/>
              <w:jc w:val="center"/>
              <w:rPr>
                <w:noProof/>
              </w:rPr>
            </w:pPr>
            <w:r>
              <w:rPr>
                <w:noProof/>
              </w:rPr>
              <w:t>Î4</w:t>
            </w:r>
          </w:p>
        </w:tc>
        <w:tc>
          <w:tcPr>
            <w:tcW w:w="709" w:type="dxa"/>
            <w:tcBorders>
              <w:top w:val="single" w:sz="4" w:space="0" w:color="auto"/>
              <w:left w:val="nil"/>
              <w:bottom w:val="single" w:sz="4" w:space="0" w:color="auto"/>
              <w:right w:val="single" w:sz="4" w:space="0" w:color="auto"/>
            </w:tcBorders>
            <w:shd w:val="clear" w:color="auto" w:fill="C6EFCE"/>
            <w:noWrap/>
          </w:tcPr>
          <w:p w14:paraId="0D1AAEA3" w14:textId="77777777" w:rsidR="00FA7C11" w:rsidRDefault="00D84965">
            <w:pPr>
              <w:pStyle w:val="P68B1DB1-Normal102"/>
              <w:spacing w:line="276" w:lineRule="auto"/>
              <w:jc w:val="center"/>
              <w:rPr>
                <w:noProof/>
              </w:rPr>
            </w:pPr>
            <w:r>
              <w:rPr>
                <w:noProof/>
              </w:rPr>
              <w:t>2020</w:t>
            </w:r>
          </w:p>
        </w:tc>
        <w:tc>
          <w:tcPr>
            <w:tcW w:w="3497" w:type="dxa"/>
            <w:tcBorders>
              <w:top w:val="single" w:sz="4" w:space="0" w:color="auto"/>
              <w:left w:val="nil"/>
              <w:bottom w:val="single" w:sz="4" w:space="0" w:color="auto"/>
              <w:right w:val="single" w:sz="4" w:space="0" w:color="auto"/>
            </w:tcBorders>
            <w:shd w:val="clear" w:color="auto" w:fill="C6EFCE"/>
            <w:noWrap/>
          </w:tcPr>
          <w:p w14:paraId="53AA575D" w14:textId="77777777" w:rsidR="00FA7C11" w:rsidRDefault="00D84965">
            <w:pPr>
              <w:pStyle w:val="P68B1DB1-Normal102"/>
              <w:spacing w:line="276" w:lineRule="auto"/>
              <w:rPr>
                <w:noProof/>
              </w:rPr>
            </w:pPr>
            <w:r>
              <w:rPr>
                <w:noProof/>
              </w:rPr>
              <w:t>Cadrul existent pentru formarea continuă de către organismele de supraveghere și Oficiul pentru Combaterea Spălării Banilor a personalului tuturor instituțiilor și autorităților raportoare, inclusiv a responsabililor de conformitate în materie de combatere a spălării banilor și a conducerii instituțiilor de credit. Inițiativele educaționale avute în vedere în cadru se axează pe sensibilizarea cu privire la abordarea bazată pe riscuri în ceea ce privește aplicarea măsurilor de precauție privind clientela și pe obligația de a raporta activitățile suspecte. Ca parte a cadrului, organismele de supraveghere și Oficiul pentru Combaterea Spălării Banilor furnizează periodic instituțiilor și autorităților informații actualizate cu privire la evoluțiile în materie de spălare a banilor.</w:t>
            </w:r>
          </w:p>
        </w:tc>
      </w:tr>
      <w:tr w:rsidR="00FA7C11" w14:paraId="35194D49" w14:textId="77777777">
        <w:trPr>
          <w:jc w:val="center"/>
        </w:trPr>
        <w:tc>
          <w:tcPr>
            <w:tcW w:w="846" w:type="dxa"/>
            <w:tcBorders>
              <w:top w:val="nil"/>
              <w:left w:val="single" w:sz="4" w:space="0" w:color="auto"/>
              <w:bottom w:val="single" w:sz="4" w:space="0" w:color="auto"/>
              <w:right w:val="single" w:sz="4" w:space="0" w:color="auto"/>
            </w:tcBorders>
            <w:shd w:val="clear" w:color="auto" w:fill="C6EFCE"/>
            <w:noWrap/>
          </w:tcPr>
          <w:p w14:paraId="4C1C03DD" w14:textId="77777777" w:rsidR="00FA7C11" w:rsidRDefault="00D84965">
            <w:pPr>
              <w:pStyle w:val="P68B1DB1-Normal102"/>
              <w:spacing w:line="276" w:lineRule="auto"/>
              <w:jc w:val="center"/>
              <w:rPr>
                <w:noProof/>
              </w:rPr>
            </w:pPr>
            <w:r>
              <w:rPr>
                <w:noProof/>
              </w:rPr>
              <w:t>251</w:t>
            </w:r>
          </w:p>
        </w:tc>
        <w:tc>
          <w:tcPr>
            <w:tcW w:w="992" w:type="dxa"/>
            <w:tcBorders>
              <w:top w:val="nil"/>
              <w:left w:val="nil"/>
              <w:bottom w:val="single" w:sz="4" w:space="0" w:color="auto"/>
              <w:right w:val="single" w:sz="4" w:space="0" w:color="auto"/>
            </w:tcBorders>
            <w:shd w:val="clear" w:color="auto" w:fill="C6EFCE"/>
            <w:noWrap/>
          </w:tcPr>
          <w:p w14:paraId="69CD06E1" w14:textId="77777777" w:rsidR="00FA7C11" w:rsidRDefault="00D84965">
            <w:pPr>
              <w:pStyle w:val="P68B1DB1-Normal102"/>
              <w:spacing w:line="276" w:lineRule="auto"/>
              <w:jc w:val="center"/>
              <w:rPr>
                <w:noProof/>
              </w:rPr>
            </w:pPr>
            <w:r>
              <w:rPr>
                <w:noProof/>
              </w:rPr>
              <w:t>C2.8. R2</w:t>
            </w:r>
          </w:p>
        </w:tc>
        <w:tc>
          <w:tcPr>
            <w:tcW w:w="1037" w:type="dxa"/>
            <w:tcBorders>
              <w:top w:val="nil"/>
              <w:left w:val="nil"/>
              <w:bottom w:val="single" w:sz="4" w:space="0" w:color="auto"/>
              <w:right w:val="single" w:sz="4" w:space="0" w:color="auto"/>
            </w:tcBorders>
            <w:shd w:val="clear" w:color="auto" w:fill="C6EFCE"/>
            <w:noWrap/>
          </w:tcPr>
          <w:p w14:paraId="798DDE85" w14:textId="77777777" w:rsidR="00FA7C11" w:rsidRDefault="00D84965">
            <w:pPr>
              <w:pStyle w:val="P68B1DB1-Normal102"/>
              <w:spacing w:line="276" w:lineRule="auto"/>
              <w:jc w:val="center"/>
              <w:rPr>
                <w:noProof/>
              </w:rPr>
            </w:pPr>
            <w:r>
              <w:rPr>
                <w:noProof/>
              </w:rPr>
              <w:t>M</w:t>
            </w:r>
          </w:p>
        </w:tc>
        <w:tc>
          <w:tcPr>
            <w:tcW w:w="1373" w:type="dxa"/>
            <w:tcBorders>
              <w:top w:val="nil"/>
              <w:left w:val="nil"/>
              <w:bottom w:val="single" w:sz="4" w:space="0" w:color="auto"/>
              <w:right w:val="single" w:sz="4" w:space="0" w:color="auto"/>
            </w:tcBorders>
            <w:shd w:val="clear" w:color="auto" w:fill="C6EFCE"/>
            <w:noWrap/>
          </w:tcPr>
          <w:p w14:paraId="529E8D06" w14:textId="77777777" w:rsidR="00FA7C11" w:rsidRDefault="00D84965">
            <w:pPr>
              <w:pStyle w:val="P68B1DB1-Normal102"/>
              <w:spacing w:line="276" w:lineRule="auto"/>
              <w:rPr>
                <w:noProof/>
              </w:rPr>
            </w:pPr>
            <w:r>
              <w:rPr>
                <w:noProof/>
              </w:rPr>
              <w:t xml:space="preserve">Continuarea cooperării dintre Oficiul pentru Combaterea Spălării Banilor și autoritățile de supraveghere </w:t>
            </w:r>
          </w:p>
        </w:tc>
        <w:tc>
          <w:tcPr>
            <w:tcW w:w="2693" w:type="dxa"/>
            <w:tcBorders>
              <w:top w:val="nil"/>
              <w:left w:val="nil"/>
              <w:bottom w:val="single" w:sz="4" w:space="0" w:color="auto"/>
              <w:right w:val="single" w:sz="4" w:space="0" w:color="auto"/>
            </w:tcBorders>
            <w:shd w:val="clear" w:color="auto" w:fill="C6EFCE"/>
            <w:noWrap/>
          </w:tcPr>
          <w:p w14:paraId="279510FF" w14:textId="77777777" w:rsidR="00FA7C11" w:rsidRDefault="00D84965">
            <w:pPr>
              <w:pStyle w:val="P68B1DB1-Normal102"/>
              <w:spacing w:line="276" w:lineRule="auto"/>
              <w:rPr>
                <w:noProof/>
              </w:rPr>
            </w:pPr>
            <w:r>
              <w:rPr>
                <w:noProof/>
              </w:rPr>
              <w:t>Între Oficiul pentru Combaterea Spălării Banilor și autoritățile de supraveghere se semnează un acord de cooperare actualizat privind schimbul de informații și cooperarea</w:t>
            </w:r>
          </w:p>
        </w:tc>
        <w:tc>
          <w:tcPr>
            <w:tcW w:w="851" w:type="dxa"/>
            <w:tcBorders>
              <w:top w:val="nil"/>
              <w:left w:val="nil"/>
              <w:bottom w:val="single" w:sz="4" w:space="0" w:color="auto"/>
              <w:right w:val="single" w:sz="4" w:space="0" w:color="auto"/>
            </w:tcBorders>
            <w:shd w:val="clear" w:color="auto" w:fill="C6EFCE"/>
            <w:noWrap/>
          </w:tcPr>
          <w:p w14:paraId="1CB9DD1B" w14:textId="77777777" w:rsidR="00FA7C11" w:rsidRDefault="00D84965">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21641FD0" w14:textId="77777777" w:rsidR="00FA7C11" w:rsidRDefault="00D84965">
            <w:pPr>
              <w:pStyle w:val="P68B1DB1-Normal102"/>
              <w:spacing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19254196" w14:textId="77777777" w:rsidR="00FA7C11" w:rsidRDefault="00D84965">
            <w:pPr>
              <w:pStyle w:val="P68B1DB1-Normal102"/>
              <w:spacing w:line="276" w:lineRule="auto"/>
              <w:jc w:val="center"/>
              <w:rPr>
                <w:noProof/>
              </w:rPr>
            </w:pPr>
            <w:r>
              <w:rPr>
                <w:noProof/>
              </w:rPr>
              <w:t> </w:t>
            </w:r>
          </w:p>
        </w:tc>
        <w:tc>
          <w:tcPr>
            <w:tcW w:w="957" w:type="dxa"/>
            <w:tcBorders>
              <w:top w:val="nil"/>
              <w:left w:val="nil"/>
              <w:bottom w:val="single" w:sz="4" w:space="0" w:color="auto"/>
              <w:right w:val="single" w:sz="4" w:space="0" w:color="auto"/>
            </w:tcBorders>
            <w:shd w:val="clear" w:color="auto" w:fill="C6EFCE"/>
            <w:noWrap/>
          </w:tcPr>
          <w:p w14:paraId="4551D4DC" w14:textId="77777777" w:rsidR="00FA7C11" w:rsidRDefault="00D84965">
            <w:pPr>
              <w:pStyle w:val="P68B1DB1-Normal102"/>
              <w:spacing w:line="276" w:lineRule="auto"/>
              <w:jc w:val="center"/>
              <w:rPr>
                <w:noProof/>
              </w:rPr>
            </w:pPr>
            <w:r>
              <w:rPr>
                <w:noProof/>
              </w:rPr>
              <w:t>Î4</w:t>
            </w:r>
          </w:p>
        </w:tc>
        <w:tc>
          <w:tcPr>
            <w:tcW w:w="709" w:type="dxa"/>
            <w:tcBorders>
              <w:top w:val="nil"/>
              <w:left w:val="nil"/>
              <w:bottom w:val="single" w:sz="4" w:space="0" w:color="auto"/>
              <w:right w:val="single" w:sz="4" w:space="0" w:color="auto"/>
            </w:tcBorders>
            <w:shd w:val="clear" w:color="auto" w:fill="C6EFCE"/>
            <w:noWrap/>
          </w:tcPr>
          <w:p w14:paraId="6F5FCCB1" w14:textId="77777777" w:rsidR="00FA7C11" w:rsidRDefault="00D84965">
            <w:pPr>
              <w:pStyle w:val="P68B1DB1-Normal102"/>
              <w:spacing w:line="276" w:lineRule="auto"/>
              <w:jc w:val="center"/>
              <w:rPr>
                <w:noProof/>
              </w:rPr>
            </w:pPr>
            <w:r>
              <w:rPr>
                <w:noProof/>
              </w:rPr>
              <w:t>2020</w:t>
            </w:r>
          </w:p>
        </w:tc>
        <w:tc>
          <w:tcPr>
            <w:tcW w:w="3497" w:type="dxa"/>
            <w:tcBorders>
              <w:top w:val="nil"/>
              <w:left w:val="nil"/>
              <w:bottom w:val="single" w:sz="4" w:space="0" w:color="auto"/>
              <w:right w:val="single" w:sz="4" w:space="0" w:color="auto"/>
            </w:tcBorders>
            <w:shd w:val="clear" w:color="auto" w:fill="C6EFCE"/>
            <w:noWrap/>
          </w:tcPr>
          <w:p w14:paraId="493C9B29" w14:textId="77777777" w:rsidR="00FA7C11" w:rsidRDefault="00D84965">
            <w:pPr>
              <w:pStyle w:val="P68B1DB1-Normal102"/>
              <w:spacing w:after="0" w:line="276" w:lineRule="auto"/>
              <w:rPr>
                <w:noProof/>
              </w:rPr>
            </w:pPr>
            <w:r>
              <w:rPr>
                <w:noProof/>
              </w:rPr>
              <w:t xml:space="preserve">Acordul de cooperare actualizat dintre Oficiul pentru Combaterea Spălării Banilor și autoritățile de supraveghere privind schimbul de informații și cooperarea, care include: </w:t>
            </w:r>
            <w:r>
              <w:rPr>
                <w:noProof/>
              </w:rPr>
              <w:br/>
              <w:t xml:space="preserve">I) schimbul de date și informații necesare pentru procedurile de supraveghere; </w:t>
            </w:r>
            <w:r>
              <w:rPr>
                <w:noProof/>
              </w:rPr>
              <w:br/>
              <w:t xml:space="preserve">schimbul de informații privind neregulile identificate la entitățile raportoare; </w:t>
            </w:r>
            <w:r>
              <w:rPr>
                <w:noProof/>
              </w:rPr>
              <w:br/>
              <w:t xml:space="preserve">schimbul de informații cu privire la cele mai recente tipologii ale finanțatorilor spălării banilor/finanțatorilor terorismului identificate de Oficiul pentru Combaterea Spălării Banilor și de autoritățile de supraveghere; </w:t>
            </w:r>
            <w:r>
              <w:rPr>
                <w:noProof/>
              </w:rPr>
              <w:br/>
              <w:t xml:space="preserve">IV) intensificarea activităților de supraveghere pe baza riscurilor identificate de spălare a banilor și de finanțare a terorismului și </w:t>
            </w:r>
            <w:r>
              <w:rPr>
                <w:noProof/>
              </w:rPr>
              <w:br/>
              <w:t>schimbul de date statistice în scopul evaluării naționale a riscurilor de spălare a banilor și de finanțare a terorismului și evaluarea eficacității eforturilor sistemului de prevenire și detectare a spălării banilor și a finanțării terorismului.</w:t>
            </w:r>
          </w:p>
        </w:tc>
      </w:tr>
      <w:tr w:rsidR="00FA7C11" w14:paraId="4B0FD465" w14:textId="77777777">
        <w:trPr>
          <w:jc w:val="center"/>
        </w:trPr>
        <w:tc>
          <w:tcPr>
            <w:tcW w:w="846" w:type="dxa"/>
            <w:tcBorders>
              <w:top w:val="nil"/>
              <w:left w:val="single" w:sz="4" w:space="0" w:color="auto"/>
              <w:bottom w:val="single" w:sz="4" w:space="0" w:color="auto"/>
              <w:right w:val="single" w:sz="4" w:space="0" w:color="auto"/>
            </w:tcBorders>
            <w:shd w:val="clear" w:color="auto" w:fill="C6EFCE"/>
            <w:noWrap/>
          </w:tcPr>
          <w:p w14:paraId="26B6B7BF" w14:textId="77777777" w:rsidR="00FA7C11" w:rsidRDefault="00D84965">
            <w:pPr>
              <w:pStyle w:val="P68B1DB1-Normal102"/>
              <w:spacing w:line="276" w:lineRule="auto"/>
              <w:jc w:val="center"/>
              <w:rPr>
                <w:noProof/>
              </w:rPr>
            </w:pPr>
            <w:r>
              <w:rPr>
                <w:noProof/>
              </w:rPr>
              <w:t>252</w:t>
            </w:r>
          </w:p>
        </w:tc>
        <w:tc>
          <w:tcPr>
            <w:tcW w:w="992" w:type="dxa"/>
            <w:tcBorders>
              <w:top w:val="nil"/>
              <w:left w:val="nil"/>
              <w:bottom w:val="single" w:sz="4" w:space="0" w:color="auto"/>
              <w:right w:val="single" w:sz="4" w:space="0" w:color="auto"/>
            </w:tcBorders>
            <w:shd w:val="clear" w:color="auto" w:fill="C6EFCE"/>
            <w:noWrap/>
          </w:tcPr>
          <w:p w14:paraId="4AB3E624" w14:textId="77777777" w:rsidR="00FA7C11" w:rsidRDefault="00D84965">
            <w:pPr>
              <w:pStyle w:val="P68B1DB1-Normal102"/>
              <w:spacing w:line="276" w:lineRule="auto"/>
              <w:jc w:val="center"/>
              <w:rPr>
                <w:noProof/>
              </w:rPr>
            </w:pPr>
            <w:r>
              <w:rPr>
                <w:noProof/>
              </w:rPr>
              <w:t>C2.8. R2</w:t>
            </w:r>
          </w:p>
        </w:tc>
        <w:tc>
          <w:tcPr>
            <w:tcW w:w="1037" w:type="dxa"/>
            <w:tcBorders>
              <w:top w:val="nil"/>
              <w:left w:val="nil"/>
              <w:bottom w:val="single" w:sz="4" w:space="0" w:color="auto"/>
              <w:right w:val="single" w:sz="4" w:space="0" w:color="auto"/>
            </w:tcBorders>
            <w:shd w:val="clear" w:color="auto" w:fill="C6EFCE"/>
            <w:noWrap/>
          </w:tcPr>
          <w:p w14:paraId="7290BF0D" w14:textId="77777777" w:rsidR="00FA7C11" w:rsidRDefault="00D84965">
            <w:pPr>
              <w:pStyle w:val="P68B1DB1-Normal102"/>
              <w:spacing w:line="276" w:lineRule="auto"/>
              <w:jc w:val="center"/>
              <w:rPr>
                <w:noProof/>
              </w:rPr>
            </w:pPr>
            <w:r>
              <w:rPr>
                <w:noProof/>
              </w:rPr>
              <w:t>T</w:t>
            </w:r>
          </w:p>
        </w:tc>
        <w:tc>
          <w:tcPr>
            <w:tcW w:w="1373" w:type="dxa"/>
            <w:tcBorders>
              <w:top w:val="nil"/>
              <w:left w:val="nil"/>
              <w:bottom w:val="single" w:sz="4" w:space="0" w:color="auto"/>
              <w:right w:val="single" w:sz="4" w:space="0" w:color="auto"/>
            </w:tcBorders>
            <w:shd w:val="clear" w:color="auto" w:fill="C6EFCE"/>
            <w:noWrap/>
          </w:tcPr>
          <w:p w14:paraId="35FE5CF8" w14:textId="77777777" w:rsidR="00FA7C11" w:rsidRDefault="00D84965">
            <w:pPr>
              <w:pStyle w:val="P68B1DB1-Normal102"/>
              <w:spacing w:line="276" w:lineRule="auto"/>
              <w:rPr>
                <w:noProof/>
              </w:rPr>
            </w:pPr>
            <w:r>
              <w:rPr>
                <w:noProof/>
              </w:rPr>
              <w:t xml:space="preserve">Consolidarea supravegherii prin reuniuni periodice ale Grupului de lucru interinstituțional privind supravegherea </w:t>
            </w:r>
          </w:p>
        </w:tc>
        <w:tc>
          <w:tcPr>
            <w:tcW w:w="2693" w:type="dxa"/>
            <w:tcBorders>
              <w:top w:val="nil"/>
              <w:left w:val="nil"/>
              <w:bottom w:val="single" w:sz="4" w:space="0" w:color="auto"/>
              <w:right w:val="single" w:sz="4" w:space="0" w:color="auto"/>
            </w:tcBorders>
            <w:shd w:val="clear" w:color="auto" w:fill="C6EFCE"/>
            <w:noWrap/>
          </w:tcPr>
          <w:p w14:paraId="7A416AAF" w14:textId="77777777" w:rsidR="00FA7C11" w:rsidRDefault="00D84965">
            <w:pPr>
              <w:pStyle w:val="P68B1DB1-Normal102"/>
              <w:spacing w:line="276" w:lineRule="auto"/>
              <w:rPr>
                <w:noProof/>
              </w:rPr>
            </w:pPr>
            <w:r>
              <w:rPr>
                <w:noProof/>
              </w:rPr>
              <w:t xml:space="preserve"> </w:t>
            </w:r>
          </w:p>
        </w:tc>
        <w:tc>
          <w:tcPr>
            <w:tcW w:w="851" w:type="dxa"/>
            <w:tcBorders>
              <w:top w:val="nil"/>
              <w:left w:val="nil"/>
              <w:bottom w:val="single" w:sz="4" w:space="0" w:color="auto"/>
              <w:right w:val="single" w:sz="4" w:space="0" w:color="auto"/>
            </w:tcBorders>
            <w:shd w:val="clear" w:color="auto" w:fill="C6EFCE"/>
            <w:noWrap/>
          </w:tcPr>
          <w:p w14:paraId="3AA6BE8D" w14:textId="77777777" w:rsidR="00FA7C11" w:rsidRDefault="00D84965">
            <w:pPr>
              <w:pStyle w:val="P68B1DB1-Normal102"/>
              <w:spacing w:line="276" w:lineRule="auto"/>
              <w:jc w:val="center"/>
              <w:rPr>
                <w:noProof/>
              </w:rPr>
            </w:pPr>
            <w:r>
              <w:rPr>
                <w:noProof/>
              </w:rPr>
              <w:t>Număr</w:t>
            </w:r>
          </w:p>
        </w:tc>
        <w:tc>
          <w:tcPr>
            <w:tcW w:w="1134" w:type="dxa"/>
            <w:tcBorders>
              <w:top w:val="nil"/>
              <w:left w:val="nil"/>
              <w:bottom w:val="single" w:sz="4" w:space="0" w:color="auto"/>
              <w:right w:val="single" w:sz="4" w:space="0" w:color="auto"/>
            </w:tcBorders>
            <w:shd w:val="clear" w:color="auto" w:fill="C6EFCE"/>
            <w:noWrap/>
          </w:tcPr>
          <w:p w14:paraId="29E8EE2E" w14:textId="77777777" w:rsidR="00FA7C11" w:rsidRDefault="00D84965">
            <w:pPr>
              <w:pStyle w:val="P68B1DB1-Normal102"/>
              <w:spacing w:line="276" w:lineRule="auto"/>
              <w:jc w:val="center"/>
              <w:rPr>
                <w:noProof/>
              </w:rPr>
            </w:pPr>
            <w:r>
              <w:rPr>
                <w:noProof/>
              </w:rPr>
              <w:t>0</w:t>
            </w:r>
          </w:p>
        </w:tc>
        <w:tc>
          <w:tcPr>
            <w:tcW w:w="992" w:type="dxa"/>
            <w:tcBorders>
              <w:top w:val="nil"/>
              <w:left w:val="nil"/>
              <w:bottom w:val="single" w:sz="4" w:space="0" w:color="auto"/>
              <w:right w:val="single" w:sz="4" w:space="0" w:color="auto"/>
            </w:tcBorders>
            <w:shd w:val="clear" w:color="auto" w:fill="C6EFCE"/>
            <w:noWrap/>
          </w:tcPr>
          <w:p w14:paraId="68063513" w14:textId="77777777" w:rsidR="00FA7C11" w:rsidRDefault="00D84965">
            <w:pPr>
              <w:pStyle w:val="P68B1DB1-Normal102"/>
              <w:spacing w:line="276" w:lineRule="auto"/>
              <w:jc w:val="center"/>
              <w:rPr>
                <w:noProof/>
              </w:rPr>
            </w:pPr>
            <w:r>
              <w:rPr>
                <w:noProof/>
              </w:rPr>
              <w:t>12</w:t>
            </w:r>
          </w:p>
        </w:tc>
        <w:tc>
          <w:tcPr>
            <w:tcW w:w="957" w:type="dxa"/>
            <w:tcBorders>
              <w:top w:val="nil"/>
              <w:left w:val="nil"/>
              <w:bottom w:val="single" w:sz="4" w:space="0" w:color="auto"/>
              <w:right w:val="single" w:sz="4" w:space="0" w:color="auto"/>
            </w:tcBorders>
            <w:shd w:val="clear" w:color="auto" w:fill="C6EFCE"/>
            <w:noWrap/>
          </w:tcPr>
          <w:p w14:paraId="512EF5FD" w14:textId="77777777" w:rsidR="00FA7C11" w:rsidRDefault="00D84965">
            <w:pPr>
              <w:pStyle w:val="P68B1DB1-Normal102"/>
              <w:spacing w:line="276" w:lineRule="auto"/>
              <w:jc w:val="center"/>
              <w:rPr>
                <w:noProof/>
              </w:rPr>
            </w:pPr>
            <w:r>
              <w:rPr>
                <w:noProof/>
              </w:rPr>
              <w:t>Î4</w:t>
            </w:r>
          </w:p>
        </w:tc>
        <w:tc>
          <w:tcPr>
            <w:tcW w:w="709" w:type="dxa"/>
            <w:tcBorders>
              <w:top w:val="nil"/>
              <w:left w:val="nil"/>
              <w:bottom w:val="single" w:sz="4" w:space="0" w:color="auto"/>
              <w:right w:val="single" w:sz="4" w:space="0" w:color="auto"/>
            </w:tcBorders>
            <w:shd w:val="clear" w:color="auto" w:fill="C6EFCE"/>
            <w:noWrap/>
          </w:tcPr>
          <w:p w14:paraId="119FCDD2" w14:textId="77777777" w:rsidR="00FA7C11" w:rsidRDefault="00D84965">
            <w:pPr>
              <w:pStyle w:val="P68B1DB1-Normal102"/>
              <w:spacing w:line="276" w:lineRule="auto"/>
              <w:jc w:val="center"/>
              <w:rPr>
                <w:noProof/>
              </w:rPr>
            </w:pPr>
            <w:r>
              <w:rPr>
                <w:noProof/>
              </w:rPr>
              <w:t>2024</w:t>
            </w:r>
          </w:p>
        </w:tc>
        <w:tc>
          <w:tcPr>
            <w:tcW w:w="3497" w:type="dxa"/>
            <w:tcBorders>
              <w:top w:val="nil"/>
              <w:left w:val="nil"/>
              <w:bottom w:val="single" w:sz="4" w:space="0" w:color="auto"/>
              <w:right w:val="single" w:sz="4" w:space="0" w:color="auto"/>
            </w:tcBorders>
            <w:shd w:val="clear" w:color="auto" w:fill="C6EFCE"/>
            <w:noWrap/>
          </w:tcPr>
          <w:p w14:paraId="3AA79BC6" w14:textId="77777777" w:rsidR="00FA7C11" w:rsidRDefault="00D84965">
            <w:pPr>
              <w:pStyle w:val="P68B1DB1-Normal102"/>
              <w:spacing w:line="276" w:lineRule="auto"/>
              <w:rPr>
                <w:noProof/>
              </w:rPr>
            </w:pPr>
            <w:r>
              <w:rPr>
                <w:noProof/>
              </w:rPr>
              <w:t>Pentru a armoniza practicile de supraveghere, a îmbunătăți schimbul de experiență și de cunoștințe între autoritățile de supraveghere și a face schimb de informații, Grupul de lucru interinstituțional pentru supravegherea combaterii spălării banilor și a finanțării terorismului (MIRS) organizează cel puțin 12 reuniuni între sfârșitul anului 2020 și sfârșitul anului 2024. Grupul de lucru interinstituțional privind supravegherea consolidează cooperarea dintre toate autoritățile de supraveghere responsabile cu supravegherea punerii în aplicare a măsurilor și acțiunilor prevăzute în Legea privind combaterea spălării banilor și a finanțării terorismului. În special, Grupul de lucru interinstituțional privind supravegherea monitorizează: I) schimbul eficace de date statistice privind supravegherea efectuată, ii) schimbul de experiență în materie de supraveghere („cele mai bune practici”), (iii) schimbul de informații privind neregulile detectate în aplicarea legii, (iv) consolidarea și coordonarea activităților de supraveghere și (v) schimbul de informații privind planurile de supraveghere.</w:t>
            </w:r>
          </w:p>
        </w:tc>
      </w:tr>
      <w:tr w:rsidR="00FA7C11" w14:paraId="5C2824B4" w14:textId="77777777">
        <w:trPr>
          <w:jc w:val="center"/>
        </w:trPr>
        <w:tc>
          <w:tcPr>
            <w:tcW w:w="846" w:type="dxa"/>
            <w:tcBorders>
              <w:top w:val="nil"/>
              <w:left w:val="single" w:sz="4" w:space="0" w:color="auto"/>
              <w:bottom w:val="single" w:sz="4" w:space="0" w:color="auto"/>
              <w:right w:val="single" w:sz="4" w:space="0" w:color="auto"/>
            </w:tcBorders>
            <w:shd w:val="clear" w:color="auto" w:fill="C6EFCE"/>
            <w:noWrap/>
          </w:tcPr>
          <w:p w14:paraId="3953FBE3" w14:textId="77777777" w:rsidR="00FA7C11" w:rsidRDefault="00D84965">
            <w:pPr>
              <w:pStyle w:val="P68B1DB1-Normal102"/>
              <w:spacing w:line="276" w:lineRule="auto"/>
              <w:jc w:val="center"/>
              <w:rPr>
                <w:noProof/>
              </w:rPr>
            </w:pPr>
            <w:r>
              <w:rPr>
                <w:noProof/>
              </w:rPr>
              <w:t>253</w:t>
            </w:r>
          </w:p>
        </w:tc>
        <w:tc>
          <w:tcPr>
            <w:tcW w:w="992" w:type="dxa"/>
            <w:tcBorders>
              <w:top w:val="nil"/>
              <w:left w:val="nil"/>
              <w:bottom w:val="single" w:sz="4" w:space="0" w:color="auto"/>
              <w:right w:val="single" w:sz="4" w:space="0" w:color="auto"/>
            </w:tcBorders>
            <w:shd w:val="clear" w:color="auto" w:fill="C6EFCE"/>
            <w:noWrap/>
          </w:tcPr>
          <w:p w14:paraId="65F2FB18" w14:textId="77777777" w:rsidR="00FA7C11" w:rsidRDefault="00D84965">
            <w:pPr>
              <w:pStyle w:val="P68B1DB1-Normal102"/>
              <w:spacing w:line="276" w:lineRule="auto"/>
              <w:jc w:val="center"/>
              <w:rPr>
                <w:noProof/>
              </w:rPr>
            </w:pPr>
            <w:r>
              <w:rPr>
                <w:noProof/>
              </w:rPr>
              <w:t>C2.8. R3</w:t>
            </w:r>
          </w:p>
        </w:tc>
        <w:tc>
          <w:tcPr>
            <w:tcW w:w="1037" w:type="dxa"/>
            <w:tcBorders>
              <w:top w:val="nil"/>
              <w:left w:val="nil"/>
              <w:bottom w:val="single" w:sz="4" w:space="0" w:color="auto"/>
              <w:right w:val="single" w:sz="4" w:space="0" w:color="auto"/>
            </w:tcBorders>
            <w:shd w:val="clear" w:color="auto" w:fill="C6EFCE"/>
            <w:noWrap/>
          </w:tcPr>
          <w:p w14:paraId="3597BA6F" w14:textId="77777777" w:rsidR="00FA7C11" w:rsidRDefault="00D84965">
            <w:pPr>
              <w:pStyle w:val="P68B1DB1-Normal102"/>
              <w:spacing w:line="276" w:lineRule="auto"/>
              <w:jc w:val="center"/>
              <w:rPr>
                <w:noProof/>
              </w:rPr>
            </w:pPr>
            <w:r>
              <w:rPr>
                <w:noProof/>
              </w:rPr>
              <w:t>M</w:t>
            </w:r>
          </w:p>
        </w:tc>
        <w:tc>
          <w:tcPr>
            <w:tcW w:w="1373" w:type="dxa"/>
            <w:tcBorders>
              <w:top w:val="nil"/>
              <w:left w:val="nil"/>
              <w:bottom w:val="single" w:sz="4" w:space="0" w:color="auto"/>
              <w:right w:val="single" w:sz="4" w:space="0" w:color="auto"/>
            </w:tcBorders>
            <w:shd w:val="clear" w:color="auto" w:fill="C6EFCE"/>
            <w:noWrap/>
          </w:tcPr>
          <w:p w14:paraId="18D811B0" w14:textId="77777777" w:rsidR="00FA7C11" w:rsidRDefault="00D84965">
            <w:pPr>
              <w:pStyle w:val="P68B1DB1-Normal102"/>
              <w:spacing w:line="276" w:lineRule="auto"/>
              <w:rPr>
                <w:noProof/>
              </w:rPr>
            </w:pPr>
            <w:r>
              <w:rPr>
                <w:noProof/>
              </w:rPr>
              <w:t>Finalizarea punerii în aplicare a noului plan de acțiune pentru atenuarea riscurilor identificate de spălare a banilor și de finanțare a terorismului, pe baza unei evaluări actualizate a riscurilor la nivel național.</w:t>
            </w:r>
          </w:p>
        </w:tc>
        <w:tc>
          <w:tcPr>
            <w:tcW w:w="2693" w:type="dxa"/>
            <w:tcBorders>
              <w:top w:val="nil"/>
              <w:left w:val="nil"/>
              <w:bottom w:val="single" w:sz="4" w:space="0" w:color="auto"/>
              <w:right w:val="single" w:sz="4" w:space="0" w:color="auto"/>
            </w:tcBorders>
            <w:shd w:val="clear" w:color="auto" w:fill="C6EFCE"/>
            <w:noWrap/>
          </w:tcPr>
          <w:p w14:paraId="342B4CDA" w14:textId="77777777" w:rsidR="00FA7C11" w:rsidRDefault="00D84965">
            <w:pPr>
              <w:pStyle w:val="P68B1DB1-Normal102"/>
              <w:spacing w:line="276" w:lineRule="auto"/>
              <w:rPr>
                <w:noProof/>
              </w:rPr>
            </w:pPr>
            <w:r>
              <w:rPr>
                <w:noProof/>
              </w:rPr>
              <w:t xml:space="preserve">Finalizarea punerii în aplicare a noului plan de acțiune pentru atenuarea riscurilor identificate de spălare a banilor și de finanțare a terorismului prin consolidarea în continuare a cooperării și a schimbului de informații </w:t>
            </w:r>
          </w:p>
        </w:tc>
        <w:tc>
          <w:tcPr>
            <w:tcW w:w="851" w:type="dxa"/>
            <w:tcBorders>
              <w:top w:val="nil"/>
              <w:left w:val="nil"/>
              <w:bottom w:val="single" w:sz="4" w:space="0" w:color="auto"/>
              <w:right w:val="single" w:sz="4" w:space="0" w:color="auto"/>
            </w:tcBorders>
            <w:shd w:val="clear" w:color="auto" w:fill="C6EFCE"/>
            <w:noWrap/>
          </w:tcPr>
          <w:p w14:paraId="7C301EB5" w14:textId="77777777" w:rsidR="00FA7C11" w:rsidRDefault="00D84965">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5D170BF3" w14:textId="77777777" w:rsidR="00FA7C11" w:rsidRDefault="00D84965">
            <w:pPr>
              <w:pStyle w:val="P68B1DB1-Normal102"/>
              <w:spacing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8324F67" w14:textId="77777777" w:rsidR="00FA7C11" w:rsidRDefault="00D84965">
            <w:pPr>
              <w:pStyle w:val="P68B1DB1-Normal102"/>
              <w:spacing w:line="276" w:lineRule="auto"/>
              <w:jc w:val="center"/>
              <w:rPr>
                <w:noProof/>
              </w:rPr>
            </w:pPr>
            <w:r>
              <w:rPr>
                <w:noProof/>
              </w:rPr>
              <w:t> </w:t>
            </w:r>
          </w:p>
        </w:tc>
        <w:tc>
          <w:tcPr>
            <w:tcW w:w="957" w:type="dxa"/>
            <w:tcBorders>
              <w:top w:val="nil"/>
              <w:left w:val="nil"/>
              <w:bottom w:val="single" w:sz="4" w:space="0" w:color="auto"/>
              <w:right w:val="single" w:sz="4" w:space="0" w:color="auto"/>
            </w:tcBorders>
            <w:shd w:val="clear" w:color="auto" w:fill="C6EFCE"/>
            <w:noWrap/>
          </w:tcPr>
          <w:p w14:paraId="1D1D125D" w14:textId="77777777" w:rsidR="00FA7C11" w:rsidRDefault="00D84965">
            <w:pPr>
              <w:pStyle w:val="P68B1DB1-Normal102"/>
              <w:spacing w:line="276" w:lineRule="auto"/>
              <w:jc w:val="center"/>
              <w:rPr>
                <w:noProof/>
              </w:rPr>
            </w:pPr>
            <w:r>
              <w:rPr>
                <w:noProof/>
              </w:rPr>
              <w:t>Î4</w:t>
            </w:r>
          </w:p>
        </w:tc>
        <w:tc>
          <w:tcPr>
            <w:tcW w:w="709" w:type="dxa"/>
            <w:tcBorders>
              <w:top w:val="nil"/>
              <w:left w:val="nil"/>
              <w:bottom w:val="single" w:sz="4" w:space="0" w:color="auto"/>
              <w:right w:val="single" w:sz="4" w:space="0" w:color="auto"/>
            </w:tcBorders>
            <w:shd w:val="clear" w:color="auto" w:fill="C6EFCE"/>
            <w:noWrap/>
          </w:tcPr>
          <w:p w14:paraId="7F563B7E" w14:textId="77777777" w:rsidR="00FA7C11" w:rsidRDefault="00D84965">
            <w:pPr>
              <w:pStyle w:val="P68B1DB1-Normal102"/>
              <w:spacing w:line="276" w:lineRule="auto"/>
              <w:jc w:val="center"/>
              <w:rPr>
                <w:noProof/>
              </w:rPr>
            </w:pPr>
            <w:r>
              <w:rPr>
                <w:noProof/>
              </w:rPr>
              <w:t>2021</w:t>
            </w:r>
          </w:p>
        </w:tc>
        <w:tc>
          <w:tcPr>
            <w:tcW w:w="3497" w:type="dxa"/>
            <w:tcBorders>
              <w:top w:val="nil"/>
              <w:left w:val="nil"/>
              <w:bottom w:val="single" w:sz="4" w:space="0" w:color="auto"/>
              <w:right w:val="single" w:sz="4" w:space="0" w:color="auto"/>
            </w:tcBorders>
            <w:shd w:val="clear" w:color="auto" w:fill="C6EFCE"/>
            <w:noWrap/>
          </w:tcPr>
          <w:p w14:paraId="2A355C71" w14:textId="77777777" w:rsidR="00FA7C11" w:rsidRDefault="00D84965">
            <w:pPr>
              <w:pStyle w:val="P68B1DB1-Normal102"/>
              <w:spacing w:line="276" w:lineRule="auto"/>
              <w:rPr>
                <w:noProof/>
              </w:rPr>
            </w:pPr>
            <w:r>
              <w:rPr>
                <w:noProof/>
              </w:rPr>
              <w:t>Pe baza evaluării naționale a riscurilor de spălare a banilor și de finanțare a terorismului în Republica Croația, până la 31 decembrie 2021 se pune în aplicare pe deplin un plan de acțiune pentru atenuarea riscurilor identificate de spălare a banilor și de finanțare a terorismului. Planul de acțiune conține măsuri de reducere a riscurilor identificate, dreptul public și alte organisme desemnate de titulari pentru punerea în aplicare a măsurilor individuale, precum și termenul pentru punerea în aplicare a măsurilor. Planul ține seama de riscurile identificate de supraveghetori (Banca Națională a Croației, Inspectoratul Financiar, Agenția Croată de Supraveghere a Serviciilor Financiare), Biroul de Combatere a Spălării Banilor, Parchetul de Stat al Republicii Croația și entitățile obligate legale (bănci și altele). Acesta consolidează în continuare cooperarea și schimbul de informații între toate instituțiile și autoritățile responsabile.</w:t>
            </w:r>
          </w:p>
        </w:tc>
      </w:tr>
      <w:tr w:rsidR="00FA7C11" w14:paraId="12979751" w14:textId="77777777">
        <w:trPr>
          <w:jc w:val="center"/>
        </w:trPr>
        <w:tc>
          <w:tcPr>
            <w:tcW w:w="846" w:type="dxa"/>
            <w:tcBorders>
              <w:top w:val="nil"/>
              <w:left w:val="single" w:sz="4" w:space="0" w:color="auto"/>
              <w:bottom w:val="single" w:sz="4" w:space="0" w:color="auto"/>
              <w:right w:val="single" w:sz="4" w:space="0" w:color="auto"/>
            </w:tcBorders>
            <w:shd w:val="clear" w:color="auto" w:fill="C6EFCE"/>
            <w:noWrap/>
          </w:tcPr>
          <w:p w14:paraId="0B14FC70" w14:textId="77777777" w:rsidR="00FA7C11" w:rsidRDefault="00D84965">
            <w:pPr>
              <w:pStyle w:val="P68B1DB1-Normal102"/>
              <w:spacing w:line="276" w:lineRule="auto"/>
              <w:jc w:val="center"/>
              <w:rPr>
                <w:noProof/>
              </w:rPr>
            </w:pPr>
            <w:r>
              <w:rPr>
                <w:noProof/>
              </w:rPr>
              <w:t>254</w:t>
            </w:r>
          </w:p>
        </w:tc>
        <w:tc>
          <w:tcPr>
            <w:tcW w:w="992" w:type="dxa"/>
            <w:tcBorders>
              <w:top w:val="nil"/>
              <w:left w:val="nil"/>
              <w:bottom w:val="single" w:sz="4" w:space="0" w:color="auto"/>
              <w:right w:val="single" w:sz="4" w:space="0" w:color="auto"/>
            </w:tcBorders>
            <w:shd w:val="clear" w:color="auto" w:fill="C6EFCE"/>
            <w:noWrap/>
          </w:tcPr>
          <w:p w14:paraId="3F250F82" w14:textId="77777777" w:rsidR="00FA7C11" w:rsidRDefault="00D84965">
            <w:pPr>
              <w:pStyle w:val="P68B1DB1-Normal102"/>
              <w:spacing w:line="276" w:lineRule="auto"/>
              <w:jc w:val="center"/>
              <w:rPr>
                <w:noProof/>
              </w:rPr>
            </w:pPr>
            <w:r>
              <w:rPr>
                <w:noProof/>
              </w:rPr>
              <w:t>C2.8. R4</w:t>
            </w:r>
          </w:p>
        </w:tc>
        <w:tc>
          <w:tcPr>
            <w:tcW w:w="1037" w:type="dxa"/>
            <w:tcBorders>
              <w:top w:val="nil"/>
              <w:left w:val="nil"/>
              <w:bottom w:val="single" w:sz="4" w:space="0" w:color="auto"/>
              <w:right w:val="single" w:sz="4" w:space="0" w:color="auto"/>
            </w:tcBorders>
            <w:shd w:val="clear" w:color="auto" w:fill="C6EFCE"/>
            <w:noWrap/>
          </w:tcPr>
          <w:p w14:paraId="0BD0B842" w14:textId="77777777" w:rsidR="00FA7C11" w:rsidRDefault="00D84965">
            <w:pPr>
              <w:pStyle w:val="P68B1DB1-Normal102"/>
              <w:spacing w:line="276" w:lineRule="auto"/>
              <w:jc w:val="center"/>
              <w:rPr>
                <w:noProof/>
              </w:rPr>
            </w:pPr>
            <w:r>
              <w:rPr>
                <w:noProof/>
              </w:rPr>
              <w:t>M</w:t>
            </w:r>
          </w:p>
        </w:tc>
        <w:tc>
          <w:tcPr>
            <w:tcW w:w="1373" w:type="dxa"/>
            <w:tcBorders>
              <w:top w:val="nil"/>
              <w:left w:val="nil"/>
              <w:bottom w:val="single" w:sz="4" w:space="0" w:color="auto"/>
              <w:right w:val="single" w:sz="4" w:space="0" w:color="auto"/>
            </w:tcBorders>
            <w:shd w:val="clear" w:color="auto" w:fill="C6EFCE"/>
            <w:noWrap/>
          </w:tcPr>
          <w:p w14:paraId="61398122" w14:textId="77777777" w:rsidR="00FA7C11" w:rsidRDefault="00D84965">
            <w:pPr>
              <w:pStyle w:val="P68B1DB1-Normal102"/>
              <w:spacing w:line="276" w:lineRule="auto"/>
              <w:rPr>
                <w:noProof/>
              </w:rPr>
            </w:pPr>
            <w:r>
              <w:rPr>
                <w:noProof/>
              </w:rPr>
              <w:t>Consolidarea supravegherii sectorului financiar pe baza unei evaluări a riscurilor în domeniul CSB/CFT</w:t>
            </w:r>
          </w:p>
        </w:tc>
        <w:tc>
          <w:tcPr>
            <w:tcW w:w="2693" w:type="dxa"/>
            <w:tcBorders>
              <w:top w:val="nil"/>
              <w:left w:val="nil"/>
              <w:bottom w:val="single" w:sz="4" w:space="0" w:color="auto"/>
              <w:right w:val="single" w:sz="4" w:space="0" w:color="auto"/>
            </w:tcBorders>
            <w:shd w:val="clear" w:color="auto" w:fill="C6EFCE"/>
            <w:noWrap/>
          </w:tcPr>
          <w:p w14:paraId="761BE84A" w14:textId="77777777" w:rsidR="00FA7C11" w:rsidRDefault="00D84965">
            <w:pPr>
              <w:pStyle w:val="P68B1DB1-Normal102"/>
              <w:spacing w:line="276" w:lineRule="auto"/>
              <w:rPr>
                <w:noProof/>
              </w:rPr>
            </w:pPr>
            <w:r>
              <w:rPr>
                <w:noProof/>
              </w:rPr>
              <w:t>Punerea în aplicare integrală a procedurilor și metodologiilor consolidate pentru supravegherea bazată pe riscuri, elaborate în cadrul proiectului Instrumentului de sprijin tehnic (IST) intitulat „Supravegherea în funcție de riscuri a combaterii spălării banilor și a finanțării terorismului în sectorul financiar din Croația”, pentru a atenua în mod eficace riscurile identificate de spălare a banilor și de finanțare a terorismului</w:t>
            </w:r>
          </w:p>
        </w:tc>
        <w:tc>
          <w:tcPr>
            <w:tcW w:w="851" w:type="dxa"/>
            <w:tcBorders>
              <w:top w:val="nil"/>
              <w:left w:val="nil"/>
              <w:bottom w:val="single" w:sz="4" w:space="0" w:color="auto"/>
              <w:right w:val="single" w:sz="4" w:space="0" w:color="auto"/>
            </w:tcBorders>
            <w:shd w:val="clear" w:color="auto" w:fill="C6EFCE"/>
            <w:noWrap/>
          </w:tcPr>
          <w:p w14:paraId="27AB5126" w14:textId="77777777" w:rsidR="00FA7C11" w:rsidRDefault="00D84965">
            <w:pPr>
              <w:pStyle w:val="P68B1DB1-Normal102"/>
              <w:spacing w:line="276" w:lineRule="auto"/>
              <w:jc w:val="center"/>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7254F8CA" w14:textId="77777777" w:rsidR="00FA7C11" w:rsidRDefault="00D84965">
            <w:pPr>
              <w:pStyle w:val="P68B1DB1-Normal102"/>
              <w:spacing w:line="276" w:lineRule="auto"/>
              <w:jc w:val="center"/>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40D9635B" w14:textId="77777777" w:rsidR="00FA7C11" w:rsidRDefault="00D84965">
            <w:pPr>
              <w:pStyle w:val="P68B1DB1-Normal102"/>
              <w:spacing w:line="276" w:lineRule="auto"/>
              <w:jc w:val="center"/>
              <w:rPr>
                <w:noProof/>
              </w:rPr>
            </w:pPr>
            <w:r>
              <w:rPr>
                <w:noProof/>
              </w:rPr>
              <w:t> </w:t>
            </w:r>
          </w:p>
        </w:tc>
        <w:tc>
          <w:tcPr>
            <w:tcW w:w="957" w:type="dxa"/>
            <w:tcBorders>
              <w:top w:val="nil"/>
              <w:left w:val="nil"/>
              <w:bottom w:val="single" w:sz="4" w:space="0" w:color="auto"/>
              <w:right w:val="single" w:sz="4" w:space="0" w:color="auto"/>
            </w:tcBorders>
            <w:shd w:val="clear" w:color="auto" w:fill="C6EFCE"/>
            <w:noWrap/>
          </w:tcPr>
          <w:p w14:paraId="6EC56B34" w14:textId="77777777" w:rsidR="00FA7C11" w:rsidRDefault="00D84965">
            <w:pPr>
              <w:pStyle w:val="P68B1DB1-Normal102"/>
              <w:spacing w:line="276" w:lineRule="auto"/>
              <w:jc w:val="center"/>
              <w:rPr>
                <w:noProof/>
              </w:rPr>
            </w:pPr>
            <w:r>
              <w:rPr>
                <w:noProof/>
              </w:rPr>
              <w:t>Î4</w:t>
            </w:r>
          </w:p>
        </w:tc>
        <w:tc>
          <w:tcPr>
            <w:tcW w:w="709" w:type="dxa"/>
            <w:tcBorders>
              <w:top w:val="nil"/>
              <w:left w:val="nil"/>
              <w:bottom w:val="single" w:sz="4" w:space="0" w:color="auto"/>
              <w:right w:val="single" w:sz="4" w:space="0" w:color="auto"/>
            </w:tcBorders>
            <w:shd w:val="clear" w:color="auto" w:fill="C6EFCE"/>
            <w:noWrap/>
          </w:tcPr>
          <w:p w14:paraId="26AE9F3B" w14:textId="77777777" w:rsidR="00FA7C11" w:rsidRDefault="00D84965">
            <w:pPr>
              <w:pStyle w:val="P68B1DB1-Normal102"/>
              <w:spacing w:line="276" w:lineRule="auto"/>
              <w:jc w:val="center"/>
              <w:rPr>
                <w:noProof/>
              </w:rPr>
            </w:pPr>
            <w:r>
              <w:rPr>
                <w:noProof/>
              </w:rPr>
              <w:t>2023</w:t>
            </w:r>
          </w:p>
        </w:tc>
        <w:tc>
          <w:tcPr>
            <w:tcW w:w="3497" w:type="dxa"/>
            <w:tcBorders>
              <w:top w:val="nil"/>
              <w:left w:val="nil"/>
              <w:bottom w:val="single" w:sz="4" w:space="0" w:color="auto"/>
              <w:right w:val="single" w:sz="4" w:space="0" w:color="auto"/>
            </w:tcBorders>
            <w:shd w:val="clear" w:color="auto" w:fill="C6EFCE"/>
            <w:noWrap/>
          </w:tcPr>
          <w:p w14:paraId="141F5F4C" w14:textId="77777777" w:rsidR="00FA7C11" w:rsidRDefault="00D84965">
            <w:pPr>
              <w:pStyle w:val="P68B1DB1-Normal102"/>
              <w:spacing w:line="276" w:lineRule="auto"/>
              <w:rPr>
                <w:noProof/>
              </w:rPr>
            </w:pPr>
            <w:r>
              <w:rPr>
                <w:noProof/>
              </w:rPr>
              <w:t>Autoritățile iau măsuri, dacă este necesar prin adoptarea de acte legislative, pentru a consolida supravegherea sectorului financiar, pe baza unei evaluări a riscurilor efectuate de Banca Națională a Croației și de Agenția croată de supraveghere a serviciilor financiare și utilizând o abordare bazată pe riscuri elaborată în conformitate cu rezultatele asistenței tehnice furnizate în cadrul Instrumentului de sprijin tehnic. Acțiunile consolidează capacitatea instituțională și administrativă și contribuie la îmbunătățirea eficacității întregului sistem de prevenire a spălării banilor și a finanțării terorismului din Croația și, în cele din urmă, la îmbunătățirea cadrului general de combatere a spălării banilor din Croația.</w:t>
            </w:r>
          </w:p>
        </w:tc>
      </w:tr>
    </w:tbl>
    <w:p w14:paraId="5C94B473" w14:textId="77777777" w:rsidR="00FA7C11" w:rsidRDefault="00FA7C11">
      <w:pPr>
        <w:rPr>
          <w:noProof/>
        </w:rPr>
        <w:sectPr w:rsidR="00FA7C11" w:rsidSect="00FA29B2">
          <w:headerReference w:type="even" r:id="rId260"/>
          <w:headerReference w:type="default" r:id="rId261"/>
          <w:footerReference w:type="even" r:id="rId262"/>
          <w:footerReference w:type="default" r:id="rId263"/>
          <w:headerReference w:type="first" r:id="rId264"/>
          <w:footerReference w:type="first" r:id="rId265"/>
          <w:pgSz w:w="16839" w:h="11907" w:orient="landscape"/>
          <w:pgMar w:top="1134" w:right="1134" w:bottom="1134" w:left="1134" w:header="567" w:footer="567" w:gutter="0"/>
          <w:cols w:space="708"/>
          <w:docGrid w:linePitch="360"/>
        </w:sectPr>
      </w:pPr>
    </w:p>
    <w:p w14:paraId="4FDB7831" w14:textId="77777777" w:rsidR="00FA7C11" w:rsidRDefault="00D84965">
      <w:pPr>
        <w:pStyle w:val="P68B1DB1-Normal111"/>
        <w:keepNext/>
        <w:tabs>
          <w:tab w:val="left" w:pos="850"/>
        </w:tabs>
        <w:spacing w:before="360" w:line="276" w:lineRule="auto"/>
        <w:ind w:left="850" w:firstLine="1"/>
        <w:jc w:val="both"/>
        <w:outlineLvl w:val="0"/>
        <w:rPr>
          <w:noProof/>
        </w:rPr>
      </w:pPr>
      <w:r>
        <w:rPr>
          <w:noProof/>
        </w:rPr>
        <w:t>O. COMPONENTA 2.9: CONSOLIDAREA CADRULUI PRIVIND ACHIZIȚIILE PUBLICE</w:t>
      </w:r>
    </w:p>
    <w:p w14:paraId="319ED687" w14:textId="7A163451" w:rsidR="00FA7C11" w:rsidRDefault="00D84965">
      <w:pPr>
        <w:pStyle w:val="P68B1DB1-Text1112"/>
        <w:spacing w:line="276" w:lineRule="auto"/>
        <w:ind w:left="0"/>
        <w:jc w:val="both"/>
        <w:rPr>
          <w:noProof/>
        </w:rPr>
      </w:pPr>
      <w:r>
        <w:rPr>
          <w:noProof/>
        </w:rPr>
        <w:t xml:space="preserve">Pentru a consolida cadrul privind achizițiile publice și a-l alinia la cele mai bune practici ale UE, această componentă a planului croat de redresare și reziliență include măsuri de îmbunătățire a sistemului de formare pentru achizițiile publice, de consolidare a sistemului de revizuire prin introducerea unor căi de atac electronice obligatorii și de încurajare a utilizării achizițiilor inovatoare. Sistemul consolidat de achiziții publice contribuie, </w:t>
      </w:r>
      <w:r>
        <w:rPr>
          <w:i/>
          <w:noProof/>
        </w:rPr>
        <w:t>printre altele</w:t>
      </w:r>
      <w:r>
        <w:rPr>
          <w:noProof/>
        </w:rPr>
        <w:t xml:space="preserve">, la combaterea corupției și conduce la o mai bună absorbție a fondurilor UE, ceea ce se preconizează că va duce la îmbunătățirea mediului de afaceri, la creșterea investițiilor private, la productivitate și la crearea de noi locuri de muncă. </w:t>
      </w:r>
    </w:p>
    <w:p w14:paraId="3598D402" w14:textId="3AF7F57A" w:rsidR="00FA7C11" w:rsidRDefault="00D84965">
      <w:pPr>
        <w:pStyle w:val="P68B1DB1-Text1112"/>
        <w:spacing w:line="276" w:lineRule="auto"/>
        <w:ind w:left="0"/>
        <w:jc w:val="both"/>
        <w:rPr>
          <w:noProof/>
        </w:rPr>
      </w:pPr>
      <w:r>
        <w:rPr>
          <w:noProof/>
        </w:rPr>
        <w:t xml:space="preserve">Componenta include trei reforme și o investiție menite să sporească transparența și eficiența sistemului de achiziții publice din Croația. Acestea vor contribui, de asemenea, la o mai bună prevenire a corupției, în special la nivel local (RST 2019), și vor îmbunătăți capacitatea și eficiența administrației publice croate (RST 2020). </w:t>
      </w:r>
    </w:p>
    <w:p w14:paraId="430A17D5" w14:textId="77777777" w:rsidR="00FA7C11" w:rsidRDefault="00D84965">
      <w:pPr>
        <w:pStyle w:val="P68B1DB1-Normal113"/>
        <w:keepNext/>
        <w:spacing w:before="40" w:after="0" w:line="276" w:lineRule="auto"/>
        <w:ind w:left="851"/>
        <w:jc w:val="both"/>
        <w:outlineLvl w:val="1"/>
        <w:rPr>
          <w:noProof/>
        </w:rPr>
      </w:pPr>
      <w:r>
        <w:rPr>
          <w:noProof/>
        </w:rPr>
        <w:t xml:space="preserve">O.1. </w:t>
      </w:r>
      <w:r>
        <w:rPr>
          <w:noProof/>
        </w:rPr>
        <w:tab/>
        <w:t>Descrierea reformelor și a investițiilor pentru sprijinul financiar nerambursabil</w:t>
      </w:r>
    </w:p>
    <w:p w14:paraId="75412EAD" w14:textId="77777777" w:rsidR="00FA7C11" w:rsidRDefault="00FA7C11">
      <w:pPr>
        <w:keepNext/>
        <w:spacing w:line="276" w:lineRule="auto"/>
        <w:ind w:left="850"/>
        <w:jc w:val="both"/>
        <w:rPr>
          <w:rFonts w:ascii="Times New Roman" w:hAnsi="Times New Roman" w:cs="Times New Roman"/>
          <w:noProof/>
          <w:sz w:val="24"/>
          <w:szCs w:val="24"/>
          <w:u w:val="single"/>
        </w:rPr>
      </w:pPr>
    </w:p>
    <w:p w14:paraId="60A89D0E" w14:textId="77777777" w:rsidR="00FA7C11" w:rsidRDefault="00D84965">
      <w:pPr>
        <w:pStyle w:val="P68B1DB1-Normal81"/>
        <w:keepNext/>
        <w:spacing w:line="276" w:lineRule="auto"/>
        <w:ind w:left="850"/>
        <w:jc w:val="both"/>
        <w:rPr>
          <w:noProof/>
        </w:rPr>
      </w:pPr>
      <w:r>
        <w:rPr>
          <w:noProof/>
        </w:rPr>
        <w:t xml:space="preserve">Reforma C2.9 R1 – Furnizarea continuă de formare în domeniul achizițiilor publice </w:t>
      </w:r>
    </w:p>
    <w:p w14:paraId="3F9E05D1" w14:textId="77777777" w:rsidR="00FA7C11" w:rsidRDefault="00D84965">
      <w:pPr>
        <w:pStyle w:val="P68B1DB1-Normal46"/>
        <w:spacing w:line="276" w:lineRule="auto"/>
        <w:jc w:val="both"/>
        <w:rPr>
          <w:noProof/>
        </w:rPr>
      </w:pPr>
      <w:r>
        <w:rPr>
          <w:noProof/>
        </w:rPr>
        <w:t>Obiectivul reformei este de a îmbunătăți sistemul de formare în domeniul achizițiilor publice prin dezvoltarea de noi instrumente pentru dobândirea de cunoștințe teoretice și practice, aptitudini și competențe profesionale pentru punerea în aplicare profesională, eficientă din punctul de vedere al costurilor, eficientă și eficace a procedurilor de achiziții publice la toate nivelurile. Acesta se bazează pe o abordare cuprinzătoare pentru consolidarea competitivității părților interesate în sistemul de achiziții publice prin integrarea rezultatelor analizei volumului de muncă în cadrul acțiunii de investiții C2.9.R1-I1. În special, analiza definește nevoile de formare continuă și planificată a principalilor angajați din domeniul achizițiilor publice pe baza matricei de competențe care definește 30 de competențe și aptitudini.</w:t>
      </w:r>
    </w:p>
    <w:p w14:paraId="2C51F3B3" w14:textId="77777777" w:rsidR="00FA7C11" w:rsidRDefault="00D84965">
      <w:pPr>
        <w:pStyle w:val="P68B1DB1-Normal46"/>
        <w:spacing w:line="276" w:lineRule="auto"/>
        <w:jc w:val="both"/>
        <w:rPr>
          <w:noProof/>
        </w:rPr>
      </w:pPr>
      <w:r>
        <w:rPr>
          <w:noProof/>
        </w:rPr>
        <w:t xml:space="preserve">În plus, Cadrul european de competențe pentru profesioniștii din domeniul achizițiilor publice ProcurCompEU, care servește drept cadru de referință comun pentru practicienii din domeniul achizițiilor publice, se introduce în sistemul croat de formare până la 31 decembrie 2023. În primul rând, pentru persoanele fizice, cadrul facilitează identificarea și conceperea competențelor personale și profesionale. În al doilea rând, entitățile contractante îl utilizează pentru a evalua și a îmbunătăți eficiența achizițiilor publice în organizația lor. În cele din urmă, furnizorii de formare în domeniul achizițiilor publice trebuie să poată utiliza cadrul ProcurCompEU pentru a dezvolta programe cuprinzătoare de învățare și formare. </w:t>
      </w:r>
    </w:p>
    <w:p w14:paraId="5EFEEC86" w14:textId="77777777" w:rsidR="00FA7C11" w:rsidRDefault="00D84965">
      <w:pPr>
        <w:pStyle w:val="P68B1DB1-Normal46"/>
        <w:spacing w:line="276" w:lineRule="auto"/>
        <w:jc w:val="both"/>
        <w:rPr>
          <w:noProof/>
        </w:rPr>
      </w:pPr>
      <w:r>
        <w:rPr>
          <w:noProof/>
        </w:rPr>
        <w:t>În al treilea rând, programele generale de formare, care vor fi, de asemenea, deschise ofertanților, vor spori nivelul de cunoștințe și competențe în ceea ce privește desfășurarea procedurilor de achiziții publice din partea ofertanților, îmbunătățind nivelul de participare și de succes al IMM-urilor în domeniul achizițiilor publice.</w:t>
      </w:r>
    </w:p>
    <w:p w14:paraId="74C4A9FE" w14:textId="77777777" w:rsidR="00FA7C11" w:rsidRDefault="00D84965">
      <w:pPr>
        <w:pStyle w:val="P68B1DB1-Normal46"/>
        <w:spacing w:line="276" w:lineRule="auto"/>
        <w:jc w:val="both"/>
        <w:rPr>
          <w:noProof/>
        </w:rPr>
      </w:pPr>
      <w:r>
        <w:rPr>
          <w:noProof/>
        </w:rPr>
        <w:t>Această reformă se finalizează până la 31 decembrie 2023.</w:t>
      </w:r>
    </w:p>
    <w:p w14:paraId="37BA62E5" w14:textId="77777777" w:rsidR="00FA7C11" w:rsidRDefault="00FA7C11">
      <w:pPr>
        <w:rPr>
          <w:rFonts w:ascii="Times New Roman" w:hAnsi="Times New Roman" w:cs="Times New Roman"/>
          <w:noProof/>
          <w:sz w:val="24"/>
          <w:szCs w:val="24"/>
        </w:rPr>
      </w:pPr>
    </w:p>
    <w:p w14:paraId="0470BB25" w14:textId="77777777" w:rsidR="00FA7C11" w:rsidRDefault="00D84965">
      <w:pPr>
        <w:pStyle w:val="P68B1DB1-Normal46"/>
        <w:tabs>
          <w:tab w:val="left" w:pos="5910"/>
        </w:tabs>
        <w:rPr>
          <w:noProof/>
        </w:rPr>
      </w:pPr>
      <w:r>
        <w:rPr>
          <w:noProof/>
        </w:rPr>
        <w:tab/>
      </w:r>
    </w:p>
    <w:p w14:paraId="73C826A5" w14:textId="77777777" w:rsidR="00FA7C11" w:rsidRDefault="00D84965">
      <w:pPr>
        <w:pStyle w:val="P68B1DB1-Normal81"/>
        <w:keepNext/>
        <w:spacing w:line="276" w:lineRule="auto"/>
        <w:ind w:left="850"/>
        <w:jc w:val="both"/>
        <w:rPr>
          <w:noProof/>
        </w:rPr>
      </w:pPr>
      <w:r>
        <w:rPr>
          <w:noProof/>
        </w:rPr>
        <w:t>Investiția C2.9 R1-I1 – Analiza volumului de muncă al angajaților instituțiilor-cheie din sistemul de achiziții publice</w:t>
      </w:r>
    </w:p>
    <w:p w14:paraId="607F8E96" w14:textId="77777777" w:rsidR="00FA7C11" w:rsidRDefault="00D84965">
      <w:pPr>
        <w:pStyle w:val="P68B1DB1-Text1112"/>
        <w:spacing w:line="276" w:lineRule="auto"/>
        <w:ind w:left="0"/>
        <w:rPr>
          <w:noProof/>
        </w:rPr>
      </w:pPr>
      <w:r>
        <w:rPr>
          <w:noProof/>
        </w:rPr>
        <w:t>Această investiție furnizează o analiză a volumului de muncă pentru a determina numărul de actori, competențele necesare ale personalului și îmbunătățirile necesare ale sistemului de compensare. Se preconizează că punerea în aplicare a recomandării analizei va asigura și va menține un număr optim de personal cu înaltă calificare și motivat, care să răspundă nevoilor principalelor instituții de achiziții publice.</w:t>
      </w:r>
    </w:p>
    <w:p w14:paraId="188DFA12" w14:textId="77777777" w:rsidR="00FA7C11" w:rsidRDefault="00D84965">
      <w:pPr>
        <w:pStyle w:val="P68B1DB1-Text1112"/>
        <w:spacing w:line="276" w:lineRule="auto"/>
        <w:ind w:left="0"/>
        <w:rPr>
          <w:noProof/>
        </w:rPr>
      </w:pPr>
      <w:r>
        <w:rPr>
          <w:noProof/>
        </w:rPr>
        <w:t>Inițiativa prevede:</w:t>
      </w:r>
    </w:p>
    <w:p w14:paraId="19BF3565" w14:textId="77777777" w:rsidR="00FA7C11" w:rsidRDefault="00D84965">
      <w:pPr>
        <w:pStyle w:val="P68B1DB1-Text1112"/>
        <w:numPr>
          <w:ilvl w:val="0"/>
          <w:numId w:val="68"/>
        </w:numPr>
        <w:spacing w:line="276" w:lineRule="auto"/>
        <w:ind w:left="720"/>
        <w:jc w:val="both"/>
        <w:rPr>
          <w:noProof/>
        </w:rPr>
      </w:pPr>
      <w:r>
        <w:rPr>
          <w:noProof/>
        </w:rPr>
        <w:t>analiza volumului de muncă în cadrul organismelor de achiziții publice, inclusă în gestionarea fondurilor UE;</w:t>
      </w:r>
    </w:p>
    <w:p w14:paraId="577027A6" w14:textId="77777777" w:rsidR="00FA7C11" w:rsidRDefault="00D84965">
      <w:pPr>
        <w:pStyle w:val="P68B1DB1-Text1112"/>
        <w:numPr>
          <w:ilvl w:val="0"/>
          <w:numId w:val="68"/>
        </w:numPr>
        <w:spacing w:line="276" w:lineRule="auto"/>
        <w:ind w:left="720"/>
        <w:jc w:val="both"/>
        <w:rPr>
          <w:noProof/>
        </w:rPr>
      </w:pPr>
      <w:r>
        <w:rPr>
          <w:noProof/>
        </w:rPr>
        <w:t>descrierea sarcinilor pe care le îndeplinesc;</w:t>
      </w:r>
    </w:p>
    <w:p w14:paraId="04AE01D8" w14:textId="77777777" w:rsidR="00FA7C11" w:rsidRDefault="00D84965">
      <w:pPr>
        <w:pStyle w:val="P68B1DB1-Text1112"/>
        <w:numPr>
          <w:ilvl w:val="0"/>
          <w:numId w:val="68"/>
        </w:numPr>
        <w:spacing w:line="276" w:lineRule="auto"/>
        <w:ind w:left="720"/>
        <w:jc w:val="both"/>
        <w:rPr>
          <w:noProof/>
        </w:rPr>
      </w:pPr>
      <w:r>
        <w:rPr>
          <w:noProof/>
        </w:rPr>
        <w:t>definirea competențelor necesare.</w:t>
      </w:r>
    </w:p>
    <w:p w14:paraId="22897C95" w14:textId="77777777" w:rsidR="00FA7C11" w:rsidRDefault="00D84965">
      <w:pPr>
        <w:pStyle w:val="P68B1DB1-Text1112"/>
        <w:spacing w:line="276" w:lineRule="auto"/>
        <w:ind w:left="0"/>
        <w:rPr>
          <w:noProof/>
        </w:rPr>
      </w:pPr>
      <w:r>
        <w:rPr>
          <w:noProof/>
        </w:rPr>
        <w:t xml:space="preserve">Analiza volumului de muncă se bazează pe datele istorice privind volumul de muncă, ținând seama, de asemenea, de tendințele preconizate ale volumului de muncă, inclusiv de nevoile de formare continuă și planificată a personalului cu privire la subiecte specifice legate de achiziții publice, cum ar fi achizițiile strategice, responsabile din punct de vedere social, sustenabile, achizițiile publice inovatoare și accesul IMM-urilor la această piață a achizițiilor publice. </w:t>
      </w:r>
    </w:p>
    <w:p w14:paraId="0F7D340D" w14:textId="77777777" w:rsidR="00FA7C11" w:rsidRDefault="00D84965">
      <w:pPr>
        <w:pStyle w:val="P68B1DB1-Text1112"/>
        <w:spacing w:line="276" w:lineRule="auto"/>
        <w:ind w:left="0"/>
        <w:rPr>
          <w:noProof/>
        </w:rPr>
      </w:pPr>
      <w:r>
        <w:rPr>
          <w:noProof/>
        </w:rPr>
        <w:t>Rezultatele analizei vor fi utilizate pentru a defini nevoile de formare continuă și planificată a personalului instituțiilor-cheie din sistemul de achiziții publice (MINGOR – Ministerul Economiei și Dezvoltării Durabile, SAFU – Agenția Centrală de Finanțe și Contractare și DKOM- Comisia de Stat pentru Supravegherea Achizițiilor Publice).</w:t>
      </w:r>
    </w:p>
    <w:p w14:paraId="51429AFB" w14:textId="77777777" w:rsidR="00FA7C11" w:rsidRDefault="00D84965">
      <w:pPr>
        <w:pStyle w:val="P68B1DB1-Text1112"/>
        <w:spacing w:line="276" w:lineRule="auto"/>
        <w:ind w:left="0"/>
        <w:rPr>
          <w:noProof/>
        </w:rPr>
      </w:pPr>
      <w:r>
        <w:rPr>
          <w:noProof/>
        </w:rPr>
        <w:t>Această măsură se finalizează până la 30 septembrie 2022.</w:t>
      </w:r>
    </w:p>
    <w:p w14:paraId="03407B3C" w14:textId="77777777" w:rsidR="00FA7C11" w:rsidRDefault="00D84965">
      <w:pPr>
        <w:pStyle w:val="P68B1DB1-Normal81"/>
        <w:keepNext/>
        <w:spacing w:line="276" w:lineRule="auto"/>
        <w:ind w:left="850"/>
        <w:jc w:val="both"/>
        <w:rPr>
          <w:noProof/>
        </w:rPr>
      </w:pPr>
      <w:r>
        <w:rPr>
          <w:noProof/>
        </w:rPr>
        <w:t xml:space="preserve">Reforma C2.9 R2 – Consolidarea sistemului de revizuire în domeniul achizițiilor publice </w:t>
      </w:r>
    </w:p>
    <w:p w14:paraId="5BC45D6D" w14:textId="77777777" w:rsidR="00FA7C11" w:rsidRDefault="00D84965">
      <w:pPr>
        <w:pStyle w:val="P68B1DB1-Text1112"/>
        <w:spacing w:line="276" w:lineRule="auto"/>
        <w:ind w:left="0"/>
        <w:rPr>
          <w:noProof/>
        </w:rPr>
      </w:pPr>
      <w:r>
        <w:rPr>
          <w:noProof/>
        </w:rPr>
        <w:t>Obiectivul reformei este de a contribui la reducerea sarcinii administrative legate de sistemul de revizuire și de a contribui la combaterea corupției prin reducerea duratei medii a căilor de atac și prin impunerea obligativității căilor de atac electronice.</w:t>
      </w:r>
    </w:p>
    <w:p w14:paraId="1740F405" w14:textId="77777777" w:rsidR="00FA7C11" w:rsidRDefault="00D84965">
      <w:pPr>
        <w:pStyle w:val="P68B1DB1-Text1112"/>
        <w:spacing w:line="276" w:lineRule="auto"/>
        <w:ind w:left="0"/>
        <w:rPr>
          <w:noProof/>
        </w:rPr>
      </w:pPr>
      <w:r>
        <w:rPr>
          <w:noProof/>
        </w:rPr>
        <w:t>Reforma constă în modificări ale cadrului legislativ privind achizițiile publice pentru a introduce recursul electronic ca instrument obligatoriu în sistemul de achiziții publice și în reducerea duratei medii de soluționare a recursurilor.</w:t>
      </w:r>
    </w:p>
    <w:p w14:paraId="31DE30FE" w14:textId="77777777" w:rsidR="00FA7C11" w:rsidRDefault="00D84965">
      <w:pPr>
        <w:pStyle w:val="P68B1DB1-Text1114"/>
        <w:keepNext/>
        <w:spacing w:line="276" w:lineRule="auto"/>
        <w:ind w:left="720" w:firstLine="120"/>
        <w:rPr>
          <w:noProof/>
        </w:rPr>
      </w:pPr>
      <w:r>
        <w:rPr>
          <w:noProof/>
        </w:rPr>
        <w:t>Reforma C2.9 R3 – Achiziții publice inovatoare</w:t>
      </w:r>
    </w:p>
    <w:p w14:paraId="340A5D8F" w14:textId="77777777" w:rsidR="00FA7C11" w:rsidRDefault="00D84965">
      <w:pPr>
        <w:pStyle w:val="P68B1DB1-Text1112"/>
        <w:spacing w:line="276" w:lineRule="auto"/>
        <w:ind w:left="0"/>
        <w:rPr>
          <w:noProof/>
        </w:rPr>
      </w:pPr>
      <w:r>
        <w:rPr>
          <w:noProof/>
        </w:rPr>
        <w:t xml:space="preserve">Obiectivul reformei este de a spori utilizarea achizițiilor publice în domeniul inovării în Croația. </w:t>
      </w:r>
    </w:p>
    <w:p w14:paraId="0CB41643" w14:textId="77777777" w:rsidR="00FA7C11" w:rsidRDefault="00D84965">
      <w:pPr>
        <w:pStyle w:val="P68B1DB1-Text1112"/>
        <w:spacing w:line="276" w:lineRule="auto"/>
        <w:ind w:left="0"/>
        <w:rPr>
          <w:noProof/>
        </w:rPr>
      </w:pPr>
      <w:r>
        <w:rPr>
          <w:noProof/>
        </w:rPr>
        <w:t xml:space="preserve">Această măsură include elaborarea și punerea în aplicare a unui program de formare privind achizițiile publice în domeniul inovării pentru achizitorii publici din Croația. </w:t>
      </w:r>
    </w:p>
    <w:p w14:paraId="73C6BD9C" w14:textId="77777777" w:rsidR="00FA7C11" w:rsidRDefault="00FA7C11">
      <w:pPr>
        <w:rPr>
          <w:noProof/>
        </w:rPr>
        <w:sectPr w:rsidR="00FA7C11" w:rsidSect="00FA29B2">
          <w:headerReference w:type="even" r:id="rId266"/>
          <w:headerReference w:type="default" r:id="rId267"/>
          <w:footerReference w:type="even" r:id="rId268"/>
          <w:footerReference w:type="default" r:id="rId269"/>
          <w:headerReference w:type="first" r:id="rId270"/>
          <w:footerReference w:type="first" r:id="rId271"/>
          <w:pgSz w:w="11906" w:h="16838"/>
          <w:pgMar w:top="1134" w:right="1134" w:bottom="1134" w:left="1134" w:header="567" w:footer="567" w:gutter="0"/>
          <w:cols w:space="708"/>
          <w:docGrid w:linePitch="360"/>
        </w:sectPr>
      </w:pPr>
    </w:p>
    <w:p w14:paraId="2A650F7F" w14:textId="77777777" w:rsidR="00FA7C11" w:rsidRDefault="00D84965">
      <w:pPr>
        <w:pStyle w:val="P68B1DB1-Normal113"/>
        <w:keepNext/>
        <w:tabs>
          <w:tab w:val="num" w:pos="426"/>
        </w:tabs>
        <w:spacing w:before="40" w:after="0"/>
        <w:ind w:left="284" w:firstLine="567"/>
        <w:jc w:val="both"/>
        <w:outlineLvl w:val="1"/>
        <w:rPr>
          <w:noProof/>
        </w:rPr>
      </w:pPr>
      <w:r>
        <w:rPr>
          <w:noProof/>
        </w:rPr>
        <w:t xml:space="preserve">O.2. </w:t>
      </w:r>
      <w:r>
        <w:rPr>
          <w:noProof/>
        </w:rPr>
        <w:tab/>
        <w:t>Jaloane, ținte, indicatori și calendarul de monitorizare și implementare aplicabile sprijinului financiar nerambursabil</w:t>
      </w:r>
    </w:p>
    <w:p w14:paraId="02103E80" w14:textId="77777777" w:rsidR="00FA7C11" w:rsidRDefault="00FA7C11">
      <w:pPr>
        <w:keepNext/>
        <w:tabs>
          <w:tab w:val="num" w:pos="850"/>
        </w:tabs>
        <w:spacing w:before="40" w:after="0"/>
        <w:ind w:left="851"/>
        <w:jc w:val="both"/>
        <w:outlineLvl w:val="1"/>
        <w:rPr>
          <w:rFonts w:eastAsiaTheme="minorEastAsia"/>
          <w:b/>
          <w:noProof/>
          <w:szCs w:val="24"/>
          <w:u w:val="single"/>
        </w:rPr>
      </w:pPr>
    </w:p>
    <w:tbl>
      <w:tblPr>
        <w:tblW w:w="15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9"/>
        <w:gridCol w:w="1200"/>
        <w:gridCol w:w="1345"/>
        <w:gridCol w:w="1800"/>
        <w:gridCol w:w="1808"/>
        <w:gridCol w:w="1096"/>
        <w:gridCol w:w="966"/>
        <w:gridCol w:w="927"/>
        <w:gridCol w:w="919"/>
        <w:gridCol w:w="960"/>
        <w:gridCol w:w="4347"/>
      </w:tblGrid>
      <w:tr w:rsidR="00FA7C11" w14:paraId="0319138C" w14:textId="77777777">
        <w:trPr>
          <w:trHeight w:val="635"/>
          <w:tblHeader/>
          <w:jc w:val="center"/>
        </w:trPr>
        <w:tc>
          <w:tcPr>
            <w:tcW w:w="849" w:type="dxa"/>
            <w:vMerge w:val="restart"/>
            <w:shd w:val="clear" w:color="auto" w:fill="BDD7EE"/>
            <w:vAlign w:val="center"/>
            <w:hideMark/>
          </w:tcPr>
          <w:p w14:paraId="443A734A" w14:textId="77777777" w:rsidR="00FA7C11" w:rsidRDefault="00D84965">
            <w:pPr>
              <w:pStyle w:val="P68B1DB1-Normal58"/>
              <w:spacing w:after="0"/>
              <w:ind w:left="-255" w:firstLine="113"/>
              <w:jc w:val="center"/>
              <w:rPr>
                <w:bCs/>
                <w:noProof/>
              </w:rPr>
            </w:pPr>
            <w:r>
              <w:rPr>
                <w:noProof/>
              </w:rPr>
              <w:t>Număr</w:t>
            </w:r>
          </w:p>
        </w:tc>
        <w:tc>
          <w:tcPr>
            <w:tcW w:w="1200" w:type="dxa"/>
            <w:vMerge w:val="restart"/>
            <w:shd w:val="clear" w:color="auto" w:fill="BDD7EE"/>
            <w:vAlign w:val="center"/>
            <w:hideMark/>
          </w:tcPr>
          <w:p w14:paraId="1165BFF8" w14:textId="77777777" w:rsidR="00FA7C11" w:rsidRDefault="00D84965">
            <w:pPr>
              <w:pStyle w:val="P68B1DB1-Normal58"/>
              <w:spacing w:after="0"/>
              <w:jc w:val="center"/>
              <w:rPr>
                <w:bCs/>
                <w:noProof/>
              </w:rPr>
            </w:pPr>
            <w:r>
              <w:rPr>
                <w:noProof/>
              </w:rPr>
              <w:t>Măsură</w:t>
            </w:r>
          </w:p>
        </w:tc>
        <w:tc>
          <w:tcPr>
            <w:tcW w:w="1080" w:type="dxa"/>
            <w:vMerge w:val="restart"/>
            <w:shd w:val="clear" w:color="auto" w:fill="BDD7EE"/>
            <w:vAlign w:val="center"/>
            <w:hideMark/>
          </w:tcPr>
          <w:p w14:paraId="07824EA9" w14:textId="77777777" w:rsidR="00FA7C11" w:rsidRDefault="00D84965">
            <w:pPr>
              <w:pStyle w:val="P68B1DB1-Normal58"/>
              <w:spacing w:after="0"/>
              <w:jc w:val="center"/>
              <w:rPr>
                <w:bCs/>
                <w:noProof/>
              </w:rPr>
            </w:pPr>
            <w:r>
              <w:rPr>
                <w:noProof/>
              </w:rPr>
              <w:t>Etapă/Obiectiv</w:t>
            </w:r>
          </w:p>
        </w:tc>
        <w:tc>
          <w:tcPr>
            <w:tcW w:w="1800" w:type="dxa"/>
            <w:vMerge w:val="restart"/>
            <w:shd w:val="clear" w:color="auto" w:fill="BDD7EE"/>
            <w:vAlign w:val="center"/>
            <w:hideMark/>
          </w:tcPr>
          <w:p w14:paraId="2D105A66" w14:textId="77777777" w:rsidR="00FA7C11" w:rsidRDefault="00D84965">
            <w:pPr>
              <w:pStyle w:val="P68B1DB1-Normal58"/>
              <w:spacing w:after="0"/>
              <w:jc w:val="center"/>
              <w:rPr>
                <w:bCs/>
                <w:noProof/>
              </w:rPr>
            </w:pPr>
            <w:r>
              <w:rPr>
                <w:noProof/>
              </w:rPr>
              <w:t>Nume</w:t>
            </w:r>
          </w:p>
        </w:tc>
        <w:tc>
          <w:tcPr>
            <w:tcW w:w="1808" w:type="dxa"/>
            <w:vMerge w:val="restart"/>
            <w:shd w:val="clear" w:color="auto" w:fill="BDD7EE"/>
            <w:vAlign w:val="center"/>
            <w:hideMark/>
          </w:tcPr>
          <w:p w14:paraId="6768CCF3" w14:textId="77777777" w:rsidR="00FA7C11" w:rsidRDefault="00D84965">
            <w:pPr>
              <w:pStyle w:val="P68B1DB1-Normal58"/>
              <w:spacing w:after="0"/>
              <w:jc w:val="center"/>
              <w:rPr>
                <w:bCs/>
                <w:noProof/>
              </w:rPr>
            </w:pPr>
            <w:r>
              <w:rPr>
                <w:noProof/>
              </w:rPr>
              <w:t xml:space="preserve">Indicatori calitativi </w:t>
            </w:r>
            <w:r>
              <w:rPr>
                <w:noProof/>
              </w:rPr>
              <w:br/>
              <w:t>(pentru jaloane)</w:t>
            </w:r>
          </w:p>
        </w:tc>
        <w:tc>
          <w:tcPr>
            <w:tcW w:w="2989" w:type="dxa"/>
            <w:gridSpan w:val="3"/>
            <w:shd w:val="clear" w:color="auto" w:fill="BDD7EE"/>
            <w:vAlign w:val="center"/>
            <w:hideMark/>
          </w:tcPr>
          <w:p w14:paraId="3A8B7493" w14:textId="77777777" w:rsidR="00FA7C11" w:rsidRDefault="00D84965">
            <w:pPr>
              <w:pStyle w:val="P68B1DB1-Normal58"/>
              <w:spacing w:after="0"/>
              <w:jc w:val="center"/>
              <w:rPr>
                <w:bCs/>
                <w:noProof/>
              </w:rPr>
            </w:pPr>
            <w:r>
              <w:rPr>
                <w:noProof/>
              </w:rPr>
              <w:t xml:space="preserve">Indicatori cantitativi </w:t>
            </w:r>
            <w:r>
              <w:rPr>
                <w:noProof/>
              </w:rPr>
              <w:br/>
              <w:t>(pentru obiective)</w:t>
            </w:r>
          </w:p>
        </w:tc>
        <w:tc>
          <w:tcPr>
            <w:tcW w:w="1716" w:type="dxa"/>
            <w:gridSpan w:val="2"/>
            <w:shd w:val="clear" w:color="auto" w:fill="BDD7EE"/>
            <w:vAlign w:val="center"/>
            <w:hideMark/>
          </w:tcPr>
          <w:p w14:paraId="1303ED44" w14:textId="77777777" w:rsidR="00FA7C11" w:rsidRDefault="00D84965">
            <w:pPr>
              <w:pStyle w:val="P68B1DB1-Normal58"/>
              <w:spacing w:after="0"/>
              <w:jc w:val="center"/>
              <w:rPr>
                <w:bCs/>
                <w:noProof/>
              </w:rPr>
            </w:pPr>
            <w:r>
              <w:rPr>
                <w:noProof/>
              </w:rPr>
              <w:t>Timp</w:t>
            </w:r>
          </w:p>
        </w:tc>
        <w:tc>
          <w:tcPr>
            <w:tcW w:w="4347" w:type="dxa"/>
            <w:vMerge w:val="restart"/>
            <w:shd w:val="clear" w:color="auto" w:fill="BDD7EE"/>
            <w:vAlign w:val="center"/>
            <w:hideMark/>
          </w:tcPr>
          <w:p w14:paraId="18B21695" w14:textId="77777777" w:rsidR="00FA7C11" w:rsidRDefault="00D84965">
            <w:pPr>
              <w:pStyle w:val="P68B1DB1-Normal58"/>
              <w:spacing w:after="0"/>
              <w:jc w:val="center"/>
              <w:rPr>
                <w:bCs/>
                <w:noProof/>
              </w:rPr>
            </w:pPr>
            <w:r>
              <w:rPr>
                <w:noProof/>
              </w:rPr>
              <w:t>Descrierea fiecărui jalon și a fiecărei ținte</w:t>
            </w:r>
          </w:p>
        </w:tc>
      </w:tr>
      <w:tr w:rsidR="00FA7C11" w14:paraId="1D525041" w14:textId="77777777">
        <w:trPr>
          <w:trHeight w:val="503"/>
          <w:tblHeader/>
          <w:jc w:val="center"/>
        </w:trPr>
        <w:tc>
          <w:tcPr>
            <w:tcW w:w="849" w:type="dxa"/>
            <w:vMerge/>
            <w:hideMark/>
          </w:tcPr>
          <w:p w14:paraId="740F84EC" w14:textId="77777777" w:rsidR="00FA7C11" w:rsidRDefault="00FA7C11">
            <w:pPr>
              <w:spacing w:after="0"/>
              <w:jc w:val="center"/>
              <w:rPr>
                <w:rFonts w:ascii="Times New Roman" w:eastAsia="Times New Roman" w:hAnsi="Times New Roman" w:cs="Times New Roman"/>
                <w:b/>
                <w:noProof/>
                <w:sz w:val="20"/>
                <w:szCs w:val="20"/>
              </w:rPr>
            </w:pPr>
          </w:p>
        </w:tc>
        <w:tc>
          <w:tcPr>
            <w:tcW w:w="1200" w:type="dxa"/>
            <w:vMerge/>
            <w:hideMark/>
          </w:tcPr>
          <w:p w14:paraId="126B523E" w14:textId="77777777" w:rsidR="00FA7C11" w:rsidRDefault="00FA7C11">
            <w:pPr>
              <w:spacing w:after="0"/>
              <w:jc w:val="center"/>
              <w:rPr>
                <w:rFonts w:ascii="Times New Roman" w:eastAsia="Times New Roman" w:hAnsi="Times New Roman" w:cs="Times New Roman"/>
                <w:b/>
                <w:noProof/>
                <w:sz w:val="20"/>
                <w:szCs w:val="20"/>
              </w:rPr>
            </w:pPr>
          </w:p>
        </w:tc>
        <w:tc>
          <w:tcPr>
            <w:tcW w:w="1080" w:type="dxa"/>
            <w:vMerge/>
            <w:hideMark/>
          </w:tcPr>
          <w:p w14:paraId="3A3ECC58" w14:textId="77777777" w:rsidR="00FA7C11" w:rsidRDefault="00FA7C11">
            <w:pPr>
              <w:spacing w:after="0"/>
              <w:jc w:val="center"/>
              <w:rPr>
                <w:rFonts w:ascii="Times New Roman" w:eastAsia="Times New Roman" w:hAnsi="Times New Roman" w:cs="Times New Roman"/>
                <w:b/>
                <w:noProof/>
                <w:sz w:val="20"/>
                <w:szCs w:val="20"/>
              </w:rPr>
            </w:pPr>
          </w:p>
        </w:tc>
        <w:tc>
          <w:tcPr>
            <w:tcW w:w="1800" w:type="dxa"/>
            <w:vMerge/>
            <w:hideMark/>
          </w:tcPr>
          <w:p w14:paraId="1632322C" w14:textId="77777777" w:rsidR="00FA7C11" w:rsidRDefault="00FA7C11">
            <w:pPr>
              <w:spacing w:after="0"/>
              <w:rPr>
                <w:rFonts w:ascii="Times New Roman" w:eastAsia="Times New Roman" w:hAnsi="Times New Roman" w:cs="Times New Roman"/>
                <w:b/>
                <w:noProof/>
                <w:sz w:val="20"/>
                <w:szCs w:val="20"/>
              </w:rPr>
            </w:pPr>
          </w:p>
        </w:tc>
        <w:tc>
          <w:tcPr>
            <w:tcW w:w="1808" w:type="dxa"/>
            <w:vMerge/>
            <w:hideMark/>
          </w:tcPr>
          <w:p w14:paraId="1EBB9289" w14:textId="77777777" w:rsidR="00FA7C11" w:rsidRDefault="00FA7C11">
            <w:pPr>
              <w:spacing w:after="0"/>
              <w:rPr>
                <w:rFonts w:ascii="Times New Roman" w:eastAsia="Times New Roman" w:hAnsi="Times New Roman" w:cs="Times New Roman"/>
                <w:b/>
                <w:noProof/>
                <w:sz w:val="20"/>
                <w:szCs w:val="20"/>
              </w:rPr>
            </w:pPr>
          </w:p>
        </w:tc>
        <w:tc>
          <w:tcPr>
            <w:tcW w:w="1096" w:type="dxa"/>
            <w:shd w:val="clear" w:color="auto" w:fill="BDD7EE"/>
            <w:vAlign w:val="center"/>
            <w:hideMark/>
          </w:tcPr>
          <w:p w14:paraId="1CF14F5D" w14:textId="77777777" w:rsidR="00FA7C11" w:rsidRDefault="00D84965">
            <w:pPr>
              <w:pStyle w:val="P68B1DB1-Normal58"/>
              <w:spacing w:after="0"/>
              <w:jc w:val="center"/>
              <w:rPr>
                <w:bCs/>
                <w:noProof/>
              </w:rPr>
            </w:pPr>
            <w:r>
              <w:rPr>
                <w:noProof/>
              </w:rPr>
              <w:t>Unitate</w:t>
            </w:r>
          </w:p>
        </w:tc>
        <w:tc>
          <w:tcPr>
            <w:tcW w:w="966" w:type="dxa"/>
            <w:shd w:val="clear" w:color="auto" w:fill="BDD7EE"/>
            <w:vAlign w:val="center"/>
            <w:hideMark/>
          </w:tcPr>
          <w:p w14:paraId="707E6219" w14:textId="77777777" w:rsidR="00FA7C11" w:rsidRDefault="00D84965">
            <w:pPr>
              <w:pStyle w:val="P68B1DB1-Normal58"/>
              <w:spacing w:after="0"/>
              <w:jc w:val="center"/>
              <w:rPr>
                <w:bCs/>
                <w:noProof/>
              </w:rPr>
            </w:pPr>
            <w:r>
              <w:rPr>
                <w:noProof/>
              </w:rPr>
              <w:t>Situația de referință</w:t>
            </w:r>
          </w:p>
        </w:tc>
        <w:tc>
          <w:tcPr>
            <w:tcW w:w="927" w:type="dxa"/>
            <w:shd w:val="clear" w:color="auto" w:fill="BDD7EE"/>
            <w:vAlign w:val="center"/>
            <w:hideMark/>
          </w:tcPr>
          <w:p w14:paraId="3B864594" w14:textId="77777777" w:rsidR="00FA7C11" w:rsidRDefault="00D84965">
            <w:pPr>
              <w:pStyle w:val="P68B1DB1-Normal58"/>
              <w:spacing w:after="0"/>
              <w:jc w:val="center"/>
              <w:rPr>
                <w:bCs/>
                <w:noProof/>
              </w:rPr>
            </w:pPr>
            <w:r>
              <w:rPr>
                <w:noProof/>
              </w:rPr>
              <w:t>Obiectiv</w:t>
            </w:r>
          </w:p>
        </w:tc>
        <w:tc>
          <w:tcPr>
            <w:tcW w:w="756" w:type="dxa"/>
            <w:shd w:val="clear" w:color="auto" w:fill="BDD7EE"/>
            <w:vAlign w:val="center"/>
            <w:hideMark/>
          </w:tcPr>
          <w:p w14:paraId="29281935" w14:textId="77777777" w:rsidR="00FA7C11" w:rsidRDefault="00D84965">
            <w:pPr>
              <w:pStyle w:val="P68B1DB1-Normal58"/>
              <w:spacing w:after="0"/>
              <w:jc w:val="center"/>
              <w:rPr>
                <w:bCs/>
                <w:noProof/>
              </w:rPr>
            </w:pPr>
            <w:r>
              <w:rPr>
                <w:noProof/>
              </w:rPr>
              <w:t>Trimestru</w:t>
            </w:r>
          </w:p>
        </w:tc>
        <w:tc>
          <w:tcPr>
            <w:tcW w:w="960" w:type="dxa"/>
            <w:shd w:val="clear" w:color="auto" w:fill="BDD7EE"/>
            <w:vAlign w:val="center"/>
            <w:hideMark/>
          </w:tcPr>
          <w:p w14:paraId="025BC2F3" w14:textId="77777777" w:rsidR="00FA7C11" w:rsidRDefault="00D84965">
            <w:pPr>
              <w:pStyle w:val="P68B1DB1-Normal58"/>
              <w:spacing w:after="0"/>
              <w:jc w:val="center"/>
              <w:rPr>
                <w:bCs/>
                <w:noProof/>
              </w:rPr>
            </w:pPr>
            <w:r>
              <w:rPr>
                <w:noProof/>
              </w:rPr>
              <w:t>Anul</w:t>
            </w:r>
          </w:p>
        </w:tc>
        <w:tc>
          <w:tcPr>
            <w:tcW w:w="4347" w:type="dxa"/>
            <w:vMerge/>
            <w:hideMark/>
          </w:tcPr>
          <w:p w14:paraId="15529CB4" w14:textId="77777777" w:rsidR="00FA7C11" w:rsidRDefault="00FA7C11">
            <w:pPr>
              <w:spacing w:after="0"/>
              <w:rPr>
                <w:rFonts w:ascii="Times New Roman" w:eastAsia="Times New Roman" w:hAnsi="Times New Roman" w:cs="Times New Roman"/>
                <w:b/>
                <w:noProof/>
                <w:sz w:val="20"/>
                <w:szCs w:val="20"/>
              </w:rPr>
            </w:pPr>
          </w:p>
        </w:tc>
      </w:tr>
      <w:tr w:rsidR="00FA7C11" w14:paraId="33D5B6F2" w14:textId="77777777">
        <w:trPr>
          <w:trHeight w:val="283"/>
          <w:jc w:val="center"/>
        </w:trPr>
        <w:tc>
          <w:tcPr>
            <w:tcW w:w="849" w:type="dxa"/>
            <w:shd w:val="clear" w:color="auto" w:fill="C6EFCE"/>
            <w:noWrap/>
          </w:tcPr>
          <w:p w14:paraId="79DD9431" w14:textId="77777777" w:rsidR="00FA7C11" w:rsidRDefault="00D84965">
            <w:pPr>
              <w:pStyle w:val="P68B1DB1-Normal102"/>
              <w:jc w:val="center"/>
              <w:rPr>
                <w:noProof/>
              </w:rPr>
            </w:pPr>
            <w:r>
              <w:rPr>
                <w:noProof/>
              </w:rPr>
              <w:t>256</w:t>
            </w:r>
          </w:p>
        </w:tc>
        <w:tc>
          <w:tcPr>
            <w:tcW w:w="1200" w:type="dxa"/>
            <w:shd w:val="clear" w:color="auto" w:fill="C6EFCE"/>
            <w:noWrap/>
          </w:tcPr>
          <w:p w14:paraId="448B200D" w14:textId="77777777" w:rsidR="00FA7C11" w:rsidRDefault="00D84965">
            <w:pPr>
              <w:pStyle w:val="P68B1DB1-Normal102"/>
              <w:jc w:val="center"/>
              <w:rPr>
                <w:noProof/>
              </w:rPr>
            </w:pPr>
            <w:r>
              <w:rPr>
                <w:noProof/>
              </w:rPr>
              <w:t>C2.9. R1</w:t>
            </w:r>
          </w:p>
        </w:tc>
        <w:tc>
          <w:tcPr>
            <w:tcW w:w="1080" w:type="dxa"/>
            <w:shd w:val="clear" w:color="auto" w:fill="C6EFCE"/>
            <w:noWrap/>
          </w:tcPr>
          <w:p w14:paraId="28595D21" w14:textId="77777777" w:rsidR="00FA7C11" w:rsidRDefault="00D84965">
            <w:pPr>
              <w:pStyle w:val="P68B1DB1-Normal102"/>
              <w:jc w:val="center"/>
              <w:rPr>
                <w:noProof/>
              </w:rPr>
            </w:pPr>
            <w:r>
              <w:rPr>
                <w:noProof/>
              </w:rPr>
              <w:t>M</w:t>
            </w:r>
          </w:p>
        </w:tc>
        <w:tc>
          <w:tcPr>
            <w:tcW w:w="1800" w:type="dxa"/>
            <w:shd w:val="clear" w:color="auto" w:fill="C6EFCE"/>
            <w:noWrap/>
          </w:tcPr>
          <w:p w14:paraId="07567CA1" w14:textId="77777777" w:rsidR="00FA7C11" w:rsidRDefault="00D84965">
            <w:pPr>
              <w:pStyle w:val="P68B1DB1-Normal102"/>
              <w:rPr>
                <w:noProof/>
              </w:rPr>
            </w:pPr>
            <w:r>
              <w:rPr>
                <w:noProof/>
              </w:rPr>
              <w:t xml:space="preserve">Orientări privind îmbunătățirea participării IMM-urilor la procedurile de achiziții publice și punerea în comun a acestora </w:t>
            </w:r>
          </w:p>
        </w:tc>
        <w:tc>
          <w:tcPr>
            <w:tcW w:w="1808" w:type="dxa"/>
            <w:shd w:val="clear" w:color="auto" w:fill="C6EFCE"/>
            <w:noWrap/>
          </w:tcPr>
          <w:p w14:paraId="1BF7E476" w14:textId="77777777" w:rsidR="00FA7C11" w:rsidRDefault="00D84965">
            <w:pPr>
              <w:pStyle w:val="P68B1DB1-Normal102"/>
              <w:rPr>
                <w:noProof/>
              </w:rPr>
            </w:pPr>
            <w:r>
              <w:rPr>
                <w:noProof/>
              </w:rPr>
              <w:t>Publicarea orientărilor pe Portalul achizițiilor publice</w:t>
            </w:r>
          </w:p>
        </w:tc>
        <w:tc>
          <w:tcPr>
            <w:tcW w:w="1096" w:type="dxa"/>
            <w:shd w:val="clear" w:color="auto" w:fill="C6EFCE"/>
            <w:noWrap/>
          </w:tcPr>
          <w:p w14:paraId="100450A5" w14:textId="77777777" w:rsidR="00FA7C11" w:rsidRDefault="00D84965">
            <w:pPr>
              <w:pStyle w:val="P68B1DB1-Normal102"/>
              <w:jc w:val="center"/>
              <w:rPr>
                <w:noProof/>
              </w:rPr>
            </w:pPr>
            <w:r>
              <w:rPr>
                <w:noProof/>
              </w:rPr>
              <w:t> </w:t>
            </w:r>
          </w:p>
        </w:tc>
        <w:tc>
          <w:tcPr>
            <w:tcW w:w="966" w:type="dxa"/>
            <w:shd w:val="clear" w:color="auto" w:fill="C6EFCE"/>
            <w:noWrap/>
          </w:tcPr>
          <w:p w14:paraId="10969240" w14:textId="77777777" w:rsidR="00FA7C11" w:rsidRDefault="00D84965">
            <w:pPr>
              <w:pStyle w:val="P68B1DB1-Normal102"/>
              <w:jc w:val="center"/>
              <w:rPr>
                <w:noProof/>
              </w:rPr>
            </w:pPr>
            <w:r>
              <w:rPr>
                <w:noProof/>
              </w:rPr>
              <w:t> </w:t>
            </w:r>
          </w:p>
        </w:tc>
        <w:tc>
          <w:tcPr>
            <w:tcW w:w="927" w:type="dxa"/>
            <w:shd w:val="clear" w:color="auto" w:fill="C6EFCE"/>
            <w:noWrap/>
          </w:tcPr>
          <w:p w14:paraId="7B755F96" w14:textId="77777777" w:rsidR="00FA7C11" w:rsidRDefault="00D84965">
            <w:pPr>
              <w:pStyle w:val="P68B1DB1-Normal102"/>
              <w:jc w:val="center"/>
              <w:rPr>
                <w:noProof/>
              </w:rPr>
            </w:pPr>
            <w:r>
              <w:rPr>
                <w:noProof/>
              </w:rPr>
              <w:t> </w:t>
            </w:r>
          </w:p>
        </w:tc>
        <w:tc>
          <w:tcPr>
            <w:tcW w:w="756" w:type="dxa"/>
            <w:shd w:val="clear" w:color="auto" w:fill="C6EFCE"/>
            <w:noWrap/>
          </w:tcPr>
          <w:p w14:paraId="60E1027D" w14:textId="77777777" w:rsidR="00FA7C11" w:rsidRDefault="00D84965">
            <w:pPr>
              <w:pStyle w:val="P68B1DB1-Normal102"/>
              <w:jc w:val="center"/>
              <w:rPr>
                <w:noProof/>
              </w:rPr>
            </w:pPr>
            <w:r>
              <w:rPr>
                <w:noProof/>
              </w:rPr>
              <w:t>Î3</w:t>
            </w:r>
          </w:p>
        </w:tc>
        <w:tc>
          <w:tcPr>
            <w:tcW w:w="960" w:type="dxa"/>
            <w:shd w:val="clear" w:color="auto" w:fill="C6EFCE"/>
            <w:noWrap/>
          </w:tcPr>
          <w:p w14:paraId="33295F23" w14:textId="77777777" w:rsidR="00FA7C11" w:rsidRDefault="00D84965">
            <w:pPr>
              <w:pStyle w:val="P68B1DB1-Normal102"/>
              <w:jc w:val="center"/>
              <w:rPr>
                <w:noProof/>
              </w:rPr>
            </w:pPr>
            <w:r>
              <w:rPr>
                <w:noProof/>
              </w:rPr>
              <w:t>2022</w:t>
            </w:r>
          </w:p>
        </w:tc>
        <w:tc>
          <w:tcPr>
            <w:tcW w:w="4347" w:type="dxa"/>
            <w:shd w:val="clear" w:color="auto" w:fill="C6EFCE"/>
            <w:noWrap/>
          </w:tcPr>
          <w:p w14:paraId="55338081" w14:textId="77777777" w:rsidR="00FA7C11" w:rsidRDefault="00D84965">
            <w:pPr>
              <w:pStyle w:val="P68B1DB1-Normal102"/>
              <w:rPr>
                <w:noProof/>
              </w:rPr>
            </w:pPr>
            <w:r>
              <w:rPr>
                <w:noProof/>
              </w:rPr>
              <w:t xml:space="preserve">Pentru a încuraja în continuare implicarea IMM-urilor în procedurile de achiziții publice, se elaborează și se publică orientări pentru entitățile contractante și ofertanți pentru a încuraja participarea IMM-urilor pe piața achizițiilor publice. Orientările includ, de asemenea, cele mai importante dispoziții ale Legii privind achizițiile publice menite să faciliteze participarea IMM-urilor la procedurile de atribuire a contractelor de achiziții publice. Cooperarea cu asociațiile de întreprinderi în ceea ce privește furnizarea de formare specifică ofertanților în cadrul procedurilor de achiziții publice continuă. Orientările vor fi elaborate pe baza rezultatelor proiectului privind Programul de sprijin pentru reforme structurale. </w:t>
            </w:r>
          </w:p>
        </w:tc>
      </w:tr>
      <w:tr w:rsidR="00FA7C11" w14:paraId="5AFC1762" w14:textId="77777777">
        <w:trPr>
          <w:trHeight w:val="283"/>
          <w:jc w:val="center"/>
        </w:trPr>
        <w:tc>
          <w:tcPr>
            <w:tcW w:w="849" w:type="dxa"/>
            <w:shd w:val="clear" w:color="auto" w:fill="C6EFCE"/>
            <w:noWrap/>
          </w:tcPr>
          <w:p w14:paraId="28D832D7" w14:textId="77777777" w:rsidR="00FA7C11" w:rsidRDefault="00D84965">
            <w:pPr>
              <w:pStyle w:val="P68B1DB1-Normal102"/>
              <w:spacing w:after="0"/>
              <w:jc w:val="center"/>
              <w:rPr>
                <w:noProof/>
              </w:rPr>
            </w:pPr>
            <w:r>
              <w:rPr>
                <w:noProof/>
              </w:rPr>
              <w:t>257</w:t>
            </w:r>
          </w:p>
        </w:tc>
        <w:tc>
          <w:tcPr>
            <w:tcW w:w="1200" w:type="dxa"/>
            <w:shd w:val="clear" w:color="auto" w:fill="C6EFCE"/>
            <w:noWrap/>
          </w:tcPr>
          <w:p w14:paraId="09231C2E" w14:textId="77777777" w:rsidR="00FA7C11" w:rsidRDefault="00D84965">
            <w:pPr>
              <w:pStyle w:val="P68B1DB1-Normal102"/>
              <w:jc w:val="center"/>
              <w:rPr>
                <w:noProof/>
              </w:rPr>
            </w:pPr>
            <w:r>
              <w:rPr>
                <w:noProof/>
              </w:rPr>
              <w:t>C2.9. R1</w:t>
            </w:r>
          </w:p>
        </w:tc>
        <w:tc>
          <w:tcPr>
            <w:tcW w:w="1080" w:type="dxa"/>
            <w:shd w:val="clear" w:color="auto" w:fill="C6EFCE"/>
            <w:noWrap/>
          </w:tcPr>
          <w:p w14:paraId="22FCBB6C" w14:textId="77777777" w:rsidR="00FA7C11" w:rsidRDefault="00D84965">
            <w:pPr>
              <w:pStyle w:val="P68B1DB1-Normal102"/>
              <w:jc w:val="center"/>
              <w:rPr>
                <w:noProof/>
              </w:rPr>
            </w:pPr>
            <w:r>
              <w:rPr>
                <w:noProof/>
              </w:rPr>
              <w:t>M</w:t>
            </w:r>
          </w:p>
        </w:tc>
        <w:tc>
          <w:tcPr>
            <w:tcW w:w="1800" w:type="dxa"/>
            <w:shd w:val="clear" w:color="auto" w:fill="C6EFCE"/>
            <w:noWrap/>
          </w:tcPr>
          <w:p w14:paraId="54AEE63D" w14:textId="77777777" w:rsidR="00FA7C11" w:rsidRDefault="00D84965">
            <w:pPr>
              <w:pStyle w:val="P68B1DB1-Normal102"/>
              <w:rPr>
                <w:noProof/>
              </w:rPr>
            </w:pPr>
            <w:r>
              <w:rPr>
                <w:noProof/>
              </w:rPr>
              <w:t xml:space="preserve">Modificarea normelor privind formarea în domeniul achizițiilor publice </w:t>
            </w:r>
          </w:p>
        </w:tc>
        <w:tc>
          <w:tcPr>
            <w:tcW w:w="1808" w:type="dxa"/>
            <w:shd w:val="clear" w:color="auto" w:fill="C6EFCE"/>
            <w:noWrap/>
          </w:tcPr>
          <w:p w14:paraId="54C3A15A" w14:textId="77777777" w:rsidR="00FA7C11" w:rsidRDefault="00D84965">
            <w:pPr>
              <w:pStyle w:val="P68B1DB1-Normal102"/>
              <w:rPr>
                <w:noProof/>
              </w:rPr>
            </w:pPr>
            <w:r>
              <w:rPr>
                <w:noProof/>
              </w:rPr>
              <w:t xml:space="preserve">Intrarea în vigoare a modificărilor aduse Normelor privind formarea în domeniul achizițiilor publice </w:t>
            </w:r>
          </w:p>
        </w:tc>
        <w:tc>
          <w:tcPr>
            <w:tcW w:w="1096" w:type="dxa"/>
            <w:shd w:val="clear" w:color="auto" w:fill="C6EFCE"/>
            <w:noWrap/>
          </w:tcPr>
          <w:p w14:paraId="7011E8D0" w14:textId="77777777" w:rsidR="00FA7C11" w:rsidRDefault="00D84965">
            <w:pPr>
              <w:pStyle w:val="P68B1DB1-Normal102"/>
              <w:jc w:val="center"/>
              <w:rPr>
                <w:noProof/>
              </w:rPr>
            </w:pPr>
            <w:r>
              <w:rPr>
                <w:noProof/>
              </w:rPr>
              <w:t> </w:t>
            </w:r>
          </w:p>
          <w:p w14:paraId="7A1D5BB6" w14:textId="77777777" w:rsidR="00FA7C11" w:rsidRDefault="00FA7C11">
            <w:pPr>
              <w:rPr>
                <w:rFonts w:ascii="Times New Roman" w:hAnsi="Times New Roman" w:cs="Times New Roman"/>
                <w:noProof/>
                <w:sz w:val="20"/>
                <w:szCs w:val="20"/>
              </w:rPr>
            </w:pPr>
          </w:p>
          <w:p w14:paraId="5354418A" w14:textId="77777777" w:rsidR="00FA7C11" w:rsidRDefault="00FA7C11">
            <w:pPr>
              <w:rPr>
                <w:rFonts w:ascii="Times New Roman" w:hAnsi="Times New Roman" w:cs="Times New Roman"/>
                <w:noProof/>
                <w:sz w:val="20"/>
                <w:szCs w:val="20"/>
              </w:rPr>
            </w:pPr>
          </w:p>
        </w:tc>
        <w:tc>
          <w:tcPr>
            <w:tcW w:w="966" w:type="dxa"/>
            <w:shd w:val="clear" w:color="auto" w:fill="C6EFCE"/>
            <w:noWrap/>
          </w:tcPr>
          <w:p w14:paraId="62631EAD" w14:textId="77777777" w:rsidR="00FA7C11" w:rsidRDefault="00D84965">
            <w:pPr>
              <w:pStyle w:val="P68B1DB1-Normal102"/>
              <w:jc w:val="center"/>
              <w:rPr>
                <w:noProof/>
              </w:rPr>
            </w:pPr>
            <w:r>
              <w:rPr>
                <w:noProof/>
              </w:rPr>
              <w:t> </w:t>
            </w:r>
          </w:p>
        </w:tc>
        <w:tc>
          <w:tcPr>
            <w:tcW w:w="927" w:type="dxa"/>
            <w:shd w:val="clear" w:color="auto" w:fill="C6EFCE"/>
            <w:noWrap/>
          </w:tcPr>
          <w:p w14:paraId="0F9CC0FF" w14:textId="77777777" w:rsidR="00FA7C11" w:rsidRDefault="00D84965">
            <w:pPr>
              <w:pStyle w:val="P68B1DB1-Normal102"/>
              <w:jc w:val="center"/>
              <w:rPr>
                <w:noProof/>
              </w:rPr>
            </w:pPr>
            <w:r>
              <w:rPr>
                <w:noProof/>
              </w:rPr>
              <w:t> </w:t>
            </w:r>
          </w:p>
        </w:tc>
        <w:tc>
          <w:tcPr>
            <w:tcW w:w="756" w:type="dxa"/>
            <w:shd w:val="clear" w:color="auto" w:fill="C6EFCE"/>
            <w:noWrap/>
          </w:tcPr>
          <w:p w14:paraId="0BA4AA91" w14:textId="77777777" w:rsidR="00FA7C11" w:rsidRDefault="00D84965">
            <w:pPr>
              <w:pStyle w:val="P68B1DB1-Normal102"/>
              <w:jc w:val="center"/>
              <w:rPr>
                <w:noProof/>
              </w:rPr>
            </w:pPr>
            <w:r>
              <w:rPr>
                <w:noProof/>
              </w:rPr>
              <w:t>Î1</w:t>
            </w:r>
          </w:p>
        </w:tc>
        <w:tc>
          <w:tcPr>
            <w:tcW w:w="960" w:type="dxa"/>
            <w:shd w:val="clear" w:color="auto" w:fill="C6EFCE"/>
            <w:noWrap/>
          </w:tcPr>
          <w:p w14:paraId="47302B6E" w14:textId="77777777" w:rsidR="00FA7C11" w:rsidRDefault="00D84965">
            <w:pPr>
              <w:pStyle w:val="P68B1DB1-Normal102"/>
              <w:jc w:val="center"/>
              <w:rPr>
                <w:noProof/>
              </w:rPr>
            </w:pPr>
            <w:r>
              <w:rPr>
                <w:noProof/>
              </w:rPr>
              <w:t>2023</w:t>
            </w:r>
          </w:p>
        </w:tc>
        <w:tc>
          <w:tcPr>
            <w:tcW w:w="4347" w:type="dxa"/>
            <w:shd w:val="clear" w:color="auto" w:fill="C6EFCE"/>
            <w:noWrap/>
          </w:tcPr>
          <w:p w14:paraId="1DFF01FD" w14:textId="77777777" w:rsidR="00FA7C11" w:rsidRDefault="00D84965">
            <w:pPr>
              <w:pStyle w:val="P68B1DB1-Normal89"/>
              <w:rPr>
                <w:noProof/>
              </w:rPr>
            </w:pPr>
            <w:r>
              <w:rPr>
                <w:noProof/>
                <w:color w:val="000000" w:themeColor="text1"/>
              </w:rPr>
              <w:t xml:space="preserve">Modificările aduse cadrului legislativ în vederea îmbunătățirii formării în domeniul achizițiilor publice includ: I) stabilirea unei programe de învățământ pentru programele de actualizare a competențelor, definirea competențelor și a obiectivelor de învățare, (ii) integrarea ProcurCompEU în sistemul obligatoriu de formare și certificare pentru achizițiile publice; (III) cerința de a efectua o evaluare calitativă a cursurilor de formare. </w:t>
            </w:r>
            <w:r>
              <w:rPr>
                <w:noProof/>
              </w:rPr>
              <w:br/>
            </w:r>
            <w:r>
              <w:rPr>
                <w:noProof/>
                <w:color w:val="000000" w:themeColor="text1"/>
              </w:rPr>
              <w:t xml:space="preserve">Se preconizează că modificările vor oferi o abordare cuprinzătoare necesară pentru a asigura consolidarea capacității administrative a personalului din principalele instituții de achiziții publice, utilizând, de asemenea, recomandările din analiza volumului de muncă (R1-I1). Pe baza rezultatelor evaluării organizaționale și a priorităților strategice, se acordă prioritate cursurilor de formare care pot avea cel mai mare impact în atingerea obiectivelor, cum ar fi aspectele legate de integritate și transparență, planificarea adecvată a procedurilor, specificații tehnice echitabile și deschise, criterii clare de selecție și evaluare a ofertelor, gestionarea contractelor și modificări. </w:t>
            </w:r>
          </w:p>
        </w:tc>
      </w:tr>
      <w:tr w:rsidR="00FA7C11" w14:paraId="63F15BDA" w14:textId="77777777">
        <w:trPr>
          <w:trHeight w:val="283"/>
          <w:jc w:val="center"/>
        </w:trPr>
        <w:tc>
          <w:tcPr>
            <w:tcW w:w="849" w:type="dxa"/>
            <w:shd w:val="clear" w:color="auto" w:fill="C6EFCE"/>
            <w:noWrap/>
          </w:tcPr>
          <w:p w14:paraId="1419E797" w14:textId="77777777" w:rsidR="00FA7C11" w:rsidRDefault="00D84965">
            <w:pPr>
              <w:pStyle w:val="P68B1DB1-Normal102"/>
              <w:jc w:val="center"/>
              <w:rPr>
                <w:noProof/>
              </w:rPr>
            </w:pPr>
            <w:r>
              <w:rPr>
                <w:noProof/>
              </w:rPr>
              <w:t>258</w:t>
            </w:r>
          </w:p>
        </w:tc>
        <w:tc>
          <w:tcPr>
            <w:tcW w:w="1200" w:type="dxa"/>
            <w:shd w:val="clear" w:color="auto" w:fill="C6EFCE"/>
            <w:noWrap/>
          </w:tcPr>
          <w:p w14:paraId="40D64F4B" w14:textId="77777777" w:rsidR="00FA7C11" w:rsidRDefault="00D84965">
            <w:pPr>
              <w:pStyle w:val="P68B1DB1-Normal102"/>
              <w:jc w:val="center"/>
              <w:rPr>
                <w:noProof/>
              </w:rPr>
            </w:pPr>
            <w:r>
              <w:rPr>
                <w:noProof/>
              </w:rPr>
              <w:t>C2.9. R1</w:t>
            </w:r>
          </w:p>
        </w:tc>
        <w:tc>
          <w:tcPr>
            <w:tcW w:w="1080" w:type="dxa"/>
            <w:shd w:val="clear" w:color="auto" w:fill="C6EFCE"/>
            <w:noWrap/>
          </w:tcPr>
          <w:p w14:paraId="78ACB600" w14:textId="77777777" w:rsidR="00FA7C11" w:rsidRDefault="00D84965">
            <w:pPr>
              <w:pStyle w:val="P68B1DB1-Normal102"/>
              <w:jc w:val="center"/>
              <w:rPr>
                <w:noProof/>
              </w:rPr>
            </w:pPr>
            <w:r>
              <w:rPr>
                <w:noProof/>
              </w:rPr>
              <w:t>M</w:t>
            </w:r>
          </w:p>
        </w:tc>
        <w:tc>
          <w:tcPr>
            <w:tcW w:w="1800" w:type="dxa"/>
            <w:shd w:val="clear" w:color="auto" w:fill="C6EFCE"/>
            <w:noWrap/>
          </w:tcPr>
          <w:p w14:paraId="14CF2254" w14:textId="77777777" w:rsidR="00FA7C11" w:rsidRDefault="00D84965">
            <w:pPr>
              <w:pStyle w:val="P68B1DB1-Normal102"/>
              <w:rPr>
                <w:noProof/>
              </w:rPr>
            </w:pPr>
            <w:r>
              <w:rPr>
                <w:noProof/>
              </w:rPr>
              <w:t>Integrarea unui cadru adaptat pentru formarea continuă a responsabililor cu achizițiile publice din cadrul ProcurCompEU în sistemul obligatoriu de formare și certificare pentru achizițiile publice.</w:t>
            </w:r>
          </w:p>
        </w:tc>
        <w:tc>
          <w:tcPr>
            <w:tcW w:w="1808" w:type="dxa"/>
            <w:shd w:val="clear" w:color="auto" w:fill="C6EFCE"/>
            <w:noWrap/>
          </w:tcPr>
          <w:p w14:paraId="69649B99" w14:textId="77777777" w:rsidR="00FA7C11" w:rsidRDefault="00D84965">
            <w:pPr>
              <w:pStyle w:val="P68B1DB1-Normal102"/>
              <w:rPr>
                <w:noProof/>
              </w:rPr>
            </w:pPr>
            <w:r>
              <w:rPr>
                <w:noProof/>
              </w:rPr>
              <w:t xml:space="preserve">Intrarea în vigoare a cadrului pentru formarea continuă a responsabililor cu achizițiile publice aliniat la ProcurCompEU; </w:t>
            </w:r>
          </w:p>
        </w:tc>
        <w:tc>
          <w:tcPr>
            <w:tcW w:w="1096" w:type="dxa"/>
            <w:shd w:val="clear" w:color="auto" w:fill="C6EFCE"/>
            <w:noWrap/>
          </w:tcPr>
          <w:p w14:paraId="53B2276E" w14:textId="77777777" w:rsidR="00FA7C11" w:rsidRDefault="00D84965">
            <w:pPr>
              <w:pStyle w:val="P68B1DB1-Normal102"/>
              <w:jc w:val="center"/>
              <w:rPr>
                <w:noProof/>
              </w:rPr>
            </w:pPr>
            <w:r>
              <w:rPr>
                <w:noProof/>
              </w:rPr>
              <w:t> </w:t>
            </w:r>
          </w:p>
        </w:tc>
        <w:tc>
          <w:tcPr>
            <w:tcW w:w="966" w:type="dxa"/>
            <w:shd w:val="clear" w:color="auto" w:fill="C6EFCE"/>
            <w:noWrap/>
          </w:tcPr>
          <w:p w14:paraId="749F818C" w14:textId="77777777" w:rsidR="00FA7C11" w:rsidRDefault="00D84965">
            <w:pPr>
              <w:pStyle w:val="P68B1DB1-Normal102"/>
              <w:jc w:val="center"/>
              <w:rPr>
                <w:noProof/>
              </w:rPr>
            </w:pPr>
            <w:r>
              <w:rPr>
                <w:noProof/>
              </w:rPr>
              <w:t> </w:t>
            </w:r>
          </w:p>
        </w:tc>
        <w:tc>
          <w:tcPr>
            <w:tcW w:w="927" w:type="dxa"/>
            <w:shd w:val="clear" w:color="auto" w:fill="C6EFCE"/>
            <w:noWrap/>
          </w:tcPr>
          <w:p w14:paraId="2639C8DA" w14:textId="77777777" w:rsidR="00FA7C11" w:rsidRDefault="00D84965">
            <w:pPr>
              <w:pStyle w:val="P68B1DB1-Normal102"/>
              <w:jc w:val="center"/>
              <w:rPr>
                <w:noProof/>
              </w:rPr>
            </w:pPr>
            <w:r>
              <w:rPr>
                <w:noProof/>
              </w:rPr>
              <w:t> </w:t>
            </w:r>
          </w:p>
        </w:tc>
        <w:tc>
          <w:tcPr>
            <w:tcW w:w="756" w:type="dxa"/>
            <w:shd w:val="clear" w:color="auto" w:fill="C6EFCE"/>
            <w:noWrap/>
          </w:tcPr>
          <w:p w14:paraId="11DB29BE" w14:textId="77777777" w:rsidR="00FA7C11" w:rsidRDefault="00D84965">
            <w:pPr>
              <w:pStyle w:val="P68B1DB1-Normal102"/>
              <w:jc w:val="center"/>
              <w:rPr>
                <w:noProof/>
              </w:rPr>
            </w:pPr>
            <w:r>
              <w:rPr>
                <w:noProof/>
              </w:rPr>
              <w:t>Î4</w:t>
            </w:r>
          </w:p>
        </w:tc>
        <w:tc>
          <w:tcPr>
            <w:tcW w:w="960" w:type="dxa"/>
            <w:shd w:val="clear" w:color="auto" w:fill="C6EFCE"/>
            <w:noWrap/>
          </w:tcPr>
          <w:p w14:paraId="1FDD09A2" w14:textId="77777777" w:rsidR="00FA7C11" w:rsidRDefault="00D84965">
            <w:pPr>
              <w:pStyle w:val="P68B1DB1-Normal102"/>
              <w:jc w:val="center"/>
              <w:rPr>
                <w:noProof/>
              </w:rPr>
            </w:pPr>
            <w:r>
              <w:rPr>
                <w:noProof/>
              </w:rPr>
              <w:t>2023</w:t>
            </w:r>
          </w:p>
        </w:tc>
        <w:tc>
          <w:tcPr>
            <w:tcW w:w="4347" w:type="dxa"/>
            <w:shd w:val="clear" w:color="auto" w:fill="C6EFCE"/>
            <w:noWrap/>
          </w:tcPr>
          <w:p w14:paraId="7DC75ABF" w14:textId="77777777" w:rsidR="00FA7C11" w:rsidRDefault="00D84965">
            <w:pPr>
              <w:pStyle w:val="P68B1DB1-Normal102"/>
              <w:rPr>
                <w:noProof/>
              </w:rPr>
            </w:pPr>
            <w:r>
              <w:rPr>
                <w:noProof/>
              </w:rPr>
              <w:t>Instrumentul ProcurCompEU este adaptat la particularitățile Croației și integrat în sistemul obligatoriu existent de formare și certificare în domeniul achizițiilor publice. Va fi creată o subpagină pe Portalul achizițiilor publice, unde instrumentele ProcurCompEU sunt disponibile și gratuite pentru a fi utilizate de toate părțile interesate din sistemul de achiziții publice, iar organismul competent în materie de politici de achiziții publice sprijină punerea în aplicare practică și supravegherea acestuia.</w:t>
            </w:r>
          </w:p>
        </w:tc>
      </w:tr>
      <w:tr w:rsidR="00FA7C11" w14:paraId="175CD512" w14:textId="77777777">
        <w:trPr>
          <w:trHeight w:val="283"/>
          <w:jc w:val="center"/>
        </w:trPr>
        <w:tc>
          <w:tcPr>
            <w:tcW w:w="849" w:type="dxa"/>
            <w:shd w:val="clear" w:color="auto" w:fill="C6EFCE"/>
            <w:noWrap/>
          </w:tcPr>
          <w:p w14:paraId="3D5DADCF" w14:textId="77777777" w:rsidR="00FA7C11" w:rsidRDefault="00D84965">
            <w:pPr>
              <w:pStyle w:val="P68B1DB1-Normal102"/>
              <w:jc w:val="center"/>
              <w:rPr>
                <w:noProof/>
              </w:rPr>
            </w:pPr>
            <w:r>
              <w:rPr>
                <w:noProof/>
              </w:rPr>
              <w:t>259</w:t>
            </w:r>
          </w:p>
        </w:tc>
        <w:tc>
          <w:tcPr>
            <w:tcW w:w="1200" w:type="dxa"/>
            <w:shd w:val="clear" w:color="auto" w:fill="C6EFCE"/>
            <w:noWrap/>
          </w:tcPr>
          <w:p w14:paraId="4DE1C274" w14:textId="77777777" w:rsidR="00FA7C11" w:rsidRDefault="00D84965">
            <w:pPr>
              <w:pStyle w:val="P68B1DB1-Normal102"/>
              <w:jc w:val="center"/>
              <w:rPr>
                <w:noProof/>
              </w:rPr>
            </w:pPr>
            <w:r>
              <w:rPr>
                <w:noProof/>
              </w:rPr>
              <w:t>C2.9. R1-I1</w:t>
            </w:r>
          </w:p>
        </w:tc>
        <w:tc>
          <w:tcPr>
            <w:tcW w:w="1080" w:type="dxa"/>
            <w:shd w:val="clear" w:color="auto" w:fill="C6EFCE"/>
            <w:noWrap/>
          </w:tcPr>
          <w:p w14:paraId="68EDB754" w14:textId="77777777" w:rsidR="00FA7C11" w:rsidRDefault="00D84965">
            <w:pPr>
              <w:pStyle w:val="P68B1DB1-Normal102"/>
              <w:jc w:val="center"/>
              <w:rPr>
                <w:noProof/>
              </w:rPr>
            </w:pPr>
            <w:r>
              <w:rPr>
                <w:noProof/>
              </w:rPr>
              <w:t>M</w:t>
            </w:r>
          </w:p>
        </w:tc>
        <w:tc>
          <w:tcPr>
            <w:tcW w:w="1800" w:type="dxa"/>
            <w:shd w:val="clear" w:color="auto" w:fill="C6EFCE"/>
            <w:noWrap/>
          </w:tcPr>
          <w:p w14:paraId="029EED88" w14:textId="77777777" w:rsidR="00FA7C11" w:rsidRDefault="00D84965">
            <w:pPr>
              <w:pStyle w:val="P68B1DB1-Normal102"/>
              <w:rPr>
                <w:noProof/>
              </w:rPr>
            </w:pPr>
            <w:r>
              <w:rPr>
                <w:noProof/>
              </w:rPr>
              <w:t>Publicarea unei analize independente și a unor recomandări concrete pentru a îmbunătăți gestionarea sarcinii întregului personal al instituțiilor-cheie din sistemul de achiziții publice (MINGOR, SAFU, DKOM).</w:t>
            </w:r>
          </w:p>
        </w:tc>
        <w:tc>
          <w:tcPr>
            <w:tcW w:w="1808" w:type="dxa"/>
            <w:shd w:val="clear" w:color="auto" w:fill="C6EFCE"/>
            <w:noWrap/>
          </w:tcPr>
          <w:p w14:paraId="260B2FFB" w14:textId="77777777" w:rsidR="00FA7C11" w:rsidRDefault="00D84965">
            <w:pPr>
              <w:pStyle w:val="P68B1DB1-Normal102"/>
              <w:rPr>
                <w:noProof/>
              </w:rPr>
            </w:pPr>
            <w:r>
              <w:rPr>
                <w:noProof/>
              </w:rPr>
              <w:t>Publicarea unei analize a volumului de muncă al angajaților instituțiilor-cheie din sistemul de achiziții publice (MINGOR, SAFU și DKOM), inclusiv a unui plan de acțiune pentru punerea în aplicare a recomandărilor și măsurilor privind resursele umane</w:t>
            </w:r>
          </w:p>
        </w:tc>
        <w:tc>
          <w:tcPr>
            <w:tcW w:w="1096" w:type="dxa"/>
            <w:shd w:val="clear" w:color="auto" w:fill="C6EFCE"/>
            <w:noWrap/>
          </w:tcPr>
          <w:p w14:paraId="163C8528" w14:textId="77777777" w:rsidR="00FA7C11" w:rsidRDefault="00D84965">
            <w:pPr>
              <w:pStyle w:val="P68B1DB1-Normal102"/>
              <w:jc w:val="center"/>
              <w:rPr>
                <w:noProof/>
              </w:rPr>
            </w:pPr>
            <w:r>
              <w:rPr>
                <w:noProof/>
              </w:rPr>
              <w:t> </w:t>
            </w:r>
          </w:p>
        </w:tc>
        <w:tc>
          <w:tcPr>
            <w:tcW w:w="966" w:type="dxa"/>
            <w:shd w:val="clear" w:color="auto" w:fill="C6EFCE"/>
            <w:noWrap/>
          </w:tcPr>
          <w:p w14:paraId="2ACD1943" w14:textId="77777777" w:rsidR="00FA7C11" w:rsidRDefault="00D84965">
            <w:pPr>
              <w:pStyle w:val="P68B1DB1-Normal102"/>
              <w:jc w:val="center"/>
              <w:rPr>
                <w:noProof/>
              </w:rPr>
            </w:pPr>
            <w:r>
              <w:rPr>
                <w:noProof/>
              </w:rPr>
              <w:t> </w:t>
            </w:r>
          </w:p>
        </w:tc>
        <w:tc>
          <w:tcPr>
            <w:tcW w:w="927" w:type="dxa"/>
            <w:shd w:val="clear" w:color="auto" w:fill="C6EFCE"/>
            <w:noWrap/>
          </w:tcPr>
          <w:p w14:paraId="194EEEFE" w14:textId="77777777" w:rsidR="00FA7C11" w:rsidRDefault="00D84965">
            <w:pPr>
              <w:pStyle w:val="P68B1DB1-Normal102"/>
              <w:jc w:val="center"/>
              <w:rPr>
                <w:noProof/>
              </w:rPr>
            </w:pPr>
            <w:r>
              <w:rPr>
                <w:noProof/>
              </w:rPr>
              <w:t> </w:t>
            </w:r>
          </w:p>
        </w:tc>
        <w:tc>
          <w:tcPr>
            <w:tcW w:w="756" w:type="dxa"/>
            <w:shd w:val="clear" w:color="auto" w:fill="C6EFCE"/>
            <w:noWrap/>
          </w:tcPr>
          <w:p w14:paraId="04333CFA" w14:textId="77777777" w:rsidR="00FA7C11" w:rsidRDefault="00D84965">
            <w:pPr>
              <w:pStyle w:val="P68B1DB1-Normal102"/>
              <w:jc w:val="center"/>
              <w:rPr>
                <w:noProof/>
              </w:rPr>
            </w:pPr>
            <w:r>
              <w:rPr>
                <w:noProof/>
              </w:rPr>
              <w:t>Î3</w:t>
            </w:r>
          </w:p>
        </w:tc>
        <w:tc>
          <w:tcPr>
            <w:tcW w:w="960" w:type="dxa"/>
            <w:shd w:val="clear" w:color="auto" w:fill="C6EFCE"/>
            <w:noWrap/>
          </w:tcPr>
          <w:p w14:paraId="3CB6E6DD" w14:textId="77777777" w:rsidR="00FA7C11" w:rsidRDefault="00D84965">
            <w:pPr>
              <w:pStyle w:val="P68B1DB1-Normal102"/>
              <w:jc w:val="center"/>
              <w:rPr>
                <w:noProof/>
              </w:rPr>
            </w:pPr>
            <w:r>
              <w:rPr>
                <w:noProof/>
              </w:rPr>
              <w:t>2022</w:t>
            </w:r>
          </w:p>
        </w:tc>
        <w:tc>
          <w:tcPr>
            <w:tcW w:w="4347" w:type="dxa"/>
            <w:shd w:val="clear" w:color="auto" w:fill="C6EFCE"/>
            <w:noWrap/>
          </w:tcPr>
          <w:p w14:paraId="4FC36DEC" w14:textId="77777777" w:rsidR="00FA7C11" w:rsidRDefault="00D84965">
            <w:pPr>
              <w:pStyle w:val="P68B1DB1-Normal102"/>
              <w:rPr>
                <w:noProof/>
              </w:rPr>
            </w:pPr>
            <w:r>
              <w:rPr>
                <w:noProof/>
              </w:rPr>
              <w:t>Experții externi independenți efectuează o analiză cuprinzătoare a volumului de muncă al personalului instituțiilor-cheie din sistemul de achiziții publice inclus în fondurile UE, inclusiv descrierea sarcinilor pe care le îndeplinesc și a competențelor necesare și a sistemului de compensare. Raportul independent publicat se va baza pe o analiză cuprinzătoare a rolurilor în sistemul de achiziții publice și a volumului de muncă, ținând seama de datele istorice privind volumul de muncă și comparându-le cu tendințele de creștere a volumului de muncă, inclusiv cu nevoile de formare pe teme specifice, cum ar fi achizițiile durabile și accesul la IMM-uri. Raportul include un plan de acțiune pentru punerea în aplicare a măsurilor și recomandări de îmbunătățire pentru a asigura recrutarea și păstrarea personalului cu înaltă calificare.</w:t>
            </w:r>
          </w:p>
        </w:tc>
      </w:tr>
      <w:tr w:rsidR="00FA7C11" w14:paraId="26C9B513" w14:textId="77777777">
        <w:trPr>
          <w:trHeight w:val="283"/>
          <w:jc w:val="center"/>
        </w:trPr>
        <w:tc>
          <w:tcPr>
            <w:tcW w:w="849" w:type="dxa"/>
            <w:shd w:val="clear" w:color="auto" w:fill="C6EFCE"/>
            <w:noWrap/>
          </w:tcPr>
          <w:p w14:paraId="5F66E150" w14:textId="77777777" w:rsidR="00FA7C11" w:rsidRDefault="00D84965">
            <w:pPr>
              <w:pStyle w:val="P68B1DB1-Normal102"/>
              <w:jc w:val="center"/>
              <w:rPr>
                <w:noProof/>
              </w:rPr>
            </w:pPr>
            <w:r>
              <w:rPr>
                <w:noProof/>
              </w:rPr>
              <w:t>260</w:t>
            </w:r>
          </w:p>
        </w:tc>
        <w:tc>
          <w:tcPr>
            <w:tcW w:w="1200" w:type="dxa"/>
            <w:shd w:val="clear" w:color="auto" w:fill="C6EFCE"/>
            <w:noWrap/>
          </w:tcPr>
          <w:p w14:paraId="08DEA8BC" w14:textId="77777777" w:rsidR="00FA7C11" w:rsidRDefault="00D84965">
            <w:pPr>
              <w:pStyle w:val="P68B1DB1-Normal102"/>
              <w:jc w:val="center"/>
              <w:rPr>
                <w:noProof/>
              </w:rPr>
            </w:pPr>
            <w:r>
              <w:rPr>
                <w:noProof/>
              </w:rPr>
              <w:t>C2.9. R2</w:t>
            </w:r>
          </w:p>
        </w:tc>
        <w:tc>
          <w:tcPr>
            <w:tcW w:w="1080" w:type="dxa"/>
            <w:shd w:val="clear" w:color="auto" w:fill="C6EFCE"/>
            <w:noWrap/>
          </w:tcPr>
          <w:p w14:paraId="60FBF2A3" w14:textId="77777777" w:rsidR="00FA7C11" w:rsidRDefault="00D84965">
            <w:pPr>
              <w:pStyle w:val="P68B1DB1-Normal102"/>
              <w:jc w:val="center"/>
              <w:rPr>
                <w:noProof/>
              </w:rPr>
            </w:pPr>
            <w:r>
              <w:rPr>
                <w:noProof/>
              </w:rPr>
              <w:t>M</w:t>
            </w:r>
          </w:p>
        </w:tc>
        <w:tc>
          <w:tcPr>
            <w:tcW w:w="1800" w:type="dxa"/>
            <w:shd w:val="clear" w:color="auto" w:fill="C6EFCE"/>
            <w:noWrap/>
          </w:tcPr>
          <w:p w14:paraId="3C9835DA" w14:textId="77777777" w:rsidR="00FA7C11" w:rsidRDefault="00D84965">
            <w:pPr>
              <w:pStyle w:val="P68B1DB1-Normal102"/>
              <w:rPr>
                <w:noProof/>
              </w:rPr>
            </w:pPr>
            <w:r>
              <w:rPr>
                <w:noProof/>
              </w:rPr>
              <w:t>Modificarea cadrului legislativ privind achizițiile publice, astfel încât utilizarea căii de atac electronice să devină un mijloc obligatoriu de introducere a unei căi de atac</w:t>
            </w:r>
          </w:p>
        </w:tc>
        <w:tc>
          <w:tcPr>
            <w:tcW w:w="1808" w:type="dxa"/>
            <w:shd w:val="clear" w:color="auto" w:fill="C6EFCE"/>
            <w:noWrap/>
          </w:tcPr>
          <w:p w14:paraId="3656AF7B" w14:textId="77777777" w:rsidR="00FA7C11" w:rsidRDefault="00D84965">
            <w:pPr>
              <w:pStyle w:val="P68B1DB1-Normal102"/>
              <w:rPr>
                <w:noProof/>
              </w:rPr>
            </w:pPr>
            <w:r>
              <w:rPr>
                <w:noProof/>
              </w:rPr>
              <w:t xml:space="preserve">Intrarea în vigoare a modificărilor aduse Legii privind achizițiile publice și statutului (Ordonanța privind căile de atac în procedurile de achiziții publice) </w:t>
            </w:r>
          </w:p>
        </w:tc>
        <w:tc>
          <w:tcPr>
            <w:tcW w:w="1096" w:type="dxa"/>
            <w:shd w:val="clear" w:color="auto" w:fill="C6EFCE"/>
            <w:noWrap/>
          </w:tcPr>
          <w:p w14:paraId="3696DFDF" w14:textId="77777777" w:rsidR="00FA7C11" w:rsidRDefault="00D84965">
            <w:pPr>
              <w:pStyle w:val="P68B1DB1-Normal102"/>
              <w:jc w:val="center"/>
              <w:rPr>
                <w:noProof/>
              </w:rPr>
            </w:pPr>
            <w:r>
              <w:rPr>
                <w:noProof/>
              </w:rPr>
              <w:t> </w:t>
            </w:r>
          </w:p>
        </w:tc>
        <w:tc>
          <w:tcPr>
            <w:tcW w:w="966" w:type="dxa"/>
            <w:shd w:val="clear" w:color="auto" w:fill="C6EFCE"/>
            <w:noWrap/>
          </w:tcPr>
          <w:p w14:paraId="55172DDA" w14:textId="77777777" w:rsidR="00FA7C11" w:rsidRDefault="00D84965">
            <w:pPr>
              <w:pStyle w:val="P68B1DB1-Normal102"/>
              <w:jc w:val="center"/>
              <w:rPr>
                <w:noProof/>
              </w:rPr>
            </w:pPr>
            <w:r>
              <w:rPr>
                <w:noProof/>
              </w:rPr>
              <w:t> </w:t>
            </w:r>
          </w:p>
        </w:tc>
        <w:tc>
          <w:tcPr>
            <w:tcW w:w="927" w:type="dxa"/>
            <w:shd w:val="clear" w:color="auto" w:fill="C6EFCE"/>
            <w:noWrap/>
          </w:tcPr>
          <w:p w14:paraId="7546D4BE" w14:textId="77777777" w:rsidR="00FA7C11" w:rsidRDefault="00D84965">
            <w:pPr>
              <w:pStyle w:val="P68B1DB1-Normal102"/>
              <w:jc w:val="center"/>
              <w:rPr>
                <w:noProof/>
              </w:rPr>
            </w:pPr>
            <w:r>
              <w:rPr>
                <w:noProof/>
              </w:rPr>
              <w:t> </w:t>
            </w:r>
          </w:p>
        </w:tc>
        <w:tc>
          <w:tcPr>
            <w:tcW w:w="756" w:type="dxa"/>
            <w:shd w:val="clear" w:color="auto" w:fill="C6EFCE"/>
            <w:noWrap/>
          </w:tcPr>
          <w:p w14:paraId="395C60FB" w14:textId="77777777" w:rsidR="00FA7C11" w:rsidRDefault="00D84965">
            <w:pPr>
              <w:pStyle w:val="P68B1DB1-Normal102"/>
              <w:jc w:val="center"/>
              <w:rPr>
                <w:noProof/>
              </w:rPr>
            </w:pPr>
            <w:r>
              <w:rPr>
                <w:noProof/>
              </w:rPr>
              <w:t>Î3</w:t>
            </w:r>
          </w:p>
        </w:tc>
        <w:tc>
          <w:tcPr>
            <w:tcW w:w="960" w:type="dxa"/>
            <w:shd w:val="clear" w:color="auto" w:fill="C6EFCE"/>
            <w:noWrap/>
          </w:tcPr>
          <w:p w14:paraId="28013CA6" w14:textId="77777777" w:rsidR="00FA7C11" w:rsidRDefault="00D84965">
            <w:pPr>
              <w:pStyle w:val="P68B1DB1-Normal102"/>
              <w:jc w:val="center"/>
              <w:rPr>
                <w:noProof/>
              </w:rPr>
            </w:pPr>
            <w:r>
              <w:rPr>
                <w:noProof/>
              </w:rPr>
              <w:t>2022</w:t>
            </w:r>
          </w:p>
        </w:tc>
        <w:tc>
          <w:tcPr>
            <w:tcW w:w="4347" w:type="dxa"/>
            <w:shd w:val="clear" w:color="auto" w:fill="C6EFCE"/>
            <w:noWrap/>
          </w:tcPr>
          <w:p w14:paraId="52808060" w14:textId="77777777" w:rsidR="00FA7C11" w:rsidRDefault="00D84965">
            <w:pPr>
              <w:pStyle w:val="P68B1DB1-Normal102"/>
              <w:rPr>
                <w:noProof/>
                <w:color w:val="000000" w:themeColor="text1"/>
              </w:rPr>
            </w:pPr>
            <w:r>
              <w:rPr>
                <w:noProof/>
              </w:rPr>
              <w:t>Cadrul legislativ privind achizițiile publice (Legea privind achizițiile publice și normele de aplicare relevante) se modifică pentru a introduce recursul electronic ca mijloc obligatoriu de a obține reparații în sistemul de achiziții publice.</w:t>
            </w:r>
          </w:p>
        </w:tc>
      </w:tr>
      <w:tr w:rsidR="00FA7C11" w14:paraId="7A7AB415" w14:textId="77777777">
        <w:trPr>
          <w:trHeight w:val="283"/>
          <w:jc w:val="center"/>
        </w:trPr>
        <w:tc>
          <w:tcPr>
            <w:tcW w:w="849" w:type="dxa"/>
            <w:shd w:val="clear" w:color="auto" w:fill="C6EFCE"/>
            <w:noWrap/>
          </w:tcPr>
          <w:p w14:paraId="23345758" w14:textId="77777777" w:rsidR="00FA7C11" w:rsidRDefault="00D84965">
            <w:pPr>
              <w:pStyle w:val="P68B1DB1-Normal102"/>
              <w:jc w:val="center"/>
              <w:rPr>
                <w:noProof/>
              </w:rPr>
            </w:pPr>
            <w:r>
              <w:rPr>
                <w:noProof/>
              </w:rPr>
              <w:t>261</w:t>
            </w:r>
          </w:p>
        </w:tc>
        <w:tc>
          <w:tcPr>
            <w:tcW w:w="1200" w:type="dxa"/>
            <w:shd w:val="clear" w:color="auto" w:fill="C6EFCE"/>
            <w:noWrap/>
          </w:tcPr>
          <w:p w14:paraId="2A07A2B6" w14:textId="77777777" w:rsidR="00FA7C11" w:rsidRDefault="00D84965">
            <w:pPr>
              <w:pStyle w:val="P68B1DB1-Normal102"/>
              <w:jc w:val="center"/>
              <w:rPr>
                <w:noProof/>
              </w:rPr>
            </w:pPr>
            <w:r>
              <w:rPr>
                <w:noProof/>
              </w:rPr>
              <w:t>C2.9. R2</w:t>
            </w:r>
          </w:p>
        </w:tc>
        <w:tc>
          <w:tcPr>
            <w:tcW w:w="1080" w:type="dxa"/>
            <w:shd w:val="clear" w:color="auto" w:fill="C6EFCE"/>
            <w:noWrap/>
          </w:tcPr>
          <w:p w14:paraId="01F9EE7F" w14:textId="77777777" w:rsidR="00FA7C11" w:rsidRDefault="00D84965">
            <w:pPr>
              <w:pStyle w:val="P68B1DB1-Normal102"/>
              <w:jc w:val="center"/>
              <w:rPr>
                <w:noProof/>
              </w:rPr>
            </w:pPr>
            <w:r>
              <w:rPr>
                <w:noProof/>
              </w:rPr>
              <w:t>T</w:t>
            </w:r>
          </w:p>
        </w:tc>
        <w:tc>
          <w:tcPr>
            <w:tcW w:w="1800" w:type="dxa"/>
            <w:shd w:val="clear" w:color="auto" w:fill="C6EFCE"/>
            <w:noWrap/>
          </w:tcPr>
          <w:p w14:paraId="6C3F3176" w14:textId="77777777" w:rsidR="00FA7C11" w:rsidRDefault="00D84965">
            <w:pPr>
              <w:pStyle w:val="P68B1DB1-Normal102"/>
              <w:rPr>
                <w:noProof/>
              </w:rPr>
            </w:pPr>
            <w:r>
              <w:rPr>
                <w:noProof/>
              </w:rPr>
              <w:t xml:space="preserve">Reducerea duratei medii de soluționare a căilor de atac și a deciziilor </w:t>
            </w:r>
          </w:p>
        </w:tc>
        <w:tc>
          <w:tcPr>
            <w:tcW w:w="1808" w:type="dxa"/>
            <w:shd w:val="clear" w:color="auto" w:fill="C6EFCE"/>
            <w:noWrap/>
          </w:tcPr>
          <w:p w14:paraId="4F5965F8" w14:textId="77777777" w:rsidR="00FA7C11" w:rsidRDefault="00D84965">
            <w:pPr>
              <w:pStyle w:val="P68B1DB1-Normal102"/>
              <w:rPr>
                <w:noProof/>
              </w:rPr>
            </w:pPr>
            <w:r>
              <w:rPr>
                <w:noProof/>
              </w:rPr>
              <w:t xml:space="preserve"> </w:t>
            </w:r>
          </w:p>
        </w:tc>
        <w:tc>
          <w:tcPr>
            <w:tcW w:w="1096" w:type="dxa"/>
            <w:shd w:val="clear" w:color="auto" w:fill="C6EFCE"/>
            <w:noWrap/>
          </w:tcPr>
          <w:p w14:paraId="33A9AD71" w14:textId="77777777" w:rsidR="00FA7C11" w:rsidRDefault="00D84965">
            <w:pPr>
              <w:pStyle w:val="P68B1DB1-Normal102"/>
              <w:jc w:val="center"/>
              <w:rPr>
                <w:noProof/>
              </w:rPr>
            </w:pPr>
            <w:r>
              <w:rPr>
                <w:noProof/>
              </w:rPr>
              <w:t>Număr</w:t>
            </w:r>
          </w:p>
        </w:tc>
        <w:tc>
          <w:tcPr>
            <w:tcW w:w="966" w:type="dxa"/>
            <w:shd w:val="clear" w:color="auto" w:fill="C6EFCE"/>
            <w:noWrap/>
          </w:tcPr>
          <w:p w14:paraId="0F6F936F" w14:textId="77777777" w:rsidR="00FA7C11" w:rsidRDefault="00D84965">
            <w:pPr>
              <w:pStyle w:val="P68B1DB1-Normal102"/>
              <w:jc w:val="center"/>
              <w:rPr>
                <w:noProof/>
              </w:rPr>
            </w:pPr>
            <w:r>
              <w:rPr>
                <w:noProof/>
              </w:rPr>
              <w:t>35.2</w:t>
            </w:r>
          </w:p>
        </w:tc>
        <w:tc>
          <w:tcPr>
            <w:tcW w:w="927" w:type="dxa"/>
            <w:shd w:val="clear" w:color="auto" w:fill="C6EFCE"/>
            <w:noWrap/>
          </w:tcPr>
          <w:p w14:paraId="4677B276" w14:textId="77777777" w:rsidR="00FA7C11" w:rsidRDefault="00D84965">
            <w:pPr>
              <w:pStyle w:val="P68B1DB1-Normal102"/>
              <w:jc w:val="center"/>
              <w:rPr>
                <w:noProof/>
              </w:rPr>
            </w:pPr>
            <w:r>
              <w:rPr>
                <w:noProof/>
              </w:rPr>
              <w:t>29.2</w:t>
            </w:r>
          </w:p>
        </w:tc>
        <w:tc>
          <w:tcPr>
            <w:tcW w:w="756" w:type="dxa"/>
            <w:shd w:val="clear" w:color="auto" w:fill="C6EFCE"/>
            <w:noWrap/>
          </w:tcPr>
          <w:p w14:paraId="790627FD" w14:textId="77777777" w:rsidR="00FA7C11" w:rsidRDefault="00D84965">
            <w:pPr>
              <w:pStyle w:val="P68B1DB1-Normal102"/>
              <w:jc w:val="center"/>
              <w:rPr>
                <w:noProof/>
              </w:rPr>
            </w:pPr>
            <w:r>
              <w:rPr>
                <w:noProof/>
              </w:rPr>
              <w:t>Î4</w:t>
            </w:r>
          </w:p>
        </w:tc>
        <w:tc>
          <w:tcPr>
            <w:tcW w:w="960" w:type="dxa"/>
            <w:shd w:val="clear" w:color="auto" w:fill="C6EFCE"/>
            <w:noWrap/>
          </w:tcPr>
          <w:p w14:paraId="7C390DEA" w14:textId="77777777" w:rsidR="00FA7C11" w:rsidRDefault="00D84965">
            <w:pPr>
              <w:pStyle w:val="P68B1DB1-Normal102"/>
              <w:jc w:val="center"/>
              <w:rPr>
                <w:noProof/>
              </w:rPr>
            </w:pPr>
            <w:r>
              <w:rPr>
                <w:noProof/>
              </w:rPr>
              <w:t>2024</w:t>
            </w:r>
          </w:p>
        </w:tc>
        <w:tc>
          <w:tcPr>
            <w:tcW w:w="4347" w:type="dxa"/>
            <w:shd w:val="clear" w:color="auto" w:fill="C6EFCE"/>
            <w:noWrap/>
          </w:tcPr>
          <w:p w14:paraId="33D7D7B3" w14:textId="77777777" w:rsidR="00FA7C11" w:rsidRDefault="00D84965">
            <w:pPr>
              <w:pStyle w:val="P68B1DB1-Normal102"/>
              <w:rPr>
                <w:noProof/>
              </w:rPr>
            </w:pPr>
            <w:r>
              <w:rPr>
                <w:noProof/>
              </w:rPr>
              <w:t>Numărul mediu de zile pentru luarea unei decizii cu privire la cazurile care fac obiectul unei căi de atac de la data primirii căii de atac se reduce cu cel puțin 6 de zile.</w:t>
            </w:r>
          </w:p>
        </w:tc>
      </w:tr>
      <w:tr w:rsidR="00FA7C11" w14:paraId="0DC42384" w14:textId="77777777">
        <w:trPr>
          <w:trHeight w:val="283"/>
          <w:jc w:val="center"/>
        </w:trPr>
        <w:tc>
          <w:tcPr>
            <w:tcW w:w="849" w:type="dxa"/>
            <w:shd w:val="clear" w:color="auto" w:fill="C6EFCE"/>
            <w:noWrap/>
          </w:tcPr>
          <w:p w14:paraId="505B8376" w14:textId="77777777" w:rsidR="00FA7C11" w:rsidRDefault="00D84965">
            <w:pPr>
              <w:pStyle w:val="P68B1DB1-Normal102"/>
              <w:jc w:val="center"/>
              <w:rPr>
                <w:noProof/>
              </w:rPr>
            </w:pPr>
            <w:r>
              <w:rPr>
                <w:noProof/>
              </w:rPr>
              <w:t>263</w:t>
            </w:r>
          </w:p>
        </w:tc>
        <w:tc>
          <w:tcPr>
            <w:tcW w:w="1200" w:type="dxa"/>
            <w:shd w:val="clear" w:color="auto" w:fill="C6EFCE"/>
            <w:noWrap/>
          </w:tcPr>
          <w:p w14:paraId="61CF2D31" w14:textId="77777777" w:rsidR="00FA7C11" w:rsidRDefault="00D84965">
            <w:pPr>
              <w:pStyle w:val="P68B1DB1-Normal102"/>
              <w:jc w:val="center"/>
              <w:rPr>
                <w:noProof/>
              </w:rPr>
            </w:pPr>
            <w:r>
              <w:rPr>
                <w:noProof/>
              </w:rPr>
              <w:t>C2.9. R3</w:t>
            </w:r>
          </w:p>
        </w:tc>
        <w:tc>
          <w:tcPr>
            <w:tcW w:w="1080" w:type="dxa"/>
            <w:shd w:val="clear" w:color="auto" w:fill="C6EFCE"/>
            <w:noWrap/>
          </w:tcPr>
          <w:p w14:paraId="64059D25" w14:textId="77777777" w:rsidR="00FA7C11" w:rsidRDefault="00D84965">
            <w:pPr>
              <w:pStyle w:val="P68B1DB1-Normal102"/>
              <w:jc w:val="center"/>
              <w:rPr>
                <w:noProof/>
              </w:rPr>
            </w:pPr>
            <w:r>
              <w:rPr>
                <w:noProof/>
              </w:rPr>
              <w:t>M</w:t>
            </w:r>
          </w:p>
        </w:tc>
        <w:tc>
          <w:tcPr>
            <w:tcW w:w="1800" w:type="dxa"/>
            <w:shd w:val="clear" w:color="auto" w:fill="C6EFCE"/>
            <w:noWrap/>
          </w:tcPr>
          <w:p w14:paraId="466A874E" w14:textId="77777777" w:rsidR="00FA7C11" w:rsidRDefault="00D84965">
            <w:pPr>
              <w:pStyle w:val="P68B1DB1-Normal102"/>
              <w:rPr>
                <w:noProof/>
              </w:rPr>
            </w:pPr>
            <w:r>
              <w:rPr>
                <w:noProof/>
              </w:rPr>
              <w:t>Programe și activități care vizează conceperea și gestionarea achizițiilor publice inovatoare</w:t>
            </w:r>
          </w:p>
        </w:tc>
        <w:tc>
          <w:tcPr>
            <w:tcW w:w="1808" w:type="dxa"/>
            <w:shd w:val="clear" w:color="auto" w:fill="C6EFCE"/>
            <w:noWrap/>
          </w:tcPr>
          <w:p w14:paraId="7FD5A6A1" w14:textId="77777777" w:rsidR="00FA7C11" w:rsidRDefault="00D84965">
            <w:pPr>
              <w:pStyle w:val="P68B1DB1-Normal102"/>
              <w:rPr>
                <w:noProof/>
              </w:rPr>
            </w:pPr>
            <w:r>
              <w:rPr>
                <w:noProof/>
              </w:rPr>
              <w:t>Program instituit pentru a oferi asistență și formare profesională achizitorilor în ceea ce privește achizițiile publice în domeniul inovării</w:t>
            </w:r>
          </w:p>
        </w:tc>
        <w:tc>
          <w:tcPr>
            <w:tcW w:w="1096" w:type="dxa"/>
            <w:shd w:val="clear" w:color="auto" w:fill="C6EFCE"/>
            <w:noWrap/>
          </w:tcPr>
          <w:p w14:paraId="426672E3" w14:textId="77777777" w:rsidR="00FA7C11" w:rsidRDefault="00D84965">
            <w:pPr>
              <w:pStyle w:val="P68B1DB1-Normal102"/>
              <w:jc w:val="center"/>
              <w:rPr>
                <w:noProof/>
              </w:rPr>
            </w:pPr>
            <w:r>
              <w:rPr>
                <w:noProof/>
              </w:rPr>
              <w:t> </w:t>
            </w:r>
          </w:p>
        </w:tc>
        <w:tc>
          <w:tcPr>
            <w:tcW w:w="966" w:type="dxa"/>
            <w:shd w:val="clear" w:color="auto" w:fill="C6EFCE"/>
            <w:noWrap/>
          </w:tcPr>
          <w:p w14:paraId="6F5246CE" w14:textId="77777777" w:rsidR="00FA7C11" w:rsidRDefault="00D84965">
            <w:pPr>
              <w:pStyle w:val="P68B1DB1-Normal102"/>
              <w:jc w:val="center"/>
              <w:rPr>
                <w:noProof/>
              </w:rPr>
            </w:pPr>
            <w:r>
              <w:rPr>
                <w:noProof/>
              </w:rPr>
              <w:t> </w:t>
            </w:r>
          </w:p>
        </w:tc>
        <w:tc>
          <w:tcPr>
            <w:tcW w:w="927" w:type="dxa"/>
            <w:shd w:val="clear" w:color="auto" w:fill="C6EFCE"/>
            <w:noWrap/>
          </w:tcPr>
          <w:p w14:paraId="42732C98" w14:textId="77777777" w:rsidR="00FA7C11" w:rsidRDefault="00D84965">
            <w:pPr>
              <w:pStyle w:val="P68B1DB1-Normal102"/>
              <w:jc w:val="center"/>
              <w:rPr>
                <w:noProof/>
              </w:rPr>
            </w:pPr>
            <w:r>
              <w:rPr>
                <w:noProof/>
              </w:rPr>
              <w:t> </w:t>
            </w:r>
          </w:p>
        </w:tc>
        <w:tc>
          <w:tcPr>
            <w:tcW w:w="756" w:type="dxa"/>
            <w:shd w:val="clear" w:color="auto" w:fill="C6EFCE"/>
            <w:noWrap/>
          </w:tcPr>
          <w:p w14:paraId="5782A274" w14:textId="77777777" w:rsidR="00FA7C11" w:rsidRDefault="00D84965">
            <w:pPr>
              <w:pStyle w:val="P68B1DB1-Normal102"/>
              <w:jc w:val="center"/>
              <w:rPr>
                <w:noProof/>
              </w:rPr>
            </w:pPr>
            <w:r>
              <w:rPr>
                <w:noProof/>
              </w:rPr>
              <w:t>Î1</w:t>
            </w:r>
          </w:p>
        </w:tc>
        <w:tc>
          <w:tcPr>
            <w:tcW w:w="960" w:type="dxa"/>
            <w:shd w:val="clear" w:color="auto" w:fill="C6EFCE"/>
            <w:noWrap/>
          </w:tcPr>
          <w:p w14:paraId="499F10CF" w14:textId="77777777" w:rsidR="00FA7C11" w:rsidRDefault="00D84965">
            <w:pPr>
              <w:pStyle w:val="P68B1DB1-Normal102"/>
              <w:jc w:val="center"/>
              <w:rPr>
                <w:noProof/>
              </w:rPr>
            </w:pPr>
            <w:r>
              <w:rPr>
                <w:noProof/>
              </w:rPr>
              <w:t>2024</w:t>
            </w:r>
          </w:p>
        </w:tc>
        <w:tc>
          <w:tcPr>
            <w:tcW w:w="4347" w:type="dxa"/>
            <w:shd w:val="clear" w:color="auto" w:fill="C6EFCE"/>
            <w:noWrap/>
          </w:tcPr>
          <w:p w14:paraId="7654B8C7" w14:textId="5CFB7F4B" w:rsidR="00FA7C11" w:rsidRDefault="00D84965">
            <w:pPr>
              <w:pStyle w:val="P68B1DB1-Normal102"/>
              <w:rPr>
                <w:noProof/>
              </w:rPr>
            </w:pPr>
            <w:r>
              <w:rPr>
                <w:noProof/>
              </w:rPr>
              <w:t xml:space="preserve">Cu ajutorul asistenței tehnice, instituțiile croate instituie programe pentru a oferi asistență profesională achizitorilor în cadrul procedurilor de achiziții legate de inovare. Centrul de concurență pentru achiziții publice inovatoare înființat în cadrul HAMAG-BICRO (Agenția Croată pentru Întreprinderi Mici, Inovare și Investiții) va fi consolidat, iar personalul său va fi format pentru a oferi formare privind achizițiile publice în domeniul inovării pe cont propriu. Capacitatea administrativă a MINGOR (Ministerul Economiei și Dezvoltării Durabile) va fi, de asemenea, consolidată în același mod. Până în T1 2024 se elaborează un raport intermediar privind această consolidare a capacităților. </w:t>
            </w:r>
          </w:p>
          <w:p w14:paraId="2B41937E" w14:textId="77777777" w:rsidR="00FA7C11" w:rsidRDefault="00D84965">
            <w:pPr>
              <w:pStyle w:val="P68B1DB1-Normal89"/>
              <w:rPr>
                <w:noProof/>
              </w:rPr>
            </w:pPr>
            <w:r>
              <w:rPr>
                <w:noProof/>
              </w:rPr>
              <w:t>În plus, se publică un manual pentru entitățile contractante cu orientări privind modul de desfășurare a procedurilor de achiziții legate de inovare.</w:t>
            </w:r>
          </w:p>
        </w:tc>
      </w:tr>
      <w:tr w:rsidR="00FA7C11" w14:paraId="6765234F" w14:textId="77777777">
        <w:trPr>
          <w:trHeight w:val="283"/>
          <w:jc w:val="center"/>
        </w:trPr>
        <w:tc>
          <w:tcPr>
            <w:tcW w:w="849" w:type="dxa"/>
            <w:shd w:val="clear" w:color="auto" w:fill="C6EFCE"/>
            <w:noWrap/>
          </w:tcPr>
          <w:p w14:paraId="38933128" w14:textId="77777777" w:rsidR="00FA7C11" w:rsidRDefault="00D84965">
            <w:pPr>
              <w:pStyle w:val="P68B1DB1-Normal102"/>
              <w:jc w:val="center"/>
              <w:rPr>
                <w:noProof/>
              </w:rPr>
            </w:pPr>
            <w:r>
              <w:rPr>
                <w:noProof/>
              </w:rPr>
              <w:t>264</w:t>
            </w:r>
          </w:p>
        </w:tc>
        <w:tc>
          <w:tcPr>
            <w:tcW w:w="1200" w:type="dxa"/>
            <w:shd w:val="clear" w:color="auto" w:fill="C6EFCE"/>
            <w:noWrap/>
          </w:tcPr>
          <w:p w14:paraId="01D199D6" w14:textId="77777777" w:rsidR="00FA7C11" w:rsidRDefault="00D84965">
            <w:pPr>
              <w:pStyle w:val="P68B1DB1-Normal102"/>
              <w:jc w:val="center"/>
              <w:rPr>
                <w:noProof/>
              </w:rPr>
            </w:pPr>
            <w:r>
              <w:rPr>
                <w:noProof/>
              </w:rPr>
              <w:t>C2.9. R3</w:t>
            </w:r>
          </w:p>
        </w:tc>
        <w:tc>
          <w:tcPr>
            <w:tcW w:w="1080" w:type="dxa"/>
            <w:shd w:val="clear" w:color="auto" w:fill="C6EFCE"/>
            <w:noWrap/>
          </w:tcPr>
          <w:p w14:paraId="61075319" w14:textId="77777777" w:rsidR="00FA7C11" w:rsidRDefault="00D84965">
            <w:pPr>
              <w:pStyle w:val="P68B1DB1-Normal102"/>
              <w:jc w:val="center"/>
              <w:rPr>
                <w:noProof/>
              </w:rPr>
            </w:pPr>
            <w:r>
              <w:rPr>
                <w:noProof/>
              </w:rPr>
              <w:t>T</w:t>
            </w:r>
          </w:p>
        </w:tc>
        <w:tc>
          <w:tcPr>
            <w:tcW w:w="1800" w:type="dxa"/>
            <w:shd w:val="clear" w:color="auto" w:fill="C6EFCE"/>
            <w:noWrap/>
          </w:tcPr>
          <w:p w14:paraId="710BD44D" w14:textId="77401AF8" w:rsidR="00FA7C11" w:rsidRDefault="00D84965">
            <w:pPr>
              <w:pStyle w:val="P68B1DB1-Normal102"/>
              <w:rPr>
                <w:noProof/>
              </w:rPr>
            </w:pPr>
            <w:r>
              <w:rPr>
                <w:noProof/>
              </w:rPr>
              <w:t xml:space="preserve">Formare privind achizițiile publice în domeniul inovării </w:t>
            </w:r>
          </w:p>
        </w:tc>
        <w:tc>
          <w:tcPr>
            <w:tcW w:w="1808" w:type="dxa"/>
            <w:shd w:val="clear" w:color="auto" w:fill="C6EFCE"/>
            <w:noWrap/>
          </w:tcPr>
          <w:p w14:paraId="6DDC863B" w14:textId="77777777" w:rsidR="00FA7C11" w:rsidRDefault="00D84965">
            <w:pPr>
              <w:pStyle w:val="P68B1DB1-Normal102"/>
              <w:rPr>
                <w:noProof/>
              </w:rPr>
            </w:pPr>
            <w:r>
              <w:rPr>
                <w:noProof/>
              </w:rPr>
              <w:t xml:space="preserve"> </w:t>
            </w:r>
          </w:p>
        </w:tc>
        <w:tc>
          <w:tcPr>
            <w:tcW w:w="1096" w:type="dxa"/>
            <w:shd w:val="clear" w:color="auto" w:fill="C6EFCE"/>
            <w:noWrap/>
          </w:tcPr>
          <w:p w14:paraId="401673CE" w14:textId="77777777" w:rsidR="00FA7C11" w:rsidRDefault="00D84965">
            <w:pPr>
              <w:pStyle w:val="P68B1DB1-Normal102"/>
              <w:jc w:val="center"/>
              <w:rPr>
                <w:noProof/>
              </w:rPr>
            </w:pPr>
            <w:r>
              <w:rPr>
                <w:noProof/>
              </w:rPr>
              <w:t>Număr</w:t>
            </w:r>
          </w:p>
        </w:tc>
        <w:tc>
          <w:tcPr>
            <w:tcW w:w="966" w:type="dxa"/>
            <w:shd w:val="clear" w:color="auto" w:fill="C6EFCE"/>
            <w:noWrap/>
          </w:tcPr>
          <w:p w14:paraId="38656EBE" w14:textId="77777777" w:rsidR="00FA7C11" w:rsidRDefault="00D84965">
            <w:pPr>
              <w:pStyle w:val="P68B1DB1-Normal102"/>
              <w:jc w:val="center"/>
              <w:rPr>
                <w:noProof/>
              </w:rPr>
            </w:pPr>
            <w:r>
              <w:rPr>
                <w:noProof/>
              </w:rPr>
              <w:t>0</w:t>
            </w:r>
          </w:p>
        </w:tc>
        <w:tc>
          <w:tcPr>
            <w:tcW w:w="927" w:type="dxa"/>
            <w:shd w:val="clear" w:color="auto" w:fill="C6EFCE"/>
            <w:noWrap/>
          </w:tcPr>
          <w:p w14:paraId="26563EC0" w14:textId="77777777" w:rsidR="00FA7C11" w:rsidRDefault="00D84965">
            <w:pPr>
              <w:pStyle w:val="P68B1DB1-Normal102"/>
              <w:jc w:val="center"/>
              <w:rPr>
                <w:noProof/>
              </w:rPr>
            </w:pPr>
            <w:r>
              <w:rPr>
                <w:noProof/>
              </w:rPr>
              <w:t>150</w:t>
            </w:r>
          </w:p>
        </w:tc>
        <w:tc>
          <w:tcPr>
            <w:tcW w:w="756" w:type="dxa"/>
            <w:shd w:val="clear" w:color="auto" w:fill="C6EFCE"/>
            <w:noWrap/>
          </w:tcPr>
          <w:p w14:paraId="55B2096A" w14:textId="77777777" w:rsidR="00FA7C11" w:rsidRDefault="00D84965">
            <w:pPr>
              <w:pStyle w:val="P68B1DB1-Normal102"/>
              <w:jc w:val="center"/>
              <w:rPr>
                <w:noProof/>
              </w:rPr>
            </w:pPr>
            <w:r>
              <w:rPr>
                <w:noProof/>
              </w:rPr>
              <w:t>Î4</w:t>
            </w:r>
          </w:p>
        </w:tc>
        <w:tc>
          <w:tcPr>
            <w:tcW w:w="960" w:type="dxa"/>
            <w:shd w:val="clear" w:color="auto" w:fill="C6EFCE"/>
            <w:noWrap/>
          </w:tcPr>
          <w:p w14:paraId="2A201428" w14:textId="77777777" w:rsidR="00FA7C11" w:rsidRDefault="00D84965">
            <w:pPr>
              <w:pStyle w:val="P68B1DB1-Normal102"/>
              <w:jc w:val="center"/>
              <w:rPr>
                <w:noProof/>
              </w:rPr>
            </w:pPr>
            <w:r>
              <w:rPr>
                <w:noProof/>
              </w:rPr>
              <w:t>2025</w:t>
            </w:r>
          </w:p>
        </w:tc>
        <w:tc>
          <w:tcPr>
            <w:tcW w:w="4347" w:type="dxa"/>
            <w:shd w:val="clear" w:color="auto" w:fill="C6EFCE"/>
            <w:noWrap/>
          </w:tcPr>
          <w:p w14:paraId="2BB2048B" w14:textId="77777777" w:rsidR="00FA7C11" w:rsidRDefault="00D84965">
            <w:pPr>
              <w:pStyle w:val="P68B1DB1-Normal102"/>
              <w:rPr>
                <w:noProof/>
              </w:rPr>
            </w:pPr>
            <w:r>
              <w:rPr>
                <w:noProof/>
              </w:rPr>
              <w:t>Reprezentanții a cel puțin 150 achizitori publici sunt instruiți cu privire la achizițiile publice în domeniul inovării. Autoritățile monitorizează, de asemenea, utilizarea achizițiilor publice în domeniul inovării cu ajutorul unei publicații statistice și desfășoară activități de sensibilizare pentru părțile interesate din sectorul privat.</w:t>
            </w:r>
          </w:p>
        </w:tc>
      </w:tr>
    </w:tbl>
    <w:p w14:paraId="2E086D3C" w14:textId="77777777" w:rsidR="00FA7C11" w:rsidRDefault="00FA7C11">
      <w:pPr>
        <w:rPr>
          <w:noProof/>
        </w:rPr>
        <w:sectPr w:rsidR="00FA7C11" w:rsidSect="00FA29B2">
          <w:headerReference w:type="even" r:id="rId272"/>
          <w:headerReference w:type="default" r:id="rId273"/>
          <w:footerReference w:type="even" r:id="rId274"/>
          <w:footerReference w:type="default" r:id="rId275"/>
          <w:headerReference w:type="first" r:id="rId276"/>
          <w:footerReference w:type="first" r:id="rId277"/>
          <w:pgSz w:w="16839" w:h="11907" w:orient="landscape"/>
          <w:pgMar w:top="1134" w:right="1134" w:bottom="1134" w:left="1134" w:header="567" w:footer="567" w:gutter="0"/>
          <w:cols w:space="708"/>
          <w:docGrid w:linePitch="360"/>
        </w:sectPr>
      </w:pPr>
    </w:p>
    <w:p w14:paraId="145360FB" w14:textId="77777777" w:rsidR="00FA7C11" w:rsidRDefault="00D84965">
      <w:pPr>
        <w:pStyle w:val="P68B1DB1-Normal32"/>
        <w:keepNext/>
        <w:tabs>
          <w:tab w:val="left" w:pos="850"/>
        </w:tabs>
        <w:spacing w:before="360" w:line="240" w:lineRule="auto"/>
        <w:ind w:left="851"/>
        <w:jc w:val="both"/>
        <w:outlineLvl w:val="0"/>
        <w:rPr>
          <w:noProof/>
        </w:rPr>
      </w:pPr>
      <w:r>
        <w:rPr>
          <w:noProof/>
        </w:rPr>
        <w:t>P. COMPONENTA 3.1: REFORMA SISTEMULUI EDUCAȚIONAL</w:t>
      </w:r>
    </w:p>
    <w:p w14:paraId="5DBC29EA" w14:textId="77777777" w:rsidR="00FA7C11" w:rsidRDefault="00D84965">
      <w:pPr>
        <w:pStyle w:val="P68B1DB1-Normal33"/>
        <w:spacing w:after="240" w:line="240" w:lineRule="auto"/>
        <w:jc w:val="both"/>
        <w:rPr>
          <w:noProof/>
        </w:rPr>
      </w:pPr>
      <w:r>
        <w:rPr>
          <w:noProof/>
        </w:rPr>
        <w:t>Sistemul de învățământ din Croația se confruntă cu o serie de provocări semnificative. Frecventarea structurilor formale de îngrijire a copiilor și participarea la educația și îngrijirea timpurie (ECEC) sunt printre cele mai scăzute din UE, în mare parte din cauza lipsei infrastructurilor ECEC și a deficitului de cadre didactice, cu disparități regionale ample care exacerbează inegalitățile. Ciclul de școlarizare obligatorie (cu o durată de opt ani) este cu un an mai scurt decât standardul UE. Timpul anual de instruire în școlile primare este, de asemenea, mai mic decât media UE, deoarece multe școli își desfășoară activitatea în schimburi din cauza deficitului de infrastructură. Performanțele elevilor în ceea ce privește toate competențele de bază se situează sub media UE. Rata de absolvire a învățământului terțiar este una dintre cele mai scăzute din UE. Participarea la educația adulților este, de asemenea, foarte scăzută.</w:t>
      </w:r>
    </w:p>
    <w:p w14:paraId="16A0E0B5" w14:textId="77777777" w:rsidR="00FA7C11" w:rsidRDefault="00D84965">
      <w:pPr>
        <w:pStyle w:val="P68B1DB1-Normal33"/>
        <w:spacing w:line="240" w:lineRule="auto"/>
        <w:jc w:val="both"/>
        <w:rPr>
          <w:noProof/>
        </w:rPr>
      </w:pPr>
      <w:r>
        <w:rPr>
          <w:noProof/>
        </w:rPr>
        <w:t xml:space="preserve">Obiectivul acestei componente este de a aborda toate aceste provocări. Aceasta include o reformă cuprinzătoare a sistemului de învățământ, care urmărește să sprijine accesul la educație și calitatea acesteia la toate nivelurile de educație. Aceasta include, de asemenea, investiții complementare în infrastructura ECEC, în școli și în infrastructura digitală a învățământului superior. </w:t>
      </w:r>
    </w:p>
    <w:p w14:paraId="34D94C68" w14:textId="77777777" w:rsidR="00FA7C11" w:rsidRDefault="00D84965">
      <w:pPr>
        <w:pStyle w:val="P68B1DB1-Normal33"/>
        <w:spacing w:line="240" w:lineRule="auto"/>
        <w:jc w:val="both"/>
        <w:rPr>
          <w:noProof/>
        </w:rPr>
      </w:pPr>
      <w:r>
        <w:rPr>
          <w:noProof/>
        </w:rPr>
        <w:t>Această componentă contribuie la punerea în aplicare a recomandărilor specifice fiecărei țări adresate Croației în ultimii doi ani cu privire la necesitatea de a „</w:t>
      </w:r>
      <w:r>
        <w:rPr>
          <w:i/>
          <w:noProof/>
        </w:rPr>
        <w:t>realiza reforma educației și de a îmbunătăți atât accesul la educație și formare la toate nivelurile, cât și calitatea și relevanța acestora pentru piața forței</w:t>
      </w:r>
      <w:r>
        <w:rPr>
          <w:noProof/>
        </w:rPr>
        <w:t xml:space="preserve"> de muncă” (recomandarea specifică nr. 2 201 din 9) și de a „</w:t>
      </w:r>
      <w:r>
        <w:rPr>
          <w:i/>
          <w:noProof/>
        </w:rPr>
        <w:t>promova dobândirea de competențe” (recomandarea specifică nr. 2</w:t>
      </w:r>
      <w:r>
        <w:rPr>
          <w:noProof/>
        </w:rPr>
        <w:t xml:space="preserve"> 202 din 0).</w:t>
      </w:r>
    </w:p>
    <w:p w14:paraId="0F5504A8" w14:textId="77777777" w:rsidR="00FA7C11" w:rsidRDefault="00D84965">
      <w:pPr>
        <w:pStyle w:val="P68B1DB1-Normal57"/>
        <w:keepNext/>
        <w:spacing w:before="40" w:after="0"/>
        <w:ind w:left="851"/>
        <w:jc w:val="both"/>
        <w:outlineLvl w:val="1"/>
        <w:rPr>
          <w:noProof/>
        </w:rPr>
      </w:pPr>
      <w:r>
        <w:rPr>
          <w:noProof/>
        </w:rPr>
        <w:t xml:space="preserve">P.1. </w:t>
      </w:r>
      <w:r>
        <w:rPr>
          <w:noProof/>
        </w:rPr>
        <w:tab/>
        <w:t>Descrierea reformelor și a investițiilor pentru sprijinul financiar nerambursabil</w:t>
      </w:r>
    </w:p>
    <w:p w14:paraId="4BA05076" w14:textId="77777777" w:rsidR="00FA7C11" w:rsidRDefault="00D84965">
      <w:pPr>
        <w:pStyle w:val="P68B1DB1-Normal96"/>
        <w:keepNext/>
        <w:tabs>
          <w:tab w:val="num" w:pos="850"/>
        </w:tabs>
        <w:spacing w:before="240" w:after="0"/>
        <w:ind w:left="851"/>
        <w:jc w:val="both"/>
        <w:outlineLvl w:val="2"/>
        <w:rPr>
          <w:noProof/>
        </w:rPr>
      </w:pPr>
      <w:r>
        <w:rPr>
          <w:noProof/>
        </w:rPr>
        <w:t>Reforma C3.1 R1 – Reforma structurală a sistemului de învățământ</w:t>
      </w:r>
    </w:p>
    <w:p w14:paraId="603B97E1" w14:textId="682232B4" w:rsidR="00FA7C11" w:rsidRDefault="00D84965">
      <w:pPr>
        <w:pStyle w:val="P68B1DB1-Normal33"/>
        <w:spacing w:line="240" w:lineRule="auto"/>
        <w:jc w:val="both"/>
        <w:rPr>
          <w:noProof/>
        </w:rPr>
      </w:pPr>
      <w:r>
        <w:rPr>
          <w:noProof/>
        </w:rPr>
        <w:t>Obiectivul acestei măsuri este de a îmbunătăți accesul la educație și calitatea acesteia la toate nivelurile, în special pentru persoanele și copiii din grupurile dezavantajate din punct de vedere socioeconomic</w:t>
      </w:r>
      <w:r>
        <w:rPr>
          <w:noProof/>
        </w:rPr>
        <w:footnoteReference w:id="19"/>
      </w:r>
      <w:r>
        <w:rPr>
          <w:noProof/>
        </w:rPr>
        <w:t xml:space="preserve">. </w:t>
      </w:r>
    </w:p>
    <w:p w14:paraId="693E8AD9" w14:textId="77777777" w:rsidR="00FA7C11" w:rsidRDefault="00D84965">
      <w:pPr>
        <w:pStyle w:val="P68B1DB1-Normal33"/>
        <w:numPr>
          <w:ilvl w:val="0"/>
          <w:numId w:val="69"/>
        </w:numPr>
        <w:spacing w:before="120" w:after="120" w:line="240" w:lineRule="auto"/>
        <w:jc w:val="both"/>
        <w:rPr>
          <w:noProof/>
        </w:rPr>
      </w:pPr>
      <w:r>
        <w:rPr>
          <w:noProof/>
        </w:rPr>
        <w:t>Educația și îngrijirea timpurie (ECEC)</w:t>
      </w:r>
    </w:p>
    <w:p w14:paraId="1F618731" w14:textId="345752F0" w:rsidR="00FA7C11" w:rsidRDefault="00D84965">
      <w:pPr>
        <w:pStyle w:val="P68B1DB1-Normal33"/>
        <w:spacing w:line="240" w:lineRule="auto"/>
        <w:jc w:val="both"/>
        <w:rPr>
          <w:noProof/>
        </w:rPr>
      </w:pPr>
      <w:r>
        <w:rPr>
          <w:noProof/>
        </w:rPr>
        <w:t xml:space="preserve">Această reformă constă în îmbunătățirea accesului la educația și îngrijirea timpurie (ECEC) pentru copiii cu vârsta cuprinsă între trei ani și începerea învățământului primar și în instituirea unui nou model de finanțare pentru a asigura sustenabilitatea pe termen lung a finanțării ECEC. </w:t>
      </w:r>
    </w:p>
    <w:p w14:paraId="7B8C2CE7" w14:textId="77777777" w:rsidR="00FA7C11" w:rsidRDefault="00D84965">
      <w:pPr>
        <w:pStyle w:val="P68B1DB1-Normal33"/>
        <w:keepNext/>
        <w:numPr>
          <w:ilvl w:val="0"/>
          <w:numId w:val="69"/>
        </w:numPr>
        <w:spacing w:before="120" w:after="120" w:line="240" w:lineRule="auto"/>
        <w:ind w:left="357" w:hanging="357"/>
        <w:jc w:val="both"/>
        <w:rPr>
          <w:noProof/>
        </w:rPr>
      </w:pPr>
      <w:r>
        <w:rPr>
          <w:noProof/>
        </w:rPr>
        <w:t>Școli primare</w:t>
      </w:r>
    </w:p>
    <w:p w14:paraId="4BA38C68" w14:textId="77777777" w:rsidR="00FA7C11" w:rsidRDefault="00D84965">
      <w:pPr>
        <w:pStyle w:val="P68B1DB1-Normal33"/>
        <w:spacing w:line="240" w:lineRule="auto"/>
        <w:jc w:val="both"/>
        <w:rPr>
          <w:noProof/>
        </w:rPr>
      </w:pPr>
      <w:r>
        <w:rPr>
          <w:noProof/>
        </w:rPr>
        <w:t>Scopul reformei este de a spori calitatea rezultatelor predării și învățării, în special pentru copiii care provin din medii socioeconomice defavorizate, prin punerea în aplicare a predării într-un singur schimb, pe durata unei zile întregi în școlile primare și prin creșterea numărului de ore de predare obligatorii. Reforma vizează, de asemenea, sprijinirea dezvoltării continue a cadrelor didactice și evaluarea externă sistematică a rezultatelor învățării în școlile primare.</w:t>
      </w:r>
    </w:p>
    <w:p w14:paraId="5C4E6099" w14:textId="77777777" w:rsidR="00FA7C11" w:rsidRDefault="00D84965">
      <w:pPr>
        <w:pStyle w:val="P68B1DB1-Normal33"/>
        <w:spacing w:line="240" w:lineRule="auto"/>
        <w:jc w:val="both"/>
        <w:rPr>
          <w:noProof/>
        </w:rPr>
      </w:pPr>
      <w:r>
        <w:rPr>
          <w:noProof/>
        </w:rPr>
        <w:t>Reforma va modifica Legea educației pentru a introduce noul model de predare pe parcursul unei zile întregi în școlile primare, modificând numărul minim de ore de predare obligatorii și programa școlară pentru școlile primare, și va fi însoțită de programe sistematice de dezvoltare a cadrelor didactice.</w:t>
      </w:r>
    </w:p>
    <w:p w14:paraId="45DCC039" w14:textId="77777777" w:rsidR="00FA7C11" w:rsidRDefault="00D84965">
      <w:pPr>
        <w:pStyle w:val="P68B1DB1-Normal33"/>
        <w:spacing w:line="240" w:lineRule="auto"/>
        <w:jc w:val="both"/>
        <w:rPr>
          <w:noProof/>
        </w:rPr>
      </w:pPr>
      <w:r>
        <w:rPr>
          <w:noProof/>
        </w:rPr>
        <w:t>Acest subset de măsuri ale reformei se finalizează până la 31 decembrie 2023.</w:t>
      </w:r>
    </w:p>
    <w:p w14:paraId="40C7211A" w14:textId="77777777" w:rsidR="00FA7C11" w:rsidRDefault="00D84965">
      <w:pPr>
        <w:pStyle w:val="P68B1DB1-Normal33"/>
        <w:numPr>
          <w:ilvl w:val="0"/>
          <w:numId w:val="69"/>
        </w:numPr>
        <w:spacing w:before="120" w:after="120" w:line="240" w:lineRule="auto"/>
        <w:jc w:val="both"/>
        <w:rPr>
          <w:noProof/>
        </w:rPr>
      </w:pPr>
      <w:r>
        <w:rPr>
          <w:noProof/>
        </w:rPr>
        <w:t>Învățământ secundar</w:t>
      </w:r>
    </w:p>
    <w:p w14:paraId="324DA67B" w14:textId="77777777" w:rsidR="00FA7C11" w:rsidRDefault="00D84965">
      <w:pPr>
        <w:pStyle w:val="P68B1DB1-Normal33"/>
        <w:spacing w:line="240" w:lineRule="auto"/>
        <w:jc w:val="both"/>
        <w:rPr>
          <w:noProof/>
        </w:rPr>
      </w:pPr>
      <w:r>
        <w:rPr>
          <w:noProof/>
        </w:rPr>
        <w:t xml:space="preserve">Scopul reformei este de a spori relevanța învățământului secundar, prin creșterea ratei de înscriere a elevilor în învățământul secundar general (programele „gimnazija”), reducând în același timp ponderea educației și formării profesionale (EFP) și îmbunătățind relevanța programelor profesionale pentru piața forței de muncă. </w:t>
      </w:r>
    </w:p>
    <w:p w14:paraId="67F893D3" w14:textId="77777777" w:rsidR="00FA7C11" w:rsidRDefault="00D84965">
      <w:pPr>
        <w:pStyle w:val="P68B1DB1-Normal33"/>
        <w:spacing w:line="240" w:lineRule="auto"/>
        <w:jc w:val="both"/>
        <w:rPr>
          <w:noProof/>
        </w:rPr>
      </w:pPr>
      <w:r>
        <w:rPr>
          <w:noProof/>
        </w:rPr>
        <w:t>Reforma contribuie la consolidarea numeroaselor programe de formare profesională secundară existente, prin reducerea excedentului de programe de formare profesională și prin creșterea relevanței programelor pentru nevoile pieței forței de muncă. Reforma introduce noi programe de învățământ bazate pe standardele de calificare și profesionale din Cadrul calificărilor din Croația (CROQF), care sunt însoțite de dezvoltarea de noi materiale didactice și de formarea profesională a cadrelor didactice din învățământul profesional.</w:t>
      </w:r>
    </w:p>
    <w:p w14:paraId="464BE902" w14:textId="77777777" w:rsidR="00FA7C11" w:rsidRDefault="00D84965">
      <w:pPr>
        <w:pStyle w:val="P68B1DB1-Normal33"/>
        <w:spacing w:line="240" w:lineRule="auto"/>
        <w:jc w:val="both"/>
        <w:rPr>
          <w:noProof/>
        </w:rPr>
      </w:pPr>
      <w:r>
        <w:rPr>
          <w:noProof/>
        </w:rPr>
        <w:t>Acest subset de măsuri ale reformei se finalizează până la 31 decembrie 2023.</w:t>
      </w:r>
    </w:p>
    <w:p w14:paraId="6936C605" w14:textId="77777777" w:rsidR="00FA7C11" w:rsidRDefault="00D84965">
      <w:pPr>
        <w:pStyle w:val="P68B1DB1-Normal33"/>
        <w:numPr>
          <w:ilvl w:val="0"/>
          <w:numId w:val="69"/>
        </w:numPr>
        <w:spacing w:before="120" w:after="120" w:line="240" w:lineRule="auto"/>
        <w:jc w:val="both"/>
        <w:rPr>
          <w:noProof/>
        </w:rPr>
      </w:pPr>
      <w:r>
        <w:rPr>
          <w:noProof/>
        </w:rPr>
        <w:t>Educația adulților</w:t>
      </w:r>
    </w:p>
    <w:p w14:paraId="755794EA" w14:textId="77777777" w:rsidR="00FA7C11" w:rsidRDefault="00D84965">
      <w:pPr>
        <w:pStyle w:val="P68B1DB1-Normal33"/>
        <w:spacing w:line="240" w:lineRule="auto"/>
        <w:jc w:val="both"/>
        <w:rPr>
          <w:noProof/>
        </w:rPr>
      </w:pPr>
      <w:r>
        <w:rPr>
          <w:noProof/>
        </w:rPr>
        <w:t>Scopul reformei este de a spori calitatea și relevanța educației adulților. Noua lege privind învățământul pentru adulți aliniază programele de învățământ pentru adulți la standardele de calificare din Cadrul calificărilor din Croația (CROQF), care se preconizează că va facilita recunoașterea cunoștințelor și a competențelor dobândite. Reforma prevede, de asemenea, introducerea conturilor educaționale individuale pentru a permite fiecărei persoane să participe la învățarea pe tot parcursul vieții. Reforma introduce, de asemenea, un sistem de evaluare a furnizorilor de educație pentru adulți.</w:t>
      </w:r>
    </w:p>
    <w:p w14:paraId="3BF8D2D0" w14:textId="77777777" w:rsidR="00FA7C11" w:rsidRDefault="00D84965">
      <w:pPr>
        <w:pStyle w:val="P68B1DB1-Normal33"/>
        <w:spacing w:line="240" w:lineRule="auto"/>
        <w:jc w:val="both"/>
        <w:rPr>
          <w:noProof/>
        </w:rPr>
      </w:pPr>
      <w:r>
        <w:rPr>
          <w:noProof/>
        </w:rPr>
        <w:t>Acest subset de măsuri ale reformei se finalizează până la 31 decembrie 2023.</w:t>
      </w:r>
    </w:p>
    <w:p w14:paraId="53BC4E80" w14:textId="797BDD9E" w:rsidR="00FA7C11" w:rsidRDefault="00D84965">
      <w:pPr>
        <w:pStyle w:val="P68B1DB1-Normal33"/>
        <w:spacing w:line="240" w:lineRule="auto"/>
        <w:jc w:val="both"/>
        <w:rPr>
          <w:noProof/>
        </w:rPr>
      </w:pPr>
      <w:r>
        <w:rPr>
          <w:noProof/>
        </w:rPr>
        <w:t xml:space="preserve">Această reformă este sprijinită de trei investiții (C3.1 R1-I1, C3.1 R1-I2, C3.1 R1-I3 și C3.1 R1-I4). </w:t>
      </w:r>
    </w:p>
    <w:p w14:paraId="7A1C75A3" w14:textId="77777777" w:rsidR="00FA7C11" w:rsidRDefault="00D84965">
      <w:pPr>
        <w:pStyle w:val="P68B1DB1-Normal96"/>
        <w:keepNext/>
        <w:tabs>
          <w:tab w:val="num" w:pos="850"/>
        </w:tabs>
        <w:spacing w:before="240" w:after="0"/>
        <w:ind w:left="851"/>
        <w:jc w:val="both"/>
        <w:outlineLvl w:val="2"/>
        <w:rPr>
          <w:noProof/>
        </w:rPr>
      </w:pPr>
      <w:r>
        <w:rPr>
          <w:noProof/>
        </w:rPr>
        <w:t>Investiția C3.1 R1-I1 – Construirea, modernizarea, reconstrucția și echiparea instalațiilor ECEC</w:t>
      </w:r>
    </w:p>
    <w:p w14:paraId="30D9F90F" w14:textId="0E962B8A" w:rsidR="00FA7C11" w:rsidRDefault="00D84965">
      <w:pPr>
        <w:pStyle w:val="P68B1DB1-Normal33"/>
        <w:spacing w:line="240" w:lineRule="auto"/>
        <w:jc w:val="both"/>
        <w:rPr>
          <w:noProof/>
        </w:rPr>
      </w:pPr>
      <w:r>
        <w:rPr>
          <w:noProof/>
        </w:rPr>
        <w:t xml:space="preserve">Obiectivul acestei investiții este de a sprijini accesul la educație și îngrijire timpurie în Croația. Această măsură include construirea de noi instalații ECEC și renovarea celor existente, cu obiectivul de a crea 12 000 de noi locuri în ECEC. </w:t>
      </w:r>
    </w:p>
    <w:p w14:paraId="35347E41" w14:textId="77777777" w:rsidR="00FA7C11" w:rsidRDefault="00D84965">
      <w:pPr>
        <w:pStyle w:val="P68B1DB1-Normal96"/>
        <w:spacing w:line="240" w:lineRule="auto"/>
        <w:ind w:left="840"/>
        <w:jc w:val="both"/>
        <w:rPr>
          <w:noProof/>
        </w:rPr>
      </w:pPr>
      <w:r>
        <w:rPr>
          <w:noProof/>
        </w:rPr>
        <w:t>Investiția C3.1 R1-I2 – Construirea, modernizarea, reconstrucția și echiparea școlilor primare pentru predarea într-o singură tură pe tot parcursul zilei</w:t>
      </w:r>
    </w:p>
    <w:p w14:paraId="39DC5A3B" w14:textId="77777777" w:rsidR="00FA7C11" w:rsidRDefault="00D84965">
      <w:pPr>
        <w:pStyle w:val="P68B1DB1-Normal33"/>
        <w:spacing w:line="240" w:lineRule="auto"/>
        <w:jc w:val="both"/>
        <w:rPr>
          <w:noProof/>
        </w:rPr>
      </w:pPr>
      <w:r>
        <w:rPr>
          <w:noProof/>
        </w:rPr>
        <w:t xml:space="preserve">Obiectivul acestei măsuri este de a sprijini trecerea la predarea pe parcursul unei zile întregi în școlile primare din Croația. Măsura constă în construirea de noi școli primare și modernizarea celor existente. </w:t>
      </w:r>
    </w:p>
    <w:p w14:paraId="557E625F" w14:textId="77777777" w:rsidR="00FA7C11" w:rsidRDefault="00D84965">
      <w:pPr>
        <w:pStyle w:val="P68B1DB1-Normal96"/>
        <w:keepNext/>
        <w:numPr>
          <w:ilvl w:val="2"/>
          <w:numId w:val="0"/>
        </w:numPr>
        <w:spacing w:before="240" w:after="0"/>
        <w:ind w:left="851"/>
        <w:jc w:val="both"/>
        <w:outlineLvl w:val="2"/>
        <w:rPr>
          <w:noProof/>
        </w:rPr>
      </w:pPr>
      <w:r>
        <w:rPr>
          <w:noProof/>
        </w:rPr>
        <w:t xml:space="preserve">Investiția C3.1 R1-I3 – Construirea, modernizarea, renovarea și echiparea școlilor secundare </w:t>
      </w:r>
    </w:p>
    <w:p w14:paraId="6C90C7A7" w14:textId="77777777" w:rsidR="00FA7C11" w:rsidRDefault="00D84965">
      <w:pPr>
        <w:pStyle w:val="P68B1DB1-Normal33"/>
        <w:spacing w:line="240" w:lineRule="auto"/>
        <w:jc w:val="both"/>
        <w:rPr>
          <w:noProof/>
        </w:rPr>
      </w:pPr>
      <w:r>
        <w:rPr>
          <w:noProof/>
        </w:rPr>
        <w:t xml:space="preserve">Obiectivul acestei măsuri este de a spori capacitățile infrastructurii fizice în școlile secundare. Măsura include construirea de noi școli secundare și modernizarea celor existente, inclusiv a infrastructurilor sportive ale școlilor. </w:t>
      </w:r>
    </w:p>
    <w:p w14:paraId="09483627" w14:textId="77777777" w:rsidR="00FA7C11" w:rsidRDefault="00D84965">
      <w:pPr>
        <w:pStyle w:val="P68B1DB1-Normal96"/>
        <w:keepNext/>
        <w:numPr>
          <w:ilvl w:val="2"/>
          <w:numId w:val="0"/>
        </w:numPr>
        <w:spacing w:before="240" w:after="0"/>
        <w:ind w:left="851"/>
        <w:jc w:val="both"/>
        <w:outlineLvl w:val="2"/>
        <w:rPr>
          <w:noProof/>
        </w:rPr>
      </w:pPr>
      <w:r>
        <w:rPr>
          <w:noProof/>
        </w:rPr>
        <w:t>Reforma C3.1 R2 – Modernizarea învățământului superior</w:t>
      </w:r>
    </w:p>
    <w:p w14:paraId="3252199C" w14:textId="77777777" w:rsidR="00FA7C11" w:rsidRDefault="00D84965">
      <w:pPr>
        <w:pStyle w:val="P68B1DB1-Normal33"/>
        <w:spacing w:line="240" w:lineRule="auto"/>
        <w:jc w:val="both"/>
        <w:rPr>
          <w:noProof/>
        </w:rPr>
      </w:pPr>
      <w:r>
        <w:rPr>
          <w:noProof/>
        </w:rPr>
        <w:t xml:space="preserve">Această reformă vizează îmbunătățirea disponibilității, a calității și a relevanței pe piața muncii a învățământului superior, precum și creșterea ponderii absolvenților de învățământ superior, în special a celor care provin din grupuri vulnerabile și subreprezentate. </w:t>
      </w:r>
    </w:p>
    <w:p w14:paraId="12AD4C4B" w14:textId="77777777" w:rsidR="00FA7C11" w:rsidRDefault="00D84965">
      <w:pPr>
        <w:pStyle w:val="P68B1DB1-Normal33"/>
        <w:spacing w:line="240" w:lineRule="auto"/>
        <w:jc w:val="both"/>
        <w:rPr>
          <w:noProof/>
        </w:rPr>
      </w:pPr>
      <w:r>
        <w:rPr>
          <w:noProof/>
        </w:rPr>
        <w:t>Reforma include adoptarea unei noi legi privind știința și învățământul superior și a unei noi legi privind asigurarea calității în știință și învățământul superior, pentru a stabili un nou model eficient de finanțare pentru universitățile publice și alte instituții publice de învățământ superior. Noul model de finanțare se bazează pe criterii transparente și pe indicatori de performanță legați de obiectivele de dezvoltare ale instituției. Se preconizează că introducerea noului model de finanțare va fi pusă în aplicare prin acorduri de program care acoperă activitățile de cercetare științifică și de predare ale universității/instituției pentru o perioadă de doi ani.</w:t>
      </w:r>
    </w:p>
    <w:p w14:paraId="1D548BD3" w14:textId="2220B197" w:rsidR="00FA7C11" w:rsidRDefault="00D84965">
      <w:pPr>
        <w:pStyle w:val="P68B1DB1-Normal33"/>
        <w:spacing w:line="240" w:lineRule="auto"/>
        <w:jc w:val="both"/>
        <w:rPr>
          <w:noProof/>
        </w:rPr>
      </w:pPr>
      <w:r>
        <w:rPr>
          <w:noProof/>
        </w:rPr>
        <w:t>Reforma vizează, de asemenea, o mai bună aliniere a educației la nevoile pieței forței de muncă. Aceasta continuă să stabilească standarde de calificare pentru toate calificările din învățământul superior și să le includă în Registrul Cadrului Croat al Calificărilor (CROQF), care se preconizează că va alinia mai bine calificările din învățământul superior la nevoile pieței forței de muncă. Reforma instituie, de asemenea, un registru digital al diplomelor, care reprezintă un pas către dezvoltarea unui sistem de monitorizare a parcursului profesional al absolvenților pentru a permite monitorizarea capacității de inserție profesională a absolvenților.</w:t>
      </w:r>
    </w:p>
    <w:p w14:paraId="4F84E86E" w14:textId="77777777" w:rsidR="00FA7C11" w:rsidRDefault="00D84965">
      <w:pPr>
        <w:pStyle w:val="P68B1DB1-Normal33"/>
        <w:spacing w:line="240" w:lineRule="auto"/>
        <w:jc w:val="both"/>
        <w:rPr>
          <w:noProof/>
        </w:rPr>
      </w:pPr>
      <w:r>
        <w:rPr>
          <w:noProof/>
        </w:rPr>
        <w:t xml:space="preserve">Reforma sprijină, de asemenea, legături mai strânse între activitățile de predare și de cercetare științifică, internaționalizarea și participarea universităților croate la alianțele universităților europene ale viitorului și sprijină transformarea digitală a învățământului superior. </w:t>
      </w:r>
    </w:p>
    <w:p w14:paraId="38D5A871" w14:textId="77777777" w:rsidR="00FA7C11" w:rsidRDefault="00D84965">
      <w:pPr>
        <w:pStyle w:val="P68B1DB1-Normal33"/>
        <w:spacing w:line="240" w:lineRule="auto"/>
        <w:jc w:val="both"/>
        <w:rPr>
          <w:noProof/>
        </w:rPr>
      </w:pPr>
      <w:r>
        <w:rPr>
          <w:noProof/>
        </w:rPr>
        <w:t>Reforma se finalizează până la 31 decembrie 2023.</w:t>
      </w:r>
    </w:p>
    <w:p w14:paraId="77ABC0C7" w14:textId="77777777" w:rsidR="00FA7C11" w:rsidRDefault="00D84965">
      <w:pPr>
        <w:pStyle w:val="P68B1DB1-Normal96"/>
        <w:keepNext/>
        <w:numPr>
          <w:ilvl w:val="2"/>
          <w:numId w:val="0"/>
        </w:numPr>
        <w:spacing w:before="240" w:after="0"/>
        <w:ind w:left="851"/>
        <w:jc w:val="both"/>
        <w:outlineLvl w:val="2"/>
        <w:rPr>
          <w:noProof/>
        </w:rPr>
      </w:pPr>
      <w:r>
        <w:rPr>
          <w:noProof/>
        </w:rPr>
        <w:t>Investiția C3.1 R2-I1 – Transformarea digitală a învățământului superior</w:t>
      </w:r>
    </w:p>
    <w:p w14:paraId="130F884F" w14:textId="337FA2E3" w:rsidR="00FA7C11" w:rsidRDefault="00D84965">
      <w:pPr>
        <w:pStyle w:val="P68B1DB1-Normal33"/>
        <w:spacing w:line="240" w:lineRule="auto"/>
        <w:jc w:val="both"/>
        <w:rPr>
          <w:noProof/>
        </w:rPr>
      </w:pPr>
      <w:r>
        <w:rPr>
          <w:noProof/>
        </w:rPr>
        <w:t xml:space="preserve">Obiectivul acestei măsuri este de a sprijini transformarea digitală a învățământului superior și de a facilita învățarea online. </w:t>
      </w:r>
    </w:p>
    <w:p w14:paraId="55ECF579" w14:textId="77777777" w:rsidR="00FA7C11" w:rsidRDefault="00D84965">
      <w:pPr>
        <w:pStyle w:val="P68B1DB1-Normal33"/>
        <w:spacing w:line="240" w:lineRule="auto"/>
        <w:jc w:val="both"/>
        <w:rPr>
          <w:noProof/>
        </w:rPr>
      </w:pPr>
      <w:r>
        <w:rPr>
          <w:noProof/>
        </w:rPr>
        <w:t>Măsura constă în investiții în infrastructuri digitale pentru instrumentele de predare și de predare digitală.</w:t>
      </w:r>
    </w:p>
    <w:p w14:paraId="7E91F453" w14:textId="77777777" w:rsidR="00FA7C11" w:rsidRDefault="00FA7C11">
      <w:pPr>
        <w:rPr>
          <w:noProof/>
        </w:rPr>
        <w:sectPr w:rsidR="00FA7C11" w:rsidSect="00FA29B2">
          <w:headerReference w:type="even" r:id="rId278"/>
          <w:headerReference w:type="default" r:id="rId279"/>
          <w:footerReference w:type="even" r:id="rId280"/>
          <w:footerReference w:type="default" r:id="rId281"/>
          <w:headerReference w:type="first" r:id="rId282"/>
          <w:footerReference w:type="first" r:id="rId283"/>
          <w:pgSz w:w="11906" w:h="16838"/>
          <w:pgMar w:top="1134" w:right="1134" w:bottom="1134" w:left="1134" w:header="567" w:footer="567" w:gutter="0"/>
          <w:cols w:space="708"/>
          <w:docGrid w:linePitch="360"/>
        </w:sectPr>
      </w:pPr>
    </w:p>
    <w:p w14:paraId="40571E65" w14:textId="77777777" w:rsidR="00FA7C11" w:rsidRDefault="00D84965">
      <w:pPr>
        <w:pStyle w:val="P68B1DB1-Normal57"/>
        <w:keepNext/>
        <w:tabs>
          <w:tab w:val="num" w:pos="850"/>
        </w:tabs>
        <w:spacing w:after="0" w:line="240" w:lineRule="auto"/>
        <w:ind w:left="851"/>
        <w:jc w:val="both"/>
        <w:outlineLvl w:val="1"/>
        <w:rPr>
          <w:noProof/>
        </w:rPr>
      </w:pPr>
      <w:r>
        <w:rPr>
          <w:noProof/>
        </w:rPr>
        <w:t xml:space="preserve">P.2. </w:t>
      </w:r>
      <w:r>
        <w:rPr>
          <w:noProof/>
        </w:rPr>
        <w:tab/>
        <w:t>Jaloane, ținte, indicatori și calendarul de monitorizare și implementare aplicabile sprijinului financiar nerambursabil</w:t>
      </w:r>
    </w:p>
    <w:p w14:paraId="6935E779" w14:textId="77777777" w:rsidR="00FA7C11" w:rsidRDefault="00FA7C11">
      <w:pPr>
        <w:keepNext/>
        <w:tabs>
          <w:tab w:val="num" w:pos="850"/>
        </w:tabs>
        <w:spacing w:after="0" w:line="240" w:lineRule="auto"/>
        <w:ind w:left="851"/>
        <w:jc w:val="both"/>
        <w:outlineLvl w:val="1"/>
        <w:rPr>
          <w:rFonts w:ascii="Times New Roman" w:eastAsia="SimSun" w:hAnsi="Times New Roman" w:cs="Times New Roman"/>
          <w:b/>
          <w:noProof/>
          <w:sz w:val="24"/>
          <w:szCs w:val="24"/>
          <w:u w:val="single"/>
        </w:rPr>
      </w:pPr>
    </w:p>
    <w:tbl>
      <w:tblPr>
        <w:tblW w:w="15025"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65"/>
        <w:gridCol w:w="932"/>
        <w:gridCol w:w="1318"/>
        <w:gridCol w:w="1793"/>
        <w:gridCol w:w="2352"/>
        <w:gridCol w:w="1097"/>
        <w:gridCol w:w="792"/>
        <w:gridCol w:w="799"/>
        <w:gridCol w:w="922"/>
        <w:gridCol w:w="634"/>
        <w:gridCol w:w="3321"/>
      </w:tblGrid>
      <w:tr w:rsidR="00FA7C11" w14:paraId="3CCB4E02" w14:textId="77777777">
        <w:trPr>
          <w:trHeight w:val="635"/>
          <w:tblHeader/>
        </w:trPr>
        <w:tc>
          <w:tcPr>
            <w:tcW w:w="1087" w:type="dxa"/>
            <w:vMerge w:val="restart"/>
            <w:shd w:val="clear" w:color="auto" w:fill="BDD7EE"/>
            <w:vAlign w:val="center"/>
            <w:hideMark/>
          </w:tcPr>
          <w:p w14:paraId="53FE048B" w14:textId="77777777" w:rsidR="00FA7C11" w:rsidRDefault="00D84965">
            <w:pPr>
              <w:pStyle w:val="P68B1DB1-Normal58"/>
              <w:spacing w:after="0" w:line="276" w:lineRule="auto"/>
              <w:jc w:val="center"/>
              <w:rPr>
                <w:bCs/>
                <w:noProof/>
              </w:rPr>
            </w:pPr>
            <w:r>
              <w:rPr>
                <w:noProof/>
              </w:rPr>
              <w:t>Număr</w:t>
            </w:r>
          </w:p>
        </w:tc>
        <w:tc>
          <w:tcPr>
            <w:tcW w:w="951" w:type="dxa"/>
            <w:vMerge w:val="restart"/>
            <w:shd w:val="clear" w:color="auto" w:fill="BDD7EE"/>
            <w:vAlign w:val="center"/>
            <w:hideMark/>
          </w:tcPr>
          <w:p w14:paraId="53011E70" w14:textId="77777777" w:rsidR="00FA7C11" w:rsidRDefault="00D84965">
            <w:pPr>
              <w:pStyle w:val="P68B1DB1-Normal58"/>
              <w:spacing w:after="0" w:line="276" w:lineRule="auto"/>
              <w:jc w:val="center"/>
              <w:rPr>
                <w:noProof/>
              </w:rPr>
            </w:pPr>
            <w:r>
              <w:rPr>
                <w:noProof/>
              </w:rPr>
              <w:t>Măsură</w:t>
            </w:r>
          </w:p>
        </w:tc>
        <w:tc>
          <w:tcPr>
            <w:tcW w:w="1046" w:type="dxa"/>
            <w:vMerge w:val="restart"/>
            <w:shd w:val="clear" w:color="auto" w:fill="BDD7EE"/>
            <w:vAlign w:val="center"/>
            <w:hideMark/>
          </w:tcPr>
          <w:p w14:paraId="6CF995A3" w14:textId="77777777" w:rsidR="00FA7C11" w:rsidRDefault="00D84965">
            <w:pPr>
              <w:pStyle w:val="P68B1DB1-Normal58"/>
              <w:spacing w:after="0" w:line="276" w:lineRule="auto"/>
              <w:jc w:val="center"/>
              <w:rPr>
                <w:noProof/>
              </w:rPr>
            </w:pPr>
            <w:r>
              <w:rPr>
                <w:noProof/>
              </w:rPr>
              <w:t>Etapă/Obiectiv</w:t>
            </w:r>
          </w:p>
        </w:tc>
        <w:tc>
          <w:tcPr>
            <w:tcW w:w="1831" w:type="dxa"/>
            <w:vMerge w:val="restart"/>
            <w:shd w:val="clear" w:color="auto" w:fill="BDD7EE"/>
            <w:vAlign w:val="center"/>
            <w:hideMark/>
          </w:tcPr>
          <w:p w14:paraId="3DEE7E15" w14:textId="77777777" w:rsidR="00FA7C11" w:rsidRDefault="00D84965">
            <w:pPr>
              <w:pStyle w:val="P68B1DB1-Normal58"/>
              <w:spacing w:after="0" w:line="276" w:lineRule="auto"/>
              <w:jc w:val="center"/>
              <w:rPr>
                <w:noProof/>
              </w:rPr>
            </w:pPr>
            <w:r>
              <w:rPr>
                <w:noProof/>
              </w:rPr>
              <w:t>Nume</w:t>
            </w:r>
          </w:p>
        </w:tc>
        <w:tc>
          <w:tcPr>
            <w:tcW w:w="2402" w:type="dxa"/>
            <w:vMerge w:val="restart"/>
            <w:shd w:val="clear" w:color="auto" w:fill="BDD7EE"/>
            <w:vAlign w:val="center"/>
            <w:hideMark/>
          </w:tcPr>
          <w:p w14:paraId="0167CCD1" w14:textId="77777777" w:rsidR="00FA7C11" w:rsidRDefault="00D84965">
            <w:pPr>
              <w:pStyle w:val="P68B1DB1-Normal58"/>
              <w:spacing w:after="0" w:line="276" w:lineRule="auto"/>
              <w:jc w:val="center"/>
              <w:rPr>
                <w:noProof/>
              </w:rPr>
            </w:pPr>
            <w:r>
              <w:rPr>
                <w:noProof/>
              </w:rPr>
              <w:t xml:space="preserve">Indicatori calitativi </w:t>
            </w:r>
            <w:r>
              <w:rPr>
                <w:noProof/>
              </w:rPr>
              <w:br/>
              <w:t>(pentru jaloane)</w:t>
            </w:r>
          </w:p>
        </w:tc>
        <w:tc>
          <w:tcPr>
            <w:tcW w:w="2728" w:type="dxa"/>
            <w:gridSpan w:val="3"/>
            <w:shd w:val="clear" w:color="auto" w:fill="BDD7EE"/>
            <w:vAlign w:val="center"/>
            <w:hideMark/>
          </w:tcPr>
          <w:p w14:paraId="06291198" w14:textId="77777777" w:rsidR="00FA7C11" w:rsidRDefault="00D84965">
            <w:pPr>
              <w:pStyle w:val="P68B1DB1-Normal58"/>
              <w:spacing w:after="0" w:line="276" w:lineRule="auto"/>
              <w:jc w:val="center"/>
              <w:rPr>
                <w:noProof/>
              </w:rPr>
            </w:pPr>
            <w:r>
              <w:rPr>
                <w:noProof/>
              </w:rPr>
              <w:t xml:space="preserve">Indicatori cantitativi </w:t>
            </w:r>
            <w:r>
              <w:rPr>
                <w:noProof/>
              </w:rPr>
              <w:br/>
              <w:t>(pentru obiective)</w:t>
            </w:r>
          </w:p>
        </w:tc>
        <w:tc>
          <w:tcPr>
            <w:tcW w:w="1588" w:type="dxa"/>
            <w:gridSpan w:val="2"/>
            <w:shd w:val="clear" w:color="auto" w:fill="BDD7EE"/>
            <w:vAlign w:val="center"/>
            <w:hideMark/>
          </w:tcPr>
          <w:p w14:paraId="7094B960" w14:textId="77777777" w:rsidR="00FA7C11" w:rsidRDefault="00D84965">
            <w:pPr>
              <w:pStyle w:val="P68B1DB1-Normal58"/>
              <w:spacing w:after="0" w:line="276" w:lineRule="auto"/>
              <w:jc w:val="center"/>
              <w:rPr>
                <w:noProof/>
              </w:rPr>
            </w:pPr>
            <w:r>
              <w:rPr>
                <w:noProof/>
              </w:rPr>
              <w:t>Timp</w:t>
            </w:r>
          </w:p>
        </w:tc>
        <w:tc>
          <w:tcPr>
            <w:tcW w:w="3392" w:type="dxa"/>
            <w:vMerge w:val="restart"/>
            <w:shd w:val="clear" w:color="auto" w:fill="BDD7EE"/>
            <w:vAlign w:val="center"/>
            <w:hideMark/>
          </w:tcPr>
          <w:p w14:paraId="14989651" w14:textId="77777777" w:rsidR="00FA7C11" w:rsidRDefault="00D84965">
            <w:pPr>
              <w:pStyle w:val="P68B1DB1-Normal58"/>
              <w:spacing w:after="0" w:line="276" w:lineRule="auto"/>
              <w:jc w:val="center"/>
              <w:rPr>
                <w:noProof/>
              </w:rPr>
            </w:pPr>
            <w:r>
              <w:rPr>
                <w:noProof/>
              </w:rPr>
              <w:t>Descrierea fiecărui jalon și a fiecărei ținte</w:t>
            </w:r>
          </w:p>
        </w:tc>
      </w:tr>
      <w:tr w:rsidR="00FA7C11" w14:paraId="5EDAA15D" w14:textId="77777777">
        <w:trPr>
          <w:trHeight w:val="645"/>
          <w:tblHeader/>
        </w:trPr>
        <w:tc>
          <w:tcPr>
            <w:tcW w:w="1087" w:type="dxa"/>
            <w:vMerge/>
            <w:hideMark/>
          </w:tcPr>
          <w:p w14:paraId="5E7C7F7C"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951" w:type="dxa"/>
            <w:vMerge/>
            <w:hideMark/>
          </w:tcPr>
          <w:p w14:paraId="6933B34D"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46" w:type="dxa"/>
            <w:vMerge/>
            <w:hideMark/>
          </w:tcPr>
          <w:p w14:paraId="7F728974"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831" w:type="dxa"/>
            <w:vMerge/>
            <w:hideMark/>
          </w:tcPr>
          <w:p w14:paraId="68102A57" w14:textId="77777777" w:rsidR="00FA7C11" w:rsidRDefault="00FA7C11">
            <w:pPr>
              <w:spacing w:after="0" w:line="276" w:lineRule="auto"/>
              <w:rPr>
                <w:rFonts w:ascii="Times New Roman" w:eastAsia="Times New Roman" w:hAnsi="Times New Roman" w:cs="Times New Roman"/>
                <w:b/>
                <w:noProof/>
                <w:sz w:val="20"/>
                <w:szCs w:val="20"/>
              </w:rPr>
            </w:pPr>
          </w:p>
        </w:tc>
        <w:tc>
          <w:tcPr>
            <w:tcW w:w="2402" w:type="dxa"/>
            <w:vMerge/>
            <w:hideMark/>
          </w:tcPr>
          <w:p w14:paraId="4F35278B" w14:textId="77777777" w:rsidR="00FA7C11" w:rsidRDefault="00FA7C11">
            <w:pPr>
              <w:spacing w:after="0" w:line="276" w:lineRule="auto"/>
              <w:rPr>
                <w:rFonts w:ascii="Times New Roman" w:eastAsia="Times New Roman" w:hAnsi="Times New Roman" w:cs="Times New Roman"/>
                <w:b/>
                <w:noProof/>
                <w:sz w:val="20"/>
                <w:szCs w:val="20"/>
              </w:rPr>
            </w:pPr>
          </w:p>
        </w:tc>
        <w:tc>
          <w:tcPr>
            <w:tcW w:w="1120" w:type="dxa"/>
            <w:shd w:val="clear" w:color="auto" w:fill="BDD7EE"/>
            <w:vAlign w:val="center"/>
            <w:hideMark/>
          </w:tcPr>
          <w:p w14:paraId="453AD477" w14:textId="77777777" w:rsidR="00FA7C11" w:rsidRDefault="00D84965">
            <w:pPr>
              <w:pStyle w:val="P68B1DB1-Normal58"/>
              <w:spacing w:after="0" w:line="276" w:lineRule="auto"/>
              <w:jc w:val="center"/>
              <w:rPr>
                <w:noProof/>
              </w:rPr>
            </w:pPr>
            <w:r>
              <w:rPr>
                <w:noProof/>
              </w:rPr>
              <w:t>Unitate</w:t>
            </w:r>
          </w:p>
        </w:tc>
        <w:tc>
          <w:tcPr>
            <w:tcW w:w="793" w:type="dxa"/>
            <w:shd w:val="clear" w:color="auto" w:fill="BDD7EE"/>
            <w:vAlign w:val="center"/>
            <w:hideMark/>
          </w:tcPr>
          <w:p w14:paraId="7CF5B251" w14:textId="77777777" w:rsidR="00FA7C11" w:rsidRDefault="00D84965">
            <w:pPr>
              <w:pStyle w:val="P68B1DB1-Normal58"/>
              <w:spacing w:after="0" w:line="276" w:lineRule="auto"/>
              <w:jc w:val="center"/>
              <w:rPr>
                <w:noProof/>
              </w:rPr>
            </w:pPr>
            <w:r>
              <w:rPr>
                <w:noProof/>
              </w:rPr>
              <w:t>Situația de referință</w:t>
            </w:r>
          </w:p>
        </w:tc>
        <w:tc>
          <w:tcPr>
            <w:tcW w:w="815" w:type="dxa"/>
            <w:shd w:val="clear" w:color="auto" w:fill="BDD7EE"/>
            <w:vAlign w:val="center"/>
            <w:hideMark/>
          </w:tcPr>
          <w:p w14:paraId="78C6CC80" w14:textId="77777777" w:rsidR="00FA7C11" w:rsidRDefault="00D84965">
            <w:pPr>
              <w:pStyle w:val="P68B1DB1-Normal58"/>
              <w:spacing w:after="0" w:line="276" w:lineRule="auto"/>
              <w:jc w:val="center"/>
              <w:rPr>
                <w:noProof/>
              </w:rPr>
            </w:pPr>
            <w:r>
              <w:rPr>
                <w:noProof/>
              </w:rPr>
              <w:t>Obiectiv</w:t>
            </w:r>
          </w:p>
        </w:tc>
        <w:tc>
          <w:tcPr>
            <w:tcW w:w="941" w:type="dxa"/>
            <w:shd w:val="clear" w:color="auto" w:fill="BDD7EE"/>
            <w:vAlign w:val="center"/>
            <w:hideMark/>
          </w:tcPr>
          <w:p w14:paraId="7DA04D19" w14:textId="77777777" w:rsidR="00FA7C11" w:rsidRDefault="00D84965">
            <w:pPr>
              <w:pStyle w:val="P68B1DB1-Normal58"/>
              <w:spacing w:after="0" w:line="276" w:lineRule="auto"/>
              <w:jc w:val="center"/>
              <w:rPr>
                <w:noProof/>
              </w:rPr>
            </w:pPr>
            <w:r>
              <w:rPr>
                <w:noProof/>
              </w:rPr>
              <w:t>Trimestru</w:t>
            </w:r>
          </w:p>
        </w:tc>
        <w:tc>
          <w:tcPr>
            <w:tcW w:w="647" w:type="dxa"/>
            <w:shd w:val="clear" w:color="auto" w:fill="BDD7EE"/>
            <w:vAlign w:val="center"/>
            <w:hideMark/>
          </w:tcPr>
          <w:p w14:paraId="09BAA901" w14:textId="77777777" w:rsidR="00FA7C11" w:rsidRDefault="00D84965">
            <w:pPr>
              <w:pStyle w:val="P68B1DB1-Normal58"/>
              <w:spacing w:after="0" w:line="276" w:lineRule="auto"/>
              <w:jc w:val="center"/>
              <w:rPr>
                <w:noProof/>
              </w:rPr>
            </w:pPr>
            <w:r>
              <w:rPr>
                <w:noProof/>
              </w:rPr>
              <w:t>Anul</w:t>
            </w:r>
          </w:p>
        </w:tc>
        <w:tc>
          <w:tcPr>
            <w:tcW w:w="3392" w:type="dxa"/>
            <w:vMerge/>
            <w:hideMark/>
          </w:tcPr>
          <w:p w14:paraId="58F234A6"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55B801AA" w14:textId="77777777">
        <w:trPr>
          <w:trHeight w:val="283"/>
        </w:trPr>
        <w:tc>
          <w:tcPr>
            <w:tcW w:w="1087" w:type="dxa"/>
            <w:shd w:val="clear" w:color="auto" w:fill="C6EFCE"/>
            <w:noWrap/>
          </w:tcPr>
          <w:p w14:paraId="046D5D8E" w14:textId="77777777" w:rsidR="00FA7C11" w:rsidRDefault="00D84965">
            <w:pPr>
              <w:pStyle w:val="P68B1DB1-Normal66"/>
              <w:spacing w:after="0" w:line="276" w:lineRule="auto"/>
              <w:jc w:val="center"/>
              <w:rPr>
                <w:noProof/>
              </w:rPr>
            </w:pPr>
            <w:r>
              <w:rPr>
                <w:noProof/>
              </w:rPr>
              <w:t>265</w:t>
            </w:r>
          </w:p>
        </w:tc>
        <w:tc>
          <w:tcPr>
            <w:tcW w:w="951" w:type="dxa"/>
            <w:shd w:val="clear" w:color="auto" w:fill="C6EFCE"/>
            <w:noWrap/>
          </w:tcPr>
          <w:p w14:paraId="72AAD238" w14:textId="77777777" w:rsidR="00FA7C11" w:rsidRDefault="00D84965">
            <w:pPr>
              <w:pStyle w:val="P68B1DB1-Normal66"/>
              <w:spacing w:after="200" w:line="276" w:lineRule="auto"/>
              <w:jc w:val="center"/>
              <w:rPr>
                <w:noProof/>
              </w:rPr>
            </w:pPr>
            <w:r>
              <w:rPr>
                <w:noProof/>
              </w:rPr>
              <w:t>C3.1. R1</w:t>
            </w:r>
          </w:p>
        </w:tc>
        <w:tc>
          <w:tcPr>
            <w:tcW w:w="1046" w:type="dxa"/>
            <w:shd w:val="clear" w:color="auto" w:fill="C6EFCE"/>
            <w:noWrap/>
          </w:tcPr>
          <w:p w14:paraId="1E4FB30B" w14:textId="77777777" w:rsidR="00FA7C11" w:rsidRDefault="00D84965">
            <w:pPr>
              <w:pStyle w:val="P68B1DB1-Normal66"/>
              <w:spacing w:after="200" w:line="276" w:lineRule="auto"/>
              <w:jc w:val="center"/>
              <w:rPr>
                <w:noProof/>
              </w:rPr>
            </w:pPr>
            <w:r>
              <w:rPr>
                <w:noProof/>
              </w:rPr>
              <w:t>M</w:t>
            </w:r>
          </w:p>
        </w:tc>
        <w:tc>
          <w:tcPr>
            <w:tcW w:w="1831" w:type="dxa"/>
            <w:shd w:val="clear" w:color="auto" w:fill="C6EFCE"/>
            <w:noWrap/>
          </w:tcPr>
          <w:p w14:paraId="72947AD8" w14:textId="77777777" w:rsidR="00FA7C11" w:rsidRDefault="00D84965">
            <w:pPr>
              <w:pStyle w:val="P68B1DB1-Normal66"/>
              <w:spacing w:after="200" w:line="276" w:lineRule="auto"/>
              <w:rPr>
                <w:noProof/>
              </w:rPr>
            </w:pPr>
            <w:r>
              <w:rPr>
                <w:noProof/>
              </w:rPr>
              <w:t xml:space="preserve">Adoptarea cadrului juridic revizuit privind învățarea în rândul adulților </w:t>
            </w:r>
          </w:p>
        </w:tc>
        <w:tc>
          <w:tcPr>
            <w:tcW w:w="2402" w:type="dxa"/>
            <w:shd w:val="clear" w:color="auto" w:fill="C6EFCE"/>
            <w:noWrap/>
          </w:tcPr>
          <w:p w14:paraId="4539A61B" w14:textId="76AFC7D8" w:rsidR="00FA7C11" w:rsidRDefault="00D84965">
            <w:pPr>
              <w:pStyle w:val="P68B1DB1-Normal66"/>
              <w:spacing w:after="200" w:line="276" w:lineRule="auto"/>
              <w:rPr>
                <w:noProof/>
              </w:rPr>
            </w:pPr>
            <w:r>
              <w:rPr>
                <w:noProof/>
              </w:rPr>
              <w:t xml:space="preserve">Intrarea în vigoare a cadrului juridic revizuit care reglementează învățarea în rândul adulților </w:t>
            </w:r>
          </w:p>
        </w:tc>
        <w:tc>
          <w:tcPr>
            <w:tcW w:w="1120" w:type="dxa"/>
            <w:shd w:val="clear" w:color="auto" w:fill="C6EFCE"/>
            <w:noWrap/>
          </w:tcPr>
          <w:p w14:paraId="4FA63A8A" w14:textId="77777777" w:rsidR="00FA7C11" w:rsidRDefault="00D84965">
            <w:pPr>
              <w:pStyle w:val="P68B1DB1-Normal66"/>
              <w:spacing w:after="200" w:line="276" w:lineRule="auto"/>
              <w:jc w:val="center"/>
              <w:rPr>
                <w:noProof/>
              </w:rPr>
            </w:pPr>
            <w:r>
              <w:rPr>
                <w:noProof/>
              </w:rPr>
              <w:t> </w:t>
            </w:r>
          </w:p>
        </w:tc>
        <w:tc>
          <w:tcPr>
            <w:tcW w:w="793" w:type="dxa"/>
            <w:shd w:val="clear" w:color="auto" w:fill="C6EFCE"/>
            <w:noWrap/>
          </w:tcPr>
          <w:p w14:paraId="3720AD14" w14:textId="77777777" w:rsidR="00FA7C11" w:rsidRDefault="00D84965">
            <w:pPr>
              <w:pStyle w:val="P68B1DB1-Normal66"/>
              <w:spacing w:after="200" w:line="276" w:lineRule="auto"/>
              <w:jc w:val="center"/>
              <w:rPr>
                <w:noProof/>
              </w:rPr>
            </w:pPr>
            <w:r>
              <w:rPr>
                <w:noProof/>
              </w:rPr>
              <w:t> </w:t>
            </w:r>
          </w:p>
        </w:tc>
        <w:tc>
          <w:tcPr>
            <w:tcW w:w="815" w:type="dxa"/>
            <w:shd w:val="clear" w:color="auto" w:fill="C6EFCE"/>
            <w:noWrap/>
          </w:tcPr>
          <w:p w14:paraId="7B9CB626" w14:textId="77777777" w:rsidR="00FA7C11" w:rsidRDefault="00D84965">
            <w:pPr>
              <w:pStyle w:val="P68B1DB1-Normal66"/>
              <w:spacing w:after="200" w:line="276" w:lineRule="auto"/>
              <w:jc w:val="center"/>
              <w:rPr>
                <w:noProof/>
              </w:rPr>
            </w:pPr>
            <w:r>
              <w:rPr>
                <w:noProof/>
              </w:rPr>
              <w:t> </w:t>
            </w:r>
          </w:p>
        </w:tc>
        <w:tc>
          <w:tcPr>
            <w:tcW w:w="941" w:type="dxa"/>
            <w:shd w:val="clear" w:color="auto" w:fill="C6EFCE"/>
            <w:noWrap/>
          </w:tcPr>
          <w:p w14:paraId="4604C07F" w14:textId="77777777" w:rsidR="00FA7C11" w:rsidRDefault="00D84965">
            <w:pPr>
              <w:pStyle w:val="P68B1DB1-Normal66"/>
              <w:spacing w:after="200" w:line="276" w:lineRule="auto"/>
              <w:jc w:val="center"/>
              <w:rPr>
                <w:noProof/>
              </w:rPr>
            </w:pPr>
            <w:r>
              <w:rPr>
                <w:noProof/>
              </w:rPr>
              <w:t>Î4</w:t>
            </w:r>
          </w:p>
        </w:tc>
        <w:tc>
          <w:tcPr>
            <w:tcW w:w="647" w:type="dxa"/>
            <w:shd w:val="clear" w:color="auto" w:fill="C6EFCE"/>
            <w:noWrap/>
          </w:tcPr>
          <w:p w14:paraId="3F59A92B" w14:textId="77777777" w:rsidR="00FA7C11" w:rsidRDefault="00D84965">
            <w:pPr>
              <w:pStyle w:val="P68B1DB1-Normal66"/>
              <w:spacing w:after="200" w:line="276" w:lineRule="auto"/>
              <w:jc w:val="center"/>
              <w:rPr>
                <w:noProof/>
              </w:rPr>
            </w:pPr>
            <w:r>
              <w:rPr>
                <w:noProof/>
              </w:rPr>
              <w:t>2021</w:t>
            </w:r>
          </w:p>
        </w:tc>
        <w:tc>
          <w:tcPr>
            <w:tcW w:w="3392" w:type="dxa"/>
            <w:shd w:val="clear" w:color="auto" w:fill="C6EFCE"/>
            <w:noWrap/>
          </w:tcPr>
          <w:p w14:paraId="6DBBB913" w14:textId="77777777" w:rsidR="00FA7C11" w:rsidRDefault="00D84965">
            <w:pPr>
              <w:pStyle w:val="P68B1DB1-Normal66"/>
              <w:spacing w:after="200" w:line="276" w:lineRule="auto"/>
              <w:rPr>
                <w:noProof/>
              </w:rPr>
            </w:pPr>
            <w:r>
              <w:rPr>
                <w:noProof/>
              </w:rPr>
              <w:t xml:space="preserve">Cadrul juridic revizuit care reglementează educația adulților sprijină o mai bună corelare între oferta de programe și nevoile pieței forței de muncă, prin alinierea programelor de educație a adulților la conținutul standardelor de calificare din Cadrul calificărilor din Croația (CROQF) și prin facilitarea recunoașterii învățării informale și non-formale. </w:t>
            </w:r>
          </w:p>
        </w:tc>
      </w:tr>
      <w:tr w:rsidR="00FA7C11" w14:paraId="36828BBE" w14:textId="77777777">
        <w:trPr>
          <w:trHeight w:val="283"/>
        </w:trPr>
        <w:tc>
          <w:tcPr>
            <w:tcW w:w="1087" w:type="dxa"/>
            <w:shd w:val="clear" w:color="auto" w:fill="C6EFCE"/>
            <w:noWrap/>
          </w:tcPr>
          <w:p w14:paraId="0F24C907" w14:textId="77777777" w:rsidR="00FA7C11" w:rsidRDefault="00D84965">
            <w:pPr>
              <w:pStyle w:val="P68B1DB1-Normal66"/>
              <w:spacing w:after="200" w:line="276" w:lineRule="auto"/>
              <w:jc w:val="center"/>
              <w:rPr>
                <w:noProof/>
              </w:rPr>
            </w:pPr>
            <w:r>
              <w:rPr>
                <w:noProof/>
              </w:rPr>
              <w:t>266</w:t>
            </w:r>
          </w:p>
        </w:tc>
        <w:tc>
          <w:tcPr>
            <w:tcW w:w="951" w:type="dxa"/>
            <w:shd w:val="clear" w:color="auto" w:fill="C6EFCE"/>
            <w:noWrap/>
          </w:tcPr>
          <w:p w14:paraId="1140C519" w14:textId="77777777" w:rsidR="00FA7C11" w:rsidRDefault="00D84965">
            <w:pPr>
              <w:pStyle w:val="P68B1DB1-Normal66"/>
              <w:spacing w:after="200" w:line="276" w:lineRule="auto"/>
              <w:jc w:val="center"/>
              <w:rPr>
                <w:noProof/>
              </w:rPr>
            </w:pPr>
            <w:r>
              <w:rPr>
                <w:noProof/>
              </w:rPr>
              <w:t>C3.1. R1</w:t>
            </w:r>
          </w:p>
        </w:tc>
        <w:tc>
          <w:tcPr>
            <w:tcW w:w="1046" w:type="dxa"/>
            <w:shd w:val="clear" w:color="auto" w:fill="C6EFCE"/>
            <w:noWrap/>
          </w:tcPr>
          <w:p w14:paraId="7CD6025B" w14:textId="77777777" w:rsidR="00FA7C11" w:rsidRDefault="00D84965">
            <w:pPr>
              <w:pStyle w:val="P68B1DB1-Normal66"/>
              <w:spacing w:after="200" w:line="276" w:lineRule="auto"/>
              <w:jc w:val="center"/>
              <w:rPr>
                <w:noProof/>
              </w:rPr>
            </w:pPr>
            <w:r>
              <w:rPr>
                <w:noProof/>
              </w:rPr>
              <w:t>M</w:t>
            </w:r>
          </w:p>
        </w:tc>
        <w:tc>
          <w:tcPr>
            <w:tcW w:w="1831" w:type="dxa"/>
            <w:shd w:val="clear" w:color="auto" w:fill="C6EFCE"/>
            <w:noWrap/>
          </w:tcPr>
          <w:p w14:paraId="392558B1" w14:textId="77777777" w:rsidR="00FA7C11" w:rsidRDefault="00D84965">
            <w:pPr>
              <w:pStyle w:val="P68B1DB1-Normal66"/>
              <w:spacing w:after="200" w:line="276" w:lineRule="auto"/>
              <w:rPr>
                <w:noProof/>
              </w:rPr>
            </w:pPr>
            <w:r>
              <w:rPr>
                <w:noProof/>
              </w:rPr>
              <w:t>O analiză cuprinzătoare a nevoilor în materie de învățământ secundar</w:t>
            </w:r>
          </w:p>
        </w:tc>
        <w:tc>
          <w:tcPr>
            <w:tcW w:w="2402" w:type="dxa"/>
            <w:shd w:val="clear" w:color="auto" w:fill="C6EFCE"/>
            <w:noWrap/>
          </w:tcPr>
          <w:p w14:paraId="68C84D0C" w14:textId="77777777" w:rsidR="00FA7C11" w:rsidRDefault="00D84965">
            <w:pPr>
              <w:pStyle w:val="P68B1DB1-Normal66"/>
              <w:spacing w:after="200" w:line="276" w:lineRule="auto"/>
              <w:rPr>
                <w:noProof/>
              </w:rPr>
            </w:pPr>
            <w:r>
              <w:rPr>
                <w:noProof/>
              </w:rPr>
              <w:t>Publicarea pe site-ul Ministerului Științei și Educației a rezultatelor analizei cuprinzătoare efectuate cu privire la nevoile învățământului secundar</w:t>
            </w:r>
          </w:p>
        </w:tc>
        <w:tc>
          <w:tcPr>
            <w:tcW w:w="1120" w:type="dxa"/>
            <w:shd w:val="clear" w:color="auto" w:fill="C6EFCE"/>
            <w:noWrap/>
          </w:tcPr>
          <w:p w14:paraId="6740C1E3" w14:textId="77777777" w:rsidR="00FA7C11" w:rsidRDefault="00D84965">
            <w:pPr>
              <w:pStyle w:val="P68B1DB1-Normal66"/>
              <w:spacing w:after="200" w:line="276" w:lineRule="auto"/>
              <w:jc w:val="center"/>
              <w:rPr>
                <w:noProof/>
              </w:rPr>
            </w:pPr>
            <w:r>
              <w:rPr>
                <w:noProof/>
              </w:rPr>
              <w:t> </w:t>
            </w:r>
          </w:p>
        </w:tc>
        <w:tc>
          <w:tcPr>
            <w:tcW w:w="793" w:type="dxa"/>
            <w:shd w:val="clear" w:color="auto" w:fill="C6EFCE"/>
            <w:noWrap/>
          </w:tcPr>
          <w:p w14:paraId="3A5B1D52" w14:textId="77777777" w:rsidR="00FA7C11" w:rsidRDefault="00D84965">
            <w:pPr>
              <w:pStyle w:val="P68B1DB1-Normal66"/>
              <w:spacing w:after="200" w:line="276" w:lineRule="auto"/>
              <w:jc w:val="center"/>
              <w:rPr>
                <w:noProof/>
              </w:rPr>
            </w:pPr>
            <w:r>
              <w:rPr>
                <w:noProof/>
              </w:rPr>
              <w:t> </w:t>
            </w:r>
          </w:p>
        </w:tc>
        <w:tc>
          <w:tcPr>
            <w:tcW w:w="815" w:type="dxa"/>
            <w:shd w:val="clear" w:color="auto" w:fill="C6EFCE"/>
            <w:noWrap/>
          </w:tcPr>
          <w:p w14:paraId="5480B64B" w14:textId="77777777" w:rsidR="00FA7C11" w:rsidRDefault="00D84965">
            <w:pPr>
              <w:pStyle w:val="P68B1DB1-Normal66"/>
              <w:spacing w:after="200" w:line="276" w:lineRule="auto"/>
              <w:jc w:val="center"/>
              <w:rPr>
                <w:noProof/>
              </w:rPr>
            </w:pPr>
            <w:r>
              <w:rPr>
                <w:noProof/>
              </w:rPr>
              <w:t> </w:t>
            </w:r>
          </w:p>
        </w:tc>
        <w:tc>
          <w:tcPr>
            <w:tcW w:w="941" w:type="dxa"/>
            <w:shd w:val="clear" w:color="auto" w:fill="C6EFCE"/>
            <w:noWrap/>
          </w:tcPr>
          <w:p w14:paraId="68DE3D7A" w14:textId="77777777" w:rsidR="00FA7C11" w:rsidRDefault="00D84965">
            <w:pPr>
              <w:pStyle w:val="P68B1DB1-Normal66"/>
              <w:spacing w:after="200" w:line="276" w:lineRule="auto"/>
              <w:jc w:val="center"/>
              <w:rPr>
                <w:noProof/>
              </w:rPr>
            </w:pPr>
            <w:r>
              <w:rPr>
                <w:noProof/>
              </w:rPr>
              <w:t>Î1</w:t>
            </w:r>
          </w:p>
        </w:tc>
        <w:tc>
          <w:tcPr>
            <w:tcW w:w="647" w:type="dxa"/>
            <w:shd w:val="clear" w:color="auto" w:fill="C6EFCE"/>
            <w:noWrap/>
          </w:tcPr>
          <w:p w14:paraId="30E9502E" w14:textId="77777777" w:rsidR="00FA7C11" w:rsidRDefault="00D84965">
            <w:pPr>
              <w:pStyle w:val="P68B1DB1-Normal66"/>
              <w:spacing w:after="200" w:line="276" w:lineRule="auto"/>
              <w:jc w:val="center"/>
              <w:rPr>
                <w:noProof/>
              </w:rPr>
            </w:pPr>
            <w:r>
              <w:rPr>
                <w:noProof/>
              </w:rPr>
              <w:t>2022</w:t>
            </w:r>
          </w:p>
        </w:tc>
        <w:tc>
          <w:tcPr>
            <w:tcW w:w="3392" w:type="dxa"/>
            <w:shd w:val="clear" w:color="auto" w:fill="C6EFCE"/>
            <w:noWrap/>
          </w:tcPr>
          <w:p w14:paraId="01B5CCE8" w14:textId="77777777" w:rsidR="00FA7C11" w:rsidRDefault="00D84965">
            <w:pPr>
              <w:pStyle w:val="P68B1DB1-Normal66"/>
              <w:spacing w:after="200" w:line="276" w:lineRule="auto"/>
              <w:rPr>
                <w:noProof/>
              </w:rPr>
            </w:pPr>
            <w:r>
              <w:rPr>
                <w:noProof/>
              </w:rPr>
              <w:t>Se efectuează o analiză cuprinzătoare a nevoilor învățământului secundar pentru a sprijini măsurile de creștere a ponderii elevilor înscriși în programele de învățământ secundar general, de reducere a ponderii elevilor înscriși în programe de formare profesională excedentare și de aliniere a programelor de formare profesională la nevoile pieței forței de muncă.</w:t>
            </w:r>
          </w:p>
        </w:tc>
      </w:tr>
      <w:tr w:rsidR="00FA7C11" w14:paraId="1DE3DB57" w14:textId="77777777">
        <w:trPr>
          <w:trHeight w:val="283"/>
        </w:trPr>
        <w:tc>
          <w:tcPr>
            <w:tcW w:w="1087" w:type="dxa"/>
            <w:shd w:val="clear" w:color="auto" w:fill="C6EFCE"/>
            <w:noWrap/>
          </w:tcPr>
          <w:p w14:paraId="4937B8FD" w14:textId="77777777" w:rsidR="00FA7C11" w:rsidRDefault="00D84965">
            <w:pPr>
              <w:pStyle w:val="P68B1DB1-Normal66"/>
              <w:spacing w:after="200" w:line="276" w:lineRule="auto"/>
              <w:jc w:val="center"/>
              <w:rPr>
                <w:noProof/>
              </w:rPr>
            </w:pPr>
            <w:r>
              <w:rPr>
                <w:noProof/>
              </w:rPr>
              <w:t>267</w:t>
            </w:r>
          </w:p>
        </w:tc>
        <w:tc>
          <w:tcPr>
            <w:tcW w:w="951" w:type="dxa"/>
            <w:shd w:val="clear" w:color="auto" w:fill="C6EFCE"/>
            <w:noWrap/>
          </w:tcPr>
          <w:p w14:paraId="79C09EE5" w14:textId="77777777" w:rsidR="00FA7C11" w:rsidRDefault="00D84965">
            <w:pPr>
              <w:pStyle w:val="P68B1DB1-Normal66"/>
              <w:spacing w:after="200" w:line="276" w:lineRule="auto"/>
              <w:jc w:val="center"/>
              <w:rPr>
                <w:noProof/>
              </w:rPr>
            </w:pPr>
            <w:r>
              <w:rPr>
                <w:noProof/>
              </w:rPr>
              <w:t>C3.1. R1</w:t>
            </w:r>
          </w:p>
        </w:tc>
        <w:tc>
          <w:tcPr>
            <w:tcW w:w="1046" w:type="dxa"/>
            <w:shd w:val="clear" w:color="auto" w:fill="C6EFCE"/>
            <w:noWrap/>
          </w:tcPr>
          <w:p w14:paraId="6D9CA0FD" w14:textId="77777777" w:rsidR="00FA7C11" w:rsidRDefault="00D84965">
            <w:pPr>
              <w:pStyle w:val="P68B1DB1-Normal66"/>
              <w:spacing w:after="200" w:line="276" w:lineRule="auto"/>
              <w:jc w:val="center"/>
              <w:rPr>
                <w:noProof/>
              </w:rPr>
            </w:pPr>
            <w:r>
              <w:rPr>
                <w:noProof/>
              </w:rPr>
              <w:t>M</w:t>
            </w:r>
          </w:p>
        </w:tc>
        <w:tc>
          <w:tcPr>
            <w:tcW w:w="1831" w:type="dxa"/>
            <w:shd w:val="clear" w:color="auto" w:fill="C6EFCE"/>
            <w:noWrap/>
          </w:tcPr>
          <w:p w14:paraId="2CD8F608" w14:textId="77777777" w:rsidR="00FA7C11" w:rsidRDefault="00D84965">
            <w:pPr>
              <w:pStyle w:val="P68B1DB1-Normal66"/>
              <w:spacing w:after="200" w:line="276" w:lineRule="auto"/>
              <w:rPr>
                <w:noProof/>
              </w:rPr>
            </w:pPr>
            <w:r>
              <w:rPr>
                <w:noProof/>
              </w:rPr>
              <w:t>Adoptarea modelului de finanțare a educației și îngrijirii copiilor preșcolari</w:t>
            </w:r>
          </w:p>
        </w:tc>
        <w:tc>
          <w:tcPr>
            <w:tcW w:w="2402" w:type="dxa"/>
            <w:shd w:val="clear" w:color="auto" w:fill="C6EFCE"/>
            <w:noWrap/>
          </w:tcPr>
          <w:p w14:paraId="1A636EF2" w14:textId="77777777" w:rsidR="00FA7C11" w:rsidRDefault="00D84965">
            <w:pPr>
              <w:pStyle w:val="P68B1DB1-Normal66"/>
              <w:spacing w:after="200" w:line="276" w:lineRule="auto"/>
              <w:rPr>
                <w:noProof/>
              </w:rPr>
            </w:pPr>
            <w:r>
              <w:rPr>
                <w:noProof/>
              </w:rPr>
              <w:t xml:space="preserve">Intrarea în vigoare a modelului de finanțare a ECEC </w:t>
            </w:r>
          </w:p>
        </w:tc>
        <w:tc>
          <w:tcPr>
            <w:tcW w:w="1120" w:type="dxa"/>
            <w:shd w:val="clear" w:color="auto" w:fill="C6EFCE"/>
            <w:noWrap/>
          </w:tcPr>
          <w:p w14:paraId="73A3EBD0" w14:textId="77777777" w:rsidR="00FA7C11" w:rsidRDefault="00D84965">
            <w:pPr>
              <w:pStyle w:val="P68B1DB1-Normal66"/>
              <w:spacing w:after="200" w:line="276" w:lineRule="auto"/>
              <w:jc w:val="center"/>
              <w:rPr>
                <w:noProof/>
              </w:rPr>
            </w:pPr>
            <w:r>
              <w:rPr>
                <w:noProof/>
              </w:rPr>
              <w:t> </w:t>
            </w:r>
          </w:p>
        </w:tc>
        <w:tc>
          <w:tcPr>
            <w:tcW w:w="793" w:type="dxa"/>
            <w:shd w:val="clear" w:color="auto" w:fill="C6EFCE"/>
            <w:noWrap/>
          </w:tcPr>
          <w:p w14:paraId="729A89B7" w14:textId="77777777" w:rsidR="00FA7C11" w:rsidRDefault="00D84965">
            <w:pPr>
              <w:pStyle w:val="P68B1DB1-Normal66"/>
              <w:spacing w:after="200" w:line="276" w:lineRule="auto"/>
              <w:jc w:val="center"/>
              <w:rPr>
                <w:noProof/>
              </w:rPr>
            </w:pPr>
            <w:r>
              <w:rPr>
                <w:noProof/>
              </w:rPr>
              <w:t> </w:t>
            </w:r>
          </w:p>
        </w:tc>
        <w:tc>
          <w:tcPr>
            <w:tcW w:w="815" w:type="dxa"/>
            <w:shd w:val="clear" w:color="auto" w:fill="C6EFCE"/>
            <w:noWrap/>
          </w:tcPr>
          <w:p w14:paraId="2DA214C3" w14:textId="77777777" w:rsidR="00FA7C11" w:rsidRDefault="00D84965">
            <w:pPr>
              <w:pStyle w:val="P68B1DB1-Normal66"/>
              <w:spacing w:after="200" w:line="276" w:lineRule="auto"/>
              <w:jc w:val="center"/>
              <w:rPr>
                <w:noProof/>
              </w:rPr>
            </w:pPr>
            <w:r>
              <w:rPr>
                <w:noProof/>
              </w:rPr>
              <w:t> </w:t>
            </w:r>
          </w:p>
        </w:tc>
        <w:tc>
          <w:tcPr>
            <w:tcW w:w="941" w:type="dxa"/>
            <w:shd w:val="clear" w:color="auto" w:fill="C6EFCE"/>
            <w:noWrap/>
          </w:tcPr>
          <w:p w14:paraId="3E034A3E" w14:textId="77777777" w:rsidR="00FA7C11" w:rsidRDefault="00D84965">
            <w:pPr>
              <w:pStyle w:val="P68B1DB1-Normal66"/>
              <w:spacing w:after="200" w:line="276" w:lineRule="auto"/>
              <w:jc w:val="center"/>
              <w:rPr>
                <w:noProof/>
              </w:rPr>
            </w:pPr>
            <w:r>
              <w:rPr>
                <w:noProof/>
              </w:rPr>
              <w:t>Î1</w:t>
            </w:r>
          </w:p>
        </w:tc>
        <w:tc>
          <w:tcPr>
            <w:tcW w:w="647" w:type="dxa"/>
            <w:shd w:val="clear" w:color="auto" w:fill="C6EFCE"/>
            <w:noWrap/>
          </w:tcPr>
          <w:p w14:paraId="1F43F85A" w14:textId="77777777" w:rsidR="00FA7C11" w:rsidRDefault="00D84965">
            <w:pPr>
              <w:pStyle w:val="P68B1DB1-Normal66"/>
              <w:spacing w:after="200" w:line="276" w:lineRule="auto"/>
              <w:jc w:val="center"/>
              <w:rPr>
                <w:noProof/>
              </w:rPr>
            </w:pPr>
            <w:r>
              <w:rPr>
                <w:noProof/>
              </w:rPr>
              <w:t>2023</w:t>
            </w:r>
          </w:p>
        </w:tc>
        <w:tc>
          <w:tcPr>
            <w:tcW w:w="3392" w:type="dxa"/>
            <w:shd w:val="clear" w:color="auto" w:fill="C6EFCE"/>
            <w:noWrap/>
          </w:tcPr>
          <w:p w14:paraId="0D9B67A5" w14:textId="77777777" w:rsidR="00FA7C11" w:rsidRDefault="00D84965">
            <w:pPr>
              <w:pStyle w:val="P68B1DB1-Normal66"/>
              <w:spacing w:after="200" w:line="276" w:lineRule="auto"/>
              <w:rPr>
                <w:noProof/>
              </w:rPr>
            </w:pPr>
            <w:r>
              <w:rPr>
                <w:noProof/>
              </w:rPr>
              <w:t xml:space="preserve">Guvernul croat adoptă un model de finanțare a costurilor de funcționare a instalațiilor ECEC pentru municipalitățile/unitățile administrației publice locale cu o capacitate financiară mai redusă, pentru a asigura sustenabilitatea investiției după renovarea instalațiilor ECEC existente sau construirea unora noi. </w:t>
            </w:r>
          </w:p>
        </w:tc>
      </w:tr>
      <w:tr w:rsidR="00FA7C11" w14:paraId="77DC32EC" w14:textId="77777777">
        <w:trPr>
          <w:trHeight w:val="1434"/>
        </w:trPr>
        <w:tc>
          <w:tcPr>
            <w:tcW w:w="1087" w:type="dxa"/>
            <w:shd w:val="clear" w:color="auto" w:fill="C6EFCE"/>
            <w:noWrap/>
          </w:tcPr>
          <w:p w14:paraId="49626D80" w14:textId="77777777" w:rsidR="00FA7C11" w:rsidRDefault="00D84965">
            <w:pPr>
              <w:pStyle w:val="P68B1DB1-Normal66"/>
              <w:spacing w:after="200" w:line="276" w:lineRule="auto"/>
              <w:jc w:val="center"/>
              <w:rPr>
                <w:noProof/>
              </w:rPr>
            </w:pPr>
            <w:r>
              <w:rPr>
                <w:noProof/>
              </w:rPr>
              <w:t>268</w:t>
            </w:r>
          </w:p>
        </w:tc>
        <w:tc>
          <w:tcPr>
            <w:tcW w:w="951" w:type="dxa"/>
            <w:shd w:val="clear" w:color="auto" w:fill="C6EFCE"/>
            <w:noWrap/>
          </w:tcPr>
          <w:p w14:paraId="600F999F" w14:textId="77777777" w:rsidR="00FA7C11" w:rsidRDefault="00D84965">
            <w:pPr>
              <w:pStyle w:val="P68B1DB1-Normal66"/>
              <w:spacing w:after="200" w:line="276" w:lineRule="auto"/>
              <w:jc w:val="center"/>
              <w:rPr>
                <w:noProof/>
              </w:rPr>
            </w:pPr>
            <w:r>
              <w:rPr>
                <w:noProof/>
              </w:rPr>
              <w:t>C3.1. R1</w:t>
            </w:r>
          </w:p>
        </w:tc>
        <w:tc>
          <w:tcPr>
            <w:tcW w:w="1046" w:type="dxa"/>
            <w:shd w:val="clear" w:color="auto" w:fill="C6EFCE"/>
            <w:noWrap/>
          </w:tcPr>
          <w:p w14:paraId="51854599" w14:textId="77777777" w:rsidR="00FA7C11" w:rsidRDefault="00D84965">
            <w:pPr>
              <w:pStyle w:val="P68B1DB1-Normal66"/>
              <w:spacing w:after="200" w:line="276" w:lineRule="auto"/>
              <w:jc w:val="center"/>
              <w:rPr>
                <w:noProof/>
              </w:rPr>
            </w:pPr>
            <w:r>
              <w:rPr>
                <w:noProof/>
              </w:rPr>
              <w:t>M</w:t>
            </w:r>
          </w:p>
        </w:tc>
        <w:tc>
          <w:tcPr>
            <w:tcW w:w="1831" w:type="dxa"/>
            <w:shd w:val="clear" w:color="auto" w:fill="C6EFCE"/>
            <w:noWrap/>
          </w:tcPr>
          <w:p w14:paraId="00CBDA73" w14:textId="228A3F94" w:rsidR="00FA7C11" w:rsidRDefault="00D84965">
            <w:pPr>
              <w:pStyle w:val="P68B1DB1-Normal66"/>
              <w:spacing w:after="200" w:line="276" w:lineRule="auto"/>
              <w:rPr>
                <w:noProof/>
              </w:rPr>
            </w:pPr>
            <w:r>
              <w:rPr>
                <w:noProof/>
              </w:rPr>
              <w:t>Adoptarea amendamentelor pentru un model de predare pe durata unei zile întregi</w:t>
            </w:r>
          </w:p>
        </w:tc>
        <w:tc>
          <w:tcPr>
            <w:tcW w:w="2402" w:type="dxa"/>
            <w:shd w:val="clear" w:color="auto" w:fill="C6EFCE"/>
            <w:noWrap/>
          </w:tcPr>
          <w:p w14:paraId="2788156B" w14:textId="77777777" w:rsidR="00FA7C11" w:rsidRDefault="00D84965">
            <w:pPr>
              <w:pStyle w:val="P68B1DB1-Normal66"/>
              <w:spacing w:after="0" w:line="276" w:lineRule="auto"/>
              <w:rPr>
                <w:noProof/>
              </w:rPr>
            </w:pPr>
            <w:r>
              <w:rPr>
                <w:noProof/>
              </w:rPr>
              <w:t>Intrarea în vigoare a modificărilor adoptate la legea care reglementează învățământul primar și secundar pentru predarea cu program prelungit</w:t>
            </w:r>
          </w:p>
        </w:tc>
        <w:tc>
          <w:tcPr>
            <w:tcW w:w="1120" w:type="dxa"/>
            <w:shd w:val="clear" w:color="auto" w:fill="C6EFCE"/>
            <w:noWrap/>
          </w:tcPr>
          <w:p w14:paraId="2AAA60B9" w14:textId="77777777" w:rsidR="00FA7C11" w:rsidRDefault="00D84965">
            <w:pPr>
              <w:pStyle w:val="P68B1DB1-Normal66"/>
              <w:spacing w:after="200" w:line="276" w:lineRule="auto"/>
              <w:jc w:val="center"/>
              <w:rPr>
                <w:noProof/>
              </w:rPr>
            </w:pPr>
            <w:r>
              <w:rPr>
                <w:noProof/>
              </w:rPr>
              <w:t> </w:t>
            </w:r>
          </w:p>
        </w:tc>
        <w:tc>
          <w:tcPr>
            <w:tcW w:w="793" w:type="dxa"/>
            <w:shd w:val="clear" w:color="auto" w:fill="C6EFCE"/>
            <w:noWrap/>
          </w:tcPr>
          <w:p w14:paraId="654D56AF" w14:textId="77777777" w:rsidR="00FA7C11" w:rsidRDefault="00D84965">
            <w:pPr>
              <w:pStyle w:val="P68B1DB1-Normal66"/>
              <w:spacing w:after="200" w:line="276" w:lineRule="auto"/>
              <w:jc w:val="center"/>
              <w:rPr>
                <w:noProof/>
              </w:rPr>
            </w:pPr>
            <w:r>
              <w:rPr>
                <w:noProof/>
              </w:rPr>
              <w:t> </w:t>
            </w:r>
          </w:p>
        </w:tc>
        <w:tc>
          <w:tcPr>
            <w:tcW w:w="815" w:type="dxa"/>
            <w:shd w:val="clear" w:color="auto" w:fill="C6EFCE"/>
            <w:noWrap/>
          </w:tcPr>
          <w:p w14:paraId="630365FB" w14:textId="77777777" w:rsidR="00FA7C11" w:rsidRDefault="00D84965">
            <w:pPr>
              <w:pStyle w:val="P68B1DB1-Normal66"/>
              <w:spacing w:after="200" w:line="276" w:lineRule="auto"/>
              <w:jc w:val="center"/>
              <w:rPr>
                <w:noProof/>
              </w:rPr>
            </w:pPr>
            <w:r>
              <w:rPr>
                <w:noProof/>
              </w:rPr>
              <w:t> </w:t>
            </w:r>
          </w:p>
        </w:tc>
        <w:tc>
          <w:tcPr>
            <w:tcW w:w="941" w:type="dxa"/>
            <w:shd w:val="clear" w:color="auto" w:fill="C6EFCE"/>
            <w:noWrap/>
          </w:tcPr>
          <w:p w14:paraId="146C2DA5" w14:textId="77777777" w:rsidR="00FA7C11" w:rsidRDefault="00D84965">
            <w:pPr>
              <w:pStyle w:val="P68B1DB1-Normal66"/>
              <w:spacing w:after="200" w:line="276" w:lineRule="auto"/>
              <w:jc w:val="center"/>
              <w:rPr>
                <w:noProof/>
              </w:rPr>
            </w:pPr>
            <w:r>
              <w:rPr>
                <w:noProof/>
              </w:rPr>
              <w:t>Î4</w:t>
            </w:r>
          </w:p>
        </w:tc>
        <w:tc>
          <w:tcPr>
            <w:tcW w:w="647" w:type="dxa"/>
            <w:shd w:val="clear" w:color="auto" w:fill="C6EFCE"/>
            <w:noWrap/>
          </w:tcPr>
          <w:p w14:paraId="151FD628" w14:textId="77777777" w:rsidR="00FA7C11" w:rsidRDefault="00D84965">
            <w:pPr>
              <w:pStyle w:val="P68B1DB1-Normal66"/>
              <w:spacing w:after="200" w:line="276" w:lineRule="auto"/>
              <w:jc w:val="center"/>
              <w:rPr>
                <w:noProof/>
              </w:rPr>
            </w:pPr>
            <w:r>
              <w:rPr>
                <w:noProof/>
              </w:rPr>
              <w:t>2023</w:t>
            </w:r>
          </w:p>
        </w:tc>
        <w:tc>
          <w:tcPr>
            <w:tcW w:w="3392" w:type="dxa"/>
            <w:shd w:val="clear" w:color="auto" w:fill="C6EFCE"/>
            <w:noWrap/>
          </w:tcPr>
          <w:p w14:paraId="01676D63" w14:textId="77777777" w:rsidR="00FA7C11" w:rsidRDefault="00D84965">
            <w:pPr>
              <w:pStyle w:val="P68B1DB1-Normal66"/>
              <w:spacing w:after="200" w:line="276" w:lineRule="auto"/>
              <w:rPr>
                <w:noProof/>
              </w:rPr>
            </w:pPr>
            <w:r>
              <w:rPr>
                <w:noProof/>
              </w:rPr>
              <w:t>Modificările legii care reglementează învățământul primar și secundar definesc condițiile pentru introducerea predării cu program prelungit.</w:t>
            </w:r>
          </w:p>
        </w:tc>
      </w:tr>
      <w:tr w:rsidR="00FA7C11" w14:paraId="2D139900" w14:textId="77777777">
        <w:trPr>
          <w:trHeight w:val="283"/>
        </w:trPr>
        <w:tc>
          <w:tcPr>
            <w:tcW w:w="1087" w:type="dxa"/>
            <w:shd w:val="clear" w:color="auto" w:fill="C6EFCE"/>
            <w:noWrap/>
          </w:tcPr>
          <w:p w14:paraId="559A7E45" w14:textId="77777777" w:rsidR="00FA7C11" w:rsidRDefault="00D84965">
            <w:pPr>
              <w:pStyle w:val="P68B1DB1-Normal66"/>
              <w:spacing w:after="200" w:line="276" w:lineRule="auto"/>
              <w:jc w:val="center"/>
              <w:rPr>
                <w:noProof/>
              </w:rPr>
            </w:pPr>
            <w:r>
              <w:rPr>
                <w:noProof/>
              </w:rPr>
              <w:t>269</w:t>
            </w:r>
          </w:p>
        </w:tc>
        <w:tc>
          <w:tcPr>
            <w:tcW w:w="951" w:type="dxa"/>
            <w:shd w:val="clear" w:color="auto" w:fill="C6EFCE"/>
            <w:noWrap/>
          </w:tcPr>
          <w:p w14:paraId="22EB1015" w14:textId="77777777" w:rsidR="00FA7C11" w:rsidRDefault="00D84965">
            <w:pPr>
              <w:pStyle w:val="P68B1DB1-Normal66"/>
              <w:spacing w:after="200" w:line="276" w:lineRule="auto"/>
              <w:jc w:val="center"/>
              <w:rPr>
                <w:noProof/>
              </w:rPr>
            </w:pPr>
            <w:r>
              <w:rPr>
                <w:noProof/>
              </w:rPr>
              <w:t>C3.1. R1</w:t>
            </w:r>
          </w:p>
        </w:tc>
        <w:tc>
          <w:tcPr>
            <w:tcW w:w="1046" w:type="dxa"/>
            <w:shd w:val="clear" w:color="auto" w:fill="C6EFCE"/>
            <w:noWrap/>
          </w:tcPr>
          <w:p w14:paraId="2ED4C880" w14:textId="77777777" w:rsidR="00FA7C11" w:rsidRDefault="00D84965">
            <w:pPr>
              <w:pStyle w:val="P68B1DB1-Normal66"/>
              <w:spacing w:after="200" w:line="276" w:lineRule="auto"/>
              <w:jc w:val="center"/>
              <w:rPr>
                <w:noProof/>
              </w:rPr>
            </w:pPr>
            <w:r>
              <w:rPr>
                <w:noProof/>
              </w:rPr>
              <w:t>T</w:t>
            </w:r>
          </w:p>
        </w:tc>
        <w:tc>
          <w:tcPr>
            <w:tcW w:w="1831" w:type="dxa"/>
            <w:shd w:val="clear" w:color="auto" w:fill="C6EFCE"/>
            <w:noWrap/>
          </w:tcPr>
          <w:p w14:paraId="341CAC4B" w14:textId="77777777" w:rsidR="00FA7C11" w:rsidRDefault="00D84965">
            <w:pPr>
              <w:pStyle w:val="P68B1DB1-Normal66"/>
              <w:spacing w:after="200" w:line="276" w:lineRule="auto"/>
              <w:rPr>
                <w:noProof/>
              </w:rPr>
            </w:pPr>
            <w:r>
              <w:rPr>
                <w:noProof/>
              </w:rPr>
              <w:t xml:space="preserve">Participarea la educația și îngrijirea timpurie </w:t>
            </w:r>
          </w:p>
        </w:tc>
        <w:tc>
          <w:tcPr>
            <w:tcW w:w="2402" w:type="dxa"/>
            <w:shd w:val="clear" w:color="auto" w:fill="C6EFCE"/>
            <w:noWrap/>
          </w:tcPr>
          <w:p w14:paraId="4B0A9243" w14:textId="77777777" w:rsidR="00FA7C11" w:rsidRDefault="00FA7C11">
            <w:pPr>
              <w:spacing w:after="200" w:line="276" w:lineRule="auto"/>
              <w:rPr>
                <w:rFonts w:ascii="Times New Roman" w:eastAsia="Calibri" w:hAnsi="Times New Roman" w:cs="Times New Roman"/>
                <w:noProof/>
                <w:sz w:val="20"/>
                <w:szCs w:val="20"/>
              </w:rPr>
            </w:pPr>
          </w:p>
        </w:tc>
        <w:tc>
          <w:tcPr>
            <w:tcW w:w="1120" w:type="dxa"/>
            <w:shd w:val="clear" w:color="auto" w:fill="C6EFCE"/>
            <w:noWrap/>
          </w:tcPr>
          <w:p w14:paraId="6F99E616" w14:textId="77777777" w:rsidR="00FA7C11" w:rsidRDefault="00D84965">
            <w:pPr>
              <w:pStyle w:val="P68B1DB1-Normal66"/>
              <w:spacing w:after="200" w:line="276" w:lineRule="auto"/>
              <w:jc w:val="center"/>
              <w:rPr>
                <w:noProof/>
              </w:rPr>
            </w:pPr>
            <w:r>
              <w:rPr>
                <w:noProof/>
              </w:rPr>
              <w:t>% (procent)</w:t>
            </w:r>
          </w:p>
        </w:tc>
        <w:tc>
          <w:tcPr>
            <w:tcW w:w="793" w:type="dxa"/>
            <w:shd w:val="clear" w:color="auto" w:fill="C6EFCE"/>
            <w:noWrap/>
          </w:tcPr>
          <w:p w14:paraId="7E1CBA59" w14:textId="77777777" w:rsidR="00FA7C11" w:rsidRDefault="00D84965">
            <w:pPr>
              <w:pStyle w:val="P68B1DB1-Normal66"/>
              <w:spacing w:after="200" w:line="276" w:lineRule="auto"/>
              <w:jc w:val="center"/>
              <w:rPr>
                <w:noProof/>
              </w:rPr>
            </w:pPr>
            <w:r>
              <w:rPr>
                <w:noProof/>
              </w:rPr>
              <w:t>76,3</w:t>
            </w:r>
          </w:p>
        </w:tc>
        <w:tc>
          <w:tcPr>
            <w:tcW w:w="815" w:type="dxa"/>
            <w:shd w:val="clear" w:color="auto" w:fill="C6EFCE"/>
            <w:noWrap/>
          </w:tcPr>
          <w:p w14:paraId="2F25D8F3" w14:textId="77777777" w:rsidR="00FA7C11" w:rsidRDefault="00D84965">
            <w:pPr>
              <w:pStyle w:val="P68B1DB1-Normal66"/>
              <w:spacing w:after="200" w:line="276" w:lineRule="auto"/>
              <w:jc w:val="center"/>
              <w:rPr>
                <w:noProof/>
              </w:rPr>
            </w:pPr>
            <w:r>
              <w:rPr>
                <w:noProof/>
              </w:rPr>
              <w:t>90</w:t>
            </w:r>
          </w:p>
        </w:tc>
        <w:tc>
          <w:tcPr>
            <w:tcW w:w="941" w:type="dxa"/>
            <w:shd w:val="clear" w:color="auto" w:fill="C6EFCE"/>
            <w:noWrap/>
          </w:tcPr>
          <w:p w14:paraId="5A00BC6A" w14:textId="77777777" w:rsidR="00FA7C11" w:rsidRDefault="00D84965">
            <w:pPr>
              <w:pStyle w:val="P68B1DB1-Normal66"/>
              <w:spacing w:after="200" w:line="276" w:lineRule="auto"/>
              <w:jc w:val="center"/>
              <w:rPr>
                <w:noProof/>
              </w:rPr>
            </w:pPr>
            <w:r>
              <w:rPr>
                <w:noProof/>
              </w:rPr>
              <w:t>Î2</w:t>
            </w:r>
          </w:p>
        </w:tc>
        <w:tc>
          <w:tcPr>
            <w:tcW w:w="647" w:type="dxa"/>
            <w:shd w:val="clear" w:color="auto" w:fill="C6EFCE"/>
            <w:noWrap/>
          </w:tcPr>
          <w:p w14:paraId="69491C0D" w14:textId="77777777" w:rsidR="00FA7C11" w:rsidRDefault="00D84965">
            <w:pPr>
              <w:pStyle w:val="P68B1DB1-Normal66"/>
              <w:spacing w:after="200" w:line="276" w:lineRule="auto"/>
              <w:jc w:val="center"/>
              <w:rPr>
                <w:noProof/>
              </w:rPr>
            </w:pPr>
            <w:r>
              <w:rPr>
                <w:noProof/>
              </w:rPr>
              <w:t>2026</w:t>
            </w:r>
          </w:p>
        </w:tc>
        <w:tc>
          <w:tcPr>
            <w:tcW w:w="3392" w:type="dxa"/>
            <w:shd w:val="clear" w:color="auto" w:fill="C6EFCE"/>
            <w:noWrap/>
          </w:tcPr>
          <w:p w14:paraId="34C60DFE" w14:textId="77777777" w:rsidR="00FA7C11" w:rsidRDefault="00D84965">
            <w:pPr>
              <w:pStyle w:val="P68B1DB1-Normal66"/>
              <w:spacing w:after="200" w:line="276" w:lineRule="auto"/>
              <w:rPr>
                <w:noProof/>
              </w:rPr>
            </w:pPr>
            <w:r>
              <w:rPr>
                <w:noProof/>
              </w:rPr>
              <w:t xml:space="preserve">Creșterea la 90 % a ponderii copiilor cu vârsta cuprinsă între 3 ani și vârsta de școlarizare care frecventează ECEC trebuie să fie vizibilă din statisticile naționale oficiale. </w:t>
            </w:r>
          </w:p>
        </w:tc>
      </w:tr>
      <w:tr w:rsidR="00FA7C11" w14:paraId="6ED492D5" w14:textId="77777777">
        <w:trPr>
          <w:trHeight w:val="283"/>
        </w:trPr>
        <w:tc>
          <w:tcPr>
            <w:tcW w:w="1087" w:type="dxa"/>
            <w:shd w:val="clear" w:color="auto" w:fill="C6EFCE"/>
            <w:noWrap/>
          </w:tcPr>
          <w:p w14:paraId="63E152AA" w14:textId="77777777" w:rsidR="00FA7C11" w:rsidRDefault="00D84965">
            <w:pPr>
              <w:pStyle w:val="P68B1DB1-Normal66"/>
              <w:spacing w:after="200" w:line="276" w:lineRule="auto"/>
              <w:jc w:val="center"/>
              <w:rPr>
                <w:noProof/>
              </w:rPr>
            </w:pPr>
            <w:r>
              <w:rPr>
                <w:noProof/>
              </w:rPr>
              <w:t>270</w:t>
            </w:r>
          </w:p>
        </w:tc>
        <w:tc>
          <w:tcPr>
            <w:tcW w:w="951" w:type="dxa"/>
            <w:shd w:val="clear" w:color="auto" w:fill="C6EFCE"/>
            <w:noWrap/>
          </w:tcPr>
          <w:p w14:paraId="562D3067" w14:textId="77777777" w:rsidR="00FA7C11" w:rsidRDefault="00D84965">
            <w:pPr>
              <w:pStyle w:val="P68B1DB1-Normal66"/>
              <w:spacing w:after="200" w:line="276" w:lineRule="auto"/>
              <w:jc w:val="center"/>
              <w:rPr>
                <w:noProof/>
              </w:rPr>
            </w:pPr>
            <w:r>
              <w:rPr>
                <w:noProof/>
              </w:rPr>
              <w:t>C3.1. R1-I1</w:t>
            </w:r>
          </w:p>
        </w:tc>
        <w:tc>
          <w:tcPr>
            <w:tcW w:w="1046" w:type="dxa"/>
            <w:shd w:val="clear" w:color="auto" w:fill="C6EFCE"/>
            <w:noWrap/>
          </w:tcPr>
          <w:p w14:paraId="1EA6C7CC" w14:textId="77777777" w:rsidR="00FA7C11" w:rsidRDefault="00D84965">
            <w:pPr>
              <w:pStyle w:val="P68B1DB1-Normal66"/>
              <w:spacing w:after="200" w:line="276" w:lineRule="auto"/>
              <w:jc w:val="center"/>
              <w:rPr>
                <w:noProof/>
              </w:rPr>
            </w:pPr>
            <w:r>
              <w:rPr>
                <w:noProof/>
              </w:rPr>
              <w:t>T</w:t>
            </w:r>
          </w:p>
        </w:tc>
        <w:tc>
          <w:tcPr>
            <w:tcW w:w="1831" w:type="dxa"/>
            <w:shd w:val="clear" w:color="auto" w:fill="C6EFCE"/>
            <w:noWrap/>
          </w:tcPr>
          <w:p w14:paraId="7F4B918E" w14:textId="77777777" w:rsidR="00FA7C11" w:rsidRDefault="00D84965">
            <w:pPr>
              <w:pStyle w:val="P68B1DB1-Normal66"/>
              <w:spacing w:after="200" w:line="276" w:lineRule="auto"/>
              <w:rPr>
                <w:noProof/>
              </w:rPr>
            </w:pPr>
            <w:r>
              <w:rPr>
                <w:noProof/>
              </w:rPr>
              <w:t>Numărul de locuri construite în ECEC</w:t>
            </w:r>
          </w:p>
        </w:tc>
        <w:tc>
          <w:tcPr>
            <w:tcW w:w="2402" w:type="dxa"/>
            <w:shd w:val="clear" w:color="auto" w:fill="C6EFCE"/>
            <w:noWrap/>
          </w:tcPr>
          <w:p w14:paraId="111BFA7C" w14:textId="77777777" w:rsidR="00FA7C11" w:rsidRDefault="00FA7C11">
            <w:pPr>
              <w:spacing w:after="200" w:line="276" w:lineRule="auto"/>
              <w:rPr>
                <w:rFonts w:ascii="Times New Roman" w:eastAsia="Calibri" w:hAnsi="Times New Roman" w:cs="Times New Roman"/>
                <w:noProof/>
                <w:sz w:val="20"/>
                <w:szCs w:val="20"/>
              </w:rPr>
            </w:pPr>
          </w:p>
        </w:tc>
        <w:tc>
          <w:tcPr>
            <w:tcW w:w="1120" w:type="dxa"/>
            <w:shd w:val="clear" w:color="auto" w:fill="C6EFCE"/>
            <w:noWrap/>
          </w:tcPr>
          <w:p w14:paraId="7965314C" w14:textId="77777777" w:rsidR="00FA7C11" w:rsidRDefault="00D84965">
            <w:pPr>
              <w:pStyle w:val="P68B1DB1-Normal66"/>
              <w:spacing w:after="200" w:line="276" w:lineRule="auto"/>
              <w:jc w:val="center"/>
              <w:rPr>
                <w:noProof/>
              </w:rPr>
            </w:pPr>
            <w:r>
              <w:rPr>
                <w:noProof/>
              </w:rPr>
              <w:t>Număr</w:t>
            </w:r>
          </w:p>
        </w:tc>
        <w:tc>
          <w:tcPr>
            <w:tcW w:w="793" w:type="dxa"/>
            <w:shd w:val="clear" w:color="auto" w:fill="C6EFCE"/>
            <w:noWrap/>
          </w:tcPr>
          <w:p w14:paraId="3A21310A" w14:textId="77777777" w:rsidR="00FA7C11" w:rsidRDefault="00D84965">
            <w:pPr>
              <w:pStyle w:val="P68B1DB1-Normal66"/>
              <w:spacing w:after="200" w:line="276" w:lineRule="auto"/>
              <w:jc w:val="center"/>
              <w:rPr>
                <w:noProof/>
              </w:rPr>
            </w:pPr>
            <w:r>
              <w:rPr>
                <w:noProof/>
              </w:rPr>
              <w:t>0</w:t>
            </w:r>
          </w:p>
        </w:tc>
        <w:tc>
          <w:tcPr>
            <w:tcW w:w="815" w:type="dxa"/>
            <w:shd w:val="clear" w:color="auto" w:fill="C6EFCE"/>
            <w:noWrap/>
          </w:tcPr>
          <w:p w14:paraId="26630D00" w14:textId="77777777" w:rsidR="00FA7C11" w:rsidRDefault="00D84965">
            <w:pPr>
              <w:pStyle w:val="P68B1DB1-Normal66"/>
              <w:spacing w:after="200" w:line="276" w:lineRule="auto"/>
              <w:jc w:val="center"/>
              <w:rPr>
                <w:noProof/>
              </w:rPr>
            </w:pPr>
            <w:r>
              <w:rPr>
                <w:noProof/>
              </w:rPr>
              <w:t xml:space="preserve"> 12 000</w:t>
            </w:r>
          </w:p>
        </w:tc>
        <w:tc>
          <w:tcPr>
            <w:tcW w:w="941" w:type="dxa"/>
            <w:shd w:val="clear" w:color="auto" w:fill="C6EFCE"/>
            <w:noWrap/>
          </w:tcPr>
          <w:p w14:paraId="40F66D9A" w14:textId="77777777" w:rsidR="00FA7C11" w:rsidRDefault="00D84965">
            <w:pPr>
              <w:pStyle w:val="P68B1DB1-Normal66"/>
              <w:spacing w:after="200" w:line="276" w:lineRule="auto"/>
              <w:jc w:val="center"/>
              <w:rPr>
                <w:noProof/>
              </w:rPr>
            </w:pPr>
            <w:r>
              <w:rPr>
                <w:noProof/>
              </w:rPr>
              <w:t>Î2</w:t>
            </w:r>
          </w:p>
        </w:tc>
        <w:tc>
          <w:tcPr>
            <w:tcW w:w="647" w:type="dxa"/>
            <w:shd w:val="clear" w:color="auto" w:fill="C6EFCE"/>
            <w:noWrap/>
          </w:tcPr>
          <w:p w14:paraId="48D7740D" w14:textId="77777777" w:rsidR="00FA7C11" w:rsidRDefault="00D84965">
            <w:pPr>
              <w:pStyle w:val="P68B1DB1-Normal66"/>
              <w:spacing w:after="200" w:line="276" w:lineRule="auto"/>
              <w:jc w:val="center"/>
              <w:rPr>
                <w:noProof/>
              </w:rPr>
            </w:pPr>
            <w:r>
              <w:rPr>
                <w:noProof/>
              </w:rPr>
              <w:t>2026</w:t>
            </w:r>
          </w:p>
        </w:tc>
        <w:tc>
          <w:tcPr>
            <w:tcW w:w="3392" w:type="dxa"/>
            <w:shd w:val="clear" w:color="auto" w:fill="C6EFCE"/>
            <w:noWrap/>
          </w:tcPr>
          <w:p w14:paraId="0C8BFF07" w14:textId="440BC5C5" w:rsidR="00FA7C11" w:rsidRDefault="00D84965">
            <w:pPr>
              <w:pStyle w:val="P68B1DB1-Normal66"/>
              <w:spacing w:after="200" w:line="276" w:lineRule="auto"/>
              <w:rPr>
                <w:noProof/>
              </w:rPr>
            </w:pPr>
            <w:r>
              <w:rPr>
                <w:noProof/>
              </w:rPr>
              <w:t>Se creează cel puțin 12 000 de noi locuri în ECEC ca urmare a investițiilor în infrastructură pentru construirea, modernizarea și reconstrucția instalațiilor ECEC.</w:t>
            </w:r>
          </w:p>
          <w:p w14:paraId="71C35D06" w14:textId="77777777" w:rsidR="00FA7C11" w:rsidRDefault="00D84965">
            <w:pPr>
              <w:pStyle w:val="P68B1DB1-Normal66"/>
              <w:spacing w:after="200" w:line="276" w:lineRule="auto"/>
              <w:rPr>
                <w:noProof/>
              </w:rPr>
            </w:pPr>
            <w:r>
              <w:rPr>
                <w:noProof/>
              </w:rPr>
              <w:t>Construirea și renovarea infrastructurilor ECEC se bazează pe rezultatele unei analize a nevoilor, care ține seama de capacitățile școlii și de evoluțiile demografice.</w:t>
            </w:r>
          </w:p>
        </w:tc>
      </w:tr>
      <w:tr w:rsidR="00FA7C11" w14:paraId="6B823598" w14:textId="77777777">
        <w:trPr>
          <w:trHeight w:val="283"/>
        </w:trPr>
        <w:tc>
          <w:tcPr>
            <w:tcW w:w="1087" w:type="dxa"/>
            <w:shd w:val="clear" w:color="auto" w:fill="C6EFCE"/>
            <w:noWrap/>
          </w:tcPr>
          <w:p w14:paraId="6C11E5B2" w14:textId="77777777" w:rsidR="00FA7C11" w:rsidRDefault="00D84965">
            <w:pPr>
              <w:pStyle w:val="P68B1DB1-Normal66"/>
              <w:spacing w:after="200" w:line="276" w:lineRule="auto"/>
              <w:jc w:val="center"/>
              <w:rPr>
                <w:noProof/>
              </w:rPr>
            </w:pPr>
            <w:r>
              <w:rPr>
                <w:noProof/>
              </w:rPr>
              <w:t>271</w:t>
            </w:r>
          </w:p>
        </w:tc>
        <w:tc>
          <w:tcPr>
            <w:tcW w:w="951" w:type="dxa"/>
            <w:shd w:val="clear" w:color="auto" w:fill="C6EFCE"/>
            <w:noWrap/>
          </w:tcPr>
          <w:p w14:paraId="05A5C24C" w14:textId="77777777" w:rsidR="00FA7C11" w:rsidRDefault="00D84965">
            <w:pPr>
              <w:pStyle w:val="P68B1DB1-Normal66"/>
              <w:spacing w:after="200" w:line="276" w:lineRule="auto"/>
              <w:jc w:val="center"/>
              <w:rPr>
                <w:noProof/>
              </w:rPr>
            </w:pPr>
            <w:r>
              <w:rPr>
                <w:noProof/>
              </w:rPr>
              <w:t>C3.1. R1-I2</w:t>
            </w:r>
          </w:p>
        </w:tc>
        <w:tc>
          <w:tcPr>
            <w:tcW w:w="1046" w:type="dxa"/>
            <w:shd w:val="clear" w:color="auto" w:fill="C6EFCE"/>
            <w:noWrap/>
          </w:tcPr>
          <w:p w14:paraId="431B8EFD" w14:textId="77777777" w:rsidR="00FA7C11" w:rsidRDefault="00D84965">
            <w:pPr>
              <w:pStyle w:val="P68B1DB1-Normal66"/>
              <w:spacing w:after="200" w:line="276" w:lineRule="auto"/>
              <w:jc w:val="center"/>
              <w:rPr>
                <w:noProof/>
              </w:rPr>
            </w:pPr>
            <w:r>
              <w:rPr>
                <w:noProof/>
              </w:rPr>
              <w:t>T</w:t>
            </w:r>
          </w:p>
        </w:tc>
        <w:tc>
          <w:tcPr>
            <w:tcW w:w="1831" w:type="dxa"/>
            <w:shd w:val="clear" w:color="auto" w:fill="C6EFCE"/>
            <w:noWrap/>
          </w:tcPr>
          <w:p w14:paraId="13494E4A" w14:textId="77777777" w:rsidR="00FA7C11" w:rsidRDefault="00D84965">
            <w:pPr>
              <w:pStyle w:val="P68B1DB1-Normal66"/>
              <w:spacing w:after="240" w:line="276" w:lineRule="auto"/>
              <w:rPr>
                <w:noProof/>
              </w:rPr>
            </w:pPr>
            <w:r>
              <w:rPr>
                <w:noProof/>
              </w:rPr>
              <w:t>Numărul de săli de clasă ale școlilor primare construite sau reconstruite</w:t>
            </w:r>
          </w:p>
        </w:tc>
        <w:tc>
          <w:tcPr>
            <w:tcW w:w="2402" w:type="dxa"/>
            <w:shd w:val="clear" w:color="auto" w:fill="C6EFCE"/>
            <w:noWrap/>
          </w:tcPr>
          <w:p w14:paraId="7E4D2035" w14:textId="77777777" w:rsidR="00FA7C11" w:rsidRDefault="00FA7C11">
            <w:pPr>
              <w:spacing w:after="0" w:line="276" w:lineRule="auto"/>
              <w:rPr>
                <w:rFonts w:ascii="Times New Roman" w:eastAsia="Calibri" w:hAnsi="Times New Roman" w:cs="Times New Roman"/>
                <w:noProof/>
                <w:sz w:val="20"/>
                <w:szCs w:val="20"/>
              </w:rPr>
            </w:pPr>
          </w:p>
        </w:tc>
        <w:tc>
          <w:tcPr>
            <w:tcW w:w="1120" w:type="dxa"/>
            <w:shd w:val="clear" w:color="auto" w:fill="C6EFCE"/>
            <w:noWrap/>
          </w:tcPr>
          <w:p w14:paraId="6FD97B5A" w14:textId="77777777" w:rsidR="00FA7C11" w:rsidRDefault="00D84965">
            <w:pPr>
              <w:pStyle w:val="P68B1DB1-Normal66"/>
              <w:spacing w:after="200" w:line="276" w:lineRule="auto"/>
              <w:jc w:val="center"/>
              <w:rPr>
                <w:noProof/>
              </w:rPr>
            </w:pPr>
            <w:r>
              <w:rPr>
                <w:noProof/>
              </w:rPr>
              <w:t>Număr</w:t>
            </w:r>
          </w:p>
        </w:tc>
        <w:tc>
          <w:tcPr>
            <w:tcW w:w="793" w:type="dxa"/>
            <w:shd w:val="clear" w:color="auto" w:fill="C6EFCE"/>
            <w:noWrap/>
          </w:tcPr>
          <w:p w14:paraId="055E0D55" w14:textId="77777777" w:rsidR="00FA7C11" w:rsidRDefault="00D84965">
            <w:pPr>
              <w:pStyle w:val="P68B1DB1-Normal66"/>
              <w:spacing w:after="200" w:line="276" w:lineRule="auto"/>
              <w:jc w:val="center"/>
              <w:rPr>
                <w:noProof/>
              </w:rPr>
            </w:pPr>
            <w:r>
              <w:rPr>
                <w:noProof/>
              </w:rPr>
              <w:t>0</w:t>
            </w:r>
          </w:p>
        </w:tc>
        <w:tc>
          <w:tcPr>
            <w:tcW w:w="815" w:type="dxa"/>
            <w:shd w:val="clear" w:color="auto" w:fill="C6EFCE"/>
            <w:noWrap/>
          </w:tcPr>
          <w:p w14:paraId="04321D12" w14:textId="77777777" w:rsidR="00FA7C11" w:rsidRDefault="00D84965">
            <w:pPr>
              <w:pStyle w:val="P68B1DB1-Normal66"/>
              <w:spacing w:after="200" w:line="276" w:lineRule="auto"/>
              <w:jc w:val="center"/>
              <w:rPr>
                <w:noProof/>
              </w:rPr>
            </w:pPr>
            <w:r>
              <w:rPr>
                <w:noProof/>
              </w:rPr>
              <w:t>286</w:t>
            </w:r>
          </w:p>
        </w:tc>
        <w:tc>
          <w:tcPr>
            <w:tcW w:w="941" w:type="dxa"/>
            <w:shd w:val="clear" w:color="auto" w:fill="C6EFCE"/>
            <w:noWrap/>
          </w:tcPr>
          <w:p w14:paraId="1191EEF1" w14:textId="77777777" w:rsidR="00FA7C11" w:rsidRDefault="00D84965">
            <w:pPr>
              <w:pStyle w:val="P68B1DB1-Normal66"/>
              <w:spacing w:after="200" w:line="276" w:lineRule="auto"/>
              <w:jc w:val="center"/>
              <w:rPr>
                <w:noProof/>
              </w:rPr>
            </w:pPr>
            <w:r>
              <w:rPr>
                <w:noProof/>
              </w:rPr>
              <w:t>Î2</w:t>
            </w:r>
          </w:p>
        </w:tc>
        <w:tc>
          <w:tcPr>
            <w:tcW w:w="647" w:type="dxa"/>
            <w:shd w:val="clear" w:color="auto" w:fill="C6EFCE"/>
            <w:noWrap/>
          </w:tcPr>
          <w:p w14:paraId="26885E42" w14:textId="77777777" w:rsidR="00FA7C11" w:rsidRDefault="00D84965">
            <w:pPr>
              <w:pStyle w:val="P68B1DB1-Normal66"/>
              <w:spacing w:after="200" w:line="276" w:lineRule="auto"/>
              <w:jc w:val="center"/>
              <w:rPr>
                <w:noProof/>
              </w:rPr>
            </w:pPr>
            <w:r>
              <w:rPr>
                <w:noProof/>
              </w:rPr>
              <w:t>2026</w:t>
            </w:r>
          </w:p>
        </w:tc>
        <w:tc>
          <w:tcPr>
            <w:tcW w:w="3392" w:type="dxa"/>
            <w:shd w:val="clear" w:color="auto" w:fill="C6EFCE"/>
            <w:noWrap/>
          </w:tcPr>
          <w:p w14:paraId="5894C11F" w14:textId="77777777" w:rsidR="00FA7C11" w:rsidRDefault="00D84965">
            <w:pPr>
              <w:pStyle w:val="P68B1DB1-Normal66"/>
              <w:spacing w:after="200" w:line="276" w:lineRule="auto"/>
              <w:rPr>
                <w:noProof/>
              </w:rPr>
            </w:pPr>
            <w:r>
              <w:rPr>
                <w:noProof/>
              </w:rPr>
              <w:t xml:space="preserve">286 sălile de clasă din școlile primare vor fi construite sau reconstruite, creând capacități suplimentare, astfel cum au fost aprobate de Ministerul Științei, Educației și Consimțământului pentru Tineret, determinând capacitatea necesară. Se construiesc cel puțin 4 de noi săli de sport. </w:t>
            </w:r>
          </w:p>
          <w:p w14:paraId="5DC1B679" w14:textId="77777777" w:rsidR="00FA7C11" w:rsidRDefault="00D84965">
            <w:pPr>
              <w:spacing w:after="200" w:line="276" w:lineRule="auto"/>
              <w:rPr>
                <w:rFonts w:ascii="Times New Roman" w:eastAsia="Calibri" w:hAnsi="Times New Roman" w:cs="Times New Roman"/>
                <w:noProof/>
                <w:sz w:val="20"/>
                <w:szCs w:val="20"/>
              </w:rPr>
            </w:pPr>
            <w:r>
              <w:rPr>
                <w:rFonts w:ascii="Times New Roman" w:eastAsia="Calibri" w:hAnsi="Times New Roman" w:cs="Times New Roman"/>
                <w:noProof/>
                <w:sz w:val="20"/>
                <w:szCs w:val="20"/>
              </w:rPr>
              <w:t>Construirea și renovarea școlilor primare se bazează pe evaluarea nevoilor de investiții în infrastructură,</w:t>
            </w:r>
            <w:r>
              <w:rPr>
                <w:rFonts w:ascii="Times New Roman" w:hAnsi="Times New Roman" w:cs="Times New Roman"/>
                <w:noProof/>
                <w14:ligatures w14:val="none"/>
              </w:rPr>
              <w:t xml:space="preserve"> </w:t>
            </w:r>
            <w:r>
              <w:rPr>
                <w:rFonts w:ascii="Times New Roman" w:eastAsia="Calibri" w:hAnsi="Times New Roman" w:cs="Times New Roman"/>
                <w:noProof/>
                <w:sz w:val="20"/>
                <w:szCs w:val="20"/>
              </w:rPr>
              <w:t>ținând seama de capacitățile școlii și de evoluțiile demografice.</w:t>
            </w:r>
          </w:p>
        </w:tc>
      </w:tr>
      <w:tr w:rsidR="00FA7C11" w14:paraId="258B6621" w14:textId="77777777">
        <w:trPr>
          <w:trHeight w:val="283"/>
        </w:trPr>
        <w:tc>
          <w:tcPr>
            <w:tcW w:w="1087" w:type="dxa"/>
            <w:shd w:val="clear" w:color="auto" w:fill="C6EFCE"/>
            <w:noWrap/>
          </w:tcPr>
          <w:p w14:paraId="7D4EE8CC" w14:textId="77777777" w:rsidR="00FA7C11" w:rsidRDefault="00D84965">
            <w:pPr>
              <w:pStyle w:val="P68B1DB1-Normal66"/>
              <w:spacing w:after="200" w:line="276" w:lineRule="auto"/>
              <w:jc w:val="center"/>
              <w:rPr>
                <w:noProof/>
              </w:rPr>
            </w:pPr>
            <w:r>
              <w:rPr>
                <w:noProof/>
              </w:rPr>
              <w:t>396</w:t>
            </w:r>
          </w:p>
        </w:tc>
        <w:tc>
          <w:tcPr>
            <w:tcW w:w="951" w:type="dxa"/>
            <w:shd w:val="clear" w:color="auto" w:fill="C6EFCE"/>
            <w:noWrap/>
          </w:tcPr>
          <w:p w14:paraId="5745DF8E" w14:textId="77777777" w:rsidR="00FA7C11" w:rsidRDefault="00D84965">
            <w:pPr>
              <w:pStyle w:val="P68B1DB1-Normal66"/>
              <w:spacing w:after="200" w:line="276" w:lineRule="auto"/>
              <w:jc w:val="center"/>
              <w:rPr>
                <w:noProof/>
              </w:rPr>
            </w:pPr>
            <w:r>
              <w:rPr>
                <w:noProof/>
              </w:rPr>
              <w:t>C3.1. R1-I3</w:t>
            </w:r>
          </w:p>
        </w:tc>
        <w:tc>
          <w:tcPr>
            <w:tcW w:w="1046" w:type="dxa"/>
            <w:shd w:val="clear" w:color="auto" w:fill="C6EFCE"/>
            <w:noWrap/>
          </w:tcPr>
          <w:p w14:paraId="2E9E37C2" w14:textId="77777777" w:rsidR="00FA7C11" w:rsidRDefault="00D84965">
            <w:pPr>
              <w:pStyle w:val="P68B1DB1-Normal66"/>
              <w:spacing w:after="200" w:line="276" w:lineRule="auto"/>
              <w:jc w:val="center"/>
              <w:rPr>
                <w:noProof/>
              </w:rPr>
            </w:pPr>
            <w:r>
              <w:rPr>
                <w:noProof/>
              </w:rPr>
              <w:t>T</w:t>
            </w:r>
          </w:p>
        </w:tc>
        <w:tc>
          <w:tcPr>
            <w:tcW w:w="1831" w:type="dxa"/>
            <w:shd w:val="clear" w:color="auto" w:fill="C6EFCE"/>
            <w:noWrap/>
          </w:tcPr>
          <w:p w14:paraId="06CDD9E8" w14:textId="77777777" w:rsidR="00FA7C11" w:rsidRDefault="00D84965">
            <w:pPr>
              <w:pStyle w:val="P68B1DB1-Normal66"/>
              <w:spacing w:after="200" w:line="276" w:lineRule="auto"/>
              <w:rPr>
                <w:noProof/>
              </w:rPr>
            </w:pPr>
            <w:r>
              <w:rPr>
                <w:noProof/>
              </w:rPr>
              <w:t xml:space="preserve">Numărul de săli de clasă din învățământul secundar renovate sau construite </w:t>
            </w:r>
          </w:p>
        </w:tc>
        <w:tc>
          <w:tcPr>
            <w:tcW w:w="2402" w:type="dxa"/>
            <w:shd w:val="clear" w:color="auto" w:fill="C6EFCE"/>
            <w:noWrap/>
          </w:tcPr>
          <w:p w14:paraId="222D5740" w14:textId="77777777" w:rsidR="00FA7C11" w:rsidRDefault="00FA7C11">
            <w:pPr>
              <w:spacing w:after="200" w:line="276" w:lineRule="auto"/>
              <w:rPr>
                <w:rFonts w:ascii="Times New Roman" w:eastAsia="Calibri" w:hAnsi="Times New Roman" w:cs="Times New Roman"/>
                <w:noProof/>
                <w:color w:val="000000"/>
                <w:sz w:val="20"/>
                <w:szCs w:val="20"/>
              </w:rPr>
            </w:pPr>
          </w:p>
        </w:tc>
        <w:tc>
          <w:tcPr>
            <w:tcW w:w="1120" w:type="dxa"/>
            <w:shd w:val="clear" w:color="auto" w:fill="C6EFCE"/>
            <w:noWrap/>
          </w:tcPr>
          <w:p w14:paraId="4078EE0B" w14:textId="77777777" w:rsidR="00FA7C11" w:rsidRDefault="00D84965">
            <w:pPr>
              <w:pStyle w:val="P68B1DB1-Normal66"/>
              <w:spacing w:after="200" w:line="276" w:lineRule="auto"/>
              <w:jc w:val="center"/>
              <w:rPr>
                <w:noProof/>
              </w:rPr>
            </w:pPr>
            <w:r>
              <w:rPr>
                <w:noProof/>
              </w:rPr>
              <w:t>Număr</w:t>
            </w:r>
          </w:p>
        </w:tc>
        <w:tc>
          <w:tcPr>
            <w:tcW w:w="793" w:type="dxa"/>
            <w:shd w:val="clear" w:color="auto" w:fill="C6EFCE"/>
            <w:noWrap/>
          </w:tcPr>
          <w:p w14:paraId="7A50F3E2" w14:textId="77777777" w:rsidR="00FA7C11" w:rsidRDefault="00D84965">
            <w:pPr>
              <w:pStyle w:val="P68B1DB1-Normal66"/>
              <w:spacing w:after="200" w:line="276" w:lineRule="auto"/>
              <w:jc w:val="center"/>
              <w:rPr>
                <w:noProof/>
              </w:rPr>
            </w:pPr>
            <w:r>
              <w:rPr>
                <w:noProof/>
              </w:rPr>
              <w:t>0</w:t>
            </w:r>
          </w:p>
        </w:tc>
        <w:tc>
          <w:tcPr>
            <w:tcW w:w="815" w:type="dxa"/>
            <w:shd w:val="clear" w:color="auto" w:fill="C6EFCE"/>
            <w:noWrap/>
          </w:tcPr>
          <w:p w14:paraId="0EA927C8" w14:textId="77777777" w:rsidR="00FA7C11" w:rsidRDefault="00D84965">
            <w:pPr>
              <w:pStyle w:val="P68B1DB1-Normal66"/>
              <w:spacing w:after="200" w:line="276" w:lineRule="auto"/>
              <w:jc w:val="center"/>
              <w:rPr>
                <w:noProof/>
              </w:rPr>
            </w:pPr>
            <w:r>
              <w:rPr>
                <w:noProof/>
              </w:rPr>
              <w:t>52</w:t>
            </w:r>
          </w:p>
        </w:tc>
        <w:tc>
          <w:tcPr>
            <w:tcW w:w="941" w:type="dxa"/>
            <w:shd w:val="clear" w:color="auto" w:fill="C6EFCE"/>
            <w:noWrap/>
          </w:tcPr>
          <w:p w14:paraId="0A67CEBE" w14:textId="77777777" w:rsidR="00FA7C11" w:rsidRDefault="00D84965">
            <w:pPr>
              <w:pStyle w:val="P68B1DB1-Normal66"/>
              <w:spacing w:after="200" w:line="276" w:lineRule="auto"/>
              <w:jc w:val="center"/>
              <w:rPr>
                <w:noProof/>
              </w:rPr>
            </w:pPr>
            <w:r>
              <w:rPr>
                <w:noProof/>
              </w:rPr>
              <w:t>Î2</w:t>
            </w:r>
          </w:p>
        </w:tc>
        <w:tc>
          <w:tcPr>
            <w:tcW w:w="647" w:type="dxa"/>
            <w:shd w:val="clear" w:color="auto" w:fill="C6EFCE"/>
            <w:noWrap/>
          </w:tcPr>
          <w:p w14:paraId="4B731382" w14:textId="77777777" w:rsidR="00FA7C11" w:rsidRDefault="00D84965">
            <w:pPr>
              <w:pStyle w:val="P68B1DB1-Normal66"/>
              <w:spacing w:after="200" w:line="276" w:lineRule="auto"/>
              <w:jc w:val="center"/>
              <w:rPr>
                <w:noProof/>
              </w:rPr>
            </w:pPr>
            <w:r>
              <w:rPr>
                <w:noProof/>
              </w:rPr>
              <w:t>2026</w:t>
            </w:r>
          </w:p>
        </w:tc>
        <w:tc>
          <w:tcPr>
            <w:tcW w:w="3392" w:type="dxa"/>
            <w:shd w:val="clear" w:color="auto" w:fill="C6EFCE"/>
            <w:noWrap/>
          </w:tcPr>
          <w:p w14:paraId="18C03CD1" w14:textId="77777777" w:rsidR="00FA7C11" w:rsidRDefault="00D84965">
            <w:pPr>
              <w:pStyle w:val="P68B1DB1-Normal66"/>
              <w:spacing w:after="200" w:line="276" w:lineRule="auto"/>
              <w:rPr>
                <w:noProof/>
              </w:rPr>
            </w:pPr>
            <w:r>
              <w:rPr>
                <w:noProof/>
              </w:rPr>
              <w:t>Cel puțin 52 săli de clasă pentru programele de învățământ secundar general trebuie renovate sau construite.</w:t>
            </w:r>
          </w:p>
          <w:p w14:paraId="21E9E88E" w14:textId="77777777" w:rsidR="00FA7C11" w:rsidRDefault="00D84965">
            <w:pPr>
              <w:pStyle w:val="P68B1DB1-Normal66"/>
              <w:spacing w:after="200" w:line="276" w:lineRule="auto"/>
              <w:rPr>
                <w:noProof/>
              </w:rPr>
            </w:pPr>
            <w:r>
              <w:rPr>
                <w:noProof/>
              </w:rPr>
              <w:t>Construirea și renovarea școlilor care derulează programe de învățământ secundar se bazează pe evaluarea capacităților existente și a nevoilor de infrastructură fizică suplimentară.</w:t>
            </w:r>
          </w:p>
        </w:tc>
      </w:tr>
      <w:tr w:rsidR="00FA7C11" w14:paraId="31EDBCE5" w14:textId="77777777">
        <w:trPr>
          <w:trHeight w:val="283"/>
        </w:trPr>
        <w:tc>
          <w:tcPr>
            <w:tcW w:w="1087" w:type="dxa"/>
            <w:shd w:val="clear" w:color="auto" w:fill="C6EFCE"/>
            <w:noWrap/>
          </w:tcPr>
          <w:p w14:paraId="6FD9D1F5" w14:textId="77777777" w:rsidR="00FA7C11" w:rsidRDefault="00D84965">
            <w:pPr>
              <w:pStyle w:val="P68B1DB1-Normal66"/>
              <w:spacing w:after="200" w:line="276" w:lineRule="auto"/>
              <w:jc w:val="center"/>
              <w:rPr>
                <w:noProof/>
              </w:rPr>
            </w:pPr>
            <w:r>
              <w:rPr>
                <w:noProof/>
              </w:rPr>
              <w:t>273</w:t>
            </w:r>
          </w:p>
        </w:tc>
        <w:tc>
          <w:tcPr>
            <w:tcW w:w="951" w:type="dxa"/>
            <w:shd w:val="clear" w:color="auto" w:fill="C6EFCE"/>
            <w:noWrap/>
          </w:tcPr>
          <w:p w14:paraId="12589945" w14:textId="77777777" w:rsidR="00FA7C11" w:rsidRDefault="00D84965">
            <w:pPr>
              <w:pStyle w:val="P68B1DB1-Normal66"/>
              <w:spacing w:after="200" w:line="276" w:lineRule="auto"/>
              <w:jc w:val="center"/>
              <w:rPr>
                <w:noProof/>
              </w:rPr>
            </w:pPr>
            <w:r>
              <w:rPr>
                <w:noProof/>
              </w:rPr>
              <w:t>C3.1. R2</w:t>
            </w:r>
          </w:p>
        </w:tc>
        <w:tc>
          <w:tcPr>
            <w:tcW w:w="1046" w:type="dxa"/>
            <w:shd w:val="clear" w:color="auto" w:fill="C6EFCE"/>
            <w:noWrap/>
          </w:tcPr>
          <w:p w14:paraId="6BFCA9E1" w14:textId="77777777" w:rsidR="00FA7C11" w:rsidRDefault="00D84965">
            <w:pPr>
              <w:pStyle w:val="P68B1DB1-Normal66"/>
              <w:spacing w:after="200" w:line="276" w:lineRule="auto"/>
              <w:jc w:val="center"/>
              <w:rPr>
                <w:noProof/>
              </w:rPr>
            </w:pPr>
            <w:r>
              <w:rPr>
                <w:noProof/>
              </w:rPr>
              <w:t>M</w:t>
            </w:r>
          </w:p>
        </w:tc>
        <w:tc>
          <w:tcPr>
            <w:tcW w:w="1831" w:type="dxa"/>
            <w:shd w:val="clear" w:color="auto" w:fill="C6EFCE"/>
            <w:noWrap/>
          </w:tcPr>
          <w:p w14:paraId="570E1752" w14:textId="77777777" w:rsidR="00FA7C11" w:rsidRDefault="00D84965">
            <w:pPr>
              <w:pStyle w:val="P68B1DB1-Normal66"/>
              <w:spacing w:after="200" w:line="276" w:lineRule="auto"/>
              <w:rPr>
                <w:noProof/>
              </w:rPr>
            </w:pPr>
            <w:r>
              <w:rPr>
                <w:noProof/>
              </w:rPr>
              <w:t xml:space="preserve">Adoptarea noii legi privind activitatea științifică și învățământul superior </w:t>
            </w:r>
          </w:p>
        </w:tc>
        <w:tc>
          <w:tcPr>
            <w:tcW w:w="2402" w:type="dxa"/>
            <w:shd w:val="clear" w:color="auto" w:fill="C6EFCE"/>
            <w:noWrap/>
          </w:tcPr>
          <w:p w14:paraId="52A184EC" w14:textId="77777777" w:rsidR="00FA7C11" w:rsidRDefault="00D84965">
            <w:pPr>
              <w:pStyle w:val="P68B1DB1-Normal66"/>
              <w:spacing w:after="200" w:line="276" w:lineRule="auto"/>
              <w:rPr>
                <w:noProof/>
              </w:rPr>
            </w:pPr>
            <w:r>
              <w:rPr>
                <w:noProof/>
              </w:rPr>
              <w:t xml:space="preserve">Intrarea în vigoare a noii Legi privind știința și învățământul superior </w:t>
            </w:r>
          </w:p>
        </w:tc>
        <w:tc>
          <w:tcPr>
            <w:tcW w:w="1120" w:type="dxa"/>
            <w:shd w:val="clear" w:color="auto" w:fill="C6EFCE"/>
            <w:noWrap/>
          </w:tcPr>
          <w:p w14:paraId="19752D4D" w14:textId="77777777" w:rsidR="00FA7C11" w:rsidRDefault="00D84965">
            <w:pPr>
              <w:pStyle w:val="P68B1DB1-Normal66"/>
              <w:spacing w:after="200" w:line="276" w:lineRule="auto"/>
              <w:jc w:val="center"/>
              <w:rPr>
                <w:noProof/>
              </w:rPr>
            </w:pPr>
            <w:r>
              <w:rPr>
                <w:noProof/>
              </w:rPr>
              <w:t> </w:t>
            </w:r>
          </w:p>
        </w:tc>
        <w:tc>
          <w:tcPr>
            <w:tcW w:w="793" w:type="dxa"/>
            <w:shd w:val="clear" w:color="auto" w:fill="C6EFCE"/>
            <w:noWrap/>
          </w:tcPr>
          <w:p w14:paraId="3F57951A" w14:textId="77777777" w:rsidR="00FA7C11" w:rsidRDefault="00D84965">
            <w:pPr>
              <w:pStyle w:val="P68B1DB1-Normal66"/>
              <w:spacing w:after="200" w:line="276" w:lineRule="auto"/>
              <w:jc w:val="center"/>
              <w:rPr>
                <w:noProof/>
              </w:rPr>
            </w:pPr>
            <w:r>
              <w:rPr>
                <w:noProof/>
              </w:rPr>
              <w:t> </w:t>
            </w:r>
          </w:p>
        </w:tc>
        <w:tc>
          <w:tcPr>
            <w:tcW w:w="815" w:type="dxa"/>
            <w:shd w:val="clear" w:color="auto" w:fill="C6EFCE"/>
            <w:noWrap/>
          </w:tcPr>
          <w:p w14:paraId="1DFFCDC8" w14:textId="77777777" w:rsidR="00FA7C11" w:rsidRDefault="00D84965">
            <w:pPr>
              <w:pStyle w:val="P68B1DB1-Normal66"/>
              <w:spacing w:after="200" w:line="276" w:lineRule="auto"/>
              <w:jc w:val="center"/>
              <w:rPr>
                <w:noProof/>
              </w:rPr>
            </w:pPr>
            <w:r>
              <w:rPr>
                <w:noProof/>
              </w:rPr>
              <w:t> </w:t>
            </w:r>
          </w:p>
        </w:tc>
        <w:tc>
          <w:tcPr>
            <w:tcW w:w="941" w:type="dxa"/>
            <w:shd w:val="clear" w:color="auto" w:fill="C6EFCE"/>
            <w:noWrap/>
          </w:tcPr>
          <w:p w14:paraId="79862222" w14:textId="77777777" w:rsidR="00FA7C11" w:rsidRDefault="00D84965">
            <w:pPr>
              <w:pStyle w:val="P68B1DB1-Normal66"/>
              <w:spacing w:after="200" w:line="276" w:lineRule="auto"/>
              <w:jc w:val="center"/>
              <w:rPr>
                <w:noProof/>
              </w:rPr>
            </w:pPr>
            <w:r>
              <w:rPr>
                <w:noProof/>
              </w:rPr>
              <w:t>Î3</w:t>
            </w:r>
          </w:p>
        </w:tc>
        <w:tc>
          <w:tcPr>
            <w:tcW w:w="647" w:type="dxa"/>
            <w:shd w:val="clear" w:color="auto" w:fill="C6EFCE"/>
            <w:noWrap/>
          </w:tcPr>
          <w:p w14:paraId="29D86033" w14:textId="77777777" w:rsidR="00FA7C11" w:rsidRDefault="00D84965">
            <w:pPr>
              <w:pStyle w:val="P68B1DB1-Normal66"/>
              <w:spacing w:after="200" w:line="276" w:lineRule="auto"/>
              <w:jc w:val="center"/>
              <w:rPr>
                <w:noProof/>
              </w:rPr>
            </w:pPr>
            <w:r>
              <w:rPr>
                <w:noProof/>
              </w:rPr>
              <w:t>2022</w:t>
            </w:r>
          </w:p>
        </w:tc>
        <w:tc>
          <w:tcPr>
            <w:tcW w:w="3392" w:type="dxa"/>
            <w:shd w:val="clear" w:color="auto" w:fill="C6EFCE"/>
            <w:noWrap/>
          </w:tcPr>
          <w:p w14:paraId="6CEF4317" w14:textId="77777777" w:rsidR="00FA7C11" w:rsidRDefault="00D84965">
            <w:pPr>
              <w:pStyle w:val="P68B1DB1-Normal66"/>
              <w:spacing w:after="0" w:line="276" w:lineRule="auto"/>
              <w:rPr>
                <w:noProof/>
              </w:rPr>
            </w:pPr>
            <w:r>
              <w:rPr>
                <w:noProof/>
              </w:rPr>
              <w:t>Noul cadru va permite reforma organizațională a universităților publice și a institutelor științifice și va introduce un model de finanțare bazat pe performanță.</w:t>
            </w:r>
          </w:p>
        </w:tc>
      </w:tr>
      <w:tr w:rsidR="00FA7C11" w14:paraId="0E7994BD" w14:textId="77777777">
        <w:trPr>
          <w:trHeight w:val="283"/>
        </w:trPr>
        <w:tc>
          <w:tcPr>
            <w:tcW w:w="1087" w:type="dxa"/>
            <w:shd w:val="clear" w:color="auto" w:fill="C6EFCE"/>
            <w:noWrap/>
          </w:tcPr>
          <w:p w14:paraId="08747AA1" w14:textId="77777777" w:rsidR="00FA7C11" w:rsidRDefault="00D84965">
            <w:pPr>
              <w:pStyle w:val="P68B1DB1-Normal66"/>
              <w:spacing w:after="200" w:line="276" w:lineRule="auto"/>
              <w:jc w:val="center"/>
              <w:rPr>
                <w:noProof/>
              </w:rPr>
            </w:pPr>
            <w:r>
              <w:rPr>
                <w:noProof/>
              </w:rPr>
              <w:t>274</w:t>
            </w:r>
          </w:p>
        </w:tc>
        <w:tc>
          <w:tcPr>
            <w:tcW w:w="951" w:type="dxa"/>
            <w:shd w:val="clear" w:color="auto" w:fill="C6EFCE"/>
            <w:noWrap/>
          </w:tcPr>
          <w:p w14:paraId="7791395E" w14:textId="77777777" w:rsidR="00FA7C11" w:rsidRDefault="00D84965">
            <w:pPr>
              <w:pStyle w:val="P68B1DB1-Normal66"/>
              <w:spacing w:after="200" w:line="276" w:lineRule="auto"/>
              <w:jc w:val="center"/>
              <w:rPr>
                <w:noProof/>
              </w:rPr>
            </w:pPr>
            <w:r>
              <w:rPr>
                <w:noProof/>
              </w:rPr>
              <w:t>C3.1. R2-I1</w:t>
            </w:r>
          </w:p>
        </w:tc>
        <w:tc>
          <w:tcPr>
            <w:tcW w:w="1046" w:type="dxa"/>
            <w:shd w:val="clear" w:color="auto" w:fill="C6EFCE"/>
            <w:noWrap/>
          </w:tcPr>
          <w:p w14:paraId="1952C4E9" w14:textId="77777777" w:rsidR="00FA7C11" w:rsidRDefault="00D84965">
            <w:pPr>
              <w:pStyle w:val="P68B1DB1-Normal66"/>
              <w:spacing w:after="200" w:line="276" w:lineRule="auto"/>
              <w:jc w:val="center"/>
              <w:rPr>
                <w:noProof/>
              </w:rPr>
            </w:pPr>
            <w:r>
              <w:rPr>
                <w:noProof/>
              </w:rPr>
              <w:t>T</w:t>
            </w:r>
          </w:p>
        </w:tc>
        <w:tc>
          <w:tcPr>
            <w:tcW w:w="1831" w:type="dxa"/>
            <w:shd w:val="clear" w:color="auto" w:fill="C6EFCE"/>
            <w:noWrap/>
          </w:tcPr>
          <w:p w14:paraId="1758D891" w14:textId="77777777" w:rsidR="00FA7C11" w:rsidRDefault="00D84965">
            <w:pPr>
              <w:pStyle w:val="P68B1DB1-Normal66"/>
              <w:spacing w:after="200" w:line="276" w:lineRule="auto"/>
              <w:rPr>
                <w:noProof/>
              </w:rPr>
            </w:pPr>
            <w:r>
              <w:rPr>
                <w:noProof/>
              </w:rPr>
              <w:t xml:space="preserve">Infrastructură și echipamente digitale furnizate instituțiilor publice de învățământ superior </w:t>
            </w:r>
          </w:p>
        </w:tc>
        <w:tc>
          <w:tcPr>
            <w:tcW w:w="2402" w:type="dxa"/>
            <w:shd w:val="clear" w:color="auto" w:fill="C6EFCE"/>
            <w:noWrap/>
          </w:tcPr>
          <w:p w14:paraId="4678F5D0" w14:textId="77777777" w:rsidR="00FA7C11" w:rsidRDefault="00FA7C11">
            <w:pPr>
              <w:spacing w:after="200" w:line="276" w:lineRule="auto"/>
              <w:rPr>
                <w:rFonts w:ascii="Times New Roman" w:eastAsia="Calibri" w:hAnsi="Times New Roman" w:cs="Times New Roman"/>
                <w:noProof/>
                <w:sz w:val="20"/>
                <w:szCs w:val="20"/>
              </w:rPr>
            </w:pPr>
          </w:p>
        </w:tc>
        <w:tc>
          <w:tcPr>
            <w:tcW w:w="1120" w:type="dxa"/>
            <w:shd w:val="clear" w:color="auto" w:fill="C6EFCE"/>
            <w:noWrap/>
          </w:tcPr>
          <w:p w14:paraId="297AFCD0" w14:textId="77777777" w:rsidR="00FA7C11" w:rsidRDefault="00D84965">
            <w:pPr>
              <w:pStyle w:val="P68B1DB1-Normal66"/>
              <w:spacing w:after="200" w:line="276" w:lineRule="auto"/>
              <w:jc w:val="center"/>
              <w:rPr>
                <w:noProof/>
              </w:rPr>
            </w:pPr>
            <w:r>
              <w:rPr>
                <w:noProof/>
              </w:rPr>
              <w:t>% (procent)</w:t>
            </w:r>
          </w:p>
        </w:tc>
        <w:tc>
          <w:tcPr>
            <w:tcW w:w="793" w:type="dxa"/>
            <w:shd w:val="clear" w:color="auto" w:fill="C6EFCE"/>
            <w:noWrap/>
          </w:tcPr>
          <w:p w14:paraId="6E417FA4" w14:textId="77777777" w:rsidR="00FA7C11" w:rsidRDefault="00D84965">
            <w:pPr>
              <w:pStyle w:val="P68B1DB1-Normal66"/>
              <w:spacing w:after="200" w:line="276" w:lineRule="auto"/>
              <w:jc w:val="center"/>
              <w:rPr>
                <w:noProof/>
              </w:rPr>
            </w:pPr>
            <w:r>
              <w:rPr>
                <w:noProof/>
              </w:rPr>
              <w:t>0</w:t>
            </w:r>
          </w:p>
        </w:tc>
        <w:tc>
          <w:tcPr>
            <w:tcW w:w="815" w:type="dxa"/>
            <w:shd w:val="clear" w:color="auto" w:fill="C6EFCE"/>
            <w:noWrap/>
          </w:tcPr>
          <w:p w14:paraId="61CAACBD" w14:textId="77777777" w:rsidR="00FA7C11" w:rsidRDefault="00D84965">
            <w:pPr>
              <w:pStyle w:val="P68B1DB1-Normal66"/>
              <w:spacing w:after="200" w:line="276" w:lineRule="auto"/>
              <w:jc w:val="center"/>
              <w:rPr>
                <w:noProof/>
              </w:rPr>
            </w:pPr>
            <w:r>
              <w:rPr>
                <w:noProof/>
              </w:rPr>
              <w:t>90</w:t>
            </w:r>
          </w:p>
        </w:tc>
        <w:tc>
          <w:tcPr>
            <w:tcW w:w="941" w:type="dxa"/>
            <w:shd w:val="clear" w:color="auto" w:fill="C6EFCE"/>
            <w:noWrap/>
          </w:tcPr>
          <w:p w14:paraId="3751B9BC" w14:textId="77777777" w:rsidR="00FA7C11" w:rsidRDefault="00D84965">
            <w:pPr>
              <w:pStyle w:val="P68B1DB1-Normal66"/>
              <w:spacing w:after="200" w:line="276" w:lineRule="auto"/>
              <w:jc w:val="center"/>
              <w:rPr>
                <w:noProof/>
              </w:rPr>
            </w:pPr>
            <w:r>
              <w:rPr>
                <w:noProof/>
              </w:rPr>
              <w:t>Î2</w:t>
            </w:r>
          </w:p>
        </w:tc>
        <w:tc>
          <w:tcPr>
            <w:tcW w:w="647" w:type="dxa"/>
            <w:shd w:val="clear" w:color="auto" w:fill="C6EFCE"/>
            <w:noWrap/>
          </w:tcPr>
          <w:p w14:paraId="554F2A6D" w14:textId="77777777" w:rsidR="00FA7C11" w:rsidRDefault="00D84965">
            <w:pPr>
              <w:pStyle w:val="P68B1DB1-Normal66"/>
              <w:spacing w:after="200" w:line="276" w:lineRule="auto"/>
              <w:jc w:val="center"/>
              <w:rPr>
                <w:noProof/>
              </w:rPr>
            </w:pPr>
            <w:r>
              <w:rPr>
                <w:noProof/>
              </w:rPr>
              <w:t>2026</w:t>
            </w:r>
          </w:p>
        </w:tc>
        <w:tc>
          <w:tcPr>
            <w:tcW w:w="3392" w:type="dxa"/>
            <w:shd w:val="clear" w:color="auto" w:fill="C6EFCE"/>
            <w:noWrap/>
          </w:tcPr>
          <w:p w14:paraId="591B7C3A" w14:textId="77777777" w:rsidR="00FA7C11" w:rsidRDefault="00D84965">
            <w:pPr>
              <w:pStyle w:val="P68B1DB1-Normal66"/>
              <w:spacing w:after="200" w:line="276" w:lineRule="auto"/>
              <w:rPr>
                <w:noProof/>
              </w:rPr>
            </w:pPr>
            <w:r>
              <w:rPr>
                <w:noProof/>
              </w:rPr>
              <w:t xml:space="preserve">Cel puțin 90 % dintre instituțiile publice superioare trebuie să fi beneficiat de modernizarea pasivă a infrastructurii digitale și de achiziționarea de echipamente. </w:t>
            </w:r>
            <w:r>
              <w:rPr>
                <w:noProof/>
              </w:rPr>
              <w:br/>
            </w:r>
          </w:p>
        </w:tc>
      </w:tr>
    </w:tbl>
    <w:p w14:paraId="694BDE11" w14:textId="77777777" w:rsidR="00FA7C11" w:rsidRDefault="00FA7C11">
      <w:pPr>
        <w:pStyle w:val="paragraph"/>
        <w:spacing w:before="0" w:beforeAutospacing="0" w:after="0" w:afterAutospacing="0"/>
        <w:ind w:left="705"/>
        <w:jc w:val="both"/>
        <w:textAlignment w:val="baseline"/>
        <w:rPr>
          <w:rFonts w:ascii="Segoe UI" w:hAnsi="Segoe UI" w:cs="Segoe UI"/>
          <w:noProof/>
          <w:sz w:val="18"/>
          <w:szCs w:val="18"/>
        </w:rPr>
        <w:sectPr w:rsidR="00FA7C11" w:rsidSect="00FA29B2">
          <w:headerReference w:type="even" r:id="rId284"/>
          <w:headerReference w:type="default" r:id="rId285"/>
          <w:footerReference w:type="even" r:id="rId286"/>
          <w:footerReference w:type="default" r:id="rId287"/>
          <w:headerReference w:type="first" r:id="rId288"/>
          <w:footerReference w:type="first" r:id="rId289"/>
          <w:pgSz w:w="16839" w:h="11907" w:orient="landscape"/>
          <w:pgMar w:top="1134" w:right="1134" w:bottom="1134" w:left="1134" w:header="567" w:footer="567" w:gutter="0"/>
          <w:cols w:space="708"/>
          <w:docGrid w:linePitch="360"/>
        </w:sectPr>
      </w:pPr>
    </w:p>
    <w:p w14:paraId="1E930FFD" w14:textId="5D43AC33" w:rsidR="00FA7C11" w:rsidRDefault="00D84965">
      <w:pPr>
        <w:pStyle w:val="paragraph"/>
        <w:spacing w:before="0" w:beforeAutospacing="0" w:after="0" w:afterAutospacing="0"/>
        <w:ind w:left="840"/>
        <w:jc w:val="both"/>
        <w:textAlignment w:val="baseline"/>
        <w:rPr>
          <w:noProof/>
          <w:szCs w:val="24"/>
        </w:rPr>
      </w:pPr>
      <w:r>
        <w:rPr>
          <w:rStyle w:val="normaltextrun"/>
          <w:b/>
          <w:noProof/>
          <w:szCs w:val="24"/>
        </w:rPr>
        <w:t xml:space="preserve">P.3. </w:t>
      </w:r>
      <w:r>
        <w:rPr>
          <w:rStyle w:val="tabchar"/>
          <w:noProof/>
          <w:szCs w:val="24"/>
        </w:rPr>
        <w:t xml:space="preserve"> </w:t>
      </w:r>
      <w:r>
        <w:rPr>
          <w:rStyle w:val="normaltextrun"/>
          <w:b/>
          <w:noProof/>
          <w:szCs w:val="24"/>
        </w:rPr>
        <w:t xml:space="preserve">Descrierea reformelor și a investițiilor pentru împrumut </w:t>
      </w:r>
    </w:p>
    <w:p w14:paraId="0AD92046" w14:textId="04106F47" w:rsidR="00FA7C11" w:rsidRDefault="00D84965">
      <w:pPr>
        <w:pStyle w:val="paragraph"/>
        <w:spacing w:before="0" w:beforeAutospacing="0" w:after="0" w:afterAutospacing="0"/>
        <w:ind w:left="840"/>
        <w:jc w:val="both"/>
        <w:textAlignment w:val="baseline"/>
        <w:rPr>
          <w:rStyle w:val="eop"/>
          <w:noProof/>
          <w:szCs w:val="24"/>
        </w:rPr>
      </w:pPr>
      <w:r>
        <w:rPr>
          <w:rStyle w:val="normaltextrun"/>
          <w:noProof/>
          <w:szCs w:val="24"/>
        </w:rPr>
        <w:t xml:space="preserve"> </w:t>
      </w:r>
    </w:p>
    <w:p w14:paraId="46B7DC38" w14:textId="77777777" w:rsidR="00FA7C11" w:rsidRDefault="00D84965">
      <w:pPr>
        <w:pStyle w:val="P68B1DB1-Normal96"/>
        <w:keepNext/>
        <w:tabs>
          <w:tab w:val="num" w:pos="850"/>
        </w:tabs>
        <w:spacing w:after="200" w:line="240" w:lineRule="auto"/>
        <w:ind w:left="851"/>
        <w:jc w:val="both"/>
        <w:outlineLvl w:val="2"/>
        <w:rPr>
          <w:rFonts w:eastAsia="Calibri"/>
          <w:noProof/>
        </w:rPr>
      </w:pPr>
      <w:r>
        <w:rPr>
          <w:noProof/>
        </w:rPr>
        <w:t>Investiția C3.1 R1-I4 – Construirea, modernizarea, reconstrucția și echiparea școlilor primare pentru predarea într-o singură tură pe tot parcursul zilei</w:t>
      </w:r>
    </w:p>
    <w:p w14:paraId="1688326E" w14:textId="0B4DA226" w:rsidR="00FA7C11" w:rsidRDefault="00D84965">
      <w:pPr>
        <w:pStyle w:val="P68B1DB1-Normal33"/>
        <w:spacing w:line="240" w:lineRule="auto"/>
        <w:jc w:val="both"/>
        <w:rPr>
          <w:noProof/>
        </w:rPr>
      </w:pPr>
      <w:r>
        <w:rPr>
          <w:noProof/>
        </w:rPr>
        <w:t>Obiectivul acestei investiții este ca toți elevii din învățământul primar să frecventeze școli cu program individual. Această investiție constă în construirea de noi școli primare și în modernizarea celor existente, inclusiv a infrastructurilor sportive.</w:t>
      </w:r>
    </w:p>
    <w:p w14:paraId="02035086" w14:textId="77777777" w:rsidR="00FA7C11" w:rsidRDefault="00FA7C11">
      <w:pPr>
        <w:spacing w:after="200" w:line="240" w:lineRule="auto"/>
        <w:jc w:val="both"/>
        <w:rPr>
          <w:rFonts w:ascii="Calibri" w:eastAsia="Calibri" w:hAnsi="Calibri" w:cs="Arial"/>
          <w:noProof/>
        </w:rPr>
      </w:pPr>
    </w:p>
    <w:p w14:paraId="5434DEC0" w14:textId="77777777" w:rsidR="00FA7C11" w:rsidRDefault="00FA7C11">
      <w:pPr>
        <w:pStyle w:val="paragraph"/>
        <w:spacing w:before="0" w:beforeAutospacing="0" w:after="0" w:afterAutospacing="0"/>
        <w:ind w:left="840"/>
        <w:jc w:val="both"/>
        <w:textAlignment w:val="baseline"/>
        <w:rPr>
          <w:rFonts w:ascii="Segoe UI" w:hAnsi="Segoe UI" w:cs="Segoe UI"/>
          <w:noProof/>
          <w:sz w:val="18"/>
          <w:szCs w:val="18"/>
        </w:rPr>
      </w:pPr>
    </w:p>
    <w:p w14:paraId="0B523CD4" w14:textId="77777777" w:rsidR="00FA7C11" w:rsidRDefault="00FA7C11">
      <w:pPr>
        <w:pStyle w:val="paragraph"/>
        <w:spacing w:before="0" w:beforeAutospacing="0" w:after="0" w:afterAutospacing="0"/>
        <w:ind w:left="840"/>
        <w:jc w:val="both"/>
        <w:textAlignment w:val="baseline"/>
        <w:rPr>
          <w:rStyle w:val="normaltextrun"/>
          <w:b/>
          <w:bCs/>
          <w:noProof/>
        </w:rPr>
        <w:sectPr w:rsidR="00FA7C11" w:rsidSect="00FA29B2">
          <w:headerReference w:type="even" r:id="rId290"/>
          <w:headerReference w:type="default" r:id="rId291"/>
          <w:footerReference w:type="even" r:id="rId292"/>
          <w:footerReference w:type="default" r:id="rId293"/>
          <w:headerReference w:type="first" r:id="rId294"/>
          <w:footerReference w:type="first" r:id="rId295"/>
          <w:pgSz w:w="11907" w:h="16839"/>
          <w:pgMar w:top="1134" w:right="1134" w:bottom="1134" w:left="1134" w:header="567" w:footer="567" w:gutter="0"/>
          <w:cols w:space="708"/>
          <w:docGrid w:linePitch="360"/>
        </w:sectPr>
      </w:pPr>
    </w:p>
    <w:p w14:paraId="6CF449A9" w14:textId="3CCDC23F" w:rsidR="00FA7C11" w:rsidRDefault="00D84965">
      <w:pPr>
        <w:pStyle w:val="paragraph"/>
        <w:spacing w:before="0" w:beforeAutospacing="0" w:after="0" w:afterAutospacing="0"/>
        <w:ind w:left="840"/>
        <w:jc w:val="both"/>
        <w:textAlignment w:val="baseline"/>
        <w:rPr>
          <w:rFonts w:ascii="Segoe UI" w:hAnsi="Segoe UI" w:cs="Segoe UI"/>
          <w:noProof/>
          <w:sz w:val="18"/>
          <w:szCs w:val="18"/>
          <w:u w:val="single"/>
        </w:rPr>
      </w:pPr>
      <w:r>
        <w:rPr>
          <w:rStyle w:val="normaltextrun"/>
          <w:b/>
          <w:noProof/>
          <w:u w:val="single"/>
        </w:rPr>
        <w:t xml:space="preserve">P.4. Jaloane, ținte, indicatori și calendarul de monitorizare și implementare aplicabile împrumutului </w:t>
      </w:r>
    </w:p>
    <w:p w14:paraId="72BABE85" w14:textId="77777777" w:rsidR="00FA7C11" w:rsidRDefault="00FA7C11">
      <w:pPr>
        <w:pStyle w:val="paragraph"/>
        <w:spacing w:before="0" w:beforeAutospacing="0" w:after="0" w:afterAutospacing="0"/>
        <w:ind w:left="840"/>
        <w:jc w:val="both"/>
        <w:textAlignment w:val="baseline"/>
        <w:rPr>
          <w:rFonts w:ascii="Segoe UI" w:hAnsi="Segoe UI" w:cs="Segoe UI"/>
          <w:noProof/>
          <w:sz w:val="18"/>
          <w:szCs w:val="18"/>
        </w:rPr>
      </w:pPr>
    </w:p>
    <w:tbl>
      <w:tblPr>
        <w:tblW w:w="14743" w:type="dxa"/>
        <w:tblInd w:w="-2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51"/>
        <w:gridCol w:w="1418"/>
        <w:gridCol w:w="992"/>
        <w:gridCol w:w="1276"/>
        <w:gridCol w:w="1417"/>
        <w:gridCol w:w="851"/>
        <w:gridCol w:w="992"/>
        <w:gridCol w:w="992"/>
        <w:gridCol w:w="959"/>
        <w:gridCol w:w="840"/>
        <w:gridCol w:w="4155"/>
      </w:tblGrid>
      <w:tr w:rsidR="00FA7C11" w14:paraId="29A549A3" w14:textId="77777777">
        <w:trPr>
          <w:trHeight w:val="930"/>
        </w:trPr>
        <w:tc>
          <w:tcPr>
            <w:tcW w:w="851" w:type="dxa"/>
            <w:vMerge w:val="restart"/>
            <w:tcBorders>
              <w:top w:val="single" w:sz="6" w:space="0" w:color="auto"/>
              <w:left w:val="single" w:sz="6" w:space="0" w:color="auto"/>
              <w:bottom w:val="single" w:sz="6" w:space="0" w:color="000000"/>
              <w:right w:val="single" w:sz="6" w:space="0" w:color="auto"/>
            </w:tcBorders>
            <w:shd w:val="clear" w:color="auto" w:fill="BDD7EE"/>
            <w:vAlign w:val="center"/>
            <w:hideMark/>
          </w:tcPr>
          <w:p w14:paraId="012BE457" w14:textId="77777777" w:rsidR="00FA7C11" w:rsidRDefault="00D84965">
            <w:pPr>
              <w:pStyle w:val="P68B1DB1-Normal76"/>
              <w:spacing w:after="0" w:line="240" w:lineRule="auto"/>
              <w:jc w:val="center"/>
              <w:textAlignment w:val="baseline"/>
              <w:rPr>
                <w:noProof/>
              </w:rPr>
            </w:pPr>
            <w:r>
              <w:rPr>
                <w:b/>
                <w:noProof/>
              </w:rPr>
              <w:t>Număr</w:t>
            </w:r>
            <w:r>
              <w:rPr>
                <w:noProof/>
              </w:rPr>
              <w:t> </w:t>
            </w:r>
          </w:p>
        </w:tc>
        <w:tc>
          <w:tcPr>
            <w:tcW w:w="1418" w:type="dxa"/>
            <w:vMerge w:val="restart"/>
            <w:tcBorders>
              <w:top w:val="single" w:sz="6" w:space="0" w:color="auto"/>
              <w:left w:val="single" w:sz="6" w:space="0" w:color="auto"/>
              <w:bottom w:val="single" w:sz="6" w:space="0" w:color="000000"/>
              <w:right w:val="single" w:sz="6" w:space="0" w:color="auto"/>
            </w:tcBorders>
            <w:shd w:val="clear" w:color="auto" w:fill="BDD7EE"/>
            <w:vAlign w:val="center"/>
            <w:hideMark/>
          </w:tcPr>
          <w:p w14:paraId="0BE38000"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992" w:type="dxa"/>
            <w:vMerge w:val="restart"/>
            <w:tcBorders>
              <w:top w:val="single" w:sz="6" w:space="0" w:color="auto"/>
              <w:left w:val="single" w:sz="6" w:space="0" w:color="auto"/>
              <w:bottom w:val="single" w:sz="6" w:space="0" w:color="000000"/>
              <w:right w:val="single" w:sz="6" w:space="0" w:color="auto"/>
            </w:tcBorders>
            <w:shd w:val="clear" w:color="auto" w:fill="BDD7EE"/>
            <w:vAlign w:val="center"/>
            <w:hideMark/>
          </w:tcPr>
          <w:p w14:paraId="31B241CA"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1276" w:type="dxa"/>
            <w:vMerge w:val="restart"/>
            <w:tcBorders>
              <w:top w:val="single" w:sz="6" w:space="0" w:color="auto"/>
              <w:left w:val="nil"/>
              <w:bottom w:val="single" w:sz="6" w:space="0" w:color="000000"/>
              <w:right w:val="single" w:sz="6" w:space="0" w:color="auto"/>
            </w:tcBorders>
            <w:shd w:val="clear" w:color="auto" w:fill="BDD7EE"/>
            <w:vAlign w:val="center"/>
            <w:hideMark/>
          </w:tcPr>
          <w:p w14:paraId="1E92B3CB" w14:textId="77777777" w:rsidR="00FA7C11" w:rsidRDefault="00D84965">
            <w:pPr>
              <w:pStyle w:val="P68B1DB1-Normal76"/>
              <w:spacing w:after="0" w:line="240" w:lineRule="auto"/>
              <w:jc w:val="center"/>
              <w:textAlignment w:val="baseline"/>
              <w:rPr>
                <w:noProof/>
              </w:rPr>
            </w:pPr>
            <w:r>
              <w:rPr>
                <w:b/>
                <w:noProof/>
              </w:rPr>
              <w:t>Nume</w:t>
            </w:r>
            <w:r>
              <w:rPr>
                <w:noProof/>
              </w:rPr>
              <w:t> </w:t>
            </w:r>
          </w:p>
        </w:tc>
        <w:tc>
          <w:tcPr>
            <w:tcW w:w="1417" w:type="dxa"/>
            <w:vMerge w:val="restart"/>
            <w:tcBorders>
              <w:top w:val="single" w:sz="6" w:space="0" w:color="auto"/>
              <w:left w:val="single" w:sz="6" w:space="0" w:color="auto"/>
              <w:bottom w:val="single" w:sz="6" w:space="0" w:color="000000"/>
              <w:right w:val="single" w:sz="6" w:space="0" w:color="auto"/>
            </w:tcBorders>
            <w:shd w:val="clear" w:color="auto" w:fill="BDD7EE"/>
            <w:vAlign w:val="center"/>
            <w:hideMark/>
          </w:tcPr>
          <w:p w14:paraId="7D0846ED" w14:textId="2671F4D2" w:rsidR="00FA7C11" w:rsidRDefault="00D84965">
            <w:pPr>
              <w:pStyle w:val="P68B1DB1-Normal76"/>
              <w:spacing w:after="0" w:line="240" w:lineRule="auto"/>
              <w:jc w:val="center"/>
              <w:textAlignment w:val="baseline"/>
              <w:rPr>
                <w:noProof/>
              </w:rPr>
            </w:pPr>
            <w:r>
              <w:rPr>
                <w:b/>
                <w:noProof/>
              </w:rPr>
              <w:t>Indicatori calitativi</w:t>
            </w:r>
            <w:r>
              <w:rPr>
                <w:noProof/>
              </w:rPr>
              <w:br/>
            </w:r>
            <w:r>
              <w:rPr>
                <w:b/>
                <w:noProof/>
              </w:rPr>
              <w:t>(pentru jaloane)</w:t>
            </w:r>
            <w:r>
              <w:rPr>
                <w:noProof/>
              </w:rPr>
              <w:t> </w:t>
            </w:r>
          </w:p>
        </w:tc>
        <w:tc>
          <w:tcPr>
            <w:tcW w:w="2835" w:type="dxa"/>
            <w:gridSpan w:val="3"/>
            <w:tcBorders>
              <w:top w:val="single" w:sz="6" w:space="0" w:color="auto"/>
              <w:left w:val="nil"/>
              <w:bottom w:val="single" w:sz="6" w:space="0" w:color="auto"/>
              <w:right w:val="single" w:sz="6" w:space="0" w:color="auto"/>
            </w:tcBorders>
            <w:shd w:val="clear" w:color="auto" w:fill="BDD7EE"/>
            <w:vAlign w:val="center"/>
            <w:hideMark/>
          </w:tcPr>
          <w:p w14:paraId="4195E1EE" w14:textId="67312CFB" w:rsidR="00FA7C11" w:rsidRDefault="00D84965">
            <w:pPr>
              <w:pStyle w:val="P68B1DB1-Normal76"/>
              <w:spacing w:after="0" w:line="240" w:lineRule="auto"/>
              <w:jc w:val="center"/>
              <w:textAlignment w:val="baseline"/>
              <w:rPr>
                <w:noProof/>
              </w:rPr>
            </w:pPr>
            <w:r>
              <w:rPr>
                <w:b/>
                <w:noProof/>
              </w:rPr>
              <w:t>Indicatori cantitativi</w:t>
            </w:r>
            <w:r>
              <w:rPr>
                <w:noProof/>
              </w:rPr>
              <w:br/>
            </w:r>
            <w:r>
              <w:rPr>
                <w:b/>
                <w:noProof/>
              </w:rPr>
              <w:t>(pentru obiective)</w:t>
            </w:r>
            <w:r>
              <w:rPr>
                <w:noProof/>
              </w:rPr>
              <w:t> </w:t>
            </w:r>
          </w:p>
        </w:tc>
        <w:tc>
          <w:tcPr>
            <w:tcW w:w="1799" w:type="dxa"/>
            <w:gridSpan w:val="2"/>
            <w:tcBorders>
              <w:top w:val="single" w:sz="6" w:space="0" w:color="auto"/>
              <w:left w:val="nil"/>
              <w:bottom w:val="single" w:sz="6" w:space="0" w:color="auto"/>
              <w:right w:val="single" w:sz="6" w:space="0" w:color="auto"/>
            </w:tcBorders>
            <w:shd w:val="clear" w:color="auto" w:fill="BDD7EE"/>
            <w:vAlign w:val="center"/>
            <w:hideMark/>
          </w:tcPr>
          <w:p w14:paraId="2E093204" w14:textId="26C1BE31" w:rsidR="00FA7C11" w:rsidRDefault="00D84965">
            <w:pPr>
              <w:pStyle w:val="P68B1DB1-Normal58"/>
              <w:spacing w:after="0" w:line="240" w:lineRule="auto"/>
              <w:jc w:val="center"/>
              <w:textAlignment w:val="baseline"/>
              <w:rPr>
                <w:noProof/>
              </w:rPr>
            </w:pPr>
            <w:r>
              <w:rPr>
                <w:noProof/>
              </w:rPr>
              <w:t xml:space="preserve">Timp </w:t>
            </w:r>
          </w:p>
        </w:tc>
        <w:tc>
          <w:tcPr>
            <w:tcW w:w="4155" w:type="dxa"/>
            <w:vMerge w:val="restart"/>
            <w:tcBorders>
              <w:top w:val="single" w:sz="6" w:space="0" w:color="auto"/>
              <w:left w:val="single" w:sz="6" w:space="0" w:color="auto"/>
              <w:bottom w:val="single" w:sz="6" w:space="0" w:color="auto"/>
              <w:right w:val="single" w:sz="6" w:space="0" w:color="auto"/>
            </w:tcBorders>
            <w:shd w:val="clear" w:color="auto" w:fill="BDD7EE"/>
            <w:vAlign w:val="center"/>
            <w:hideMark/>
          </w:tcPr>
          <w:p w14:paraId="31D09307" w14:textId="77777777" w:rsidR="00FA7C11" w:rsidRDefault="00D84965">
            <w:pPr>
              <w:pStyle w:val="P68B1DB1-Normal76"/>
              <w:spacing w:after="0" w:line="240" w:lineRule="auto"/>
              <w:jc w:val="center"/>
              <w:textAlignment w:val="baseline"/>
              <w:rPr>
                <w:noProof/>
              </w:rPr>
            </w:pPr>
            <w:r>
              <w:rPr>
                <w:b/>
                <w:noProof/>
              </w:rPr>
              <w:t>Descrierea fiecărui jalon și a fiecărei ținte</w:t>
            </w:r>
            <w:r>
              <w:rPr>
                <w:noProof/>
              </w:rPr>
              <w:t> </w:t>
            </w:r>
          </w:p>
        </w:tc>
      </w:tr>
      <w:tr w:rsidR="00FA7C11" w14:paraId="5C1FB29E" w14:textId="77777777">
        <w:trPr>
          <w:trHeight w:val="1020"/>
        </w:trPr>
        <w:tc>
          <w:tcPr>
            <w:tcW w:w="851" w:type="dxa"/>
            <w:vMerge/>
            <w:tcBorders>
              <w:top w:val="single" w:sz="6" w:space="0" w:color="auto"/>
              <w:left w:val="single" w:sz="6" w:space="0" w:color="auto"/>
              <w:bottom w:val="single" w:sz="6" w:space="0" w:color="000000"/>
              <w:right w:val="single" w:sz="6" w:space="0" w:color="auto"/>
            </w:tcBorders>
            <w:vAlign w:val="center"/>
            <w:hideMark/>
          </w:tcPr>
          <w:p w14:paraId="4506C0BD" w14:textId="77777777" w:rsidR="00FA7C11" w:rsidRDefault="00FA7C11">
            <w:pPr>
              <w:spacing w:after="0" w:line="240" w:lineRule="auto"/>
              <w:rPr>
                <w:rFonts w:ascii="Times New Roman" w:eastAsia="Times New Roman" w:hAnsi="Times New Roman" w:cs="Times New Roman"/>
                <w:noProof/>
                <w:sz w:val="20"/>
                <w:szCs w:val="20"/>
              </w:rPr>
            </w:pPr>
          </w:p>
        </w:tc>
        <w:tc>
          <w:tcPr>
            <w:tcW w:w="1418" w:type="dxa"/>
            <w:vMerge/>
            <w:tcBorders>
              <w:top w:val="single" w:sz="6" w:space="0" w:color="auto"/>
              <w:left w:val="single" w:sz="6" w:space="0" w:color="auto"/>
              <w:bottom w:val="single" w:sz="6" w:space="0" w:color="000000"/>
              <w:right w:val="single" w:sz="6" w:space="0" w:color="auto"/>
            </w:tcBorders>
            <w:vAlign w:val="center"/>
            <w:hideMark/>
          </w:tcPr>
          <w:p w14:paraId="2F1CFA4A" w14:textId="77777777" w:rsidR="00FA7C11" w:rsidRDefault="00FA7C11">
            <w:pPr>
              <w:spacing w:after="0" w:line="240" w:lineRule="auto"/>
              <w:rPr>
                <w:rFonts w:ascii="Times New Roman" w:eastAsia="Times New Roman" w:hAnsi="Times New Roman" w:cs="Times New Roman"/>
                <w:noProof/>
                <w:sz w:val="20"/>
                <w:szCs w:val="20"/>
              </w:rPr>
            </w:pPr>
          </w:p>
        </w:tc>
        <w:tc>
          <w:tcPr>
            <w:tcW w:w="992" w:type="dxa"/>
            <w:vMerge/>
            <w:tcBorders>
              <w:top w:val="single" w:sz="6" w:space="0" w:color="auto"/>
              <w:left w:val="single" w:sz="6" w:space="0" w:color="auto"/>
              <w:bottom w:val="single" w:sz="6" w:space="0" w:color="000000"/>
              <w:right w:val="single" w:sz="6" w:space="0" w:color="auto"/>
            </w:tcBorders>
            <w:vAlign w:val="center"/>
            <w:hideMark/>
          </w:tcPr>
          <w:p w14:paraId="05BAA461" w14:textId="77777777" w:rsidR="00FA7C11" w:rsidRDefault="00FA7C11">
            <w:pPr>
              <w:spacing w:after="0" w:line="240" w:lineRule="auto"/>
              <w:rPr>
                <w:rFonts w:ascii="Times New Roman" w:eastAsia="Times New Roman" w:hAnsi="Times New Roman" w:cs="Times New Roman"/>
                <w:noProof/>
                <w:sz w:val="20"/>
                <w:szCs w:val="20"/>
              </w:rPr>
            </w:pPr>
          </w:p>
        </w:tc>
        <w:tc>
          <w:tcPr>
            <w:tcW w:w="1276" w:type="dxa"/>
            <w:vMerge/>
            <w:tcBorders>
              <w:top w:val="single" w:sz="6" w:space="0" w:color="auto"/>
              <w:left w:val="nil"/>
              <w:bottom w:val="single" w:sz="6" w:space="0" w:color="000000"/>
              <w:right w:val="single" w:sz="6" w:space="0" w:color="auto"/>
            </w:tcBorders>
            <w:vAlign w:val="center"/>
            <w:hideMark/>
          </w:tcPr>
          <w:p w14:paraId="6440D941" w14:textId="77777777" w:rsidR="00FA7C11" w:rsidRDefault="00FA7C11">
            <w:pPr>
              <w:spacing w:after="0" w:line="240" w:lineRule="auto"/>
              <w:rPr>
                <w:rFonts w:ascii="Times New Roman" w:eastAsia="Times New Roman" w:hAnsi="Times New Roman" w:cs="Times New Roman"/>
                <w:noProof/>
                <w:sz w:val="20"/>
                <w:szCs w:val="20"/>
              </w:rPr>
            </w:pPr>
          </w:p>
        </w:tc>
        <w:tc>
          <w:tcPr>
            <w:tcW w:w="1417" w:type="dxa"/>
            <w:vMerge/>
            <w:tcBorders>
              <w:top w:val="single" w:sz="6" w:space="0" w:color="auto"/>
              <w:left w:val="single" w:sz="6" w:space="0" w:color="auto"/>
              <w:bottom w:val="single" w:sz="6" w:space="0" w:color="000000"/>
              <w:right w:val="single" w:sz="6" w:space="0" w:color="auto"/>
            </w:tcBorders>
            <w:vAlign w:val="center"/>
            <w:hideMark/>
          </w:tcPr>
          <w:p w14:paraId="26DB7F69" w14:textId="77777777" w:rsidR="00FA7C11" w:rsidRDefault="00FA7C11">
            <w:pPr>
              <w:spacing w:after="0" w:line="240" w:lineRule="auto"/>
              <w:rPr>
                <w:rFonts w:ascii="Times New Roman" w:eastAsia="Times New Roman" w:hAnsi="Times New Roman" w:cs="Times New Roman"/>
                <w:noProof/>
                <w:sz w:val="20"/>
                <w:szCs w:val="20"/>
              </w:rPr>
            </w:pPr>
          </w:p>
        </w:tc>
        <w:tc>
          <w:tcPr>
            <w:tcW w:w="851" w:type="dxa"/>
            <w:tcBorders>
              <w:top w:val="nil"/>
              <w:left w:val="nil"/>
              <w:bottom w:val="single" w:sz="6" w:space="0" w:color="auto"/>
              <w:right w:val="single" w:sz="6" w:space="0" w:color="auto"/>
            </w:tcBorders>
            <w:shd w:val="clear" w:color="auto" w:fill="BDD7EE"/>
            <w:vAlign w:val="center"/>
            <w:hideMark/>
          </w:tcPr>
          <w:p w14:paraId="4DB3AF18" w14:textId="77777777" w:rsidR="00FA7C11" w:rsidRDefault="00D84965">
            <w:pPr>
              <w:pStyle w:val="P68B1DB1-Normal58"/>
              <w:spacing w:after="0" w:line="240" w:lineRule="auto"/>
              <w:jc w:val="center"/>
              <w:textAlignment w:val="baseline"/>
              <w:rPr>
                <w:noProof/>
              </w:rPr>
            </w:pPr>
            <w:r>
              <w:rPr>
                <w:noProof/>
              </w:rPr>
              <w:t xml:space="preserve">Unitate </w:t>
            </w:r>
          </w:p>
        </w:tc>
        <w:tc>
          <w:tcPr>
            <w:tcW w:w="992" w:type="dxa"/>
            <w:tcBorders>
              <w:top w:val="nil"/>
              <w:left w:val="nil"/>
              <w:bottom w:val="single" w:sz="6" w:space="0" w:color="auto"/>
              <w:right w:val="single" w:sz="6" w:space="0" w:color="auto"/>
            </w:tcBorders>
            <w:shd w:val="clear" w:color="auto" w:fill="BDD7EE"/>
            <w:vAlign w:val="center"/>
            <w:hideMark/>
          </w:tcPr>
          <w:p w14:paraId="0150FE4B" w14:textId="25FDD01A" w:rsidR="00FA7C11" w:rsidRDefault="00D84965">
            <w:pPr>
              <w:pStyle w:val="P68B1DB1-Normal58"/>
              <w:spacing w:after="0" w:line="240" w:lineRule="auto"/>
              <w:jc w:val="center"/>
              <w:textAlignment w:val="baseline"/>
              <w:rPr>
                <w:noProof/>
              </w:rPr>
            </w:pPr>
            <w:r>
              <w:rPr>
                <w:noProof/>
              </w:rPr>
              <w:t xml:space="preserve">Situația de referință </w:t>
            </w:r>
          </w:p>
        </w:tc>
        <w:tc>
          <w:tcPr>
            <w:tcW w:w="992" w:type="dxa"/>
            <w:tcBorders>
              <w:top w:val="nil"/>
              <w:left w:val="nil"/>
              <w:bottom w:val="single" w:sz="6" w:space="0" w:color="auto"/>
              <w:right w:val="single" w:sz="6" w:space="0" w:color="auto"/>
            </w:tcBorders>
            <w:shd w:val="clear" w:color="auto" w:fill="BDD7EE"/>
            <w:vAlign w:val="center"/>
            <w:hideMark/>
          </w:tcPr>
          <w:p w14:paraId="1B383D2B" w14:textId="51D886C7" w:rsidR="00FA7C11" w:rsidRDefault="00D84965">
            <w:pPr>
              <w:pStyle w:val="P68B1DB1-Normal58"/>
              <w:spacing w:after="0" w:line="240" w:lineRule="auto"/>
              <w:jc w:val="center"/>
              <w:textAlignment w:val="baseline"/>
              <w:rPr>
                <w:noProof/>
              </w:rPr>
            </w:pPr>
            <w:r>
              <w:rPr>
                <w:noProof/>
              </w:rPr>
              <w:t xml:space="preserve">Obiectiv </w:t>
            </w:r>
          </w:p>
        </w:tc>
        <w:tc>
          <w:tcPr>
            <w:tcW w:w="959" w:type="dxa"/>
            <w:tcBorders>
              <w:top w:val="nil"/>
              <w:left w:val="nil"/>
              <w:bottom w:val="single" w:sz="6" w:space="0" w:color="auto"/>
              <w:right w:val="single" w:sz="6" w:space="0" w:color="auto"/>
            </w:tcBorders>
            <w:shd w:val="clear" w:color="auto" w:fill="BDD7EE"/>
            <w:vAlign w:val="center"/>
            <w:hideMark/>
          </w:tcPr>
          <w:p w14:paraId="578F5DC2" w14:textId="77777777" w:rsidR="00FA7C11" w:rsidRDefault="00D84965">
            <w:pPr>
              <w:pStyle w:val="P68B1DB1-Normal58"/>
              <w:spacing w:after="0" w:line="240" w:lineRule="auto"/>
              <w:jc w:val="center"/>
              <w:textAlignment w:val="baseline"/>
              <w:rPr>
                <w:noProof/>
              </w:rPr>
            </w:pPr>
            <w:r>
              <w:rPr>
                <w:noProof/>
              </w:rPr>
              <w:t>Trimestru</w:t>
            </w:r>
          </w:p>
        </w:tc>
        <w:tc>
          <w:tcPr>
            <w:tcW w:w="840" w:type="dxa"/>
            <w:tcBorders>
              <w:top w:val="nil"/>
              <w:left w:val="nil"/>
              <w:bottom w:val="single" w:sz="6" w:space="0" w:color="auto"/>
              <w:right w:val="single" w:sz="6" w:space="0" w:color="auto"/>
            </w:tcBorders>
            <w:shd w:val="clear" w:color="auto" w:fill="BDD7EE"/>
            <w:vAlign w:val="center"/>
            <w:hideMark/>
          </w:tcPr>
          <w:p w14:paraId="320CB73A" w14:textId="77777777" w:rsidR="00FA7C11" w:rsidRDefault="00D84965">
            <w:pPr>
              <w:pStyle w:val="P68B1DB1-Normal76"/>
              <w:spacing w:after="0" w:line="240" w:lineRule="auto"/>
              <w:jc w:val="center"/>
              <w:textAlignment w:val="baseline"/>
              <w:rPr>
                <w:noProof/>
              </w:rPr>
            </w:pPr>
            <w:r>
              <w:rPr>
                <w:b/>
                <w:noProof/>
              </w:rPr>
              <w:t>Anul</w:t>
            </w:r>
            <w:r>
              <w:rPr>
                <w:noProof/>
              </w:rPr>
              <w:t> </w:t>
            </w:r>
          </w:p>
        </w:tc>
        <w:tc>
          <w:tcPr>
            <w:tcW w:w="4155" w:type="dxa"/>
            <w:vMerge/>
            <w:tcBorders>
              <w:top w:val="single" w:sz="6" w:space="0" w:color="auto"/>
              <w:left w:val="single" w:sz="6" w:space="0" w:color="auto"/>
              <w:bottom w:val="single" w:sz="6" w:space="0" w:color="auto"/>
              <w:right w:val="single" w:sz="6" w:space="0" w:color="auto"/>
            </w:tcBorders>
            <w:vAlign w:val="center"/>
            <w:hideMark/>
          </w:tcPr>
          <w:p w14:paraId="2CDE02D7" w14:textId="77777777" w:rsidR="00FA7C11" w:rsidRDefault="00FA7C11">
            <w:pPr>
              <w:spacing w:after="0" w:line="240" w:lineRule="auto"/>
              <w:rPr>
                <w:rFonts w:ascii="Times New Roman" w:eastAsia="Times New Roman" w:hAnsi="Times New Roman" w:cs="Times New Roman"/>
                <w:noProof/>
                <w:sz w:val="20"/>
                <w:szCs w:val="20"/>
              </w:rPr>
            </w:pPr>
          </w:p>
        </w:tc>
      </w:tr>
      <w:tr w:rsidR="00FA7C11" w14:paraId="5574EF4D" w14:textId="77777777">
        <w:trPr>
          <w:trHeight w:val="300"/>
        </w:trPr>
        <w:tc>
          <w:tcPr>
            <w:tcW w:w="851" w:type="dxa"/>
            <w:tcBorders>
              <w:top w:val="nil"/>
              <w:left w:val="single" w:sz="6" w:space="0" w:color="auto"/>
              <w:bottom w:val="single" w:sz="6" w:space="0" w:color="auto"/>
              <w:right w:val="single" w:sz="6" w:space="0" w:color="auto"/>
            </w:tcBorders>
            <w:shd w:val="clear" w:color="auto" w:fill="C6EFCE"/>
            <w:hideMark/>
          </w:tcPr>
          <w:p w14:paraId="4714404C" w14:textId="77777777" w:rsidR="00FA7C11" w:rsidRDefault="00D84965">
            <w:pPr>
              <w:pStyle w:val="P68B1DB1-Normal66"/>
              <w:spacing w:after="0" w:line="240" w:lineRule="auto"/>
              <w:jc w:val="center"/>
              <w:textAlignment w:val="baseline"/>
              <w:rPr>
                <w:rFonts w:eastAsia="Times New Roman"/>
                <w:noProof/>
              </w:rPr>
            </w:pPr>
            <w:r>
              <w:rPr>
                <w:noProof/>
              </w:rPr>
              <w:t>397</w:t>
            </w:r>
          </w:p>
        </w:tc>
        <w:tc>
          <w:tcPr>
            <w:tcW w:w="1418" w:type="dxa"/>
            <w:tcBorders>
              <w:top w:val="nil"/>
              <w:left w:val="nil"/>
              <w:bottom w:val="single" w:sz="6" w:space="0" w:color="auto"/>
              <w:right w:val="single" w:sz="6" w:space="0" w:color="auto"/>
            </w:tcBorders>
            <w:shd w:val="clear" w:color="auto" w:fill="C6EFCE"/>
            <w:hideMark/>
          </w:tcPr>
          <w:p w14:paraId="6EF388D6" w14:textId="77777777" w:rsidR="00FA7C11" w:rsidRDefault="00D84965">
            <w:pPr>
              <w:pStyle w:val="P68B1DB1-Normal66"/>
              <w:spacing w:after="0" w:line="240" w:lineRule="auto"/>
              <w:jc w:val="center"/>
              <w:textAlignment w:val="baseline"/>
              <w:rPr>
                <w:rFonts w:eastAsia="Times New Roman"/>
                <w:noProof/>
              </w:rPr>
            </w:pPr>
            <w:r>
              <w:rPr>
                <w:noProof/>
              </w:rPr>
              <w:t>C3.1. R1-I4</w:t>
            </w:r>
          </w:p>
        </w:tc>
        <w:tc>
          <w:tcPr>
            <w:tcW w:w="992" w:type="dxa"/>
            <w:tcBorders>
              <w:top w:val="nil"/>
              <w:left w:val="nil"/>
              <w:bottom w:val="single" w:sz="6" w:space="0" w:color="auto"/>
              <w:right w:val="single" w:sz="6" w:space="0" w:color="auto"/>
            </w:tcBorders>
            <w:shd w:val="clear" w:color="auto" w:fill="C6EFCE"/>
            <w:hideMark/>
          </w:tcPr>
          <w:p w14:paraId="0FD562CC" w14:textId="77777777" w:rsidR="00FA7C11" w:rsidRDefault="00D84965">
            <w:pPr>
              <w:pStyle w:val="P68B1DB1-Normal66"/>
              <w:spacing w:after="0" w:line="240" w:lineRule="auto"/>
              <w:jc w:val="center"/>
              <w:textAlignment w:val="baseline"/>
              <w:rPr>
                <w:rFonts w:eastAsia="Times New Roman"/>
                <w:noProof/>
              </w:rPr>
            </w:pPr>
            <w:r>
              <w:rPr>
                <w:noProof/>
              </w:rPr>
              <w:t>T</w:t>
            </w:r>
          </w:p>
        </w:tc>
        <w:tc>
          <w:tcPr>
            <w:tcW w:w="1276" w:type="dxa"/>
            <w:tcBorders>
              <w:top w:val="nil"/>
              <w:left w:val="nil"/>
              <w:bottom w:val="single" w:sz="6" w:space="0" w:color="auto"/>
              <w:right w:val="single" w:sz="6" w:space="0" w:color="auto"/>
            </w:tcBorders>
            <w:shd w:val="clear" w:color="auto" w:fill="C6EFCE"/>
            <w:hideMark/>
          </w:tcPr>
          <w:p w14:paraId="083BD2B4" w14:textId="77777777" w:rsidR="00FA7C11" w:rsidRDefault="00D84965">
            <w:pPr>
              <w:pStyle w:val="P68B1DB1-Normal66"/>
              <w:spacing w:after="0" w:line="240" w:lineRule="auto"/>
              <w:textAlignment w:val="baseline"/>
              <w:rPr>
                <w:rFonts w:eastAsia="Times New Roman"/>
                <w:noProof/>
              </w:rPr>
            </w:pPr>
            <w:r>
              <w:rPr>
                <w:noProof/>
              </w:rPr>
              <w:t xml:space="preserve">Numărul de săli de clasă ale școlilor primare construite sau reconstruite </w:t>
            </w:r>
          </w:p>
        </w:tc>
        <w:tc>
          <w:tcPr>
            <w:tcW w:w="1417" w:type="dxa"/>
            <w:tcBorders>
              <w:top w:val="nil"/>
              <w:left w:val="nil"/>
              <w:bottom w:val="single" w:sz="6" w:space="0" w:color="auto"/>
              <w:right w:val="single" w:sz="6" w:space="0" w:color="auto"/>
            </w:tcBorders>
            <w:shd w:val="clear" w:color="auto" w:fill="C6EFCE"/>
            <w:hideMark/>
          </w:tcPr>
          <w:p w14:paraId="7A0EE568" w14:textId="77777777" w:rsidR="00FA7C11" w:rsidRDefault="00FA7C11">
            <w:pPr>
              <w:spacing w:after="0" w:line="240" w:lineRule="auto"/>
              <w:textAlignment w:val="baseline"/>
              <w:rPr>
                <w:rFonts w:ascii="Times New Roman" w:eastAsia="Times New Roman" w:hAnsi="Times New Roman" w:cs="Times New Roman"/>
                <w:noProof/>
                <w:sz w:val="20"/>
                <w:szCs w:val="20"/>
              </w:rPr>
            </w:pPr>
          </w:p>
        </w:tc>
        <w:tc>
          <w:tcPr>
            <w:tcW w:w="851" w:type="dxa"/>
            <w:tcBorders>
              <w:top w:val="nil"/>
              <w:left w:val="nil"/>
              <w:bottom w:val="single" w:sz="6" w:space="0" w:color="auto"/>
              <w:right w:val="single" w:sz="6" w:space="0" w:color="auto"/>
            </w:tcBorders>
            <w:shd w:val="clear" w:color="auto" w:fill="C6EFCE"/>
            <w:hideMark/>
          </w:tcPr>
          <w:p w14:paraId="2883B274" w14:textId="77777777" w:rsidR="00FA7C11" w:rsidRDefault="00D84965">
            <w:pPr>
              <w:pStyle w:val="P68B1DB1-Normal66"/>
              <w:spacing w:after="0" w:line="240" w:lineRule="auto"/>
              <w:jc w:val="center"/>
              <w:textAlignment w:val="baseline"/>
              <w:rPr>
                <w:rFonts w:eastAsia="Times New Roman"/>
                <w:noProof/>
              </w:rPr>
            </w:pPr>
            <w:r>
              <w:rPr>
                <w:noProof/>
              </w:rPr>
              <w:t xml:space="preserve">Număr </w:t>
            </w:r>
          </w:p>
        </w:tc>
        <w:tc>
          <w:tcPr>
            <w:tcW w:w="992" w:type="dxa"/>
            <w:tcBorders>
              <w:top w:val="nil"/>
              <w:left w:val="nil"/>
              <w:bottom w:val="single" w:sz="6" w:space="0" w:color="auto"/>
              <w:right w:val="single" w:sz="6" w:space="0" w:color="auto"/>
            </w:tcBorders>
            <w:shd w:val="clear" w:color="auto" w:fill="C6EFCE"/>
            <w:hideMark/>
          </w:tcPr>
          <w:p w14:paraId="5F61E6BA" w14:textId="77777777" w:rsidR="00FA7C11" w:rsidRDefault="00D84965">
            <w:pPr>
              <w:pStyle w:val="P68B1DB1-Normal66"/>
              <w:spacing w:after="0" w:line="240" w:lineRule="auto"/>
              <w:jc w:val="center"/>
              <w:textAlignment w:val="baseline"/>
              <w:rPr>
                <w:rFonts w:eastAsia="Times New Roman"/>
                <w:noProof/>
              </w:rPr>
            </w:pPr>
            <w:r>
              <w:rPr>
                <w:noProof/>
              </w:rPr>
              <w:t>286</w:t>
            </w:r>
          </w:p>
        </w:tc>
        <w:tc>
          <w:tcPr>
            <w:tcW w:w="992" w:type="dxa"/>
            <w:tcBorders>
              <w:top w:val="nil"/>
              <w:left w:val="nil"/>
              <w:bottom w:val="single" w:sz="6" w:space="0" w:color="auto"/>
              <w:right w:val="single" w:sz="6" w:space="0" w:color="auto"/>
            </w:tcBorders>
            <w:shd w:val="clear" w:color="auto" w:fill="C6EFCE"/>
            <w:hideMark/>
          </w:tcPr>
          <w:p w14:paraId="49DD5E90" w14:textId="77777777" w:rsidR="00FA7C11" w:rsidRDefault="00D84965">
            <w:pPr>
              <w:pStyle w:val="P68B1DB1-Normal66"/>
              <w:spacing w:after="0" w:line="240" w:lineRule="auto"/>
              <w:jc w:val="center"/>
              <w:textAlignment w:val="baseline"/>
              <w:rPr>
                <w:rFonts w:eastAsia="Times New Roman"/>
                <w:noProof/>
              </w:rPr>
            </w:pPr>
            <w:r>
              <w:rPr>
                <w:noProof/>
              </w:rPr>
              <w:t>1318</w:t>
            </w:r>
          </w:p>
        </w:tc>
        <w:tc>
          <w:tcPr>
            <w:tcW w:w="959" w:type="dxa"/>
            <w:tcBorders>
              <w:top w:val="nil"/>
              <w:left w:val="nil"/>
              <w:bottom w:val="single" w:sz="6" w:space="0" w:color="auto"/>
              <w:right w:val="single" w:sz="6" w:space="0" w:color="auto"/>
            </w:tcBorders>
            <w:shd w:val="clear" w:color="auto" w:fill="C6EFCE"/>
            <w:hideMark/>
          </w:tcPr>
          <w:p w14:paraId="4C8190DB" w14:textId="77777777" w:rsidR="00FA7C11" w:rsidRDefault="00D84965">
            <w:pPr>
              <w:pStyle w:val="P68B1DB1-Normal66"/>
              <w:spacing w:after="0" w:line="240" w:lineRule="auto"/>
              <w:jc w:val="center"/>
              <w:textAlignment w:val="baseline"/>
              <w:rPr>
                <w:rFonts w:eastAsia="Times New Roman"/>
                <w:noProof/>
              </w:rPr>
            </w:pPr>
            <w:r>
              <w:rPr>
                <w:noProof/>
              </w:rPr>
              <w:t>Î2</w:t>
            </w:r>
          </w:p>
        </w:tc>
        <w:tc>
          <w:tcPr>
            <w:tcW w:w="840" w:type="dxa"/>
            <w:tcBorders>
              <w:top w:val="nil"/>
              <w:left w:val="nil"/>
              <w:bottom w:val="single" w:sz="6" w:space="0" w:color="auto"/>
              <w:right w:val="single" w:sz="6" w:space="0" w:color="auto"/>
            </w:tcBorders>
            <w:shd w:val="clear" w:color="auto" w:fill="C6EFCE"/>
            <w:hideMark/>
          </w:tcPr>
          <w:p w14:paraId="219EF388" w14:textId="77777777" w:rsidR="00FA7C11" w:rsidRDefault="00D84965">
            <w:pPr>
              <w:pStyle w:val="P68B1DB1-Normal66"/>
              <w:spacing w:after="0" w:line="240" w:lineRule="auto"/>
              <w:jc w:val="center"/>
              <w:textAlignment w:val="baseline"/>
              <w:rPr>
                <w:rFonts w:eastAsia="Times New Roman"/>
                <w:noProof/>
              </w:rPr>
            </w:pPr>
            <w:r>
              <w:rPr>
                <w:noProof/>
              </w:rPr>
              <w:t>2026</w:t>
            </w:r>
          </w:p>
        </w:tc>
        <w:tc>
          <w:tcPr>
            <w:tcW w:w="4155" w:type="dxa"/>
            <w:tcBorders>
              <w:top w:val="nil"/>
              <w:left w:val="nil"/>
              <w:bottom w:val="single" w:sz="6" w:space="0" w:color="auto"/>
              <w:right w:val="single" w:sz="6" w:space="0" w:color="auto"/>
            </w:tcBorders>
            <w:shd w:val="clear" w:color="auto" w:fill="C6EFCE"/>
            <w:hideMark/>
          </w:tcPr>
          <w:p w14:paraId="69F1774E" w14:textId="3E262B40" w:rsidR="00FA7C11" w:rsidRDefault="00D84965">
            <w:pPr>
              <w:pStyle w:val="P68B1DB1-Normal66"/>
              <w:spacing w:after="0" w:line="240" w:lineRule="auto"/>
              <w:textAlignment w:val="baseline"/>
              <w:rPr>
                <w:noProof/>
              </w:rPr>
            </w:pPr>
            <w:r>
              <w:rPr>
                <w:noProof/>
              </w:rPr>
              <w:t>Se construiesc sau se renovează cel puțin 1032 săli de clasă suplimentare în școlile primare pentru a crea capacități suplimentare, astfel cum au fost aprobate de Ministerul Științei, Educației și Consimțământului pentru Tineret, determinând capacitatea necesară. Se construiesc cel puțin 197 de noi săli de sport.</w:t>
            </w:r>
          </w:p>
          <w:p w14:paraId="6F7ACF70" w14:textId="77777777" w:rsidR="00FA7C11" w:rsidRDefault="00D84965">
            <w:pPr>
              <w:spacing w:after="0" w:line="240" w:lineRule="auto"/>
              <w:textAlignment w:val="baseline"/>
              <w:rPr>
                <w:rFonts w:ascii="Times New Roman" w:eastAsia="Times New Roman" w:hAnsi="Times New Roman" w:cs="Times New Roman"/>
                <w:noProof/>
                <w:sz w:val="20"/>
                <w:szCs w:val="20"/>
              </w:rPr>
            </w:pPr>
            <w:r>
              <w:rPr>
                <w:rFonts w:ascii="Times New Roman" w:eastAsia="Calibri" w:hAnsi="Times New Roman" w:cs="Times New Roman"/>
                <w:noProof/>
                <w:sz w:val="20"/>
                <w:szCs w:val="20"/>
              </w:rPr>
              <w:t>Construirea și renovarea școlilor primare se bazează pe evaluarea nevoilor de investiții în infrastructură,</w:t>
            </w:r>
            <w:r>
              <w:rPr>
                <w:rFonts w:ascii="Times New Roman" w:hAnsi="Times New Roman" w:cs="Times New Roman"/>
                <w:noProof/>
                <w14:ligatures w14:val="none"/>
              </w:rPr>
              <w:t xml:space="preserve"> </w:t>
            </w:r>
            <w:r>
              <w:rPr>
                <w:rFonts w:ascii="Times New Roman" w:eastAsia="Calibri" w:hAnsi="Times New Roman" w:cs="Times New Roman"/>
                <w:noProof/>
                <w:sz w:val="20"/>
                <w:szCs w:val="20"/>
              </w:rPr>
              <w:t>ținând seama de capacitățile școlii și de evoluțiile demografice.</w:t>
            </w:r>
          </w:p>
        </w:tc>
      </w:tr>
    </w:tbl>
    <w:p w14:paraId="020D414E" w14:textId="77777777" w:rsidR="00FA7C11" w:rsidRDefault="00FA7C11">
      <w:pPr>
        <w:rPr>
          <w:noProof/>
        </w:rPr>
      </w:pPr>
    </w:p>
    <w:p w14:paraId="518F0921" w14:textId="77777777" w:rsidR="00FA7C11" w:rsidRDefault="00FA7C11">
      <w:pPr>
        <w:rPr>
          <w:noProof/>
        </w:rPr>
      </w:pPr>
    </w:p>
    <w:p w14:paraId="775E0EE1" w14:textId="77777777" w:rsidR="00FA7C11" w:rsidRDefault="00FA7C11">
      <w:pPr>
        <w:rPr>
          <w:noProof/>
        </w:rPr>
        <w:sectPr w:rsidR="00FA7C11" w:rsidSect="00FA29B2">
          <w:headerReference w:type="even" r:id="rId296"/>
          <w:headerReference w:type="default" r:id="rId297"/>
          <w:footerReference w:type="even" r:id="rId298"/>
          <w:footerReference w:type="default" r:id="rId299"/>
          <w:headerReference w:type="first" r:id="rId300"/>
          <w:footerReference w:type="first" r:id="rId301"/>
          <w:pgSz w:w="16839" w:h="11907" w:orient="landscape"/>
          <w:pgMar w:top="1134" w:right="1134" w:bottom="1134" w:left="1134" w:header="567" w:footer="567" w:gutter="0"/>
          <w:cols w:space="708"/>
          <w:docGrid w:linePitch="360"/>
        </w:sectPr>
      </w:pPr>
    </w:p>
    <w:p w14:paraId="6E6DC10D" w14:textId="77777777" w:rsidR="00FA7C11" w:rsidRDefault="00D84965">
      <w:pPr>
        <w:pStyle w:val="P68B1DB1-Normal32"/>
        <w:keepNext/>
        <w:tabs>
          <w:tab w:val="left" w:pos="850"/>
        </w:tabs>
        <w:spacing w:before="360" w:line="240" w:lineRule="auto"/>
        <w:jc w:val="both"/>
        <w:outlineLvl w:val="0"/>
        <w:rPr>
          <w:noProof/>
        </w:rPr>
      </w:pPr>
      <w:r>
        <w:rPr>
          <w:noProof/>
        </w:rPr>
        <w:t>Q. COMPONENTA 3.2: STIMULAREA CAPACITĂȚII DE CERCETARE ȘI INOVARE</w:t>
      </w:r>
    </w:p>
    <w:p w14:paraId="0393FE8C" w14:textId="77777777" w:rsidR="00FA7C11" w:rsidRDefault="00D84965">
      <w:pPr>
        <w:pStyle w:val="P68B1DB1-Normal83"/>
        <w:tabs>
          <w:tab w:val="left" w:pos="426"/>
        </w:tabs>
        <w:spacing w:line="240" w:lineRule="auto"/>
        <w:jc w:val="both"/>
        <w:rPr>
          <w:noProof/>
        </w:rPr>
      </w:pPr>
      <w:r>
        <w:rPr>
          <w:noProof/>
        </w:rPr>
        <w:t>Peisajul public croat al cercetării și inovării este foarte fragmentat. Investițiile insuficiente în cercetare, dezvoltare și inovare, în special din partea sectorului de afaceri, combinate cu o finanțare și un model organizațional inadecvate ale universităților și institutelor științifice, afectează întregul potențial al sectorului de cercetare croat. Prin urmare, productivitatea științifică, eficiența și transferul de cunoștințe rămân limitate. Condițiile prealabile pentru dezvoltarea resurselor umane în domeniile științei, ingineriei tehnologice și matematicii (STIM) și tehnologiei informației și comunicațiilor (TIC), care ar permite creșterea gradului de pregătire a societății pentru tranziția digitală, sunt insuficient dezvoltate. Fragmentarea și ineficiența politicilor de cercetare, dezvoltare și inovare, precum și lipsa rezultatelor din investițiile în cercetare, dezvoltare și inovare sunt unele dintre principalele cauze ale încetinirii creșterii productivității și competitivității.</w:t>
      </w:r>
    </w:p>
    <w:p w14:paraId="5F98E6D9" w14:textId="77777777" w:rsidR="00FA7C11" w:rsidRDefault="00D84965">
      <w:pPr>
        <w:pStyle w:val="P68B1DB1-Normal83"/>
        <w:tabs>
          <w:tab w:val="left" w:pos="426"/>
        </w:tabs>
        <w:spacing w:line="240" w:lineRule="auto"/>
        <w:jc w:val="both"/>
        <w:rPr>
          <w:noProof/>
        </w:rPr>
      </w:pPr>
      <w:r>
        <w:rPr>
          <w:noProof/>
        </w:rPr>
        <w:t xml:space="preserve">Această componentă urmărește să abordeze aceste provocări prin urmărirea următoarelor obiective: </w:t>
      </w:r>
    </w:p>
    <w:p w14:paraId="07DCF032" w14:textId="77777777" w:rsidR="00FA7C11" w:rsidRDefault="00D84965">
      <w:pPr>
        <w:pStyle w:val="P68B1DB1-Normal83"/>
        <w:numPr>
          <w:ilvl w:val="0"/>
          <w:numId w:val="68"/>
        </w:numPr>
        <w:tabs>
          <w:tab w:val="left" w:pos="426"/>
        </w:tabs>
        <w:spacing w:after="200" w:line="276" w:lineRule="auto"/>
        <w:ind w:left="720"/>
        <w:jc w:val="both"/>
        <w:rPr>
          <w:noProof/>
        </w:rPr>
      </w:pPr>
      <w:r>
        <w:rPr>
          <w:noProof/>
        </w:rPr>
        <w:t>Îmbunătățirea sistemului de finanțare instituțională pentru universități și institute științifice pentru a motiva productivitatea științifică, eficiența și transferul de cunoștințe prin investiții directe și creșterea finanțării cercetării științifice.</w:t>
      </w:r>
    </w:p>
    <w:p w14:paraId="41F76E14" w14:textId="77777777" w:rsidR="00FA7C11" w:rsidRDefault="00D84965">
      <w:pPr>
        <w:pStyle w:val="P68B1DB1-Normal83"/>
        <w:numPr>
          <w:ilvl w:val="0"/>
          <w:numId w:val="68"/>
        </w:numPr>
        <w:tabs>
          <w:tab w:val="left" w:pos="426"/>
        </w:tabs>
        <w:spacing w:after="200" w:line="276" w:lineRule="auto"/>
        <w:ind w:left="720"/>
        <w:jc w:val="both"/>
        <w:rPr>
          <w:noProof/>
        </w:rPr>
      </w:pPr>
      <w:r>
        <w:rPr>
          <w:noProof/>
        </w:rPr>
        <w:t>Creșterea investițiilor în infrastructura de cercetare și în capacitățile organizaționale ale universităților și institutelor științifice, ceea ce va permite o mai bună calitate a cercetării științifice, precum și îmbunătățirea atractivității carierelor în cercetare în Croația.</w:t>
      </w:r>
    </w:p>
    <w:p w14:paraId="4C46CCC8" w14:textId="77777777" w:rsidR="00FA7C11" w:rsidRDefault="00D84965">
      <w:pPr>
        <w:pStyle w:val="P68B1DB1-Normal83"/>
        <w:numPr>
          <w:ilvl w:val="0"/>
          <w:numId w:val="68"/>
        </w:numPr>
        <w:tabs>
          <w:tab w:val="left" w:pos="426"/>
        </w:tabs>
        <w:spacing w:after="200" w:line="276" w:lineRule="auto"/>
        <w:ind w:left="720"/>
        <w:jc w:val="both"/>
        <w:rPr>
          <w:noProof/>
        </w:rPr>
      </w:pPr>
      <w:r>
        <w:rPr>
          <w:noProof/>
        </w:rPr>
        <w:t>Introducerea unui nou cadru favorabil pentru promovarea și dezvoltarea carierei cercetătorilor, în conformitate cu particularitățile domeniilor științifice, atragerea și păstrarea tinerilor oameni de știință croați și a oamenilor de știință străini de înaltă calitate.</w:t>
      </w:r>
    </w:p>
    <w:p w14:paraId="532AF47D" w14:textId="77777777" w:rsidR="00FA7C11" w:rsidRDefault="00D84965">
      <w:pPr>
        <w:pStyle w:val="P68B1DB1-Normal83"/>
        <w:numPr>
          <w:ilvl w:val="0"/>
          <w:numId w:val="68"/>
        </w:numPr>
        <w:tabs>
          <w:tab w:val="left" w:pos="426"/>
        </w:tabs>
        <w:spacing w:after="200" w:line="276" w:lineRule="auto"/>
        <w:ind w:left="720"/>
        <w:jc w:val="both"/>
        <w:rPr>
          <w:noProof/>
        </w:rPr>
      </w:pPr>
      <w:r>
        <w:rPr>
          <w:noProof/>
        </w:rPr>
        <w:t>Introducerea unui cadru instituțional și de programare mai eficient pentru schemele de finanțare a cercetării și dezvoltării.</w:t>
      </w:r>
    </w:p>
    <w:p w14:paraId="31F24577" w14:textId="77777777" w:rsidR="00FA7C11" w:rsidRDefault="00D84965">
      <w:pPr>
        <w:pStyle w:val="P68B1DB1-Normal83"/>
        <w:tabs>
          <w:tab w:val="left" w:pos="426"/>
        </w:tabs>
        <w:spacing w:line="240" w:lineRule="auto"/>
        <w:jc w:val="both"/>
        <w:rPr>
          <w:noProof/>
        </w:rPr>
      </w:pPr>
      <w:r>
        <w:rPr>
          <w:noProof/>
        </w:rPr>
        <w:t>Componenta sprijină abordarea recomandării specifice fiecărei țări privind politica economică legată de investiții în domeniul cercetării și inovării (recomandarea specifică fiecărei țări 3, 2019).</w:t>
      </w:r>
    </w:p>
    <w:p w14:paraId="365FA8D8" w14:textId="77777777" w:rsidR="00FA7C11" w:rsidRDefault="00D84965">
      <w:pPr>
        <w:pStyle w:val="P68B1DB1-Normal57"/>
        <w:keepNext/>
        <w:tabs>
          <w:tab w:val="num" w:pos="850"/>
        </w:tabs>
        <w:spacing w:before="40" w:after="0"/>
        <w:ind w:left="851"/>
        <w:jc w:val="both"/>
        <w:outlineLvl w:val="1"/>
        <w:rPr>
          <w:noProof/>
        </w:rPr>
      </w:pPr>
      <w:r>
        <w:rPr>
          <w:noProof/>
        </w:rPr>
        <w:t xml:space="preserve">ÎNTREBAREA 1 </w:t>
      </w:r>
      <w:r>
        <w:rPr>
          <w:noProof/>
        </w:rPr>
        <w:tab/>
        <w:t>Descrierea reformelor și a investițiilor pentru sprijinul financiar nerambursabil</w:t>
      </w:r>
    </w:p>
    <w:p w14:paraId="0EDD2C4E" w14:textId="77777777" w:rsidR="00FA7C11" w:rsidRDefault="00D84965">
      <w:pPr>
        <w:pStyle w:val="P68B1DB1-Normal96"/>
        <w:keepNext/>
        <w:tabs>
          <w:tab w:val="num" w:pos="850"/>
        </w:tabs>
        <w:spacing w:before="240" w:after="0"/>
        <w:ind w:left="851"/>
        <w:jc w:val="both"/>
        <w:outlineLvl w:val="2"/>
        <w:rPr>
          <w:noProof/>
        </w:rPr>
      </w:pPr>
      <w:r>
        <w:rPr>
          <w:noProof/>
        </w:rPr>
        <w:t>Reforma C3.2 R1 – Reforma și consolidarea capacităților de cercetare și dezvoltare ale sectorului public de cercetare</w:t>
      </w:r>
    </w:p>
    <w:p w14:paraId="55F96AE6" w14:textId="77777777" w:rsidR="00FA7C11" w:rsidRDefault="00D84965">
      <w:pPr>
        <w:pStyle w:val="P68B1DB1-Normal33"/>
        <w:spacing w:line="240" w:lineRule="auto"/>
        <w:jc w:val="both"/>
        <w:rPr>
          <w:noProof/>
        </w:rPr>
      </w:pPr>
      <w:r>
        <w:rPr>
          <w:noProof/>
        </w:rPr>
        <w:t>Obiectivul acestei reforme este de a spori calitatea și vizibilitatea internațională a cercetării publice, de a consolida cercetarea specifică și impactul științei asupra dezvoltării în continuare a inovării, a economiei și a societății prin reorganizarea sectorului public al cercetării. Reforma include următoarele acțiuni:</w:t>
      </w:r>
    </w:p>
    <w:p w14:paraId="5C86ED18" w14:textId="77777777" w:rsidR="00FA7C11" w:rsidRDefault="00D84965">
      <w:pPr>
        <w:pStyle w:val="P68B1DB1-Normal83"/>
        <w:numPr>
          <w:ilvl w:val="0"/>
          <w:numId w:val="70"/>
        </w:numPr>
        <w:tabs>
          <w:tab w:val="left" w:pos="426"/>
        </w:tabs>
        <w:spacing w:after="200" w:line="276" w:lineRule="auto"/>
        <w:jc w:val="both"/>
        <w:rPr>
          <w:noProof/>
        </w:rPr>
      </w:pPr>
      <w:r>
        <w:rPr>
          <w:noProof/>
        </w:rPr>
        <w:t xml:space="preserve">Adoptarea unui nou model de acorduri de program pentru finanțarea sistemului public de cercetare științifică; </w:t>
      </w:r>
    </w:p>
    <w:p w14:paraId="3F428F01" w14:textId="77777777" w:rsidR="00FA7C11" w:rsidRDefault="00D84965">
      <w:pPr>
        <w:pStyle w:val="P68B1DB1-Normal83"/>
        <w:numPr>
          <w:ilvl w:val="0"/>
          <w:numId w:val="70"/>
        </w:numPr>
        <w:tabs>
          <w:tab w:val="left" w:pos="426"/>
        </w:tabs>
        <w:spacing w:after="200" w:line="276" w:lineRule="auto"/>
        <w:jc w:val="both"/>
        <w:rPr>
          <w:noProof/>
        </w:rPr>
      </w:pPr>
      <w:r>
        <w:rPr>
          <w:noProof/>
        </w:rPr>
        <w:t xml:space="preserve">Majorarea bugetului instituțiilor științifice pentru o cercetare cu un impact mai mare; </w:t>
      </w:r>
    </w:p>
    <w:p w14:paraId="7774F8AB" w14:textId="77777777" w:rsidR="00FA7C11" w:rsidRDefault="00D84965">
      <w:pPr>
        <w:pStyle w:val="P68B1DB1-Normal83"/>
        <w:numPr>
          <w:ilvl w:val="0"/>
          <w:numId w:val="70"/>
        </w:numPr>
        <w:tabs>
          <w:tab w:val="left" w:pos="426"/>
        </w:tabs>
        <w:spacing w:after="200" w:line="276" w:lineRule="auto"/>
        <w:jc w:val="both"/>
        <w:rPr>
          <w:noProof/>
        </w:rPr>
      </w:pPr>
      <w:r>
        <w:rPr>
          <w:noProof/>
        </w:rPr>
        <w:t>Reducerea fragmentării sistemului de cercetare științifică prin integrarea instituțiilor de cercetare științifică în vederea tranziției către o organizare mai eficientă a universităților și a institutelor de cercetare;</w:t>
      </w:r>
    </w:p>
    <w:p w14:paraId="5D74BA1F" w14:textId="77777777" w:rsidR="00FA7C11" w:rsidRDefault="00D84965">
      <w:pPr>
        <w:pStyle w:val="P68B1DB1-Normal83"/>
        <w:numPr>
          <w:ilvl w:val="0"/>
          <w:numId w:val="70"/>
        </w:numPr>
        <w:tabs>
          <w:tab w:val="left" w:pos="426"/>
        </w:tabs>
        <w:spacing w:after="200" w:line="276" w:lineRule="auto"/>
        <w:jc w:val="both"/>
        <w:rPr>
          <w:noProof/>
        </w:rPr>
      </w:pPr>
      <w:r>
        <w:rPr>
          <w:noProof/>
        </w:rPr>
        <w:t>Îmbunătățirea calității activității de cercetare științifică prin promovarea tranziției către un sistem de finanțare bazat pe performanță.</w:t>
      </w:r>
    </w:p>
    <w:p w14:paraId="621516CB" w14:textId="77777777" w:rsidR="00FA7C11" w:rsidRDefault="00D84965">
      <w:pPr>
        <w:pStyle w:val="P68B1DB1-Normal33"/>
        <w:spacing w:line="240" w:lineRule="auto"/>
        <w:jc w:val="both"/>
        <w:rPr>
          <w:noProof/>
        </w:rPr>
      </w:pPr>
      <w:r>
        <w:rPr>
          <w:noProof/>
        </w:rPr>
        <w:t>Punerea în aplicare a reformei include adoptarea unei noi legi privind activitatea științifică și învățământul superior, care să ofere un cadru juridic și financiar pentru integrarea organizațională și funcțională a universităților și a institutelor științifice, precum și un dialog privind obiectivele instituționale și un nou cadru de finanțare bazat pe rezultate. Se preconizează că noul cadru juridic și financiar va conduce la publicații mai influente, la proiecte mai competitive, la o cooperare internațională mai strânsă și la un număr mai mare de proiecte în cooperare cu întreprinderile.</w:t>
      </w:r>
    </w:p>
    <w:p w14:paraId="5E185A49" w14:textId="77777777" w:rsidR="00FA7C11" w:rsidRDefault="00D84965">
      <w:pPr>
        <w:pStyle w:val="P68B1DB1-Normal33"/>
        <w:keepNext/>
        <w:numPr>
          <w:ilvl w:val="2"/>
          <w:numId w:val="0"/>
        </w:numPr>
        <w:spacing w:before="240" w:after="0"/>
        <w:jc w:val="both"/>
        <w:outlineLvl w:val="2"/>
        <w:rPr>
          <w:noProof/>
        </w:rPr>
      </w:pPr>
      <w:r>
        <w:rPr>
          <w:noProof/>
        </w:rPr>
        <w:t xml:space="preserve">Reforma se finalizează până la 30 septembrie 2022. </w:t>
      </w:r>
    </w:p>
    <w:p w14:paraId="674C9BFA" w14:textId="77777777" w:rsidR="00FA7C11" w:rsidRDefault="00D84965">
      <w:pPr>
        <w:pStyle w:val="P68B1DB1-Normal96"/>
        <w:keepNext/>
        <w:numPr>
          <w:ilvl w:val="2"/>
          <w:numId w:val="0"/>
        </w:numPr>
        <w:spacing w:before="240" w:after="0"/>
        <w:ind w:left="840"/>
        <w:jc w:val="both"/>
        <w:outlineLvl w:val="2"/>
        <w:rPr>
          <w:bCs/>
          <w:noProof/>
        </w:rPr>
      </w:pPr>
      <w:r>
        <w:rPr>
          <w:noProof/>
        </w:rPr>
        <w:t>Investiția C3.2 R1-I1 – Dezvoltarea unui sistem de acorduri de program pentru finanțarea universităților și a institutelor de cercetare axate pe inovare, cercetare și dezvoltare</w:t>
      </w:r>
    </w:p>
    <w:p w14:paraId="0108B086" w14:textId="77777777" w:rsidR="00FA7C11" w:rsidRDefault="00FA7C11">
      <w:pPr>
        <w:spacing w:line="240" w:lineRule="auto"/>
        <w:jc w:val="both"/>
        <w:rPr>
          <w:rFonts w:ascii="Times New Roman" w:eastAsia="Calibri" w:hAnsi="Times New Roman" w:cs="Times New Roman"/>
          <w:noProof/>
          <w:sz w:val="24"/>
          <w:szCs w:val="24"/>
        </w:rPr>
      </w:pPr>
    </w:p>
    <w:p w14:paraId="4568AAF8" w14:textId="77777777" w:rsidR="00FA7C11" w:rsidRDefault="00D84965">
      <w:pPr>
        <w:pStyle w:val="P68B1DB1-Normal33"/>
        <w:spacing w:line="240" w:lineRule="auto"/>
        <w:jc w:val="both"/>
        <w:rPr>
          <w:noProof/>
        </w:rPr>
      </w:pPr>
      <w:r>
        <w:rPr>
          <w:noProof/>
        </w:rPr>
        <w:t>Obiectivul acestei investiții este de a îmbunătăți sistemul de finanțare pentru activitatea științifică a universităților și a institutelor științifice, cu scopul de a obține o calitate mai bună și o mai mare relevanță a rezultatelor cercetării.</w:t>
      </w:r>
    </w:p>
    <w:p w14:paraId="5B73BEF7" w14:textId="77777777" w:rsidR="00FA7C11" w:rsidRDefault="00D84965">
      <w:pPr>
        <w:pStyle w:val="P68B1DB1-Normal33"/>
        <w:spacing w:line="240" w:lineRule="auto"/>
        <w:jc w:val="both"/>
        <w:rPr>
          <w:noProof/>
        </w:rPr>
      </w:pPr>
      <w:r>
        <w:rPr>
          <w:noProof/>
        </w:rPr>
        <w:t>Această investiție constă în furnizarea de finanțare pentru cererile de proiecte de cercetare acelor entități publice de cercetare care semnează acorduri de program.</w:t>
      </w:r>
    </w:p>
    <w:p w14:paraId="0271EAFE" w14:textId="77777777" w:rsidR="00FA7C11" w:rsidRDefault="00D84965">
      <w:pPr>
        <w:pStyle w:val="P68B1DB1-Normal96"/>
        <w:keepNext/>
        <w:numPr>
          <w:ilvl w:val="2"/>
          <w:numId w:val="0"/>
        </w:numPr>
        <w:spacing w:before="240" w:after="0"/>
        <w:ind w:left="851"/>
        <w:jc w:val="both"/>
        <w:outlineLvl w:val="2"/>
        <w:rPr>
          <w:noProof/>
        </w:rPr>
      </w:pPr>
      <w:r>
        <w:rPr>
          <w:noProof/>
        </w:rPr>
        <w:t>Reforma C3.2 R2 – Crearea unui cadru pentru atragerea studenților și a cercetătorilor în domeniile STIM și TIC</w:t>
      </w:r>
    </w:p>
    <w:p w14:paraId="6750BCE8" w14:textId="77777777" w:rsidR="00FA7C11" w:rsidRDefault="00D84965">
      <w:pPr>
        <w:pStyle w:val="P68B1DB1-Normal33"/>
        <w:spacing w:line="240" w:lineRule="auto"/>
        <w:jc w:val="both"/>
        <w:rPr>
          <w:noProof/>
        </w:rPr>
      </w:pPr>
      <w:r>
        <w:rPr>
          <w:noProof/>
        </w:rPr>
        <w:t>Obiectivul acestei reforme este de a introduce un nou cadru favorabil pentru promovarea și dezvoltarea carierei cercetătorilor în domeniile STIM și TIC, pentru a crește numărul și calitatea cercetătorilor și a profesioniștilor din sectoarele științific și de afaceri și pentru a spori potențialul de inovare. Pe termen lung, se preconizează că reforma va permite capitalului uman să se extindă de la instituțiile științifice la economie prin transferul de cunoștințe specializate, tehnologii avansate, colaborarea dintre mediul academic și mediul de afaceri prin intermediul platformelor tehnologice și dezvoltarea întreprinderilor nou-înființate și a spin-off-urilor de înaltă tehnologie, precum și a infrastructurilor deschise de cercetare și tehnologie.</w:t>
      </w:r>
    </w:p>
    <w:p w14:paraId="1F6BF7B0" w14:textId="77777777" w:rsidR="00FA7C11" w:rsidRDefault="00D84965">
      <w:pPr>
        <w:pStyle w:val="P68B1DB1-Normal33"/>
        <w:spacing w:line="240" w:lineRule="auto"/>
        <w:jc w:val="both"/>
        <w:rPr>
          <w:noProof/>
        </w:rPr>
      </w:pPr>
      <w:r>
        <w:rPr>
          <w:noProof/>
        </w:rPr>
        <w:t xml:space="preserve">Carierele științifice devin mai atractive printr-o politică de recrutare clară, transparentă și bazată pe merit în domeniile-cheie ale cercetării științifice. Carierele științifice în domeniile STIM și TIC sunt promovate de la cele mai timpurii niveluri de educație. Cadrul legislativ se modifică pentru a aborda modelul necompetitiv și împovărător din punct de vedere administrativ de recrutare și promovare din sistemul de cercetare științifică din Croația. </w:t>
      </w:r>
    </w:p>
    <w:p w14:paraId="0C09D888" w14:textId="77777777" w:rsidR="00FA7C11" w:rsidRDefault="00D84965">
      <w:pPr>
        <w:pStyle w:val="P68B1DB1-Normal33"/>
        <w:spacing w:line="240" w:lineRule="auto"/>
        <w:jc w:val="both"/>
        <w:rPr>
          <w:noProof/>
        </w:rPr>
      </w:pPr>
      <w:r>
        <w:rPr>
          <w:noProof/>
        </w:rPr>
        <w:t xml:space="preserve">Reforma se finalizează până la 30 septembrie 2022. </w:t>
      </w:r>
    </w:p>
    <w:p w14:paraId="70C498B8" w14:textId="77777777" w:rsidR="00FA7C11" w:rsidRDefault="00D84965">
      <w:pPr>
        <w:pStyle w:val="P68B1DB1-Normal96"/>
        <w:keepNext/>
        <w:numPr>
          <w:ilvl w:val="2"/>
          <w:numId w:val="0"/>
        </w:numPr>
        <w:spacing w:before="240" w:after="0"/>
        <w:ind w:left="851"/>
        <w:jc w:val="both"/>
        <w:outlineLvl w:val="2"/>
        <w:rPr>
          <w:bCs/>
          <w:noProof/>
        </w:rPr>
      </w:pPr>
      <w:r>
        <w:rPr>
          <w:noProof/>
        </w:rPr>
        <w:t>Investiția C3.2 R2-I1 – Dezvoltarea unui model favorabil pentru avansarea în carieră a cercetătorilor și desfășurarea de cercetări științifice de vârf în domeniile STIM și TIC</w:t>
      </w:r>
    </w:p>
    <w:p w14:paraId="4123B757" w14:textId="77777777" w:rsidR="00FA7C11" w:rsidRDefault="00D84965">
      <w:pPr>
        <w:pStyle w:val="P68B1DB1-Normal33"/>
        <w:spacing w:line="240" w:lineRule="auto"/>
        <w:jc w:val="both"/>
        <w:rPr>
          <w:noProof/>
        </w:rPr>
      </w:pPr>
      <w:r>
        <w:rPr>
          <w:noProof/>
        </w:rPr>
        <w:t xml:space="preserve">Obiectivul acestei investiții este de a dezvolta și de a introduce un nou cadru favorabil și un nou sistem de stimulente pentru dezvoltarea carierelor cercetătorilor. </w:t>
      </w:r>
    </w:p>
    <w:p w14:paraId="123D5F0C" w14:textId="77777777" w:rsidR="00FA7C11" w:rsidRDefault="00D84965">
      <w:pPr>
        <w:pStyle w:val="P68B1DB1-Normal33"/>
        <w:spacing w:line="240" w:lineRule="auto"/>
        <w:jc w:val="both"/>
        <w:rPr>
          <w:noProof/>
        </w:rPr>
      </w:pPr>
      <w:r>
        <w:rPr>
          <w:noProof/>
        </w:rPr>
        <w:t>Investiția constă în cereri de granturi pentru cercetare pentru a stimula tinerii cercetători, programele de formare și mobilitatea cu sectorul de afaceri.</w:t>
      </w:r>
    </w:p>
    <w:p w14:paraId="57740C0D" w14:textId="77777777" w:rsidR="00FA7C11" w:rsidRDefault="00D84965">
      <w:pPr>
        <w:pStyle w:val="P68B1DB1-Normal96"/>
        <w:keepNext/>
        <w:numPr>
          <w:ilvl w:val="2"/>
          <w:numId w:val="0"/>
        </w:numPr>
        <w:spacing w:before="240" w:after="0"/>
        <w:ind w:left="851"/>
        <w:jc w:val="both"/>
        <w:outlineLvl w:val="2"/>
        <w:rPr>
          <w:noProof/>
        </w:rPr>
      </w:pPr>
      <w:r>
        <w:rPr>
          <w:noProof/>
        </w:rPr>
        <w:t>Investiția C3.2 R2-I2 – Investiții în cercetare – Infrastructură tehnologică în domeniile STIM și TIC</w:t>
      </w:r>
    </w:p>
    <w:p w14:paraId="19FF2D82" w14:textId="77777777" w:rsidR="00FA7C11" w:rsidRDefault="00D84965">
      <w:pPr>
        <w:pStyle w:val="P68B1DB1-Normal33"/>
        <w:spacing w:line="240" w:lineRule="auto"/>
        <w:jc w:val="both"/>
        <w:rPr>
          <w:noProof/>
        </w:rPr>
      </w:pPr>
      <w:r>
        <w:rPr>
          <w:noProof/>
        </w:rPr>
        <w:t>Obiectivul acestei investiții este de a sprijini tranziția digitală prin investiții în proiecte-cheie de infrastructură pentru cercetarea aplicată și specifică.</w:t>
      </w:r>
    </w:p>
    <w:p w14:paraId="6D81A572" w14:textId="77777777" w:rsidR="00FA7C11" w:rsidRDefault="00D84965">
      <w:pPr>
        <w:pStyle w:val="P68B1DB1-Normal33"/>
        <w:spacing w:line="240" w:lineRule="auto"/>
        <w:jc w:val="both"/>
        <w:rPr>
          <w:noProof/>
        </w:rPr>
      </w:pPr>
      <w:r>
        <w:rPr>
          <w:noProof/>
        </w:rPr>
        <w:t xml:space="preserve">Investiția constă în construirea a șase proiecte de infrastructură pentru a sprijini în mod direct activitățile de cercetare, dezvoltare și inovare. </w:t>
      </w:r>
    </w:p>
    <w:p w14:paraId="21B502B9" w14:textId="77777777" w:rsidR="00FA7C11" w:rsidRDefault="00D84965">
      <w:pPr>
        <w:pStyle w:val="P68B1DB1-Normal81"/>
        <w:keepNext/>
        <w:numPr>
          <w:ilvl w:val="2"/>
          <w:numId w:val="0"/>
        </w:numPr>
        <w:spacing w:before="240" w:after="0"/>
        <w:ind w:left="851"/>
        <w:jc w:val="both"/>
        <w:outlineLvl w:val="2"/>
        <w:rPr>
          <w:noProof/>
        </w:rPr>
      </w:pPr>
      <w:r>
        <w:rPr>
          <w:noProof/>
        </w:rPr>
        <w:t>Reforma C3.2 R3 – Îmbunătățirea</w:t>
      </w:r>
      <w:r>
        <w:rPr>
          <w:noProof/>
        </w:rPr>
        <w:tab/>
        <w:t xml:space="preserve">eficiența investițiilor publice în cercetare, dezvoltare și inovare </w:t>
      </w:r>
    </w:p>
    <w:p w14:paraId="1270C27D" w14:textId="77777777" w:rsidR="00FA7C11" w:rsidRDefault="00D84965">
      <w:pPr>
        <w:pStyle w:val="P68B1DB1-Normal46"/>
        <w:spacing w:line="240" w:lineRule="auto"/>
        <w:jc w:val="both"/>
        <w:rPr>
          <w:noProof/>
        </w:rPr>
      </w:pPr>
      <w:r>
        <w:rPr>
          <w:noProof/>
        </w:rPr>
        <w:t xml:space="preserve">Obiectivul acestei reforme este de a pune în aplicare un model de guvernanță mai funcțional și mai eficient pentru cercetarea competitivă și de a institui scheme de dezvoltare și inovare care să permită un proces de selecție mai rapid, bazat pe merite, a proiectelor de cercetare. </w:t>
      </w:r>
    </w:p>
    <w:p w14:paraId="0AE1EC09" w14:textId="77777777" w:rsidR="00FA7C11" w:rsidRDefault="00D84965">
      <w:pPr>
        <w:pStyle w:val="P68B1DB1-Normal46"/>
        <w:spacing w:line="240" w:lineRule="auto"/>
        <w:jc w:val="both"/>
        <w:rPr>
          <w:noProof/>
        </w:rPr>
      </w:pPr>
      <w:r>
        <w:rPr>
          <w:noProof/>
        </w:rPr>
        <w:t>Reforma include adoptarea unei noi legi privind Fundația croată pentru știință pentru a consolida capacitatea Fundației croate pentru știință și pentru a reduce numărul instituțiilor implicate în prezent în gestionarea și punerea în aplicare a programelor de finanțare a cercetării și inovării. Acest nou cadru juridic va permite transformarea și consolidarea capacității fundației într-un organism care, pe lângă competențele clar convenite și definite în cadrul coordonării interinstituționale din cadrul Consiliului Național pentru Inovare, va asigura o abordare simplificată și sistematică a gestionării finanțării proiectelor.</w:t>
      </w:r>
    </w:p>
    <w:p w14:paraId="1828D8B5" w14:textId="77777777" w:rsidR="00FA7C11" w:rsidRDefault="00D84965">
      <w:pPr>
        <w:pStyle w:val="P68B1DB1-Normal46"/>
        <w:keepNext/>
        <w:numPr>
          <w:ilvl w:val="2"/>
          <w:numId w:val="0"/>
        </w:numPr>
        <w:spacing w:before="240" w:after="0"/>
        <w:jc w:val="both"/>
        <w:outlineLvl w:val="2"/>
        <w:rPr>
          <w:rFonts w:eastAsia="Calibri"/>
          <w:noProof/>
        </w:rPr>
      </w:pPr>
      <w:r>
        <w:rPr>
          <w:noProof/>
        </w:rPr>
        <w:t xml:space="preserve">Reforma se finalizează până la 30 septembrie 2022. </w:t>
      </w:r>
    </w:p>
    <w:p w14:paraId="720E5D82" w14:textId="77777777" w:rsidR="00FA7C11" w:rsidRDefault="00D84965">
      <w:pPr>
        <w:pStyle w:val="P68B1DB1-Normal96"/>
        <w:keepNext/>
        <w:numPr>
          <w:ilvl w:val="2"/>
          <w:numId w:val="0"/>
        </w:numPr>
        <w:spacing w:before="240" w:after="0"/>
        <w:ind w:left="851"/>
        <w:jc w:val="both"/>
        <w:outlineLvl w:val="2"/>
        <w:rPr>
          <w:noProof/>
        </w:rPr>
      </w:pPr>
      <w:r>
        <w:rPr>
          <w:noProof/>
        </w:rPr>
        <w:t>Investiția C3.2 R3-I1 – Introducerea unui cadru mai funcțional de programare a finanțării proiectelor de cercetare, dezvoltare și inovare</w:t>
      </w:r>
    </w:p>
    <w:p w14:paraId="53BA1AAB" w14:textId="77777777" w:rsidR="00FA7C11" w:rsidRDefault="00D84965">
      <w:pPr>
        <w:pStyle w:val="P68B1DB1-Normal33"/>
        <w:spacing w:line="240" w:lineRule="auto"/>
        <w:jc w:val="both"/>
        <w:rPr>
          <w:noProof/>
        </w:rPr>
      </w:pPr>
      <w:r>
        <w:rPr>
          <w:noProof/>
        </w:rPr>
        <w:t>Obiectivul acestei măsuri este de a îmbunătăți sistemul existent de finanțare a cercetării, dezvoltării și inovării (C &amp; D &amp; I) și de a sprijini dezvoltarea cercetării și a produselor de vârf.</w:t>
      </w:r>
    </w:p>
    <w:p w14:paraId="259DFCF9" w14:textId="77777777" w:rsidR="00FA7C11" w:rsidRDefault="00D84965">
      <w:pPr>
        <w:pStyle w:val="P68B1DB1-Normal33"/>
        <w:spacing w:line="240" w:lineRule="auto"/>
        <w:jc w:val="both"/>
        <w:rPr>
          <w:noProof/>
        </w:rPr>
      </w:pPr>
      <w:r>
        <w:rPr>
          <w:noProof/>
        </w:rPr>
        <w:t>Această investiție constă în cereri de proiecte de cercetare în cadrul unui program-pilot de finanțare.</w:t>
      </w:r>
    </w:p>
    <w:p w14:paraId="38FE90AF" w14:textId="77777777" w:rsidR="00FA7C11" w:rsidRDefault="00D84965">
      <w:pPr>
        <w:pStyle w:val="P68B1DB1-Normal33"/>
        <w:spacing w:line="240" w:lineRule="auto"/>
        <w:jc w:val="both"/>
        <w:rPr>
          <w:noProof/>
        </w:rPr>
      </w:pPr>
      <w:r>
        <w:rPr>
          <w:noProof/>
        </w:rPr>
        <w:t xml:space="preserve"> </w:t>
      </w:r>
    </w:p>
    <w:p w14:paraId="19015435" w14:textId="77777777" w:rsidR="00FA7C11" w:rsidRDefault="00FA7C11">
      <w:pPr>
        <w:spacing w:line="240" w:lineRule="auto"/>
        <w:jc w:val="both"/>
        <w:rPr>
          <w:rFonts w:ascii="Times New Roman" w:eastAsia="Calibri" w:hAnsi="Times New Roman" w:cs="Times New Roman"/>
          <w:noProof/>
          <w:sz w:val="24"/>
          <w:szCs w:val="24"/>
        </w:rPr>
        <w:sectPr w:rsidR="00FA7C11" w:rsidSect="00FA29B2">
          <w:headerReference w:type="even" r:id="rId302"/>
          <w:headerReference w:type="default" r:id="rId303"/>
          <w:footerReference w:type="even" r:id="rId304"/>
          <w:footerReference w:type="default" r:id="rId305"/>
          <w:headerReference w:type="first" r:id="rId306"/>
          <w:footerReference w:type="first" r:id="rId307"/>
          <w:pgSz w:w="11907" w:h="16839"/>
          <w:pgMar w:top="1134" w:right="1134" w:bottom="1134" w:left="1134" w:header="567" w:footer="567" w:gutter="0"/>
          <w:cols w:space="708"/>
          <w:docGrid w:linePitch="360"/>
        </w:sectPr>
      </w:pPr>
    </w:p>
    <w:p w14:paraId="6308256E" w14:textId="77777777" w:rsidR="00FA7C11" w:rsidRDefault="00D84965">
      <w:pPr>
        <w:pStyle w:val="P68B1DB1-Normal113"/>
        <w:keepNext/>
        <w:tabs>
          <w:tab w:val="num" w:pos="850"/>
        </w:tabs>
        <w:spacing w:after="0" w:line="240" w:lineRule="auto"/>
        <w:jc w:val="both"/>
        <w:outlineLvl w:val="1"/>
        <w:rPr>
          <w:noProof/>
        </w:rPr>
      </w:pPr>
      <w:r>
        <w:rPr>
          <w:noProof/>
        </w:rPr>
        <w:t xml:space="preserve">Î2. </w:t>
      </w:r>
      <w:r>
        <w:rPr>
          <w:noProof/>
        </w:rPr>
        <w:tab/>
        <w:t>Jaloane, ținte, indicatori și calendarul de monitorizare și implementare aplicabile sprijinului financiar nerambursabil</w:t>
      </w:r>
    </w:p>
    <w:p w14:paraId="4A90E54C" w14:textId="77777777" w:rsidR="00FA7C11" w:rsidRDefault="00FA7C11">
      <w:pPr>
        <w:keepNext/>
        <w:tabs>
          <w:tab w:val="num" w:pos="850"/>
        </w:tabs>
        <w:spacing w:after="0" w:line="240" w:lineRule="auto"/>
        <w:jc w:val="both"/>
        <w:outlineLvl w:val="1"/>
        <w:rPr>
          <w:rFonts w:ascii="Times New Roman" w:eastAsiaTheme="minorEastAsia" w:hAnsi="Times New Roman" w:cs="Times New Roman"/>
          <w:b/>
          <w:noProof/>
          <w:sz w:val="24"/>
          <w:szCs w:val="24"/>
          <w:u w:val="single"/>
        </w:rPr>
      </w:pPr>
    </w:p>
    <w:tbl>
      <w:tblPr>
        <w:tblW w:w="15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8"/>
        <w:gridCol w:w="1637"/>
        <w:gridCol w:w="1345"/>
        <w:gridCol w:w="1799"/>
        <w:gridCol w:w="1462"/>
        <w:gridCol w:w="1134"/>
        <w:gridCol w:w="1006"/>
        <w:gridCol w:w="1441"/>
        <w:gridCol w:w="919"/>
        <w:gridCol w:w="992"/>
        <w:gridCol w:w="3979"/>
      </w:tblGrid>
      <w:tr w:rsidR="00FA7C11" w14:paraId="58DA3444" w14:textId="77777777">
        <w:trPr>
          <w:trHeight w:val="494"/>
          <w:tblHeader/>
          <w:jc w:val="center"/>
        </w:trPr>
        <w:tc>
          <w:tcPr>
            <w:tcW w:w="768" w:type="dxa"/>
            <w:vMerge w:val="restart"/>
            <w:shd w:val="clear" w:color="auto" w:fill="BDD7EE"/>
            <w:vAlign w:val="center"/>
            <w:hideMark/>
          </w:tcPr>
          <w:p w14:paraId="33B96383" w14:textId="77777777" w:rsidR="00FA7C11" w:rsidRDefault="00D84965">
            <w:pPr>
              <w:pStyle w:val="P68B1DB1-Normal58"/>
              <w:spacing w:after="0" w:line="276" w:lineRule="auto"/>
              <w:jc w:val="center"/>
              <w:rPr>
                <w:noProof/>
              </w:rPr>
            </w:pPr>
            <w:r>
              <w:rPr>
                <w:noProof/>
              </w:rPr>
              <w:t>Număr</w:t>
            </w:r>
          </w:p>
        </w:tc>
        <w:tc>
          <w:tcPr>
            <w:tcW w:w="1637" w:type="dxa"/>
            <w:vMerge w:val="restart"/>
            <w:shd w:val="clear" w:color="auto" w:fill="BDD7EE"/>
            <w:vAlign w:val="center"/>
            <w:hideMark/>
          </w:tcPr>
          <w:p w14:paraId="6A2B5654" w14:textId="77777777" w:rsidR="00FA7C11" w:rsidRDefault="00D84965">
            <w:pPr>
              <w:pStyle w:val="P68B1DB1-Normal58"/>
              <w:spacing w:after="0" w:line="276" w:lineRule="auto"/>
              <w:jc w:val="center"/>
              <w:rPr>
                <w:noProof/>
              </w:rPr>
            </w:pPr>
            <w:r>
              <w:rPr>
                <w:noProof/>
              </w:rPr>
              <w:t>Măsură</w:t>
            </w:r>
          </w:p>
        </w:tc>
        <w:tc>
          <w:tcPr>
            <w:tcW w:w="1070" w:type="dxa"/>
            <w:vMerge w:val="restart"/>
            <w:shd w:val="clear" w:color="auto" w:fill="BDD7EE"/>
            <w:vAlign w:val="center"/>
            <w:hideMark/>
          </w:tcPr>
          <w:p w14:paraId="1B9BC822" w14:textId="77777777" w:rsidR="00FA7C11" w:rsidRDefault="00D84965">
            <w:pPr>
              <w:pStyle w:val="P68B1DB1-Normal58"/>
              <w:spacing w:after="0" w:line="276" w:lineRule="auto"/>
              <w:jc w:val="center"/>
              <w:rPr>
                <w:noProof/>
              </w:rPr>
            </w:pPr>
            <w:r>
              <w:rPr>
                <w:noProof/>
              </w:rPr>
              <w:t>Etapă/Obiectiv</w:t>
            </w:r>
          </w:p>
        </w:tc>
        <w:tc>
          <w:tcPr>
            <w:tcW w:w="1799" w:type="dxa"/>
            <w:vMerge w:val="restart"/>
            <w:shd w:val="clear" w:color="auto" w:fill="BDD7EE"/>
            <w:vAlign w:val="center"/>
            <w:hideMark/>
          </w:tcPr>
          <w:p w14:paraId="42597E3E" w14:textId="77777777" w:rsidR="00FA7C11" w:rsidRDefault="00D84965">
            <w:pPr>
              <w:pStyle w:val="P68B1DB1-Normal58"/>
              <w:spacing w:after="0" w:line="276" w:lineRule="auto"/>
              <w:jc w:val="center"/>
              <w:rPr>
                <w:noProof/>
              </w:rPr>
            </w:pPr>
            <w:r>
              <w:rPr>
                <w:noProof/>
              </w:rPr>
              <w:t>Nume</w:t>
            </w:r>
          </w:p>
        </w:tc>
        <w:tc>
          <w:tcPr>
            <w:tcW w:w="1462" w:type="dxa"/>
            <w:vMerge w:val="restart"/>
            <w:shd w:val="clear" w:color="auto" w:fill="BDD7EE"/>
            <w:vAlign w:val="center"/>
            <w:hideMark/>
          </w:tcPr>
          <w:p w14:paraId="7E4CEBB5" w14:textId="77777777" w:rsidR="00FA7C11" w:rsidRDefault="00D84965">
            <w:pPr>
              <w:pStyle w:val="P68B1DB1-Normal58"/>
              <w:spacing w:after="0" w:line="276" w:lineRule="auto"/>
              <w:jc w:val="center"/>
              <w:rPr>
                <w:noProof/>
              </w:rPr>
            </w:pPr>
            <w:r>
              <w:rPr>
                <w:noProof/>
              </w:rPr>
              <w:t xml:space="preserve">Indicatori calitativi </w:t>
            </w:r>
            <w:r>
              <w:rPr>
                <w:noProof/>
              </w:rPr>
              <w:br/>
              <w:t>(pentru jaloane)</w:t>
            </w:r>
          </w:p>
        </w:tc>
        <w:tc>
          <w:tcPr>
            <w:tcW w:w="3581" w:type="dxa"/>
            <w:gridSpan w:val="3"/>
            <w:shd w:val="clear" w:color="auto" w:fill="BDD7EE"/>
            <w:vAlign w:val="center"/>
            <w:hideMark/>
          </w:tcPr>
          <w:p w14:paraId="67FB8121" w14:textId="77777777" w:rsidR="00FA7C11" w:rsidRDefault="00D84965">
            <w:pPr>
              <w:pStyle w:val="P68B1DB1-Normal58"/>
              <w:spacing w:after="0" w:line="276" w:lineRule="auto"/>
              <w:jc w:val="center"/>
              <w:rPr>
                <w:noProof/>
              </w:rPr>
            </w:pPr>
            <w:r>
              <w:rPr>
                <w:noProof/>
              </w:rPr>
              <w:t xml:space="preserve">Indicatori cantitativi </w:t>
            </w:r>
            <w:r>
              <w:rPr>
                <w:noProof/>
              </w:rPr>
              <w:br/>
              <w:t>(pentru obiective)</w:t>
            </w:r>
          </w:p>
        </w:tc>
        <w:tc>
          <w:tcPr>
            <w:tcW w:w="1605" w:type="dxa"/>
            <w:gridSpan w:val="2"/>
            <w:shd w:val="clear" w:color="auto" w:fill="BDD7EE"/>
            <w:vAlign w:val="center"/>
            <w:hideMark/>
          </w:tcPr>
          <w:p w14:paraId="3695AAED" w14:textId="77777777" w:rsidR="00FA7C11" w:rsidRDefault="00D84965">
            <w:pPr>
              <w:pStyle w:val="P68B1DB1-Normal58"/>
              <w:spacing w:after="0" w:line="276" w:lineRule="auto"/>
              <w:jc w:val="center"/>
              <w:rPr>
                <w:noProof/>
              </w:rPr>
            </w:pPr>
            <w:r>
              <w:rPr>
                <w:noProof/>
              </w:rPr>
              <w:t>Timp</w:t>
            </w:r>
          </w:p>
        </w:tc>
        <w:tc>
          <w:tcPr>
            <w:tcW w:w="3979" w:type="dxa"/>
            <w:vMerge w:val="restart"/>
            <w:shd w:val="clear" w:color="auto" w:fill="BDD7EE"/>
            <w:vAlign w:val="center"/>
            <w:hideMark/>
          </w:tcPr>
          <w:p w14:paraId="26CB1B11" w14:textId="77777777" w:rsidR="00FA7C11" w:rsidRDefault="00D84965">
            <w:pPr>
              <w:pStyle w:val="P68B1DB1-Normal58"/>
              <w:spacing w:after="0" w:line="276" w:lineRule="auto"/>
              <w:jc w:val="center"/>
              <w:rPr>
                <w:noProof/>
              </w:rPr>
            </w:pPr>
            <w:r>
              <w:rPr>
                <w:noProof/>
              </w:rPr>
              <w:t>Descrierea fiecărui jalon și a fiecărei ținte</w:t>
            </w:r>
          </w:p>
        </w:tc>
      </w:tr>
      <w:tr w:rsidR="00FA7C11" w14:paraId="29D26AAF" w14:textId="77777777">
        <w:trPr>
          <w:trHeight w:val="502"/>
          <w:tblHeader/>
          <w:jc w:val="center"/>
        </w:trPr>
        <w:tc>
          <w:tcPr>
            <w:tcW w:w="768" w:type="dxa"/>
            <w:vMerge/>
            <w:hideMark/>
          </w:tcPr>
          <w:p w14:paraId="4613ED6B"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637" w:type="dxa"/>
            <w:vMerge/>
            <w:hideMark/>
          </w:tcPr>
          <w:p w14:paraId="0587FE1D"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70" w:type="dxa"/>
            <w:vMerge/>
            <w:hideMark/>
          </w:tcPr>
          <w:p w14:paraId="4D2C42A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799" w:type="dxa"/>
            <w:vMerge/>
            <w:hideMark/>
          </w:tcPr>
          <w:p w14:paraId="3605C946" w14:textId="77777777" w:rsidR="00FA7C11" w:rsidRDefault="00FA7C11">
            <w:pPr>
              <w:spacing w:after="0" w:line="276" w:lineRule="auto"/>
              <w:rPr>
                <w:rFonts w:ascii="Times New Roman" w:eastAsia="Times New Roman" w:hAnsi="Times New Roman" w:cs="Times New Roman"/>
                <w:b/>
                <w:noProof/>
                <w:sz w:val="20"/>
                <w:szCs w:val="20"/>
              </w:rPr>
            </w:pPr>
          </w:p>
        </w:tc>
        <w:tc>
          <w:tcPr>
            <w:tcW w:w="1462" w:type="dxa"/>
            <w:vMerge/>
            <w:hideMark/>
          </w:tcPr>
          <w:p w14:paraId="17075CA5" w14:textId="77777777" w:rsidR="00FA7C11" w:rsidRDefault="00FA7C11">
            <w:pPr>
              <w:spacing w:after="0" w:line="276" w:lineRule="auto"/>
              <w:rPr>
                <w:rFonts w:ascii="Times New Roman" w:eastAsia="Times New Roman" w:hAnsi="Times New Roman" w:cs="Times New Roman"/>
                <w:b/>
                <w:noProof/>
                <w:sz w:val="20"/>
                <w:szCs w:val="20"/>
              </w:rPr>
            </w:pPr>
          </w:p>
        </w:tc>
        <w:tc>
          <w:tcPr>
            <w:tcW w:w="1134" w:type="dxa"/>
            <w:shd w:val="clear" w:color="auto" w:fill="BDD7EE"/>
            <w:vAlign w:val="center"/>
            <w:hideMark/>
          </w:tcPr>
          <w:p w14:paraId="1079F418" w14:textId="77777777" w:rsidR="00FA7C11" w:rsidRDefault="00D84965">
            <w:pPr>
              <w:pStyle w:val="P68B1DB1-Normal58"/>
              <w:spacing w:after="0" w:line="276" w:lineRule="auto"/>
              <w:jc w:val="center"/>
              <w:rPr>
                <w:noProof/>
              </w:rPr>
            </w:pPr>
            <w:r>
              <w:rPr>
                <w:noProof/>
              </w:rPr>
              <w:t>Unitate</w:t>
            </w:r>
          </w:p>
        </w:tc>
        <w:tc>
          <w:tcPr>
            <w:tcW w:w="1006" w:type="dxa"/>
            <w:shd w:val="clear" w:color="auto" w:fill="BDD7EE"/>
            <w:vAlign w:val="center"/>
            <w:hideMark/>
          </w:tcPr>
          <w:p w14:paraId="31960181" w14:textId="77777777" w:rsidR="00FA7C11" w:rsidRDefault="00D84965">
            <w:pPr>
              <w:pStyle w:val="P68B1DB1-Normal58"/>
              <w:spacing w:after="0" w:line="276" w:lineRule="auto"/>
              <w:jc w:val="center"/>
              <w:rPr>
                <w:noProof/>
              </w:rPr>
            </w:pPr>
            <w:r>
              <w:rPr>
                <w:noProof/>
              </w:rPr>
              <w:t>Situația de referință</w:t>
            </w:r>
          </w:p>
        </w:tc>
        <w:tc>
          <w:tcPr>
            <w:tcW w:w="1441" w:type="dxa"/>
            <w:shd w:val="clear" w:color="auto" w:fill="BDD7EE"/>
            <w:vAlign w:val="center"/>
            <w:hideMark/>
          </w:tcPr>
          <w:p w14:paraId="62C481F6" w14:textId="77777777" w:rsidR="00FA7C11" w:rsidRDefault="00D84965">
            <w:pPr>
              <w:pStyle w:val="P68B1DB1-Normal58"/>
              <w:spacing w:after="0" w:line="276" w:lineRule="auto"/>
              <w:jc w:val="center"/>
              <w:rPr>
                <w:noProof/>
              </w:rPr>
            </w:pPr>
            <w:r>
              <w:rPr>
                <w:noProof/>
              </w:rPr>
              <w:t>Obiectiv</w:t>
            </w:r>
          </w:p>
        </w:tc>
        <w:tc>
          <w:tcPr>
            <w:tcW w:w="613" w:type="dxa"/>
            <w:shd w:val="clear" w:color="auto" w:fill="BDD7EE"/>
            <w:vAlign w:val="center"/>
            <w:hideMark/>
          </w:tcPr>
          <w:p w14:paraId="27BA9AE0" w14:textId="77777777" w:rsidR="00FA7C11" w:rsidRDefault="00D84965">
            <w:pPr>
              <w:pStyle w:val="P68B1DB1-Normal58"/>
              <w:spacing w:after="0" w:line="276" w:lineRule="auto"/>
              <w:jc w:val="center"/>
              <w:rPr>
                <w:noProof/>
              </w:rPr>
            </w:pPr>
            <w:r>
              <w:rPr>
                <w:noProof/>
              </w:rPr>
              <w:t>Trimestru</w:t>
            </w:r>
          </w:p>
        </w:tc>
        <w:tc>
          <w:tcPr>
            <w:tcW w:w="992" w:type="dxa"/>
            <w:shd w:val="clear" w:color="auto" w:fill="BDD7EE"/>
            <w:vAlign w:val="center"/>
            <w:hideMark/>
          </w:tcPr>
          <w:p w14:paraId="3CD45B6B" w14:textId="77777777" w:rsidR="00FA7C11" w:rsidRDefault="00D84965">
            <w:pPr>
              <w:pStyle w:val="P68B1DB1-Normal58"/>
              <w:spacing w:after="0" w:line="276" w:lineRule="auto"/>
              <w:jc w:val="center"/>
              <w:rPr>
                <w:noProof/>
              </w:rPr>
            </w:pPr>
            <w:r>
              <w:rPr>
                <w:noProof/>
              </w:rPr>
              <w:t>Anul</w:t>
            </w:r>
          </w:p>
        </w:tc>
        <w:tc>
          <w:tcPr>
            <w:tcW w:w="3979" w:type="dxa"/>
            <w:vMerge/>
            <w:hideMark/>
          </w:tcPr>
          <w:p w14:paraId="39C3DBC2"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0C008F93" w14:textId="77777777">
        <w:trPr>
          <w:trHeight w:val="283"/>
          <w:jc w:val="center"/>
        </w:trPr>
        <w:tc>
          <w:tcPr>
            <w:tcW w:w="768" w:type="dxa"/>
            <w:shd w:val="clear" w:color="auto" w:fill="C6EFCE"/>
            <w:noWrap/>
          </w:tcPr>
          <w:p w14:paraId="085380D0" w14:textId="77777777" w:rsidR="00FA7C11" w:rsidRDefault="00D84965">
            <w:pPr>
              <w:pStyle w:val="P68B1DB1-Normal102"/>
              <w:spacing w:after="0" w:line="276" w:lineRule="auto"/>
              <w:jc w:val="center"/>
              <w:rPr>
                <w:noProof/>
              </w:rPr>
            </w:pPr>
            <w:r>
              <w:rPr>
                <w:noProof/>
              </w:rPr>
              <w:t>275</w:t>
            </w:r>
          </w:p>
        </w:tc>
        <w:tc>
          <w:tcPr>
            <w:tcW w:w="1637" w:type="dxa"/>
            <w:shd w:val="clear" w:color="auto" w:fill="C6EFCE"/>
            <w:noWrap/>
          </w:tcPr>
          <w:p w14:paraId="068158C0" w14:textId="77777777" w:rsidR="00FA7C11" w:rsidRDefault="00D84965">
            <w:pPr>
              <w:pStyle w:val="P68B1DB1-Normal102"/>
              <w:spacing w:line="276" w:lineRule="auto"/>
              <w:jc w:val="center"/>
              <w:rPr>
                <w:noProof/>
              </w:rPr>
            </w:pPr>
            <w:r>
              <w:rPr>
                <w:noProof/>
              </w:rPr>
              <w:t>C3.2. R1</w:t>
            </w:r>
          </w:p>
        </w:tc>
        <w:tc>
          <w:tcPr>
            <w:tcW w:w="1070" w:type="dxa"/>
            <w:shd w:val="clear" w:color="auto" w:fill="C6EFCE"/>
            <w:noWrap/>
          </w:tcPr>
          <w:p w14:paraId="2B365F2B" w14:textId="77777777" w:rsidR="00FA7C11" w:rsidRDefault="00D84965">
            <w:pPr>
              <w:pStyle w:val="P68B1DB1-Normal102"/>
              <w:spacing w:line="276" w:lineRule="auto"/>
              <w:jc w:val="center"/>
              <w:rPr>
                <w:noProof/>
              </w:rPr>
            </w:pPr>
            <w:r>
              <w:rPr>
                <w:noProof/>
              </w:rPr>
              <w:t>M</w:t>
            </w:r>
          </w:p>
        </w:tc>
        <w:tc>
          <w:tcPr>
            <w:tcW w:w="1799" w:type="dxa"/>
            <w:shd w:val="clear" w:color="auto" w:fill="C6EFCE"/>
            <w:noWrap/>
          </w:tcPr>
          <w:p w14:paraId="5FEDCEE8" w14:textId="77777777" w:rsidR="00FA7C11" w:rsidRDefault="00D84965">
            <w:pPr>
              <w:pStyle w:val="P68B1DB1-Normal102"/>
              <w:spacing w:line="276" w:lineRule="auto"/>
              <w:rPr>
                <w:noProof/>
              </w:rPr>
            </w:pPr>
            <w:r>
              <w:rPr>
                <w:noProof/>
              </w:rPr>
              <w:t>Noua lege privind știința și învățământul superior</w:t>
            </w:r>
          </w:p>
        </w:tc>
        <w:tc>
          <w:tcPr>
            <w:tcW w:w="1462" w:type="dxa"/>
            <w:shd w:val="clear" w:color="auto" w:fill="C6EFCE"/>
            <w:noWrap/>
          </w:tcPr>
          <w:p w14:paraId="412795C3" w14:textId="77777777" w:rsidR="00FA7C11" w:rsidRDefault="00D84965">
            <w:pPr>
              <w:pStyle w:val="P68B1DB1-Normal102"/>
              <w:spacing w:line="276" w:lineRule="auto"/>
              <w:rPr>
                <w:noProof/>
              </w:rPr>
            </w:pPr>
            <w:r>
              <w:rPr>
                <w:noProof/>
              </w:rPr>
              <w:t xml:space="preserve">Intrarea în vigoare a noii Legi privind știința și învățământul superior </w:t>
            </w:r>
          </w:p>
        </w:tc>
        <w:tc>
          <w:tcPr>
            <w:tcW w:w="1134" w:type="dxa"/>
            <w:shd w:val="clear" w:color="auto" w:fill="C6EFCE"/>
            <w:noWrap/>
          </w:tcPr>
          <w:p w14:paraId="26A940DE" w14:textId="77777777" w:rsidR="00FA7C11" w:rsidRDefault="00D84965">
            <w:pPr>
              <w:pStyle w:val="P68B1DB1-Normal102"/>
              <w:spacing w:line="276" w:lineRule="auto"/>
              <w:jc w:val="center"/>
              <w:rPr>
                <w:noProof/>
              </w:rPr>
            </w:pPr>
            <w:r>
              <w:rPr>
                <w:noProof/>
              </w:rPr>
              <w:t> </w:t>
            </w:r>
          </w:p>
        </w:tc>
        <w:tc>
          <w:tcPr>
            <w:tcW w:w="1006" w:type="dxa"/>
            <w:shd w:val="clear" w:color="auto" w:fill="C6EFCE"/>
            <w:noWrap/>
          </w:tcPr>
          <w:p w14:paraId="462A551F" w14:textId="77777777" w:rsidR="00FA7C11" w:rsidRDefault="00D84965">
            <w:pPr>
              <w:pStyle w:val="P68B1DB1-Normal102"/>
              <w:spacing w:line="276" w:lineRule="auto"/>
              <w:jc w:val="center"/>
              <w:rPr>
                <w:noProof/>
              </w:rPr>
            </w:pPr>
            <w:r>
              <w:rPr>
                <w:noProof/>
              </w:rPr>
              <w:t> </w:t>
            </w:r>
          </w:p>
        </w:tc>
        <w:tc>
          <w:tcPr>
            <w:tcW w:w="1441" w:type="dxa"/>
            <w:shd w:val="clear" w:color="auto" w:fill="C6EFCE"/>
            <w:noWrap/>
          </w:tcPr>
          <w:p w14:paraId="6110633F" w14:textId="77777777" w:rsidR="00FA7C11" w:rsidRDefault="00D84965">
            <w:pPr>
              <w:pStyle w:val="P68B1DB1-Normal102"/>
              <w:spacing w:line="276" w:lineRule="auto"/>
              <w:jc w:val="center"/>
              <w:rPr>
                <w:noProof/>
              </w:rPr>
            </w:pPr>
            <w:r>
              <w:rPr>
                <w:noProof/>
              </w:rPr>
              <w:t> </w:t>
            </w:r>
          </w:p>
        </w:tc>
        <w:tc>
          <w:tcPr>
            <w:tcW w:w="613" w:type="dxa"/>
            <w:shd w:val="clear" w:color="auto" w:fill="C6EFCE"/>
            <w:noWrap/>
          </w:tcPr>
          <w:p w14:paraId="4CBC51AF" w14:textId="77777777" w:rsidR="00FA7C11" w:rsidRDefault="00D84965">
            <w:pPr>
              <w:pStyle w:val="P68B1DB1-Normal102"/>
              <w:spacing w:line="276" w:lineRule="auto"/>
              <w:jc w:val="center"/>
              <w:rPr>
                <w:noProof/>
              </w:rPr>
            </w:pPr>
            <w:r>
              <w:rPr>
                <w:noProof/>
              </w:rPr>
              <w:t>Î3</w:t>
            </w:r>
          </w:p>
        </w:tc>
        <w:tc>
          <w:tcPr>
            <w:tcW w:w="992" w:type="dxa"/>
            <w:shd w:val="clear" w:color="auto" w:fill="C6EFCE"/>
            <w:noWrap/>
          </w:tcPr>
          <w:p w14:paraId="6F9692B1" w14:textId="77777777" w:rsidR="00FA7C11" w:rsidRDefault="00D84965">
            <w:pPr>
              <w:pStyle w:val="P68B1DB1-Normal102"/>
              <w:spacing w:line="276" w:lineRule="auto"/>
              <w:jc w:val="center"/>
              <w:rPr>
                <w:noProof/>
              </w:rPr>
            </w:pPr>
            <w:r>
              <w:rPr>
                <w:noProof/>
              </w:rPr>
              <w:t>2022</w:t>
            </w:r>
          </w:p>
        </w:tc>
        <w:tc>
          <w:tcPr>
            <w:tcW w:w="3979" w:type="dxa"/>
            <w:shd w:val="clear" w:color="auto" w:fill="C6EFCE"/>
            <w:noWrap/>
          </w:tcPr>
          <w:p w14:paraId="7E86949F" w14:textId="77777777" w:rsidR="00FA7C11" w:rsidRDefault="00D84965">
            <w:pPr>
              <w:pStyle w:val="P68B1DB1-Normal102"/>
              <w:spacing w:line="276" w:lineRule="auto"/>
              <w:rPr>
                <w:noProof/>
              </w:rPr>
            </w:pPr>
            <w:r>
              <w:rPr>
                <w:noProof/>
              </w:rPr>
              <w:t>Noul act legislativ va crea condiții juridice și financiare pentru reforma organizațională și funcțională a universităților publice și a institutelor științifice și pentru finanțarea care vizează atingerea obiectivelor de dezvoltare instituțională.</w:t>
            </w:r>
          </w:p>
        </w:tc>
      </w:tr>
      <w:tr w:rsidR="00FA7C11" w14:paraId="44350435" w14:textId="77777777">
        <w:trPr>
          <w:trHeight w:val="283"/>
          <w:jc w:val="center"/>
        </w:trPr>
        <w:tc>
          <w:tcPr>
            <w:tcW w:w="768" w:type="dxa"/>
            <w:shd w:val="clear" w:color="auto" w:fill="C6EFCE"/>
            <w:noWrap/>
          </w:tcPr>
          <w:p w14:paraId="0C90BEF7" w14:textId="77777777" w:rsidR="00FA7C11" w:rsidRDefault="00D84965">
            <w:pPr>
              <w:pStyle w:val="P68B1DB1-Normal102"/>
              <w:spacing w:line="276" w:lineRule="auto"/>
              <w:jc w:val="center"/>
              <w:rPr>
                <w:noProof/>
              </w:rPr>
            </w:pPr>
            <w:r>
              <w:rPr>
                <w:noProof/>
              </w:rPr>
              <w:t>276</w:t>
            </w:r>
          </w:p>
        </w:tc>
        <w:tc>
          <w:tcPr>
            <w:tcW w:w="1637" w:type="dxa"/>
            <w:shd w:val="clear" w:color="auto" w:fill="C6EFCE"/>
            <w:noWrap/>
          </w:tcPr>
          <w:p w14:paraId="27FAC4ED" w14:textId="77777777" w:rsidR="00FA7C11" w:rsidRDefault="00D84965">
            <w:pPr>
              <w:pStyle w:val="P68B1DB1-Normal102"/>
              <w:spacing w:line="276" w:lineRule="auto"/>
              <w:jc w:val="center"/>
              <w:rPr>
                <w:noProof/>
              </w:rPr>
            </w:pPr>
            <w:r>
              <w:rPr>
                <w:noProof/>
              </w:rPr>
              <w:t>C3.2. R1-I1</w:t>
            </w:r>
          </w:p>
        </w:tc>
        <w:tc>
          <w:tcPr>
            <w:tcW w:w="1070" w:type="dxa"/>
            <w:shd w:val="clear" w:color="auto" w:fill="C6EFCE"/>
            <w:noWrap/>
          </w:tcPr>
          <w:p w14:paraId="5A617E9B" w14:textId="77777777" w:rsidR="00FA7C11" w:rsidRDefault="00D84965">
            <w:pPr>
              <w:pStyle w:val="P68B1DB1-Normal102"/>
              <w:spacing w:line="276" w:lineRule="auto"/>
              <w:jc w:val="center"/>
              <w:rPr>
                <w:noProof/>
              </w:rPr>
            </w:pPr>
            <w:r>
              <w:rPr>
                <w:noProof/>
              </w:rPr>
              <w:t>T</w:t>
            </w:r>
          </w:p>
        </w:tc>
        <w:tc>
          <w:tcPr>
            <w:tcW w:w="1799" w:type="dxa"/>
            <w:shd w:val="clear" w:color="auto" w:fill="C6EFCE"/>
            <w:noWrap/>
          </w:tcPr>
          <w:p w14:paraId="6942D739" w14:textId="77777777" w:rsidR="00FA7C11" w:rsidRDefault="00D84965">
            <w:pPr>
              <w:pStyle w:val="P68B1DB1-Normal102"/>
              <w:spacing w:line="276" w:lineRule="auto"/>
              <w:rPr>
                <w:noProof/>
              </w:rPr>
            </w:pPr>
            <w:r>
              <w:rPr>
                <w:noProof/>
              </w:rPr>
              <w:t xml:space="preserve">Finanțarea alocată proiectelor de cercetare pe baza cererilor interne ale organizațiilor de cercetare în cursul primului ciclu de doi ani de punere în aplicare a acordurilor de program </w:t>
            </w:r>
          </w:p>
        </w:tc>
        <w:tc>
          <w:tcPr>
            <w:tcW w:w="1462" w:type="dxa"/>
            <w:shd w:val="clear" w:color="auto" w:fill="C6EFCE"/>
            <w:noWrap/>
          </w:tcPr>
          <w:p w14:paraId="44479A85" w14:textId="77777777" w:rsidR="00FA7C11" w:rsidRDefault="00D84965">
            <w:pPr>
              <w:pStyle w:val="P68B1DB1-Normal102"/>
              <w:spacing w:after="240" w:line="276" w:lineRule="auto"/>
              <w:rPr>
                <w:noProof/>
              </w:rPr>
            </w:pPr>
            <w:r>
              <w:rPr>
                <w:noProof/>
              </w:rPr>
              <w:t> </w:t>
            </w:r>
          </w:p>
        </w:tc>
        <w:tc>
          <w:tcPr>
            <w:tcW w:w="1134" w:type="dxa"/>
            <w:shd w:val="clear" w:color="auto" w:fill="C6EFCE"/>
            <w:noWrap/>
          </w:tcPr>
          <w:p w14:paraId="09FFC0FA" w14:textId="77777777" w:rsidR="00FA7C11" w:rsidRDefault="00D84965">
            <w:pPr>
              <w:pStyle w:val="P68B1DB1-Normal102"/>
              <w:spacing w:after="0" w:line="276" w:lineRule="auto"/>
              <w:jc w:val="center"/>
              <w:rPr>
                <w:noProof/>
                <w:u w:val="single"/>
              </w:rPr>
            </w:pPr>
            <w:r>
              <w:rPr>
                <w:noProof/>
              </w:rPr>
              <w:t>Număr</w:t>
            </w:r>
            <w:r>
              <w:rPr>
                <w:noProof/>
                <w:u w:val="single"/>
              </w:rPr>
              <w:t xml:space="preserve"> </w:t>
            </w:r>
            <w:r>
              <w:rPr>
                <w:noProof/>
              </w:rPr>
              <w:t>(sumă)</w:t>
            </w:r>
          </w:p>
        </w:tc>
        <w:tc>
          <w:tcPr>
            <w:tcW w:w="1006" w:type="dxa"/>
            <w:shd w:val="clear" w:color="auto" w:fill="C6EFCE"/>
            <w:noWrap/>
          </w:tcPr>
          <w:p w14:paraId="339AF66F" w14:textId="77777777" w:rsidR="00FA7C11" w:rsidRDefault="00D84965">
            <w:pPr>
              <w:pStyle w:val="P68B1DB1-Normal102"/>
              <w:spacing w:line="276" w:lineRule="auto"/>
              <w:jc w:val="center"/>
              <w:rPr>
                <w:noProof/>
              </w:rPr>
            </w:pPr>
            <w:r>
              <w:rPr>
                <w:noProof/>
              </w:rPr>
              <w:t>0</w:t>
            </w:r>
          </w:p>
        </w:tc>
        <w:tc>
          <w:tcPr>
            <w:tcW w:w="1441" w:type="dxa"/>
            <w:shd w:val="clear" w:color="auto" w:fill="C6EFCE"/>
            <w:noWrap/>
          </w:tcPr>
          <w:p w14:paraId="5AECE254" w14:textId="77777777" w:rsidR="00FA7C11" w:rsidRDefault="00D84965">
            <w:pPr>
              <w:pStyle w:val="P68B1DB1-Normal102"/>
              <w:spacing w:line="276" w:lineRule="auto"/>
              <w:jc w:val="center"/>
              <w:rPr>
                <w:noProof/>
              </w:rPr>
            </w:pPr>
            <w:r>
              <w:rPr>
                <w:noProof/>
              </w:rPr>
              <w:t>17 619 079</w:t>
            </w:r>
          </w:p>
        </w:tc>
        <w:tc>
          <w:tcPr>
            <w:tcW w:w="613" w:type="dxa"/>
            <w:shd w:val="clear" w:color="auto" w:fill="C6EFCE"/>
            <w:noWrap/>
          </w:tcPr>
          <w:p w14:paraId="4CB3A0D5" w14:textId="77777777" w:rsidR="00FA7C11" w:rsidRDefault="00D84965">
            <w:pPr>
              <w:pStyle w:val="P68B1DB1-Normal102"/>
              <w:spacing w:line="276" w:lineRule="auto"/>
              <w:jc w:val="center"/>
              <w:rPr>
                <w:noProof/>
              </w:rPr>
            </w:pPr>
            <w:r>
              <w:rPr>
                <w:noProof/>
              </w:rPr>
              <w:t>Î1</w:t>
            </w:r>
          </w:p>
        </w:tc>
        <w:tc>
          <w:tcPr>
            <w:tcW w:w="992" w:type="dxa"/>
            <w:shd w:val="clear" w:color="auto" w:fill="C6EFCE"/>
            <w:noWrap/>
          </w:tcPr>
          <w:p w14:paraId="222DEFEF" w14:textId="77777777" w:rsidR="00FA7C11" w:rsidRDefault="00D84965">
            <w:pPr>
              <w:pStyle w:val="P68B1DB1-Normal102"/>
              <w:spacing w:line="276" w:lineRule="auto"/>
              <w:jc w:val="center"/>
              <w:rPr>
                <w:noProof/>
              </w:rPr>
            </w:pPr>
            <w:r>
              <w:rPr>
                <w:noProof/>
              </w:rPr>
              <w:t>2023</w:t>
            </w:r>
          </w:p>
        </w:tc>
        <w:tc>
          <w:tcPr>
            <w:tcW w:w="3979" w:type="dxa"/>
            <w:shd w:val="clear" w:color="auto" w:fill="C6EFCE"/>
            <w:noWrap/>
          </w:tcPr>
          <w:p w14:paraId="575A7485" w14:textId="77777777" w:rsidR="00FA7C11" w:rsidRDefault="00D84965">
            <w:pPr>
              <w:pStyle w:val="P68B1DB1-Normal102"/>
              <w:spacing w:line="276" w:lineRule="auto"/>
              <w:rPr>
                <w:noProof/>
              </w:rPr>
            </w:pPr>
            <w:r>
              <w:rPr>
                <w:noProof/>
              </w:rPr>
              <w:t>Suma de 17 619 079 EUR a fost acordată proiectelor de cercetare desfășurate de universitățile și institutele de cercetare care au semnat acordurile de program. Proiectele sprijină activitățile științifice și de cercetare directe (proiecte de cercetare) și se bazează pe caietul de sarcini publicat, cu termeni de referință care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FA7C11" w14:paraId="61DF1544" w14:textId="77777777">
        <w:trPr>
          <w:trHeight w:val="283"/>
          <w:jc w:val="center"/>
        </w:trPr>
        <w:tc>
          <w:tcPr>
            <w:tcW w:w="768" w:type="dxa"/>
            <w:shd w:val="clear" w:color="auto" w:fill="C6EFCE"/>
            <w:noWrap/>
          </w:tcPr>
          <w:p w14:paraId="40EF42B1" w14:textId="77777777" w:rsidR="00FA7C11" w:rsidRDefault="00D84965">
            <w:pPr>
              <w:pStyle w:val="P68B1DB1-Normal102"/>
              <w:spacing w:line="276" w:lineRule="auto"/>
              <w:jc w:val="center"/>
              <w:rPr>
                <w:noProof/>
              </w:rPr>
            </w:pPr>
            <w:r>
              <w:rPr>
                <w:noProof/>
              </w:rPr>
              <w:t>277</w:t>
            </w:r>
          </w:p>
        </w:tc>
        <w:tc>
          <w:tcPr>
            <w:tcW w:w="1637" w:type="dxa"/>
            <w:shd w:val="clear" w:color="auto" w:fill="C6EFCE"/>
            <w:noWrap/>
          </w:tcPr>
          <w:p w14:paraId="35DE472F" w14:textId="77777777" w:rsidR="00FA7C11" w:rsidRDefault="00D84965">
            <w:pPr>
              <w:pStyle w:val="P68B1DB1-Normal102"/>
              <w:spacing w:line="276" w:lineRule="auto"/>
              <w:jc w:val="center"/>
              <w:rPr>
                <w:noProof/>
              </w:rPr>
            </w:pPr>
            <w:r>
              <w:rPr>
                <w:noProof/>
              </w:rPr>
              <w:t>C3.2. R1-I1</w:t>
            </w:r>
          </w:p>
        </w:tc>
        <w:tc>
          <w:tcPr>
            <w:tcW w:w="1070" w:type="dxa"/>
            <w:shd w:val="clear" w:color="auto" w:fill="C6EFCE"/>
            <w:noWrap/>
          </w:tcPr>
          <w:p w14:paraId="2B5DA979" w14:textId="77777777" w:rsidR="00FA7C11" w:rsidRDefault="00D84965">
            <w:pPr>
              <w:pStyle w:val="P68B1DB1-Normal102"/>
              <w:spacing w:line="276" w:lineRule="auto"/>
              <w:jc w:val="center"/>
              <w:rPr>
                <w:noProof/>
              </w:rPr>
            </w:pPr>
            <w:r>
              <w:rPr>
                <w:noProof/>
              </w:rPr>
              <w:t>T</w:t>
            </w:r>
          </w:p>
        </w:tc>
        <w:tc>
          <w:tcPr>
            <w:tcW w:w="1799" w:type="dxa"/>
            <w:shd w:val="clear" w:color="auto" w:fill="C6EFCE"/>
            <w:noWrap/>
          </w:tcPr>
          <w:p w14:paraId="433B40CD" w14:textId="77777777" w:rsidR="00FA7C11" w:rsidRDefault="00D84965">
            <w:pPr>
              <w:pStyle w:val="P68B1DB1-Normal102"/>
              <w:spacing w:line="276" w:lineRule="auto"/>
              <w:rPr>
                <w:noProof/>
              </w:rPr>
            </w:pPr>
            <w:r>
              <w:rPr>
                <w:noProof/>
              </w:rPr>
              <w:t>Ponderea universităților sau a institutelor de cercetare care au semnat acorduri de program</w:t>
            </w:r>
          </w:p>
        </w:tc>
        <w:tc>
          <w:tcPr>
            <w:tcW w:w="1462" w:type="dxa"/>
            <w:shd w:val="clear" w:color="auto" w:fill="C6EFCE"/>
            <w:noWrap/>
          </w:tcPr>
          <w:p w14:paraId="5331DB01" w14:textId="77777777" w:rsidR="00FA7C11" w:rsidRDefault="00D84965">
            <w:pPr>
              <w:pStyle w:val="P68B1DB1-Normal102"/>
              <w:spacing w:line="276" w:lineRule="auto"/>
              <w:rPr>
                <w:noProof/>
              </w:rPr>
            </w:pPr>
            <w:r>
              <w:rPr>
                <w:noProof/>
              </w:rPr>
              <w:t xml:space="preserve"> </w:t>
            </w:r>
          </w:p>
        </w:tc>
        <w:tc>
          <w:tcPr>
            <w:tcW w:w="1134" w:type="dxa"/>
            <w:shd w:val="clear" w:color="auto" w:fill="C6EFCE"/>
            <w:noWrap/>
          </w:tcPr>
          <w:p w14:paraId="3AAB89BC" w14:textId="77777777" w:rsidR="00FA7C11" w:rsidRDefault="00D84965">
            <w:pPr>
              <w:pStyle w:val="P68B1DB1-Normal102"/>
              <w:spacing w:line="276" w:lineRule="auto"/>
              <w:jc w:val="center"/>
              <w:rPr>
                <w:noProof/>
              </w:rPr>
            </w:pPr>
            <w:r>
              <w:rPr>
                <w:noProof/>
              </w:rPr>
              <w:t>% (procent)</w:t>
            </w:r>
          </w:p>
        </w:tc>
        <w:tc>
          <w:tcPr>
            <w:tcW w:w="1006" w:type="dxa"/>
            <w:shd w:val="clear" w:color="auto" w:fill="C6EFCE"/>
            <w:noWrap/>
          </w:tcPr>
          <w:p w14:paraId="61CFB900" w14:textId="77777777" w:rsidR="00FA7C11" w:rsidRDefault="00D84965">
            <w:pPr>
              <w:pStyle w:val="P68B1DB1-Normal102"/>
              <w:spacing w:line="276" w:lineRule="auto"/>
              <w:jc w:val="center"/>
              <w:rPr>
                <w:noProof/>
              </w:rPr>
            </w:pPr>
            <w:r>
              <w:rPr>
                <w:noProof/>
              </w:rPr>
              <w:t>0</w:t>
            </w:r>
          </w:p>
          <w:p w14:paraId="78F92EAE" w14:textId="77777777" w:rsidR="00FA7C11" w:rsidRDefault="00FA7C11">
            <w:pPr>
              <w:spacing w:line="276" w:lineRule="auto"/>
              <w:rPr>
                <w:rFonts w:ascii="Times New Roman" w:hAnsi="Times New Roman" w:cs="Times New Roman"/>
                <w:noProof/>
                <w:sz w:val="20"/>
                <w:szCs w:val="20"/>
              </w:rPr>
            </w:pPr>
          </w:p>
          <w:p w14:paraId="0A80C8D1" w14:textId="77777777" w:rsidR="00FA7C11" w:rsidRDefault="00FA7C11">
            <w:pPr>
              <w:spacing w:line="276" w:lineRule="auto"/>
              <w:rPr>
                <w:rFonts w:ascii="Times New Roman" w:hAnsi="Times New Roman" w:cs="Times New Roman"/>
                <w:noProof/>
                <w:sz w:val="20"/>
                <w:szCs w:val="20"/>
              </w:rPr>
            </w:pPr>
          </w:p>
          <w:p w14:paraId="09A4BA4B" w14:textId="77777777" w:rsidR="00FA7C11" w:rsidRDefault="00FA7C11">
            <w:pPr>
              <w:spacing w:line="276" w:lineRule="auto"/>
              <w:rPr>
                <w:rFonts w:ascii="Times New Roman" w:hAnsi="Times New Roman" w:cs="Times New Roman"/>
                <w:noProof/>
                <w:sz w:val="20"/>
                <w:szCs w:val="20"/>
              </w:rPr>
            </w:pPr>
          </w:p>
        </w:tc>
        <w:tc>
          <w:tcPr>
            <w:tcW w:w="1441" w:type="dxa"/>
            <w:shd w:val="clear" w:color="auto" w:fill="C6EFCE"/>
            <w:noWrap/>
          </w:tcPr>
          <w:p w14:paraId="0F8B83D9" w14:textId="77777777" w:rsidR="00FA7C11" w:rsidRDefault="00D84965">
            <w:pPr>
              <w:pStyle w:val="P68B1DB1-Normal102"/>
              <w:spacing w:line="276" w:lineRule="auto"/>
              <w:jc w:val="center"/>
              <w:rPr>
                <w:noProof/>
              </w:rPr>
            </w:pPr>
            <w:r>
              <w:rPr>
                <w:noProof/>
              </w:rPr>
              <w:t>65</w:t>
            </w:r>
          </w:p>
        </w:tc>
        <w:tc>
          <w:tcPr>
            <w:tcW w:w="613" w:type="dxa"/>
            <w:shd w:val="clear" w:color="auto" w:fill="C6EFCE"/>
            <w:noWrap/>
          </w:tcPr>
          <w:p w14:paraId="764DE2F0" w14:textId="77777777" w:rsidR="00FA7C11" w:rsidRDefault="00D84965">
            <w:pPr>
              <w:pStyle w:val="P68B1DB1-Normal102"/>
              <w:spacing w:line="276" w:lineRule="auto"/>
              <w:jc w:val="center"/>
              <w:rPr>
                <w:noProof/>
              </w:rPr>
            </w:pPr>
            <w:r>
              <w:rPr>
                <w:noProof/>
              </w:rPr>
              <w:t>Î3</w:t>
            </w:r>
          </w:p>
        </w:tc>
        <w:tc>
          <w:tcPr>
            <w:tcW w:w="992" w:type="dxa"/>
            <w:shd w:val="clear" w:color="auto" w:fill="C6EFCE"/>
            <w:noWrap/>
          </w:tcPr>
          <w:p w14:paraId="2507F97D" w14:textId="77777777" w:rsidR="00FA7C11" w:rsidRDefault="00D84965">
            <w:pPr>
              <w:pStyle w:val="P68B1DB1-Normal102"/>
              <w:spacing w:line="276" w:lineRule="auto"/>
              <w:jc w:val="center"/>
              <w:rPr>
                <w:noProof/>
              </w:rPr>
            </w:pPr>
            <w:r>
              <w:rPr>
                <w:noProof/>
              </w:rPr>
              <w:t>2024</w:t>
            </w:r>
          </w:p>
        </w:tc>
        <w:tc>
          <w:tcPr>
            <w:tcW w:w="3979" w:type="dxa"/>
            <w:shd w:val="clear" w:color="auto" w:fill="C6EFCE"/>
            <w:noWrap/>
          </w:tcPr>
          <w:p w14:paraId="3DFB0441" w14:textId="77777777" w:rsidR="00FA7C11" w:rsidRDefault="00D84965">
            <w:pPr>
              <w:pStyle w:val="P68B1DB1-Normal102"/>
              <w:spacing w:line="276" w:lineRule="auto"/>
              <w:rPr>
                <w:noProof/>
                <w:color w:val="000000" w:themeColor="text1"/>
              </w:rPr>
            </w:pPr>
            <w:r>
              <w:rPr>
                <w:noProof/>
              </w:rPr>
              <w:t>Cel puțin 65 % dintre universitățile și institutele științifice publice trebuie să fi semnat noi acorduri de program în conformitate cu dispozițiile noii Legi privind activitatea științifică și învățământul superior, care să introducă un sistem bazat pe performanță de obiective de finanțare pentru organizațiile științifice publice.</w:t>
            </w:r>
          </w:p>
        </w:tc>
      </w:tr>
      <w:tr w:rsidR="00FA7C11" w14:paraId="2EDB0865" w14:textId="77777777">
        <w:trPr>
          <w:trHeight w:val="283"/>
          <w:jc w:val="center"/>
        </w:trPr>
        <w:tc>
          <w:tcPr>
            <w:tcW w:w="768" w:type="dxa"/>
            <w:shd w:val="clear" w:color="auto" w:fill="C6EFCE"/>
            <w:noWrap/>
          </w:tcPr>
          <w:p w14:paraId="463FC1DF" w14:textId="77777777" w:rsidR="00FA7C11" w:rsidRDefault="00D84965">
            <w:pPr>
              <w:pStyle w:val="P68B1DB1-Normal102"/>
              <w:spacing w:line="276" w:lineRule="auto"/>
              <w:jc w:val="center"/>
              <w:rPr>
                <w:noProof/>
              </w:rPr>
            </w:pPr>
            <w:r>
              <w:rPr>
                <w:noProof/>
              </w:rPr>
              <w:t>278</w:t>
            </w:r>
          </w:p>
        </w:tc>
        <w:tc>
          <w:tcPr>
            <w:tcW w:w="1637" w:type="dxa"/>
            <w:shd w:val="clear" w:color="auto" w:fill="C6EFCE"/>
            <w:noWrap/>
          </w:tcPr>
          <w:p w14:paraId="16FD5EA2" w14:textId="77777777" w:rsidR="00FA7C11" w:rsidRDefault="00D84965">
            <w:pPr>
              <w:pStyle w:val="P68B1DB1-Normal102"/>
              <w:spacing w:line="276" w:lineRule="auto"/>
              <w:jc w:val="center"/>
              <w:rPr>
                <w:noProof/>
              </w:rPr>
            </w:pPr>
            <w:r>
              <w:rPr>
                <w:noProof/>
              </w:rPr>
              <w:t>C3.2. R1-I1</w:t>
            </w:r>
          </w:p>
        </w:tc>
        <w:tc>
          <w:tcPr>
            <w:tcW w:w="1070" w:type="dxa"/>
            <w:shd w:val="clear" w:color="auto" w:fill="C6EFCE"/>
            <w:noWrap/>
          </w:tcPr>
          <w:p w14:paraId="11241F6E" w14:textId="77777777" w:rsidR="00FA7C11" w:rsidRDefault="00D84965">
            <w:pPr>
              <w:pStyle w:val="P68B1DB1-Normal102"/>
              <w:spacing w:line="276" w:lineRule="auto"/>
              <w:jc w:val="center"/>
              <w:rPr>
                <w:noProof/>
              </w:rPr>
            </w:pPr>
            <w:r>
              <w:rPr>
                <w:noProof/>
              </w:rPr>
              <w:t>T</w:t>
            </w:r>
          </w:p>
        </w:tc>
        <w:tc>
          <w:tcPr>
            <w:tcW w:w="1799" w:type="dxa"/>
            <w:shd w:val="clear" w:color="auto" w:fill="C6EFCE"/>
            <w:noWrap/>
          </w:tcPr>
          <w:p w14:paraId="31D689BE" w14:textId="77777777" w:rsidR="00FA7C11" w:rsidRDefault="00D84965">
            <w:pPr>
              <w:pStyle w:val="P68B1DB1-Normal102"/>
              <w:spacing w:line="276" w:lineRule="auto"/>
              <w:rPr>
                <w:noProof/>
              </w:rPr>
            </w:pPr>
            <w:r>
              <w:rPr>
                <w:noProof/>
              </w:rPr>
              <w:t>Proiecte de cercetare finalizate, în domeniul „verde”, de către organizații științifice care au semnat noi acorduri de program</w:t>
            </w:r>
          </w:p>
        </w:tc>
        <w:tc>
          <w:tcPr>
            <w:tcW w:w="1462" w:type="dxa"/>
            <w:shd w:val="clear" w:color="auto" w:fill="C6EFCE"/>
            <w:noWrap/>
          </w:tcPr>
          <w:p w14:paraId="0E6EFC24" w14:textId="77777777" w:rsidR="00FA7C11" w:rsidRDefault="00D84965">
            <w:pPr>
              <w:pStyle w:val="P68B1DB1-Normal102"/>
              <w:spacing w:line="276" w:lineRule="auto"/>
              <w:rPr>
                <w:noProof/>
              </w:rPr>
            </w:pPr>
            <w:r>
              <w:rPr>
                <w:noProof/>
              </w:rPr>
              <w:t> </w:t>
            </w:r>
          </w:p>
        </w:tc>
        <w:tc>
          <w:tcPr>
            <w:tcW w:w="1134" w:type="dxa"/>
            <w:shd w:val="clear" w:color="auto" w:fill="C6EFCE"/>
            <w:noWrap/>
          </w:tcPr>
          <w:p w14:paraId="52CBBACF" w14:textId="77777777" w:rsidR="00FA7C11" w:rsidRDefault="00D84965">
            <w:pPr>
              <w:pStyle w:val="P68B1DB1-Normal102"/>
              <w:spacing w:line="276" w:lineRule="auto"/>
              <w:jc w:val="center"/>
              <w:rPr>
                <w:noProof/>
              </w:rPr>
            </w:pPr>
            <w:r>
              <w:rPr>
                <w:noProof/>
              </w:rPr>
              <w:t>Număr</w:t>
            </w:r>
            <w:r>
              <w:rPr>
                <w:noProof/>
              </w:rPr>
              <w:br/>
            </w:r>
            <w:r>
              <w:rPr>
                <w:noProof/>
              </w:rPr>
              <w:br/>
            </w:r>
            <w:r>
              <w:rPr>
                <w:noProof/>
              </w:rPr>
              <w:br/>
            </w:r>
          </w:p>
        </w:tc>
        <w:tc>
          <w:tcPr>
            <w:tcW w:w="1006" w:type="dxa"/>
            <w:shd w:val="clear" w:color="auto" w:fill="C6EFCE"/>
            <w:noWrap/>
          </w:tcPr>
          <w:p w14:paraId="6CCA66D8" w14:textId="77777777" w:rsidR="00FA7C11" w:rsidRDefault="00D84965">
            <w:pPr>
              <w:pStyle w:val="P68B1DB1-Normal102"/>
              <w:spacing w:line="276" w:lineRule="auto"/>
              <w:jc w:val="center"/>
              <w:rPr>
                <w:noProof/>
              </w:rPr>
            </w:pPr>
            <w:r>
              <w:rPr>
                <w:noProof/>
              </w:rPr>
              <w:t>0</w:t>
            </w:r>
          </w:p>
        </w:tc>
        <w:tc>
          <w:tcPr>
            <w:tcW w:w="1441" w:type="dxa"/>
            <w:shd w:val="clear" w:color="auto" w:fill="C6EFCE"/>
            <w:noWrap/>
          </w:tcPr>
          <w:p w14:paraId="2BD86FE5" w14:textId="77777777" w:rsidR="00FA7C11" w:rsidRDefault="00D84965">
            <w:pPr>
              <w:pStyle w:val="P68B1DB1-Normal102"/>
              <w:spacing w:line="276" w:lineRule="auto"/>
              <w:jc w:val="center"/>
              <w:rPr>
                <w:noProof/>
              </w:rPr>
            </w:pPr>
            <w:r>
              <w:rPr>
                <w:noProof/>
              </w:rPr>
              <w:t>8</w:t>
            </w:r>
          </w:p>
        </w:tc>
        <w:tc>
          <w:tcPr>
            <w:tcW w:w="613" w:type="dxa"/>
            <w:shd w:val="clear" w:color="auto" w:fill="C6EFCE"/>
            <w:noWrap/>
          </w:tcPr>
          <w:p w14:paraId="29496EBF" w14:textId="77777777" w:rsidR="00FA7C11" w:rsidRDefault="00D84965">
            <w:pPr>
              <w:pStyle w:val="P68B1DB1-Normal102"/>
              <w:spacing w:line="276" w:lineRule="auto"/>
              <w:jc w:val="center"/>
              <w:rPr>
                <w:noProof/>
              </w:rPr>
            </w:pPr>
            <w:r>
              <w:rPr>
                <w:noProof/>
              </w:rPr>
              <w:t>Î1</w:t>
            </w:r>
          </w:p>
        </w:tc>
        <w:tc>
          <w:tcPr>
            <w:tcW w:w="992" w:type="dxa"/>
            <w:shd w:val="clear" w:color="auto" w:fill="C6EFCE"/>
            <w:noWrap/>
          </w:tcPr>
          <w:p w14:paraId="012A64F7" w14:textId="77777777" w:rsidR="00FA7C11" w:rsidRDefault="00D84965">
            <w:pPr>
              <w:pStyle w:val="P68B1DB1-Normal102"/>
              <w:spacing w:line="276" w:lineRule="auto"/>
              <w:jc w:val="center"/>
              <w:rPr>
                <w:noProof/>
              </w:rPr>
            </w:pPr>
            <w:r>
              <w:rPr>
                <w:noProof/>
              </w:rPr>
              <w:t>2026</w:t>
            </w:r>
          </w:p>
        </w:tc>
        <w:tc>
          <w:tcPr>
            <w:tcW w:w="3979" w:type="dxa"/>
            <w:shd w:val="clear" w:color="auto" w:fill="C6EFCE"/>
            <w:noWrap/>
          </w:tcPr>
          <w:p w14:paraId="52700776" w14:textId="530BDE6D" w:rsidR="00FA7C11" w:rsidRDefault="00D84965">
            <w:pPr>
              <w:pStyle w:val="P68B1DB1-Normal102"/>
              <w:spacing w:line="276" w:lineRule="auto"/>
              <w:rPr>
                <w:noProof/>
              </w:rPr>
            </w:pPr>
            <w:r>
              <w:rPr>
                <w:noProof/>
              </w:rPr>
              <w:t xml:space="preserve">Cel puțin 8 de proiecte de cercetare care sprijină tranziția verde, desfășurate de organizații științifice care au semnat noile acorduri de program, trebuie să fi fost finalizate pe baza unei cereri de proiecte bazate pe caietul de sarcini publicat. </w:t>
            </w:r>
          </w:p>
        </w:tc>
      </w:tr>
      <w:tr w:rsidR="00FA7C11" w14:paraId="685B18D8" w14:textId="77777777">
        <w:trPr>
          <w:trHeight w:val="283"/>
          <w:jc w:val="center"/>
        </w:trPr>
        <w:tc>
          <w:tcPr>
            <w:tcW w:w="768" w:type="dxa"/>
            <w:shd w:val="clear" w:color="auto" w:fill="C6EFCE"/>
            <w:noWrap/>
          </w:tcPr>
          <w:p w14:paraId="23DDD76C" w14:textId="77777777" w:rsidR="00FA7C11" w:rsidRDefault="00D84965">
            <w:pPr>
              <w:pStyle w:val="P68B1DB1-Normal102"/>
              <w:spacing w:after="0" w:line="276" w:lineRule="auto"/>
              <w:jc w:val="center"/>
              <w:rPr>
                <w:noProof/>
              </w:rPr>
            </w:pPr>
            <w:r>
              <w:rPr>
                <w:noProof/>
              </w:rPr>
              <w:t>279</w:t>
            </w:r>
          </w:p>
        </w:tc>
        <w:tc>
          <w:tcPr>
            <w:tcW w:w="1637" w:type="dxa"/>
            <w:shd w:val="clear" w:color="auto" w:fill="C6EFCE"/>
            <w:noWrap/>
          </w:tcPr>
          <w:p w14:paraId="109DFDB7" w14:textId="77777777" w:rsidR="00FA7C11" w:rsidRDefault="00D84965">
            <w:pPr>
              <w:pStyle w:val="P68B1DB1-Normal102"/>
              <w:spacing w:line="276" w:lineRule="auto"/>
              <w:jc w:val="center"/>
              <w:rPr>
                <w:noProof/>
              </w:rPr>
            </w:pPr>
            <w:r>
              <w:rPr>
                <w:noProof/>
              </w:rPr>
              <w:t>C3.2. R1-I1</w:t>
            </w:r>
          </w:p>
        </w:tc>
        <w:tc>
          <w:tcPr>
            <w:tcW w:w="1070" w:type="dxa"/>
            <w:shd w:val="clear" w:color="auto" w:fill="C6EFCE"/>
            <w:noWrap/>
          </w:tcPr>
          <w:p w14:paraId="181B00CB" w14:textId="77777777" w:rsidR="00FA7C11" w:rsidRDefault="00D84965">
            <w:pPr>
              <w:pStyle w:val="P68B1DB1-Normal102"/>
              <w:spacing w:line="276" w:lineRule="auto"/>
              <w:jc w:val="center"/>
              <w:rPr>
                <w:noProof/>
              </w:rPr>
            </w:pPr>
            <w:r>
              <w:rPr>
                <w:noProof/>
              </w:rPr>
              <w:t>T</w:t>
            </w:r>
          </w:p>
        </w:tc>
        <w:tc>
          <w:tcPr>
            <w:tcW w:w="1799" w:type="dxa"/>
            <w:shd w:val="clear" w:color="auto" w:fill="C6EFCE"/>
            <w:noWrap/>
          </w:tcPr>
          <w:p w14:paraId="5EFA1EC5" w14:textId="46DDFE1D" w:rsidR="00FA7C11" w:rsidRDefault="00D84965">
            <w:pPr>
              <w:pStyle w:val="P68B1DB1-Normal102"/>
              <w:spacing w:line="276" w:lineRule="auto"/>
              <w:rPr>
                <w:noProof/>
              </w:rPr>
            </w:pPr>
            <w:r>
              <w:rPr>
                <w:noProof/>
              </w:rPr>
              <w:t>Fonduri alocate proiectelor de cercetare pe baza cererilor interne ale organizațiilor de cercetare</w:t>
            </w:r>
          </w:p>
        </w:tc>
        <w:tc>
          <w:tcPr>
            <w:tcW w:w="1462" w:type="dxa"/>
            <w:shd w:val="clear" w:color="auto" w:fill="C6EFCE"/>
            <w:noWrap/>
          </w:tcPr>
          <w:p w14:paraId="3C7B6028" w14:textId="77777777" w:rsidR="00FA7C11" w:rsidRDefault="00D84965">
            <w:pPr>
              <w:pStyle w:val="P68B1DB1-Normal102"/>
              <w:spacing w:line="276" w:lineRule="auto"/>
              <w:rPr>
                <w:noProof/>
              </w:rPr>
            </w:pPr>
            <w:r>
              <w:rPr>
                <w:noProof/>
              </w:rPr>
              <w:t> </w:t>
            </w:r>
          </w:p>
        </w:tc>
        <w:tc>
          <w:tcPr>
            <w:tcW w:w="1134" w:type="dxa"/>
            <w:shd w:val="clear" w:color="auto" w:fill="C6EFCE"/>
            <w:noWrap/>
          </w:tcPr>
          <w:p w14:paraId="6424AA48" w14:textId="77777777" w:rsidR="00FA7C11" w:rsidRDefault="00D84965">
            <w:pPr>
              <w:pStyle w:val="P68B1DB1-Normal102"/>
              <w:spacing w:line="276" w:lineRule="auto"/>
              <w:jc w:val="center"/>
              <w:rPr>
                <w:noProof/>
              </w:rPr>
            </w:pPr>
            <w:r>
              <w:rPr>
                <w:noProof/>
              </w:rPr>
              <w:t>Număr (sumă)</w:t>
            </w:r>
          </w:p>
        </w:tc>
        <w:tc>
          <w:tcPr>
            <w:tcW w:w="1006" w:type="dxa"/>
            <w:shd w:val="clear" w:color="auto" w:fill="C6EFCE"/>
            <w:noWrap/>
          </w:tcPr>
          <w:p w14:paraId="6DA57E7F" w14:textId="77777777" w:rsidR="00FA7C11" w:rsidRDefault="00D84965">
            <w:pPr>
              <w:pStyle w:val="P68B1DB1-Normal102"/>
              <w:spacing w:line="276" w:lineRule="auto"/>
              <w:jc w:val="center"/>
              <w:rPr>
                <w:noProof/>
                <w:color w:val="000000" w:themeColor="text1"/>
              </w:rPr>
            </w:pPr>
            <w:r>
              <w:rPr>
                <w:noProof/>
              </w:rPr>
              <w:t> 17 619 079</w:t>
            </w:r>
          </w:p>
        </w:tc>
        <w:tc>
          <w:tcPr>
            <w:tcW w:w="1441" w:type="dxa"/>
            <w:shd w:val="clear" w:color="auto" w:fill="C6EFCE"/>
            <w:noWrap/>
          </w:tcPr>
          <w:p w14:paraId="00F2AF06" w14:textId="77777777" w:rsidR="00FA7C11" w:rsidRDefault="00D84965">
            <w:pPr>
              <w:pStyle w:val="P68B1DB1-Normal102"/>
              <w:spacing w:line="276" w:lineRule="auto"/>
              <w:jc w:val="center"/>
              <w:rPr>
                <w:noProof/>
              </w:rPr>
            </w:pPr>
            <w:r>
              <w:rPr>
                <w:noProof/>
              </w:rPr>
              <w:t xml:space="preserve">121 109 984 </w:t>
            </w:r>
          </w:p>
        </w:tc>
        <w:tc>
          <w:tcPr>
            <w:tcW w:w="613" w:type="dxa"/>
            <w:shd w:val="clear" w:color="auto" w:fill="C6EFCE"/>
            <w:noWrap/>
          </w:tcPr>
          <w:p w14:paraId="79312768" w14:textId="77777777" w:rsidR="00FA7C11" w:rsidRDefault="00D84965">
            <w:pPr>
              <w:pStyle w:val="P68B1DB1-Normal102"/>
              <w:spacing w:line="276" w:lineRule="auto"/>
              <w:jc w:val="center"/>
              <w:rPr>
                <w:noProof/>
              </w:rPr>
            </w:pPr>
            <w:r>
              <w:rPr>
                <w:noProof/>
              </w:rPr>
              <w:t>Î1</w:t>
            </w:r>
          </w:p>
        </w:tc>
        <w:tc>
          <w:tcPr>
            <w:tcW w:w="992" w:type="dxa"/>
            <w:shd w:val="clear" w:color="auto" w:fill="C6EFCE"/>
            <w:noWrap/>
          </w:tcPr>
          <w:p w14:paraId="6DC1C3C1" w14:textId="77777777" w:rsidR="00FA7C11" w:rsidRDefault="00D84965">
            <w:pPr>
              <w:pStyle w:val="P68B1DB1-Normal102"/>
              <w:spacing w:line="276" w:lineRule="auto"/>
              <w:jc w:val="center"/>
              <w:rPr>
                <w:noProof/>
              </w:rPr>
            </w:pPr>
            <w:r>
              <w:rPr>
                <w:noProof/>
              </w:rPr>
              <w:t>2026</w:t>
            </w:r>
          </w:p>
        </w:tc>
        <w:tc>
          <w:tcPr>
            <w:tcW w:w="3979" w:type="dxa"/>
            <w:shd w:val="clear" w:color="auto" w:fill="C6EFCE"/>
            <w:noWrap/>
          </w:tcPr>
          <w:p w14:paraId="3D7FBBF9" w14:textId="7F83FE29" w:rsidR="00FA7C11" w:rsidRDefault="00D84965">
            <w:pPr>
              <w:pStyle w:val="P68B1DB1-Normal102"/>
              <w:spacing w:line="276" w:lineRule="auto"/>
              <w:rPr>
                <w:noProof/>
              </w:rPr>
            </w:pPr>
            <w:r>
              <w:rPr>
                <w:noProof/>
              </w:rPr>
              <w:t>O sumă suplimentară de cel puțin 103 490 905 EUR a fost acordată proiectelor de cercetare desfășurate de universitățile și institutele de cercetare care au semnat acordurile de program. Proiectele sprijină activitățile științifice și de cercetare directe (proiecte de cercetare) și se bazează pe caietul de sarcini publicat.</w:t>
            </w:r>
          </w:p>
        </w:tc>
      </w:tr>
      <w:tr w:rsidR="00FA7C11" w14:paraId="7BFC2208" w14:textId="77777777">
        <w:trPr>
          <w:trHeight w:val="283"/>
          <w:jc w:val="center"/>
        </w:trPr>
        <w:tc>
          <w:tcPr>
            <w:tcW w:w="768" w:type="dxa"/>
            <w:shd w:val="clear" w:color="auto" w:fill="C6EFCE"/>
            <w:noWrap/>
          </w:tcPr>
          <w:p w14:paraId="09D50B10" w14:textId="77777777" w:rsidR="00FA7C11" w:rsidRDefault="00D84965">
            <w:pPr>
              <w:pStyle w:val="P68B1DB1-Normal102"/>
              <w:spacing w:line="276" w:lineRule="auto"/>
              <w:jc w:val="center"/>
              <w:rPr>
                <w:noProof/>
              </w:rPr>
            </w:pPr>
            <w:r>
              <w:rPr>
                <w:noProof/>
              </w:rPr>
              <w:t>280</w:t>
            </w:r>
          </w:p>
        </w:tc>
        <w:tc>
          <w:tcPr>
            <w:tcW w:w="1637" w:type="dxa"/>
            <w:shd w:val="clear" w:color="auto" w:fill="C6EFCE"/>
            <w:noWrap/>
          </w:tcPr>
          <w:p w14:paraId="4D160A34" w14:textId="77777777" w:rsidR="00FA7C11" w:rsidRDefault="00D84965">
            <w:pPr>
              <w:pStyle w:val="P68B1DB1-Normal102"/>
              <w:spacing w:line="276" w:lineRule="auto"/>
              <w:jc w:val="center"/>
              <w:rPr>
                <w:noProof/>
              </w:rPr>
            </w:pPr>
            <w:r>
              <w:rPr>
                <w:noProof/>
              </w:rPr>
              <w:t>C3.2. R1-I1</w:t>
            </w:r>
          </w:p>
        </w:tc>
        <w:tc>
          <w:tcPr>
            <w:tcW w:w="1070" w:type="dxa"/>
            <w:shd w:val="clear" w:color="auto" w:fill="C6EFCE"/>
            <w:noWrap/>
          </w:tcPr>
          <w:p w14:paraId="619238DE" w14:textId="77777777" w:rsidR="00FA7C11" w:rsidRDefault="00D84965">
            <w:pPr>
              <w:pStyle w:val="P68B1DB1-Normal102"/>
              <w:spacing w:line="276" w:lineRule="auto"/>
              <w:jc w:val="center"/>
              <w:rPr>
                <w:noProof/>
              </w:rPr>
            </w:pPr>
            <w:r>
              <w:rPr>
                <w:noProof/>
              </w:rPr>
              <w:t>T</w:t>
            </w:r>
          </w:p>
        </w:tc>
        <w:tc>
          <w:tcPr>
            <w:tcW w:w="1799" w:type="dxa"/>
            <w:shd w:val="clear" w:color="auto" w:fill="C6EFCE"/>
            <w:noWrap/>
          </w:tcPr>
          <w:p w14:paraId="419C7D88" w14:textId="77777777" w:rsidR="00FA7C11" w:rsidRDefault="00D84965">
            <w:pPr>
              <w:pStyle w:val="P68B1DB1-Normal102"/>
              <w:spacing w:line="276" w:lineRule="auto"/>
              <w:rPr>
                <w:noProof/>
              </w:rPr>
            </w:pPr>
            <w:r>
              <w:rPr>
                <w:noProof/>
              </w:rPr>
              <w:t xml:space="preserve">Reorganizarea instituțiilor de învățământ superior și a institutelor științifice </w:t>
            </w:r>
          </w:p>
        </w:tc>
        <w:tc>
          <w:tcPr>
            <w:tcW w:w="1462" w:type="dxa"/>
            <w:shd w:val="clear" w:color="auto" w:fill="C6EFCE"/>
            <w:noWrap/>
          </w:tcPr>
          <w:p w14:paraId="2B889EED" w14:textId="77777777" w:rsidR="00FA7C11" w:rsidRDefault="00D84965">
            <w:pPr>
              <w:pStyle w:val="P68B1DB1-Normal102"/>
              <w:spacing w:line="276" w:lineRule="auto"/>
              <w:rPr>
                <w:noProof/>
              </w:rPr>
            </w:pPr>
            <w:r>
              <w:rPr>
                <w:noProof/>
              </w:rPr>
              <w:t xml:space="preserve"> </w:t>
            </w:r>
          </w:p>
        </w:tc>
        <w:tc>
          <w:tcPr>
            <w:tcW w:w="1134" w:type="dxa"/>
            <w:shd w:val="clear" w:color="auto" w:fill="C6EFCE"/>
            <w:noWrap/>
          </w:tcPr>
          <w:p w14:paraId="3345BFBE" w14:textId="77777777" w:rsidR="00FA7C11" w:rsidRDefault="00D84965">
            <w:pPr>
              <w:pStyle w:val="P68B1DB1-Normal102"/>
              <w:spacing w:line="276" w:lineRule="auto"/>
              <w:jc w:val="center"/>
              <w:rPr>
                <w:noProof/>
              </w:rPr>
            </w:pPr>
            <w:r>
              <w:rPr>
                <w:noProof/>
              </w:rPr>
              <w:t>Număr</w:t>
            </w:r>
          </w:p>
        </w:tc>
        <w:tc>
          <w:tcPr>
            <w:tcW w:w="1006" w:type="dxa"/>
            <w:shd w:val="clear" w:color="auto" w:fill="C6EFCE"/>
            <w:noWrap/>
          </w:tcPr>
          <w:p w14:paraId="15D9A71B" w14:textId="77777777" w:rsidR="00FA7C11" w:rsidRDefault="00D84965">
            <w:pPr>
              <w:pStyle w:val="P68B1DB1-Normal102"/>
              <w:spacing w:line="276" w:lineRule="auto"/>
              <w:jc w:val="center"/>
              <w:rPr>
                <w:noProof/>
              </w:rPr>
            </w:pPr>
            <w:r>
              <w:rPr>
                <w:noProof/>
              </w:rPr>
              <w:t>0</w:t>
            </w:r>
          </w:p>
        </w:tc>
        <w:tc>
          <w:tcPr>
            <w:tcW w:w="1441" w:type="dxa"/>
            <w:shd w:val="clear" w:color="auto" w:fill="C6EFCE"/>
            <w:noWrap/>
          </w:tcPr>
          <w:p w14:paraId="59EC6A6F" w14:textId="77777777" w:rsidR="00FA7C11" w:rsidRDefault="00D84965">
            <w:pPr>
              <w:pStyle w:val="P68B1DB1-Normal102"/>
              <w:spacing w:line="276" w:lineRule="auto"/>
              <w:jc w:val="center"/>
              <w:rPr>
                <w:noProof/>
              </w:rPr>
            </w:pPr>
            <w:r>
              <w:rPr>
                <w:noProof/>
              </w:rPr>
              <w:t>6</w:t>
            </w:r>
          </w:p>
        </w:tc>
        <w:tc>
          <w:tcPr>
            <w:tcW w:w="613" w:type="dxa"/>
            <w:shd w:val="clear" w:color="auto" w:fill="C6EFCE"/>
            <w:noWrap/>
          </w:tcPr>
          <w:p w14:paraId="5DBC03EE" w14:textId="77777777" w:rsidR="00FA7C11" w:rsidRDefault="00D84965">
            <w:pPr>
              <w:pStyle w:val="P68B1DB1-Normal102"/>
              <w:spacing w:line="276" w:lineRule="auto"/>
              <w:jc w:val="center"/>
              <w:rPr>
                <w:noProof/>
              </w:rPr>
            </w:pPr>
            <w:r>
              <w:rPr>
                <w:noProof/>
              </w:rPr>
              <w:t>Î4</w:t>
            </w:r>
          </w:p>
        </w:tc>
        <w:tc>
          <w:tcPr>
            <w:tcW w:w="992" w:type="dxa"/>
            <w:shd w:val="clear" w:color="auto" w:fill="C6EFCE"/>
            <w:noWrap/>
          </w:tcPr>
          <w:p w14:paraId="10EFB8FA" w14:textId="77777777" w:rsidR="00FA7C11" w:rsidRDefault="00D84965">
            <w:pPr>
              <w:pStyle w:val="P68B1DB1-Normal102"/>
              <w:spacing w:line="276" w:lineRule="auto"/>
              <w:jc w:val="center"/>
              <w:rPr>
                <w:noProof/>
              </w:rPr>
            </w:pPr>
            <w:r>
              <w:rPr>
                <w:noProof/>
              </w:rPr>
              <w:t>2025</w:t>
            </w:r>
          </w:p>
        </w:tc>
        <w:tc>
          <w:tcPr>
            <w:tcW w:w="3979" w:type="dxa"/>
            <w:shd w:val="clear" w:color="auto" w:fill="C6EFCE"/>
            <w:noWrap/>
          </w:tcPr>
          <w:p w14:paraId="5797F76E" w14:textId="77777777" w:rsidR="00FA7C11" w:rsidRDefault="00D84965">
            <w:pPr>
              <w:pStyle w:val="P68B1DB1-Normal102"/>
              <w:spacing w:line="276" w:lineRule="auto"/>
              <w:rPr>
                <w:noProof/>
              </w:rPr>
            </w:pPr>
            <w:r>
              <w:rPr>
                <w:noProof/>
              </w:rPr>
              <w:t xml:space="preserve">Pe baza modelului de reorganizare a instituțiilor de învățământ superior și a institutelor științifice elaborat de experți externi independenți și adoptat de Ministerul Științei, Educației și Tineretului în dialog cu mediul academic și cu partenerii sociali, se finalizează cel puțin șase (6) reorganizări ale instituțiilor de învățământ superior și ale institutelor științifice, implicând cel puțin douăsprezece (12) instituții de învățământ superior și institute științifice. </w:t>
            </w:r>
          </w:p>
        </w:tc>
      </w:tr>
      <w:tr w:rsidR="00FA7C11" w14:paraId="2EB346DA" w14:textId="77777777">
        <w:trPr>
          <w:trHeight w:val="283"/>
          <w:jc w:val="center"/>
        </w:trPr>
        <w:tc>
          <w:tcPr>
            <w:tcW w:w="768" w:type="dxa"/>
            <w:shd w:val="clear" w:color="auto" w:fill="C6EFCE"/>
            <w:noWrap/>
          </w:tcPr>
          <w:p w14:paraId="12B27C67" w14:textId="77777777" w:rsidR="00FA7C11" w:rsidRDefault="00D84965">
            <w:pPr>
              <w:pStyle w:val="P68B1DB1-Normal102"/>
              <w:spacing w:line="276" w:lineRule="auto"/>
              <w:jc w:val="center"/>
              <w:rPr>
                <w:noProof/>
              </w:rPr>
            </w:pPr>
            <w:r>
              <w:rPr>
                <w:noProof/>
              </w:rPr>
              <w:t>281</w:t>
            </w:r>
          </w:p>
        </w:tc>
        <w:tc>
          <w:tcPr>
            <w:tcW w:w="1637" w:type="dxa"/>
            <w:shd w:val="clear" w:color="auto" w:fill="C6EFCE"/>
            <w:noWrap/>
          </w:tcPr>
          <w:p w14:paraId="645B39AE" w14:textId="77777777" w:rsidR="00FA7C11" w:rsidRDefault="00D84965">
            <w:pPr>
              <w:pStyle w:val="P68B1DB1-Normal102"/>
              <w:spacing w:line="276" w:lineRule="auto"/>
              <w:jc w:val="center"/>
              <w:rPr>
                <w:noProof/>
              </w:rPr>
            </w:pPr>
            <w:r>
              <w:rPr>
                <w:noProof/>
              </w:rPr>
              <w:t>C3.2. R2</w:t>
            </w:r>
          </w:p>
        </w:tc>
        <w:tc>
          <w:tcPr>
            <w:tcW w:w="1070" w:type="dxa"/>
            <w:shd w:val="clear" w:color="auto" w:fill="C6EFCE"/>
            <w:noWrap/>
          </w:tcPr>
          <w:p w14:paraId="1AC0C63E" w14:textId="77777777" w:rsidR="00FA7C11" w:rsidRDefault="00D84965">
            <w:pPr>
              <w:pStyle w:val="P68B1DB1-Normal102"/>
              <w:spacing w:line="276" w:lineRule="auto"/>
              <w:jc w:val="center"/>
              <w:rPr>
                <w:noProof/>
              </w:rPr>
            </w:pPr>
            <w:r>
              <w:rPr>
                <w:noProof/>
              </w:rPr>
              <w:t>M</w:t>
            </w:r>
          </w:p>
        </w:tc>
        <w:tc>
          <w:tcPr>
            <w:tcW w:w="1799" w:type="dxa"/>
            <w:shd w:val="clear" w:color="auto" w:fill="C6EFCE"/>
            <w:noWrap/>
          </w:tcPr>
          <w:p w14:paraId="7081FFED" w14:textId="77777777" w:rsidR="00FA7C11" w:rsidRDefault="00D84965">
            <w:pPr>
              <w:pStyle w:val="P68B1DB1-Normal102"/>
              <w:spacing w:line="276" w:lineRule="auto"/>
              <w:rPr>
                <w:noProof/>
              </w:rPr>
            </w:pPr>
            <w:r>
              <w:rPr>
                <w:noProof/>
              </w:rPr>
              <w:t xml:space="preserve">Noul cadru juridic care reglementează cerințele de calitate pentru programele de studii, studiile doctorale și condițiile de muncă pentru instituțiile științifice </w:t>
            </w:r>
          </w:p>
        </w:tc>
        <w:tc>
          <w:tcPr>
            <w:tcW w:w="1462" w:type="dxa"/>
            <w:shd w:val="clear" w:color="auto" w:fill="C6EFCE"/>
            <w:noWrap/>
          </w:tcPr>
          <w:p w14:paraId="46442B45" w14:textId="77777777" w:rsidR="00FA7C11" w:rsidRDefault="00D84965">
            <w:pPr>
              <w:pStyle w:val="P68B1DB1-Normal102"/>
              <w:spacing w:line="276" w:lineRule="auto"/>
              <w:rPr>
                <w:noProof/>
              </w:rPr>
            </w:pPr>
            <w:r>
              <w:rPr>
                <w:noProof/>
              </w:rPr>
              <w:t xml:space="preserve">Intrarea în vigoare a unui nou cadru juridic </w:t>
            </w:r>
          </w:p>
        </w:tc>
        <w:tc>
          <w:tcPr>
            <w:tcW w:w="1134" w:type="dxa"/>
            <w:shd w:val="clear" w:color="auto" w:fill="C6EFCE"/>
            <w:noWrap/>
          </w:tcPr>
          <w:p w14:paraId="403CDFCA" w14:textId="77777777" w:rsidR="00FA7C11" w:rsidRDefault="00D84965">
            <w:pPr>
              <w:pStyle w:val="P68B1DB1-Normal102"/>
              <w:spacing w:line="276" w:lineRule="auto"/>
              <w:jc w:val="center"/>
              <w:rPr>
                <w:noProof/>
              </w:rPr>
            </w:pPr>
            <w:r>
              <w:rPr>
                <w:noProof/>
              </w:rPr>
              <w:t> </w:t>
            </w:r>
          </w:p>
        </w:tc>
        <w:tc>
          <w:tcPr>
            <w:tcW w:w="1006" w:type="dxa"/>
            <w:shd w:val="clear" w:color="auto" w:fill="C6EFCE"/>
            <w:noWrap/>
          </w:tcPr>
          <w:p w14:paraId="7A622D88" w14:textId="77777777" w:rsidR="00FA7C11" w:rsidRDefault="00D84965">
            <w:pPr>
              <w:pStyle w:val="P68B1DB1-Normal102"/>
              <w:spacing w:line="276" w:lineRule="auto"/>
              <w:jc w:val="center"/>
              <w:rPr>
                <w:noProof/>
              </w:rPr>
            </w:pPr>
            <w:r>
              <w:rPr>
                <w:noProof/>
              </w:rPr>
              <w:t> </w:t>
            </w:r>
          </w:p>
        </w:tc>
        <w:tc>
          <w:tcPr>
            <w:tcW w:w="1441" w:type="dxa"/>
            <w:shd w:val="clear" w:color="auto" w:fill="C6EFCE"/>
            <w:noWrap/>
          </w:tcPr>
          <w:p w14:paraId="2379C2DA" w14:textId="77777777" w:rsidR="00FA7C11" w:rsidRDefault="00D84965">
            <w:pPr>
              <w:pStyle w:val="P68B1DB1-Normal102"/>
              <w:spacing w:line="276" w:lineRule="auto"/>
              <w:jc w:val="center"/>
              <w:rPr>
                <w:noProof/>
              </w:rPr>
            </w:pPr>
            <w:r>
              <w:rPr>
                <w:noProof/>
              </w:rPr>
              <w:t> </w:t>
            </w:r>
          </w:p>
        </w:tc>
        <w:tc>
          <w:tcPr>
            <w:tcW w:w="613" w:type="dxa"/>
            <w:shd w:val="clear" w:color="auto" w:fill="C6EFCE"/>
            <w:noWrap/>
          </w:tcPr>
          <w:p w14:paraId="1134F632" w14:textId="77777777" w:rsidR="00FA7C11" w:rsidRDefault="00D84965">
            <w:pPr>
              <w:pStyle w:val="P68B1DB1-Normal102"/>
              <w:spacing w:line="276" w:lineRule="auto"/>
              <w:jc w:val="center"/>
              <w:rPr>
                <w:noProof/>
              </w:rPr>
            </w:pPr>
            <w:r>
              <w:rPr>
                <w:noProof/>
              </w:rPr>
              <w:t>Î3</w:t>
            </w:r>
          </w:p>
        </w:tc>
        <w:tc>
          <w:tcPr>
            <w:tcW w:w="992" w:type="dxa"/>
            <w:shd w:val="clear" w:color="auto" w:fill="C6EFCE"/>
            <w:noWrap/>
          </w:tcPr>
          <w:p w14:paraId="37D59D34" w14:textId="77777777" w:rsidR="00FA7C11" w:rsidRDefault="00D84965">
            <w:pPr>
              <w:pStyle w:val="P68B1DB1-Normal102"/>
              <w:spacing w:line="276" w:lineRule="auto"/>
              <w:jc w:val="center"/>
              <w:rPr>
                <w:noProof/>
              </w:rPr>
            </w:pPr>
            <w:r>
              <w:rPr>
                <w:noProof/>
              </w:rPr>
              <w:t>2022</w:t>
            </w:r>
          </w:p>
        </w:tc>
        <w:tc>
          <w:tcPr>
            <w:tcW w:w="3979" w:type="dxa"/>
            <w:shd w:val="clear" w:color="auto" w:fill="C6EFCE"/>
            <w:noWrap/>
          </w:tcPr>
          <w:p w14:paraId="18FCA0D8" w14:textId="77777777" w:rsidR="00FA7C11" w:rsidRDefault="00D84965">
            <w:pPr>
              <w:pStyle w:val="P68B1DB1-Normal89"/>
              <w:spacing w:line="276" w:lineRule="auto"/>
              <w:rPr>
                <w:noProof/>
              </w:rPr>
            </w:pPr>
            <w:r>
              <w:rPr>
                <w:noProof/>
                <w:color w:val="000000" w:themeColor="text1"/>
              </w:rPr>
              <w:t>Noul cadru juridic va oferi o bază pentru un nou sistem de promovare bazat pe excelență și pe o mai bună reglementare a dezvoltării carierei, permițând astfel condiții pentru atragerea și păstrarea cercetătorilor de calitate. Noul cadru juridic va permite tinerilor oameni de știință să prospere pe baza unor criterii de calitate științifice recunoscute la nivel internațional și cu mai puține bariere administrative. Acesta include formule flexibile de lucru pentru a promova recrutarea cercetătorilor cu responsabilități de îngrijire.</w:t>
            </w:r>
            <w:r>
              <w:rPr>
                <w:noProof/>
              </w:rPr>
              <w:br/>
            </w:r>
            <w:r>
              <w:rPr>
                <w:noProof/>
                <w:color w:val="000000" w:themeColor="text1"/>
              </w:rPr>
              <w:t>Noul cadru juridic constă în:</w:t>
            </w:r>
            <w:r>
              <w:rPr>
                <w:noProof/>
              </w:rPr>
              <w:br/>
            </w:r>
            <w:r>
              <w:rPr>
                <w:noProof/>
                <w:color w:val="000000" w:themeColor="text1"/>
              </w:rPr>
              <w:t xml:space="preserve">1) noua Lege privind asigurarea calității în știință și în învățământul superior </w:t>
            </w:r>
            <w:r>
              <w:rPr>
                <w:noProof/>
              </w:rPr>
              <w:br/>
              <w:t xml:space="preserve"> </w:t>
            </w:r>
            <w:r>
              <w:rPr>
                <w:noProof/>
                <w:color w:val="000000" w:themeColor="text1"/>
              </w:rPr>
              <w:t>2) Ordonanța privind condițiile de selecție pentru titlurile științifice</w:t>
            </w:r>
          </w:p>
        </w:tc>
      </w:tr>
      <w:tr w:rsidR="00FA7C11" w14:paraId="59152EBB" w14:textId="77777777">
        <w:trPr>
          <w:trHeight w:val="283"/>
          <w:jc w:val="center"/>
        </w:trPr>
        <w:tc>
          <w:tcPr>
            <w:tcW w:w="768" w:type="dxa"/>
            <w:shd w:val="clear" w:color="auto" w:fill="C6EFCE"/>
            <w:noWrap/>
          </w:tcPr>
          <w:p w14:paraId="2EB1DE81" w14:textId="77777777" w:rsidR="00FA7C11" w:rsidRDefault="00D84965">
            <w:pPr>
              <w:pStyle w:val="P68B1DB1-Normal102"/>
              <w:spacing w:line="276" w:lineRule="auto"/>
              <w:jc w:val="center"/>
              <w:rPr>
                <w:noProof/>
              </w:rPr>
            </w:pPr>
            <w:r>
              <w:rPr>
                <w:noProof/>
              </w:rPr>
              <w:t>282</w:t>
            </w:r>
          </w:p>
        </w:tc>
        <w:tc>
          <w:tcPr>
            <w:tcW w:w="1637" w:type="dxa"/>
            <w:shd w:val="clear" w:color="auto" w:fill="C6EFCE"/>
            <w:noWrap/>
          </w:tcPr>
          <w:p w14:paraId="78B1D560" w14:textId="77777777" w:rsidR="00FA7C11" w:rsidRDefault="00D84965">
            <w:pPr>
              <w:pStyle w:val="P68B1DB1-Normal102"/>
              <w:spacing w:line="276" w:lineRule="auto"/>
              <w:jc w:val="center"/>
              <w:rPr>
                <w:noProof/>
              </w:rPr>
            </w:pPr>
            <w:r>
              <w:rPr>
                <w:noProof/>
              </w:rPr>
              <w:t>C3.2. R2-I1</w:t>
            </w:r>
          </w:p>
        </w:tc>
        <w:tc>
          <w:tcPr>
            <w:tcW w:w="1070" w:type="dxa"/>
            <w:shd w:val="clear" w:color="auto" w:fill="C6EFCE"/>
            <w:noWrap/>
          </w:tcPr>
          <w:p w14:paraId="5953ADE6" w14:textId="77777777" w:rsidR="00FA7C11" w:rsidRDefault="00D84965">
            <w:pPr>
              <w:pStyle w:val="P68B1DB1-Normal102"/>
              <w:spacing w:line="276" w:lineRule="auto"/>
              <w:jc w:val="center"/>
              <w:rPr>
                <w:noProof/>
              </w:rPr>
            </w:pPr>
            <w:r>
              <w:rPr>
                <w:noProof/>
              </w:rPr>
              <w:t>T</w:t>
            </w:r>
          </w:p>
        </w:tc>
        <w:tc>
          <w:tcPr>
            <w:tcW w:w="1799" w:type="dxa"/>
            <w:shd w:val="clear" w:color="auto" w:fill="C6EFCE"/>
            <w:noWrap/>
          </w:tcPr>
          <w:p w14:paraId="7A432B4A" w14:textId="2B6E24D5" w:rsidR="00FA7C11" w:rsidRDefault="00D84965">
            <w:pPr>
              <w:pStyle w:val="P68B1DB1-Normal102"/>
              <w:spacing w:line="276" w:lineRule="auto"/>
              <w:rPr>
                <w:noProof/>
              </w:rPr>
            </w:pPr>
            <w:r>
              <w:rPr>
                <w:noProof/>
              </w:rPr>
              <w:t xml:space="preserve">Granturi acordate în temeiul cadrului de programare pentru creșterea disponibilității și a capacității de inserție profesională a absolvenților în domeniile STIM/TIC și pentru îmbunătățirea mobilității acestora pentru cooperarea națională și internațională </w:t>
            </w:r>
          </w:p>
        </w:tc>
        <w:tc>
          <w:tcPr>
            <w:tcW w:w="1462" w:type="dxa"/>
            <w:shd w:val="clear" w:color="auto" w:fill="C6EFCE"/>
            <w:noWrap/>
          </w:tcPr>
          <w:p w14:paraId="7DE0B4CF" w14:textId="77777777" w:rsidR="00FA7C11" w:rsidRDefault="00D84965">
            <w:pPr>
              <w:pStyle w:val="P68B1DB1-Normal102"/>
              <w:spacing w:line="276" w:lineRule="auto"/>
              <w:rPr>
                <w:noProof/>
              </w:rPr>
            </w:pPr>
            <w:r>
              <w:rPr>
                <w:noProof/>
              </w:rPr>
              <w:t xml:space="preserve"> </w:t>
            </w:r>
          </w:p>
        </w:tc>
        <w:tc>
          <w:tcPr>
            <w:tcW w:w="1134" w:type="dxa"/>
            <w:shd w:val="clear" w:color="auto" w:fill="C6EFCE"/>
            <w:noWrap/>
          </w:tcPr>
          <w:p w14:paraId="30855E04" w14:textId="77777777" w:rsidR="00FA7C11" w:rsidRDefault="00D84965">
            <w:pPr>
              <w:pStyle w:val="P68B1DB1-Normal102"/>
              <w:spacing w:line="276" w:lineRule="auto"/>
              <w:jc w:val="center"/>
              <w:rPr>
                <w:noProof/>
              </w:rPr>
            </w:pPr>
            <w:r>
              <w:rPr>
                <w:noProof/>
              </w:rPr>
              <w:t>Număr</w:t>
            </w:r>
          </w:p>
        </w:tc>
        <w:tc>
          <w:tcPr>
            <w:tcW w:w="1006" w:type="dxa"/>
            <w:shd w:val="clear" w:color="auto" w:fill="C6EFCE"/>
            <w:noWrap/>
          </w:tcPr>
          <w:p w14:paraId="077479D3" w14:textId="77777777" w:rsidR="00FA7C11" w:rsidRDefault="00D84965">
            <w:pPr>
              <w:pStyle w:val="P68B1DB1-Normal102"/>
              <w:spacing w:line="276" w:lineRule="auto"/>
              <w:jc w:val="center"/>
              <w:rPr>
                <w:noProof/>
              </w:rPr>
            </w:pPr>
            <w:r>
              <w:rPr>
                <w:noProof/>
              </w:rPr>
              <w:t>0</w:t>
            </w:r>
          </w:p>
        </w:tc>
        <w:tc>
          <w:tcPr>
            <w:tcW w:w="1441" w:type="dxa"/>
            <w:shd w:val="clear" w:color="auto" w:fill="C6EFCE"/>
            <w:noWrap/>
          </w:tcPr>
          <w:p w14:paraId="1A725A3D" w14:textId="77777777" w:rsidR="00FA7C11" w:rsidRDefault="00D84965">
            <w:pPr>
              <w:pStyle w:val="P68B1DB1-Normal102"/>
              <w:spacing w:line="276" w:lineRule="auto"/>
              <w:jc w:val="center"/>
              <w:rPr>
                <w:noProof/>
              </w:rPr>
            </w:pPr>
            <w:r>
              <w:rPr>
                <w:noProof/>
              </w:rPr>
              <w:t>3 354</w:t>
            </w:r>
          </w:p>
        </w:tc>
        <w:tc>
          <w:tcPr>
            <w:tcW w:w="613" w:type="dxa"/>
            <w:shd w:val="clear" w:color="auto" w:fill="C6EFCE"/>
            <w:noWrap/>
          </w:tcPr>
          <w:p w14:paraId="2FFC8DAF" w14:textId="77777777" w:rsidR="00FA7C11" w:rsidRDefault="00D84965">
            <w:pPr>
              <w:pStyle w:val="P68B1DB1-Normal102"/>
              <w:spacing w:line="276" w:lineRule="auto"/>
              <w:jc w:val="center"/>
              <w:rPr>
                <w:noProof/>
              </w:rPr>
            </w:pPr>
            <w:r>
              <w:rPr>
                <w:noProof/>
              </w:rPr>
              <w:t>Î1</w:t>
            </w:r>
          </w:p>
        </w:tc>
        <w:tc>
          <w:tcPr>
            <w:tcW w:w="992" w:type="dxa"/>
            <w:shd w:val="clear" w:color="auto" w:fill="C6EFCE"/>
            <w:noWrap/>
          </w:tcPr>
          <w:p w14:paraId="06D43CE8" w14:textId="77777777" w:rsidR="00FA7C11" w:rsidRDefault="00D84965">
            <w:pPr>
              <w:pStyle w:val="P68B1DB1-Normal102"/>
              <w:spacing w:line="276" w:lineRule="auto"/>
              <w:jc w:val="center"/>
              <w:rPr>
                <w:noProof/>
              </w:rPr>
            </w:pPr>
            <w:r>
              <w:rPr>
                <w:noProof/>
              </w:rPr>
              <w:t>2025</w:t>
            </w:r>
          </w:p>
        </w:tc>
        <w:tc>
          <w:tcPr>
            <w:tcW w:w="3979" w:type="dxa"/>
            <w:shd w:val="clear" w:color="auto" w:fill="C6EFCE"/>
            <w:noWrap/>
          </w:tcPr>
          <w:p w14:paraId="17314AF4" w14:textId="79788302" w:rsidR="00FA7C11" w:rsidRDefault="00D84965">
            <w:pPr>
              <w:pStyle w:val="P68B1DB1-Normal89"/>
              <w:spacing w:line="276" w:lineRule="auto"/>
              <w:rPr>
                <w:noProof/>
                <w:color w:val="000000" w:themeColor="text1"/>
              </w:rPr>
            </w:pPr>
            <w:r>
              <w:rPr>
                <w:noProof/>
                <w:color w:val="000000" w:themeColor="text1"/>
              </w:rPr>
              <w:t>Cel puțin 3 354 granturi se acordă prin decizii privind finanțarea proiectelor de către Ministerul Științei, Educației și Tineretului, în temeiul noului cadru de finanțare a programelor</w:t>
            </w:r>
            <w:r>
              <w:rPr>
                <w:noProof/>
              </w:rPr>
              <w:t xml:space="preserve"> de cercetare care se axează pe recompensarea excelenței în cercetare, pe cooperarea cu industria și pe cooperarea internațională. Cadrul include granturi pentru: (I) burse în domeniile STIM și TIC; (II) un program pentru tinerii cercetători; (III) un program privind linia de proprietate; (IV) un program de mobilitate; (V) înființarea/divizarea unor întreprinderi de către tineri cercetători; și (vi) un program de stagii pentru antreprenoriat. </w:t>
            </w:r>
          </w:p>
        </w:tc>
      </w:tr>
      <w:tr w:rsidR="00FA7C11" w14:paraId="65D8B547" w14:textId="77777777">
        <w:trPr>
          <w:trHeight w:val="283"/>
          <w:jc w:val="center"/>
        </w:trPr>
        <w:tc>
          <w:tcPr>
            <w:tcW w:w="768" w:type="dxa"/>
            <w:shd w:val="clear" w:color="auto" w:fill="C6EFCE"/>
            <w:noWrap/>
          </w:tcPr>
          <w:p w14:paraId="1CAEAFB3" w14:textId="77777777" w:rsidR="00FA7C11" w:rsidRDefault="00D84965">
            <w:pPr>
              <w:pStyle w:val="P68B1DB1-Normal102"/>
              <w:spacing w:line="276" w:lineRule="auto"/>
              <w:jc w:val="center"/>
              <w:rPr>
                <w:noProof/>
              </w:rPr>
            </w:pPr>
            <w:r>
              <w:rPr>
                <w:noProof/>
              </w:rPr>
              <w:t>283</w:t>
            </w:r>
          </w:p>
        </w:tc>
        <w:tc>
          <w:tcPr>
            <w:tcW w:w="1637" w:type="dxa"/>
            <w:shd w:val="clear" w:color="auto" w:fill="C6EFCE"/>
            <w:noWrap/>
          </w:tcPr>
          <w:p w14:paraId="749731DA" w14:textId="77777777" w:rsidR="00FA7C11" w:rsidRDefault="00D84965">
            <w:pPr>
              <w:pStyle w:val="P68B1DB1-Normal102"/>
              <w:spacing w:line="276" w:lineRule="auto"/>
              <w:jc w:val="center"/>
              <w:rPr>
                <w:noProof/>
              </w:rPr>
            </w:pPr>
            <w:r>
              <w:rPr>
                <w:noProof/>
              </w:rPr>
              <w:t>C3.2. R2-I2</w:t>
            </w:r>
          </w:p>
        </w:tc>
        <w:tc>
          <w:tcPr>
            <w:tcW w:w="1070" w:type="dxa"/>
            <w:shd w:val="clear" w:color="auto" w:fill="C6EFCE"/>
            <w:noWrap/>
          </w:tcPr>
          <w:p w14:paraId="67607181" w14:textId="77777777" w:rsidR="00FA7C11" w:rsidRDefault="00D84965">
            <w:pPr>
              <w:pStyle w:val="P68B1DB1-Normal102"/>
              <w:spacing w:line="276" w:lineRule="auto"/>
              <w:jc w:val="center"/>
              <w:rPr>
                <w:noProof/>
              </w:rPr>
            </w:pPr>
            <w:r>
              <w:rPr>
                <w:noProof/>
              </w:rPr>
              <w:t>T</w:t>
            </w:r>
          </w:p>
        </w:tc>
        <w:tc>
          <w:tcPr>
            <w:tcW w:w="1799" w:type="dxa"/>
            <w:shd w:val="clear" w:color="auto" w:fill="C6EFCE"/>
            <w:noWrap/>
          </w:tcPr>
          <w:p w14:paraId="79EF3EB2" w14:textId="7AAEF524" w:rsidR="00FA7C11" w:rsidRDefault="00D84965">
            <w:pPr>
              <w:pStyle w:val="P68B1DB1-Normal102"/>
              <w:spacing w:line="276" w:lineRule="auto"/>
              <w:rPr>
                <w:noProof/>
              </w:rPr>
            </w:pPr>
            <w:r>
              <w:rPr>
                <w:noProof/>
              </w:rPr>
              <w:t>Proiecte de infrastructură pentru cercetare aplicată și specifică</w:t>
            </w:r>
          </w:p>
        </w:tc>
        <w:tc>
          <w:tcPr>
            <w:tcW w:w="1462" w:type="dxa"/>
            <w:shd w:val="clear" w:color="auto" w:fill="C6EFCE"/>
            <w:noWrap/>
          </w:tcPr>
          <w:p w14:paraId="6A4534E3" w14:textId="77777777" w:rsidR="00FA7C11" w:rsidRDefault="00D84965">
            <w:pPr>
              <w:pStyle w:val="P68B1DB1-Normal102"/>
              <w:spacing w:line="276" w:lineRule="auto"/>
              <w:rPr>
                <w:noProof/>
              </w:rPr>
            </w:pPr>
            <w:r>
              <w:rPr>
                <w:noProof/>
              </w:rPr>
              <w:t xml:space="preserve"> </w:t>
            </w:r>
          </w:p>
        </w:tc>
        <w:tc>
          <w:tcPr>
            <w:tcW w:w="1134" w:type="dxa"/>
            <w:shd w:val="clear" w:color="auto" w:fill="C6EFCE"/>
            <w:noWrap/>
          </w:tcPr>
          <w:p w14:paraId="7C0ADCFA" w14:textId="77777777" w:rsidR="00FA7C11" w:rsidRDefault="00D84965">
            <w:pPr>
              <w:pStyle w:val="P68B1DB1-Normal102"/>
              <w:spacing w:line="276" w:lineRule="auto"/>
              <w:jc w:val="center"/>
              <w:rPr>
                <w:noProof/>
              </w:rPr>
            </w:pPr>
            <w:r>
              <w:rPr>
                <w:noProof/>
              </w:rPr>
              <w:t>Număr</w:t>
            </w:r>
          </w:p>
        </w:tc>
        <w:tc>
          <w:tcPr>
            <w:tcW w:w="1006" w:type="dxa"/>
            <w:shd w:val="clear" w:color="auto" w:fill="C6EFCE"/>
            <w:noWrap/>
          </w:tcPr>
          <w:p w14:paraId="47CC4DF8" w14:textId="77777777" w:rsidR="00FA7C11" w:rsidRDefault="00D84965">
            <w:pPr>
              <w:pStyle w:val="P68B1DB1-Normal102"/>
              <w:spacing w:line="276" w:lineRule="auto"/>
              <w:jc w:val="center"/>
              <w:rPr>
                <w:noProof/>
              </w:rPr>
            </w:pPr>
            <w:r>
              <w:rPr>
                <w:noProof/>
              </w:rPr>
              <w:t>0</w:t>
            </w:r>
          </w:p>
        </w:tc>
        <w:tc>
          <w:tcPr>
            <w:tcW w:w="1441" w:type="dxa"/>
            <w:shd w:val="clear" w:color="auto" w:fill="C6EFCE"/>
            <w:noWrap/>
          </w:tcPr>
          <w:p w14:paraId="03D7F359" w14:textId="77777777" w:rsidR="00FA7C11" w:rsidRDefault="00D84965">
            <w:pPr>
              <w:pStyle w:val="P68B1DB1-Normal102"/>
              <w:spacing w:line="276" w:lineRule="auto"/>
              <w:jc w:val="center"/>
              <w:rPr>
                <w:noProof/>
              </w:rPr>
            </w:pPr>
            <w:r>
              <w:rPr>
                <w:noProof/>
              </w:rPr>
              <w:t>6</w:t>
            </w:r>
          </w:p>
        </w:tc>
        <w:tc>
          <w:tcPr>
            <w:tcW w:w="613" w:type="dxa"/>
            <w:shd w:val="clear" w:color="auto" w:fill="C6EFCE"/>
            <w:noWrap/>
          </w:tcPr>
          <w:p w14:paraId="0E9F3F0E" w14:textId="77777777" w:rsidR="00FA7C11" w:rsidRDefault="00D84965">
            <w:pPr>
              <w:pStyle w:val="P68B1DB1-Normal102"/>
              <w:spacing w:line="276" w:lineRule="auto"/>
              <w:jc w:val="center"/>
              <w:rPr>
                <w:noProof/>
              </w:rPr>
            </w:pPr>
            <w:r>
              <w:rPr>
                <w:noProof/>
              </w:rPr>
              <w:t>Î2</w:t>
            </w:r>
          </w:p>
        </w:tc>
        <w:tc>
          <w:tcPr>
            <w:tcW w:w="992" w:type="dxa"/>
            <w:shd w:val="clear" w:color="auto" w:fill="C6EFCE"/>
            <w:noWrap/>
          </w:tcPr>
          <w:p w14:paraId="0E42A586" w14:textId="77777777" w:rsidR="00FA7C11" w:rsidRDefault="00D84965">
            <w:pPr>
              <w:pStyle w:val="P68B1DB1-Normal102"/>
              <w:spacing w:line="276" w:lineRule="auto"/>
              <w:jc w:val="center"/>
              <w:rPr>
                <w:noProof/>
              </w:rPr>
            </w:pPr>
            <w:r>
              <w:rPr>
                <w:noProof/>
              </w:rPr>
              <w:t>2026</w:t>
            </w:r>
          </w:p>
        </w:tc>
        <w:tc>
          <w:tcPr>
            <w:tcW w:w="3979" w:type="dxa"/>
            <w:shd w:val="clear" w:color="auto" w:fill="C6EFCE"/>
            <w:noWrap/>
          </w:tcPr>
          <w:p w14:paraId="2DD4CA51" w14:textId="76653A11" w:rsidR="00FA7C11" w:rsidRDefault="00D84965">
            <w:pPr>
              <w:pStyle w:val="P68B1DB1-Normal89"/>
              <w:spacing w:line="276" w:lineRule="auto"/>
              <w:rPr>
                <w:noProof/>
              </w:rPr>
            </w:pPr>
            <w:r>
              <w:rPr>
                <w:noProof/>
              </w:rPr>
              <w:t xml:space="preserve">Vor fi finalizate </w:t>
            </w:r>
            <w:r>
              <w:rPr>
                <w:noProof/>
                <w:color w:val="000000" w:themeColor="text1"/>
              </w:rPr>
              <w:t xml:space="preserve">șase proiecte de infrastructură științifico-tehnologică pentru cercetare aplicată și specifică în domeniile STIM și TIC, sprijinind transformarea digitală și implicând tineri cercetători. Infrastructura </w:t>
            </w:r>
            <w:r>
              <w:rPr>
                <w:noProof/>
              </w:rPr>
              <w:t xml:space="preserve">se bazează pe principiile inovării deschise și sprijină în mod direct domeniile tehnologiilor curate și tranziția verde și cea digitală. </w:t>
            </w:r>
          </w:p>
          <w:p w14:paraId="57624796" w14:textId="77777777" w:rsidR="00FA7C11" w:rsidRDefault="00D84965">
            <w:pPr>
              <w:pStyle w:val="P68B1DB1-Normal89"/>
              <w:framePr w:hSpace="180" w:wrap="around" w:vAnchor="text" w:hAnchor="text" w:xAlign="center" w:y="1"/>
              <w:spacing w:after="0" w:line="276" w:lineRule="auto"/>
              <w:suppressOverlap/>
              <w:rPr>
                <w:noProof/>
              </w:rPr>
            </w:pPr>
            <w:r>
              <w:rPr>
                <w:noProof/>
              </w:rPr>
              <w:t>Se acordă cel puțin 3 222 325 EUR pentru trei dintre cele șase proiecte de infrastructură științifico-tehnologică, și anume:</w:t>
            </w:r>
          </w:p>
          <w:p w14:paraId="70612E3D" w14:textId="77777777" w:rsidR="00FA7C11" w:rsidRDefault="00D84965">
            <w:pPr>
              <w:pStyle w:val="P68B1DB1-Normal89"/>
              <w:numPr>
                <w:ilvl w:val="0"/>
                <w:numId w:val="71"/>
              </w:numPr>
              <w:spacing w:before="120" w:after="120" w:line="276" w:lineRule="auto"/>
              <w:rPr>
                <w:noProof/>
              </w:rPr>
            </w:pPr>
            <w:r>
              <w:rPr>
                <w:noProof/>
              </w:rPr>
              <w:t>Marmură inteligentă Marina</w:t>
            </w:r>
          </w:p>
          <w:p w14:paraId="5B37D7D0" w14:textId="77777777" w:rsidR="00FA7C11" w:rsidRDefault="00D84965">
            <w:pPr>
              <w:pStyle w:val="P68B1DB1-Normal89"/>
              <w:numPr>
                <w:ilvl w:val="0"/>
                <w:numId w:val="71"/>
              </w:numPr>
              <w:spacing w:before="120" w:after="120" w:line="276" w:lineRule="auto"/>
              <w:rPr>
                <w:noProof/>
              </w:rPr>
            </w:pPr>
            <w:r>
              <w:rPr>
                <w:noProof/>
              </w:rPr>
              <w:t>Marmură Fermă musulmană inteligentă</w:t>
            </w:r>
          </w:p>
          <w:p w14:paraId="085F37EF" w14:textId="77777777" w:rsidR="00FA7C11" w:rsidRDefault="00D84965">
            <w:pPr>
              <w:pStyle w:val="P68B1DB1-Normal89"/>
              <w:numPr>
                <w:ilvl w:val="0"/>
                <w:numId w:val="71"/>
              </w:numPr>
              <w:spacing w:before="120" w:after="120" w:line="276" w:lineRule="auto"/>
              <w:rPr>
                <w:noProof/>
              </w:rPr>
            </w:pPr>
            <w:r>
              <w:rPr>
                <w:noProof/>
              </w:rPr>
              <w:t>Sit de exploatare a vehiculelor maritime autonome de marmură</w:t>
            </w:r>
          </w:p>
          <w:p w14:paraId="47F1787B" w14:textId="36A1D7E1" w:rsidR="00FA7C11" w:rsidRDefault="00D84965">
            <w:pPr>
              <w:pStyle w:val="P68B1DB1-Normal89"/>
              <w:spacing w:line="276" w:lineRule="auto"/>
              <w:rPr>
                <w:noProof/>
              </w:rPr>
            </w:pPr>
            <w:r>
              <w:rPr>
                <w:noProof/>
              </w:rPr>
              <w:t xml:space="preserve">pentru a sprijini exclusiv elementele definite în pachetul de lucru 3: „Infrastructură și echipamente” ale proiectului MARBLE. Eventualele cuantumuri furnizate de alte programe sau instrumente ale Uniunii nu sunt luate în considerare la calcularea acestei sume. </w:t>
            </w:r>
          </w:p>
          <w:p w14:paraId="15A7EA6B" w14:textId="77777777" w:rsidR="00FA7C11" w:rsidRDefault="00D84965">
            <w:pPr>
              <w:pStyle w:val="P68B1DB1-Normal89"/>
              <w:spacing w:line="276" w:lineRule="auto"/>
              <w:rPr>
                <w:noProof/>
              </w:rPr>
            </w:pPr>
            <w:r>
              <w:rPr>
                <w:noProof/>
              </w:rPr>
              <w:t>Deciziile privind finanțarea de către Ministerul Științei, Educației și Tineretului, împreună cu extrasele din sistemul contabil național care prezintă sumele alocate și liniile bugetare din care se poate face distincția între sursele de finanțare utilizate pentru diferitele părți și activități ale fiecăruia dintre cele 3 proiecte (MARBLE Smart Marina, MARBLE Smart Mussel Farm, MARBLE Autonomous Marine Vehicle Operation site), se furnizează la depunerea cererii de plată relevante.</w:t>
            </w:r>
          </w:p>
        </w:tc>
      </w:tr>
      <w:tr w:rsidR="00FA7C11" w14:paraId="7EDCADE8" w14:textId="77777777">
        <w:trPr>
          <w:trHeight w:val="283"/>
          <w:jc w:val="center"/>
        </w:trPr>
        <w:tc>
          <w:tcPr>
            <w:tcW w:w="768" w:type="dxa"/>
            <w:shd w:val="clear" w:color="auto" w:fill="C6EFCE"/>
            <w:noWrap/>
          </w:tcPr>
          <w:p w14:paraId="45AF5DA7" w14:textId="77777777" w:rsidR="00FA7C11" w:rsidRDefault="00D84965">
            <w:pPr>
              <w:pStyle w:val="P68B1DB1-Normal102"/>
              <w:spacing w:line="276" w:lineRule="auto"/>
              <w:jc w:val="center"/>
              <w:rPr>
                <w:noProof/>
              </w:rPr>
            </w:pPr>
            <w:r>
              <w:rPr>
                <w:noProof/>
              </w:rPr>
              <w:t>284</w:t>
            </w:r>
          </w:p>
        </w:tc>
        <w:tc>
          <w:tcPr>
            <w:tcW w:w="1637" w:type="dxa"/>
            <w:shd w:val="clear" w:color="auto" w:fill="C6EFCE"/>
            <w:noWrap/>
          </w:tcPr>
          <w:p w14:paraId="73A8A8FB" w14:textId="77777777" w:rsidR="00FA7C11" w:rsidRDefault="00D84965">
            <w:pPr>
              <w:pStyle w:val="P68B1DB1-Normal102"/>
              <w:spacing w:line="276" w:lineRule="auto"/>
              <w:jc w:val="center"/>
              <w:rPr>
                <w:noProof/>
              </w:rPr>
            </w:pPr>
            <w:r>
              <w:rPr>
                <w:noProof/>
              </w:rPr>
              <w:t>C3.2. R3</w:t>
            </w:r>
          </w:p>
        </w:tc>
        <w:tc>
          <w:tcPr>
            <w:tcW w:w="1070" w:type="dxa"/>
            <w:shd w:val="clear" w:color="auto" w:fill="C6EFCE"/>
            <w:noWrap/>
          </w:tcPr>
          <w:p w14:paraId="286792CE" w14:textId="77777777" w:rsidR="00FA7C11" w:rsidRDefault="00D84965">
            <w:pPr>
              <w:pStyle w:val="P68B1DB1-Normal102"/>
              <w:spacing w:line="276" w:lineRule="auto"/>
              <w:jc w:val="center"/>
              <w:rPr>
                <w:noProof/>
              </w:rPr>
            </w:pPr>
            <w:r>
              <w:rPr>
                <w:noProof/>
              </w:rPr>
              <w:t>M</w:t>
            </w:r>
          </w:p>
        </w:tc>
        <w:tc>
          <w:tcPr>
            <w:tcW w:w="1799" w:type="dxa"/>
            <w:shd w:val="clear" w:color="auto" w:fill="C6EFCE"/>
            <w:noWrap/>
          </w:tcPr>
          <w:p w14:paraId="2877B8C9" w14:textId="77777777" w:rsidR="00FA7C11" w:rsidRDefault="00D84965">
            <w:pPr>
              <w:pStyle w:val="P68B1DB1-Normal102"/>
              <w:spacing w:line="276" w:lineRule="auto"/>
              <w:rPr>
                <w:noProof/>
              </w:rPr>
            </w:pPr>
            <w:r>
              <w:rPr>
                <w:noProof/>
              </w:rPr>
              <w:t>O nouă lege privind Fundația croată pentru știință</w:t>
            </w:r>
          </w:p>
        </w:tc>
        <w:tc>
          <w:tcPr>
            <w:tcW w:w="1462" w:type="dxa"/>
            <w:shd w:val="clear" w:color="auto" w:fill="C6EFCE"/>
            <w:noWrap/>
          </w:tcPr>
          <w:p w14:paraId="13F8C998" w14:textId="77777777" w:rsidR="00FA7C11" w:rsidRDefault="00D84965">
            <w:pPr>
              <w:pStyle w:val="P68B1DB1-Normal102"/>
              <w:spacing w:line="276" w:lineRule="auto"/>
              <w:rPr>
                <w:noProof/>
              </w:rPr>
            </w:pPr>
            <w:r>
              <w:rPr>
                <w:noProof/>
              </w:rPr>
              <w:t>Intrarea în vigoare a noii legi privind Fundația croată pentru știință.</w:t>
            </w:r>
          </w:p>
        </w:tc>
        <w:tc>
          <w:tcPr>
            <w:tcW w:w="1134" w:type="dxa"/>
            <w:shd w:val="clear" w:color="auto" w:fill="C6EFCE"/>
            <w:noWrap/>
          </w:tcPr>
          <w:p w14:paraId="4A5A8623" w14:textId="77777777" w:rsidR="00FA7C11" w:rsidRDefault="00D84965">
            <w:pPr>
              <w:pStyle w:val="P68B1DB1-Normal102"/>
              <w:spacing w:line="276" w:lineRule="auto"/>
              <w:jc w:val="center"/>
              <w:rPr>
                <w:noProof/>
              </w:rPr>
            </w:pPr>
            <w:r>
              <w:rPr>
                <w:noProof/>
              </w:rPr>
              <w:t> </w:t>
            </w:r>
          </w:p>
        </w:tc>
        <w:tc>
          <w:tcPr>
            <w:tcW w:w="1006" w:type="dxa"/>
            <w:shd w:val="clear" w:color="auto" w:fill="C6EFCE"/>
            <w:noWrap/>
          </w:tcPr>
          <w:p w14:paraId="0DD8D638" w14:textId="77777777" w:rsidR="00FA7C11" w:rsidRDefault="00D84965">
            <w:pPr>
              <w:pStyle w:val="P68B1DB1-Normal102"/>
              <w:spacing w:line="276" w:lineRule="auto"/>
              <w:jc w:val="center"/>
              <w:rPr>
                <w:noProof/>
              </w:rPr>
            </w:pPr>
            <w:r>
              <w:rPr>
                <w:noProof/>
              </w:rPr>
              <w:t> </w:t>
            </w:r>
          </w:p>
        </w:tc>
        <w:tc>
          <w:tcPr>
            <w:tcW w:w="1441" w:type="dxa"/>
            <w:shd w:val="clear" w:color="auto" w:fill="C6EFCE"/>
            <w:noWrap/>
          </w:tcPr>
          <w:p w14:paraId="529ECC3A" w14:textId="77777777" w:rsidR="00FA7C11" w:rsidRDefault="00D84965">
            <w:pPr>
              <w:pStyle w:val="P68B1DB1-Normal102"/>
              <w:spacing w:line="276" w:lineRule="auto"/>
              <w:jc w:val="center"/>
              <w:rPr>
                <w:noProof/>
              </w:rPr>
            </w:pPr>
            <w:r>
              <w:rPr>
                <w:noProof/>
              </w:rPr>
              <w:t> </w:t>
            </w:r>
          </w:p>
        </w:tc>
        <w:tc>
          <w:tcPr>
            <w:tcW w:w="613" w:type="dxa"/>
            <w:shd w:val="clear" w:color="auto" w:fill="C6EFCE"/>
            <w:noWrap/>
          </w:tcPr>
          <w:p w14:paraId="310DBB84" w14:textId="77777777" w:rsidR="00FA7C11" w:rsidRDefault="00D84965">
            <w:pPr>
              <w:pStyle w:val="P68B1DB1-Normal102"/>
              <w:spacing w:line="276" w:lineRule="auto"/>
              <w:jc w:val="center"/>
              <w:rPr>
                <w:noProof/>
              </w:rPr>
            </w:pPr>
            <w:r>
              <w:rPr>
                <w:noProof/>
              </w:rPr>
              <w:t>Î3</w:t>
            </w:r>
          </w:p>
        </w:tc>
        <w:tc>
          <w:tcPr>
            <w:tcW w:w="992" w:type="dxa"/>
            <w:shd w:val="clear" w:color="auto" w:fill="C6EFCE"/>
            <w:noWrap/>
          </w:tcPr>
          <w:p w14:paraId="76DF86C0" w14:textId="77777777" w:rsidR="00FA7C11" w:rsidRDefault="00D84965">
            <w:pPr>
              <w:pStyle w:val="P68B1DB1-Normal102"/>
              <w:spacing w:line="276" w:lineRule="auto"/>
              <w:jc w:val="center"/>
              <w:rPr>
                <w:noProof/>
              </w:rPr>
            </w:pPr>
            <w:r>
              <w:rPr>
                <w:noProof/>
              </w:rPr>
              <w:t>2022</w:t>
            </w:r>
          </w:p>
        </w:tc>
        <w:tc>
          <w:tcPr>
            <w:tcW w:w="3979" w:type="dxa"/>
            <w:shd w:val="clear" w:color="auto" w:fill="C6EFCE"/>
            <w:noWrap/>
          </w:tcPr>
          <w:p w14:paraId="78415EBF" w14:textId="77777777" w:rsidR="00FA7C11" w:rsidRDefault="00D84965">
            <w:pPr>
              <w:pStyle w:val="P68B1DB1-Normal102"/>
              <w:spacing w:line="276" w:lineRule="auto"/>
              <w:rPr>
                <w:noProof/>
              </w:rPr>
            </w:pPr>
            <w:r>
              <w:rPr>
                <w:noProof/>
              </w:rPr>
              <w:t>Noua lege privind Fundația croată pentru știință definește o misiune clară a Fundației pentru realizarea, coordonarea, conceperea, monitorizarea și evaluarea programului și evaluarea programelor și politicilor de finanțare a proiectelor de C &amp; D, creând un sistem puternic și independent de punere în aplicare a selecției, finanțării și monitorizării efectelor proiectului de C &amp; D.</w:t>
            </w:r>
          </w:p>
        </w:tc>
      </w:tr>
      <w:tr w:rsidR="00FA7C11" w14:paraId="29D6E25F" w14:textId="77777777">
        <w:trPr>
          <w:trHeight w:val="283"/>
          <w:jc w:val="center"/>
        </w:trPr>
        <w:tc>
          <w:tcPr>
            <w:tcW w:w="768" w:type="dxa"/>
            <w:shd w:val="clear" w:color="auto" w:fill="C6EFCE"/>
            <w:noWrap/>
          </w:tcPr>
          <w:p w14:paraId="7308AC77" w14:textId="77777777" w:rsidR="00FA7C11" w:rsidRDefault="00D84965">
            <w:pPr>
              <w:pStyle w:val="P68B1DB1-Normal102"/>
              <w:spacing w:line="276" w:lineRule="auto"/>
              <w:jc w:val="center"/>
              <w:rPr>
                <w:noProof/>
              </w:rPr>
            </w:pPr>
            <w:r>
              <w:rPr>
                <w:noProof/>
              </w:rPr>
              <w:t>285</w:t>
            </w:r>
          </w:p>
        </w:tc>
        <w:tc>
          <w:tcPr>
            <w:tcW w:w="1637" w:type="dxa"/>
            <w:shd w:val="clear" w:color="auto" w:fill="C6EFCE"/>
            <w:noWrap/>
          </w:tcPr>
          <w:p w14:paraId="2ECD55EE" w14:textId="77777777" w:rsidR="00FA7C11" w:rsidRDefault="00D84965">
            <w:pPr>
              <w:pStyle w:val="P68B1DB1-Normal102"/>
              <w:spacing w:line="276" w:lineRule="auto"/>
              <w:jc w:val="center"/>
              <w:rPr>
                <w:noProof/>
              </w:rPr>
            </w:pPr>
            <w:r>
              <w:rPr>
                <w:noProof/>
              </w:rPr>
              <w:t>C3.2. R3-I1</w:t>
            </w:r>
          </w:p>
        </w:tc>
        <w:tc>
          <w:tcPr>
            <w:tcW w:w="1070" w:type="dxa"/>
            <w:shd w:val="clear" w:color="auto" w:fill="C6EFCE"/>
            <w:noWrap/>
          </w:tcPr>
          <w:p w14:paraId="16665950" w14:textId="77777777" w:rsidR="00FA7C11" w:rsidRDefault="00D84965">
            <w:pPr>
              <w:pStyle w:val="P68B1DB1-Normal102"/>
              <w:spacing w:line="276" w:lineRule="auto"/>
              <w:jc w:val="center"/>
              <w:rPr>
                <w:noProof/>
              </w:rPr>
            </w:pPr>
            <w:r>
              <w:rPr>
                <w:noProof/>
              </w:rPr>
              <w:t>T</w:t>
            </w:r>
          </w:p>
        </w:tc>
        <w:tc>
          <w:tcPr>
            <w:tcW w:w="1799" w:type="dxa"/>
            <w:shd w:val="clear" w:color="auto" w:fill="C6EFCE"/>
            <w:noWrap/>
          </w:tcPr>
          <w:p w14:paraId="6F7D2156" w14:textId="77777777" w:rsidR="00FA7C11" w:rsidRDefault="00D84965">
            <w:pPr>
              <w:pStyle w:val="P68B1DB1-Normal102"/>
              <w:spacing w:line="276" w:lineRule="auto"/>
              <w:rPr>
                <w:noProof/>
              </w:rPr>
            </w:pPr>
            <w:r>
              <w:rPr>
                <w:noProof/>
              </w:rPr>
              <w:t xml:space="preserve">Granturi acordate în cadrul unui „program-pilot” de sprijinire a instituirii unui cadru reformat de C &amp; D &amp; I. </w:t>
            </w:r>
          </w:p>
        </w:tc>
        <w:tc>
          <w:tcPr>
            <w:tcW w:w="1462" w:type="dxa"/>
            <w:shd w:val="clear" w:color="auto" w:fill="C6EFCE"/>
            <w:noWrap/>
          </w:tcPr>
          <w:p w14:paraId="2E74C0D3" w14:textId="77777777" w:rsidR="00FA7C11" w:rsidRDefault="00D84965">
            <w:pPr>
              <w:pStyle w:val="P68B1DB1-Normal102"/>
              <w:spacing w:line="276" w:lineRule="auto"/>
              <w:rPr>
                <w:noProof/>
              </w:rPr>
            </w:pPr>
            <w:r>
              <w:rPr>
                <w:noProof/>
              </w:rPr>
              <w:t xml:space="preserve"> </w:t>
            </w:r>
          </w:p>
        </w:tc>
        <w:tc>
          <w:tcPr>
            <w:tcW w:w="1134" w:type="dxa"/>
            <w:shd w:val="clear" w:color="auto" w:fill="C6EFCE"/>
            <w:noWrap/>
          </w:tcPr>
          <w:p w14:paraId="50163DBC" w14:textId="77777777" w:rsidR="00FA7C11" w:rsidRDefault="00D84965">
            <w:pPr>
              <w:pStyle w:val="P68B1DB1-Normal102"/>
              <w:spacing w:line="276" w:lineRule="auto"/>
              <w:jc w:val="center"/>
              <w:rPr>
                <w:noProof/>
              </w:rPr>
            </w:pPr>
            <w:r>
              <w:rPr>
                <w:noProof/>
              </w:rPr>
              <w:t>Număr</w:t>
            </w:r>
          </w:p>
        </w:tc>
        <w:tc>
          <w:tcPr>
            <w:tcW w:w="1006" w:type="dxa"/>
            <w:shd w:val="clear" w:color="auto" w:fill="C6EFCE"/>
            <w:noWrap/>
          </w:tcPr>
          <w:p w14:paraId="004B4266" w14:textId="77777777" w:rsidR="00FA7C11" w:rsidRDefault="00D84965">
            <w:pPr>
              <w:pStyle w:val="P68B1DB1-Normal102"/>
              <w:spacing w:line="276" w:lineRule="auto"/>
              <w:jc w:val="center"/>
              <w:rPr>
                <w:noProof/>
              </w:rPr>
            </w:pPr>
            <w:r>
              <w:rPr>
                <w:noProof/>
              </w:rPr>
              <w:t>0</w:t>
            </w:r>
          </w:p>
        </w:tc>
        <w:tc>
          <w:tcPr>
            <w:tcW w:w="1441" w:type="dxa"/>
            <w:shd w:val="clear" w:color="auto" w:fill="C6EFCE"/>
            <w:noWrap/>
          </w:tcPr>
          <w:p w14:paraId="623EE226" w14:textId="77777777" w:rsidR="00FA7C11" w:rsidRDefault="00D84965">
            <w:pPr>
              <w:pStyle w:val="P68B1DB1-Normal102"/>
              <w:spacing w:line="276" w:lineRule="auto"/>
              <w:jc w:val="center"/>
              <w:rPr>
                <w:noProof/>
              </w:rPr>
            </w:pPr>
            <w:r>
              <w:rPr>
                <w:noProof/>
              </w:rPr>
              <w:t>300</w:t>
            </w:r>
          </w:p>
        </w:tc>
        <w:tc>
          <w:tcPr>
            <w:tcW w:w="613" w:type="dxa"/>
            <w:shd w:val="clear" w:color="auto" w:fill="C6EFCE"/>
            <w:noWrap/>
          </w:tcPr>
          <w:p w14:paraId="2176B442" w14:textId="77777777" w:rsidR="00FA7C11" w:rsidRDefault="00D84965">
            <w:pPr>
              <w:pStyle w:val="P68B1DB1-Normal102"/>
              <w:spacing w:line="276" w:lineRule="auto"/>
              <w:jc w:val="center"/>
              <w:rPr>
                <w:noProof/>
              </w:rPr>
            </w:pPr>
            <w:r>
              <w:rPr>
                <w:noProof/>
              </w:rPr>
              <w:t>Î4</w:t>
            </w:r>
          </w:p>
        </w:tc>
        <w:tc>
          <w:tcPr>
            <w:tcW w:w="992" w:type="dxa"/>
            <w:shd w:val="clear" w:color="auto" w:fill="C6EFCE"/>
            <w:noWrap/>
          </w:tcPr>
          <w:p w14:paraId="61EE11C7" w14:textId="77777777" w:rsidR="00FA7C11" w:rsidRDefault="00D84965">
            <w:pPr>
              <w:pStyle w:val="P68B1DB1-Normal102"/>
              <w:spacing w:line="276" w:lineRule="auto"/>
              <w:jc w:val="center"/>
              <w:rPr>
                <w:noProof/>
              </w:rPr>
            </w:pPr>
            <w:r>
              <w:rPr>
                <w:noProof/>
              </w:rPr>
              <w:t>2025</w:t>
            </w:r>
          </w:p>
        </w:tc>
        <w:tc>
          <w:tcPr>
            <w:tcW w:w="3979" w:type="dxa"/>
            <w:shd w:val="clear" w:color="auto" w:fill="C6EFCE"/>
            <w:noWrap/>
          </w:tcPr>
          <w:p w14:paraId="052CFC47" w14:textId="77777777" w:rsidR="00FA7C11" w:rsidRDefault="00D84965">
            <w:pPr>
              <w:pStyle w:val="P68B1DB1-Normal102"/>
              <w:spacing w:line="276" w:lineRule="auto"/>
              <w:rPr>
                <w:noProof/>
              </w:rPr>
            </w:pPr>
            <w:r>
              <w:rPr>
                <w:noProof/>
              </w:rPr>
              <w:t xml:space="preserve">Pe baza asistenței consultative din partea experților externi angajați pentru instituirea noului cadru instituțional și de programare pentru C &amp; D &amp; I și pentru conceperea de noi programe de C &amp; D, se acordă cel puțin 300 de granturi pentru proiecte care vizează cooperarea dintre întreprinderi și organizațiile de cercetare sau transferurile de cunoștințe și tehnologie în cadrul unui „program-pilot” pentru a sprijini instituirea unui cadru reformat pentru C &amp; D &amp; I. </w:t>
            </w:r>
          </w:p>
        </w:tc>
      </w:tr>
    </w:tbl>
    <w:p w14:paraId="33B7214B" w14:textId="77777777" w:rsidR="00FA7C11" w:rsidRDefault="00D84965">
      <w:pPr>
        <w:pStyle w:val="P68B1DB1-Normal130"/>
        <w:keepNext/>
        <w:tabs>
          <w:tab w:val="left" w:pos="850"/>
        </w:tabs>
        <w:spacing w:before="360" w:line="240" w:lineRule="auto"/>
        <w:jc w:val="both"/>
        <w:outlineLvl w:val="0"/>
        <w:rPr>
          <w:noProof/>
        </w:rPr>
        <w:sectPr w:rsidR="00FA7C11" w:rsidSect="00FA29B2">
          <w:headerReference w:type="even" r:id="rId308"/>
          <w:headerReference w:type="default" r:id="rId309"/>
          <w:footerReference w:type="even" r:id="rId310"/>
          <w:footerReference w:type="default" r:id="rId311"/>
          <w:headerReference w:type="first" r:id="rId312"/>
          <w:footerReference w:type="first" r:id="rId313"/>
          <w:pgSz w:w="16839" w:h="11907" w:orient="landscape"/>
          <w:pgMar w:top="1134" w:right="1134" w:bottom="1134" w:left="1134" w:header="567" w:footer="567" w:gutter="0"/>
          <w:cols w:space="708"/>
          <w:docGrid w:linePitch="360"/>
        </w:sectPr>
      </w:pPr>
      <w:r>
        <w:rPr>
          <w:noProof/>
        </w:rPr>
        <w:br/>
      </w:r>
    </w:p>
    <w:p w14:paraId="1384F85D" w14:textId="77777777" w:rsidR="00FA7C11" w:rsidRDefault="00D84965">
      <w:pPr>
        <w:pStyle w:val="P68B1DB1-Normal131"/>
        <w:keepNext/>
        <w:tabs>
          <w:tab w:val="left" w:pos="850"/>
        </w:tabs>
        <w:spacing w:before="360" w:line="240" w:lineRule="auto"/>
        <w:jc w:val="both"/>
        <w:outlineLvl w:val="0"/>
        <w:rPr>
          <w:rFonts w:ascii="Times New Roman" w:eastAsia="Calibri" w:hAnsi="Times New Roman" w:cs="Times New Roman"/>
          <w:noProof/>
          <w:szCs w:val="24"/>
        </w:rPr>
      </w:pPr>
      <w:r>
        <w:rPr>
          <w:rFonts w:ascii="Times New Roman" w:eastAsia="Calibri" w:hAnsi="Times New Roman" w:cs="Times New Roman"/>
          <w:noProof/>
          <w:szCs w:val="28"/>
        </w:rPr>
        <w:t xml:space="preserve">R. COMPONENTA 4.1: ÎMBUNĂTĂȚIREA MĂSURILOR DE OCUPARE A FORȚEI DE MUNCĂ </w:t>
      </w:r>
      <w:r>
        <w:rPr>
          <w:rFonts w:ascii="Times New Roman" w:eastAsia="Calibri" w:hAnsi="Times New Roman" w:cs="Times New Roman"/>
          <w:noProof/>
          <w:szCs w:val="24"/>
        </w:rPr>
        <w:t>ȘI A CADRULUI JURIDIC PENTRU O PIAȚĂ MODERNĂ A FORȚEI DE MUNCĂ ȘI PENTRU ECONOMIA VIITORULUI</w:t>
      </w:r>
    </w:p>
    <w:p w14:paraId="6F38D183" w14:textId="77777777" w:rsidR="00FA7C11" w:rsidRDefault="00D84965">
      <w:pPr>
        <w:pStyle w:val="P68B1DB1-Normal33"/>
        <w:spacing w:line="240" w:lineRule="auto"/>
        <w:jc w:val="both"/>
        <w:rPr>
          <w:noProof/>
        </w:rPr>
      </w:pPr>
      <w:r>
        <w:rPr>
          <w:noProof/>
        </w:rPr>
        <w:t xml:space="preserve">Această componentă a planului croat de redresare și reziliență abordează aspecte legate de piața forței de muncă, și anume prin modernizarea reglementării pieței forței de muncă și prin elaborarea unor politici active specifice în domeniul pieței forței de muncă. Obiectivul general al reformelor și al investițiilor din cadrul acestei componente este de a contribui la creșterea ocupării forței de muncă în Croația, care este încă cu mult sub media UE, în pofida îmbunătățirilor din ultimii ani. </w:t>
      </w:r>
    </w:p>
    <w:p w14:paraId="71CA8499" w14:textId="77777777" w:rsidR="00FA7C11" w:rsidRDefault="00D84965">
      <w:pPr>
        <w:pStyle w:val="P68B1DB1-Normal33"/>
        <w:spacing w:line="240" w:lineRule="auto"/>
        <w:jc w:val="both"/>
        <w:rPr>
          <w:noProof/>
        </w:rPr>
      </w:pPr>
      <w:r>
        <w:rPr>
          <w:noProof/>
        </w:rPr>
        <w:t>Obiectivele specifice urmărite de această componentă sunt următoarele:</w:t>
      </w:r>
    </w:p>
    <w:p w14:paraId="014DE516" w14:textId="77777777" w:rsidR="00FA7C11" w:rsidRDefault="00D84965">
      <w:pPr>
        <w:pStyle w:val="P68B1DB1-Normal83"/>
        <w:numPr>
          <w:ilvl w:val="0"/>
          <w:numId w:val="70"/>
        </w:numPr>
        <w:tabs>
          <w:tab w:val="left" w:pos="426"/>
        </w:tabs>
        <w:spacing w:before="120" w:after="120" w:line="276" w:lineRule="auto"/>
        <w:ind w:left="714" w:hanging="357"/>
        <w:jc w:val="both"/>
        <w:rPr>
          <w:noProof/>
        </w:rPr>
      </w:pPr>
      <w:r>
        <w:rPr>
          <w:noProof/>
        </w:rPr>
        <w:t>Elaborarea și punerea în aplicare a unor noi politici active în domeniul pieței forței de muncă care să sprijine crearea de locuri de muncă în domeniile verzi și digitale</w:t>
      </w:r>
    </w:p>
    <w:p w14:paraId="245A2814" w14:textId="77777777" w:rsidR="00FA7C11" w:rsidRDefault="00D84965">
      <w:pPr>
        <w:pStyle w:val="P68B1DB1-Normal83"/>
        <w:numPr>
          <w:ilvl w:val="0"/>
          <w:numId w:val="70"/>
        </w:numPr>
        <w:tabs>
          <w:tab w:val="left" w:pos="426"/>
        </w:tabs>
        <w:spacing w:before="120" w:after="120" w:line="276" w:lineRule="auto"/>
        <w:ind w:left="714" w:hanging="357"/>
        <w:jc w:val="both"/>
        <w:rPr>
          <w:noProof/>
        </w:rPr>
      </w:pPr>
      <w:r>
        <w:rPr>
          <w:noProof/>
        </w:rPr>
        <w:t>Îmbunătățirea sistemului de incluziune și monitorizare a grupurilor vulnerabile pe piața forței de muncă</w:t>
      </w:r>
    </w:p>
    <w:p w14:paraId="31C04BC1" w14:textId="77777777" w:rsidR="00FA7C11" w:rsidRDefault="00D84965">
      <w:pPr>
        <w:pStyle w:val="P68B1DB1-Normal83"/>
        <w:numPr>
          <w:ilvl w:val="0"/>
          <w:numId w:val="70"/>
        </w:numPr>
        <w:tabs>
          <w:tab w:val="left" w:pos="426"/>
        </w:tabs>
        <w:spacing w:before="120" w:after="120" w:line="276" w:lineRule="auto"/>
        <w:ind w:left="714" w:hanging="357"/>
        <w:jc w:val="both"/>
        <w:rPr>
          <w:noProof/>
        </w:rPr>
      </w:pPr>
      <w:r>
        <w:rPr>
          <w:noProof/>
        </w:rPr>
        <w:t>Introducerea unui sistem de bonuri valorice pentru educația și perfecționarea adulților,</w:t>
      </w:r>
      <w:r>
        <w:rPr>
          <w:noProof/>
        </w:rPr>
        <w:softHyphen/>
      </w:r>
      <w:r>
        <w:rPr>
          <w:noProof/>
        </w:rPr>
        <w:softHyphen/>
      </w:r>
      <w:r>
        <w:rPr>
          <w:noProof/>
        </w:rPr>
        <w:softHyphen/>
      </w:r>
      <w:r>
        <w:rPr>
          <w:noProof/>
        </w:rPr>
        <w:softHyphen/>
        <w:t xml:space="preserve"> în special dobândirea de competențe legate de tehnologiile verzi și digitale</w:t>
      </w:r>
    </w:p>
    <w:p w14:paraId="3926EAD7" w14:textId="77777777" w:rsidR="00FA7C11" w:rsidRDefault="00D84965">
      <w:pPr>
        <w:pStyle w:val="P68B1DB1-Normal83"/>
        <w:numPr>
          <w:ilvl w:val="0"/>
          <w:numId w:val="70"/>
        </w:numPr>
        <w:tabs>
          <w:tab w:val="left" w:pos="426"/>
        </w:tabs>
        <w:spacing w:before="120" w:after="120" w:line="276" w:lineRule="auto"/>
        <w:ind w:left="714" w:hanging="357"/>
        <w:jc w:val="both"/>
        <w:rPr>
          <w:noProof/>
        </w:rPr>
      </w:pPr>
      <w:r>
        <w:rPr>
          <w:noProof/>
        </w:rPr>
        <w:t>Îmbunătățirea legislației muncii</w:t>
      </w:r>
    </w:p>
    <w:p w14:paraId="250C1362" w14:textId="77777777" w:rsidR="00FA7C11" w:rsidRDefault="00D84965">
      <w:pPr>
        <w:pStyle w:val="P68B1DB1-Normal33"/>
        <w:spacing w:line="240" w:lineRule="auto"/>
        <w:jc w:val="both"/>
        <w:rPr>
          <w:noProof/>
        </w:rPr>
      </w:pPr>
      <w:r>
        <w:rPr>
          <w:noProof/>
        </w:rPr>
        <w:t>Această componentă abordează recomandarea specifică fiecărei țări de a consolida măsurile și instituțiile de pe piața forței de muncă și coordonarea acestora cu serviciile sociale (recomandarea specifică fiecărei țări 2</w:t>
      </w:r>
      <w:r>
        <w:rPr>
          <w:noProof/>
          <w:bdr w:val="none" w:sz="0" w:space="0" w:color="auto" w:frame="1"/>
        </w:rPr>
        <w:t xml:space="preserve">, 2019), precum și </w:t>
      </w:r>
      <w:r>
        <w:rPr>
          <w:noProof/>
        </w:rPr>
        <w:t>recomandarea specifică fiecărei țări</w:t>
      </w:r>
      <w:r>
        <w:rPr>
          <w:noProof/>
          <w:bdr w:val="none" w:sz="0" w:space="0" w:color="auto" w:frame="1"/>
        </w:rPr>
        <w:t xml:space="preserve"> de a proote dobândirea de competențe (recomandarea specifică fiecărei țări 2.4, 2020)</w:t>
      </w:r>
      <w:r>
        <w:rPr>
          <w:noProof/>
        </w:rPr>
        <w:t>. </w:t>
      </w:r>
    </w:p>
    <w:p w14:paraId="5B506D84" w14:textId="77777777" w:rsidR="00FA7C11" w:rsidRDefault="00D84965">
      <w:pPr>
        <w:pStyle w:val="P68B1DB1-Normal57"/>
        <w:keepNext/>
        <w:spacing w:before="40" w:after="0"/>
        <w:ind w:left="851"/>
        <w:jc w:val="both"/>
        <w:outlineLvl w:val="1"/>
        <w:rPr>
          <w:noProof/>
        </w:rPr>
      </w:pPr>
      <w:r>
        <w:rPr>
          <w:noProof/>
        </w:rPr>
        <w:t xml:space="preserve">R.1. </w:t>
      </w:r>
      <w:r>
        <w:rPr>
          <w:noProof/>
        </w:rPr>
        <w:tab/>
        <w:t>Descrierea reformelor și a investițiilor pentru sprijinul financiar nerambursabil</w:t>
      </w:r>
    </w:p>
    <w:p w14:paraId="378655C4" w14:textId="77777777" w:rsidR="00FA7C11" w:rsidRDefault="00D84965">
      <w:pPr>
        <w:pStyle w:val="P68B1DB1-Normal96"/>
        <w:keepNext/>
        <w:tabs>
          <w:tab w:val="num" w:pos="850"/>
        </w:tabs>
        <w:spacing w:before="240" w:after="0"/>
        <w:ind w:left="851"/>
        <w:jc w:val="both"/>
        <w:outlineLvl w:val="2"/>
        <w:rPr>
          <w:noProof/>
        </w:rPr>
      </w:pPr>
      <w:r>
        <w:rPr>
          <w:noProof/>
        </w:rPr>
        <w:t>Reforma C4.1 R1 – Elaborarea și punerea în aplicare a unor noi politici active specifice în domeniul pieței forței de muncă în scopul tranziției verzi și digitale a pieței forței de muncă</w:t>
      </w:r>
    </w:p>
    <w:p w14:paraId="6F1A7DE6" w14:textId="77777777" w:rsidR="00FA7C11" w:rsidRDefault="00D84965">
      <w:pPr>
        <w:pStyle w:val="P68B1DB1-Normal33"/>
        <w:spacing w:before="120" w:line="240" w:lineRule="auto"/>
        <w:jc w:val="both"/>
        <w:rPr>
          <w:noProof/>
        </w:rPr>
      </w:pPr>
      <w:r>
        <w:rPr>
          <w:noProof/>
        </w:rPr>
        <w:t xml:space="preserve">Obiectivul acestei măsuri este de a adopta noi politici active în domeniul pieței forței de muncă (ALMP) pentru a stimula ocuparea forței de muncă și activitățile independente legate de tranziția verde și cea digitală și pentru a spori competitivitatea și capacitatea de inserție profesională a forței de muncă în conformitate cu nevoile pieței forței de muncă și cu un accent deosebit pe grupurile vulnerabile. Această măsură constă în adoptarea de noi politici active în domeniul pieței forței de muncă și în sprijinirea beneficiarilor, inclusiv a celor din grupurile vulnerabile. </w:t>
      </w:r>
    </w:p>
    <w:p w14:paraId="665CC28F" w14:textId="77777777" w:rsidR="00FA7C11" w:rsidRDefault="00D84965">
      <w:pPr>
        <w:pStyle w:val="P68B1DB1-Normal96"/>
        <w:keepNext/>
        <w:tabs>
          <w:tab w:val="num" w:pos="850"/>
        </w:tabs>
        <w:spacing w:before="240" w:after="0"/>
        <w:ind w:left="851"/>
        <w:jc w:val="both"/>
        <w:outlineLvl w:val="2"/>
        <w:rPr>
          <w:noProof/>
        </w:rPr>
      </w:pPr>
      <w:r>
        <w:rPr>
          <w:noProof/>
        </w:rPr>
        <w:t>Reforma C4.1 R2 – Consolidarea sistemului de incluziune și monitorizare a grupurilor vulnerabile pe piața forței de muncă prin îmbunătățirea proceselor serviciilor de ocupare a forței de muncă</w:t>
      </w:r>
    </w:p>
    <w:p w14:paraId="0FA0D845" w14:textId="77777777" w:rsidR="00FA7C11" w:rsidRDefault="00D84965">
      <w:pPr>
        <w:pStyle w:val="P68B1DB1-Normal46"/>
        <w:spacing w:before="120" w:after="240" w:line="240" w:lineRule="auto"/>
        <w:jc w:val="both"/>
        <w:rPr>
          <w:rFonts w:eastAsia="Times New Roman"/>
          <w:noProof/>
        </w:rPr>
      </w:pPr>
      <w:r>
        <w:rPr>
          <w:noProof/>
        </w:rPr>
        <w:t>Obiectivul acestei măsuri este de a consolida sprijinul acordat șomerilor și grupurilor vulnerabile. Această măsură constă în modificarea Legii privind piața forței de muncă, îmbunătățirea proceselor CES pentru crearea de profiluri și activare și furnizarea de sprijin persoanelor vulnerabile.</w:t>
      </w:r>
    </w:p>
    <w:p w14:paraId="0C58EDAE" w14:textId="77777777" w:rsidR="00FA7C11" w:rsidRDefault="00D84965">
      <w:pPr>
        <w:pStyle w:val="P68B1DB1-Normal96"/>
        <w:keepNext/>
        <w:tabs>
          <w:tab w:val="num" w:pos="850"/>
        </w:tabs>
        <w:spacing w:before="240" w:after="0"/>
        <w:ind w:left="851"/>
        <w:jc w:val="both"/>
        <w:outlineLvl w:val="2"/>
        <w:rPr>
          <w:noProof/>
        </w:rPr>
      </w:pPr>
      <w:r>
        <w:rPr>
          <w:noProof/>
        </w:rPr>
        <w:t>Reforma C4.1 R3 – Instituirea unui sistem de bonuri valorice pentru educația, formarea și perfecționarea adulților</w:t>
      </w:r>
    </w:p>
    <w:p w14:paraId="63472D4F" w14:textId="77777777" w:rsidR="00FA7C11" w:rsidRDefault="00D84965">
      <w:pPr>
        <w:pStyle w:val="P68B1DB1-Normal33"/>
        <w:spacing w:before="120" w:line="240" w:lineRule="auto"/>
        <w:jc w:val="both"/>
        <w:rPr>
          <w:rFonts w:eastAsia="Times New Roman"/>
          <w:noProof/>
        </w:rPr>
      </w:pPr>
      <w:r>
        <w:rPr>
          <w:noProof/>
        </w:rPr>
        <w:t xml:space="preserve">Obiectivul acestei reforme este de a spori capacitatea de inserție profesională a lucrătorilor și de a corela mai bine cererea și oferta de pe piața forței de muncă prin sprijinirea învățării pe tot parcursul vieții și a dobândirii de noi competențe, în special de competențe verzi și digitale. </w:t>
      </w:r>
    </w:p>
    <w:p w14:paraId="3CA21CF2" w14:textId="77777777" w:rsidR="00FA7C11" w:rsidRDefault="00D84965">
      <w:pPr>
        <w:pStyle w:val="P68B1DB1-Normal33"/>
        <w:spacing w:line="240" w:lineRule="auto"/>
        <w:jc w:val="both"/>
        <w:rPr>
          <w:noProof/>
        </w:rPr>
      </w:pPr>
      <w:r>
        <w:rPr>
          <w:noProof/>
        </w:rPr>
        <w:t>Reforma include:</w:t>
      </w:r>
    </w:p>
    <w:p w14:paraId="323D434F" w14:textId="77777777" w:rsidR="00FA7C11" w:rsidRDefault="00D84965">
      <w:pPr>
        <w:pStyle w:val="P68B1DB1-Normal83"/>
        <w:numPr>
          <w:ilvl w:val="0"/>
          <w:numId w:val="70"/>
        </w:numPr>
        <w:tabs>
          <w:tab w:val="left" w:pos="426"/>
        </w:tabs>
        <w:spacing w:before="120" w:after="120" w:line="276" w:lineRule="auto"/>
        <w:ind w:left="714" w:hanging="357"/>
        <w:jc w:val="both"/>
        <w:rPr>
          <w:noProof/>
        </w:rPr>
      </w:pPr>
      <w:r>
        <w:rPr>
          <w:noProof/>
        </w:rPr>
        <w:t>Adoptarea unei noi legi privind educația adulților, care vizează îmbunătățirea calității învățării în rândul adulților prin îmbunătățirea acreditării, a monitorizării și a evaluării instituțiilor de învățământ pentru adulți, prin introducerea unor vouchere pentru educația adulților și prin alinierea acestora la Cadrul croat al calificărilor în sistemul de învățământ pentru adulți.</w:t>
      </w:r>
    </w:p>
    <w:p w14:paraId="734C0DE8" w14:textId="77777777" w:rsidR="00FA7C11" w:rsidRDefault="00D84965">
      <w:pPr>
        <w:pStyle w:val="P68B1DB1-Normal83"/>
        <w:numPr>
          <w:ilvl w:val="0"/>
          <w:numId w:val="70"/>
        </w:numPr>
        <w:tabs>
          <w:tab w:val="left" w:pos="426"/>
        </w:tabs>
        <w:spacing w:before="120" w:after="120" w:line="276" w:lineRule="auto"/>
        <w:ind w:left="714" w:hanging="357"/>
        <w:jc w:val="both"/>
        <w:rPr>
          <w:noProof/>
        </w:rPr>
      </w:pPr>
      <w:r>
        <w:rPr>
          <w:noProof/>
        </w:rPr>
        <w:t>Cartografierea competențelor, cu accent pe competențele prioritare de pe piața forței de muncă, inclusiv competențele deficitare, competențele verzi și digitale, care vor fi utilizate pentru a actualiza catalogul de competențe și pentru a defini competențele și programele educaționale conexe care urmează să fie finanțate prin vouchere.</w:t>
      </w:r>
    </w:p>
    <w:p w14:paraId="47BE5FD0" w14:textId="77777777" w:rsidR="00FA7C11" w:rsidRDefault="00D84965">
      <w:pPr>
        <w:pStyle w:val="P68B1DB1-Normal83"/>
        <w:numPr>
          <w:ilvl w:val="0"/>
          <w:numId w:val="70"/>
        </w:numPr>
        <w:tabs>
          <w:tab w:val="left" w:pos="426"/>
        </w:tabs>
        <w:spacing w:before="120" w:after="120" w:line="276" w:lineRule="auto"/>
        <w:ind w:left="714" w:hanging="357"/>
        <w:jc w:val="both"/>
        <w:rPr>
          <w:noProof/>
        </w:rPr>
      </w:pPr>
      <w:r>
        <w:rPr>
          <w:noProof/>
        </w:rPr>
        <w:t>Dezvoltarea unui instrument informatic pentru o evaluare cuprinzătoare a competențelor potențialilor beneficiari.</w:t>
      </w:r>
    </w:p>
    <w:p w14:paraId="6D6E8301" w14:textId="77777777" w:rsidR="00FA7C11" w:rsidRDefault="00D84965">
      <w:pPr>
        <w:pStyle w:val="P68B1DB1-Normal83"/>
        <w:numPr>
          <w:ilvl w:val="0"/>
          <w:numId w:val="70"/>
        </w:numPr>
        <w:tabs>
          <w:tab w:val="left" w:pos="426"/>
        </w:tabs>
        <w:spacing w:before="120" w:after="120" w:line="276" w:lineRule="auto"/>
        <w:ind w:left="714" w:hanging="357"/>
        <w:jc w:val="both"/>
        <w:rPr>
          <w:noProof/>
        </w:rPr>
      </w:pPr>
      <w:r>
        <w:rPr>
          <w:noProof/>
        </w:rPr>
        <w:t xml:space="preserve">Informarea grupurilor vulnerabile utilizând orientarea și consilierea pentru a spori participarea acestora la inițiativele de actualizare a competențelor, inclusiv vouchere. </w:t>
      </w:r>
    </w:p>
    <w:p w14:paraId="43A4B267" w14:textId="77777777" w:rsidR="00FA7C11" w:rsidRDefault="00D84965">
      <w:pPr>
        <w:pStyle w:val="P68B1DB1-Normal83"/>
        <w:numPr>
          <w:ilvl w:val="0"/>
          <w:numId w:val="70"/>
        </w:numPr>
        <w:tabs>
          <w:tab w:val="left" w:pos="426"/>
        </w:tabs>
        <w:spacing w:before="120" w:after="120" w:line="276" w:lineRule="auto"/>
        <w:ind w:left="714" w:hanging="357"/>
        <w:jc w:val="both"/>
        <w:rPr>
          <w:noProof/>
        </w:rPr>
      </w:pPr>
      <w:r>
        <w:rPr>
          <w:noProof/>
        </w:rPr>
        <w:t>Operaționalizarea aplicației pentru utilizarea voucherelor de către beneficiari, furnizori de educație, consilieri și angajatori.</w:t>
      </w:r>
    </w:p>
    <w:p w14:paraId="205CE8C5" w14:textId="77777777" w:rsidR="00FA7C11" w:rsidRDefault="00D84965">
      <w:pPr>
        <w:pStyle w:val="P68B1DB1-Normal33"/>
        <w:spacing w:line="240" w:lineRule="auto"/>
        <w:jc w:val="both"/>
        <w:rPr>
          <w:noProof/>
        </w:rPr>
      </w:pPr>
      <w:r>
        <w:rPr>
          <w:noProof/>
        </w:rPr>
        <w:t>Reforma se pune în aplicare până la 30 iunie 2025.</w:t>
      </w:r>
    </w:p>
    <w:p w14:paraId="275A8EC1" w14:textId="77777777" w:rsidR="00FA7C11" w:rsidRDefault="00D84965">
      <w:pPr>
        <w:pStyle w:val="P68B1DB1-Normal96"/>
        <w:keepNext/>
        <w:numPr>
          <w:ilvl w:val="2"/>
          <w:numId w:val="0"/>
        </w:numPr>
        <w:spacing w:before="240" w:after="0"/>
        <w:ind w:left="851"/>
        <w:jc w:val="both"/>
        <w:outlineLvl w:val="2"/>
        <w:rPr>
          <w:bCs/>
          <w:noProof/>
        </w:rPr>
      </w:pPr>
      <w:r>
        <w:rPr>
          <w:noProof/>
        </w:rPr>
        <w:t>Investiția C4.1 R3-I1 – Punerea în aplicare a voucherelor pentru educația, formarea și perfecționarea adulților</w:t>
      </w:r>
    </w:p>
    <w:p w14:paraId="58235D00" w14:textId="2CCB2DAD" w:rsidR="00FA7C11" w:rsidRDefault="00D84965">
      <w:pPr>
        <w:pStyle w:val="P68B1DB1-Normal46"/>
        <w:spacing w:before="120" w:line="240" w:lineRule="auto"/>
        <w:jc w:val="both"/>
        <w:rPr>
          <w:rFonts w:eastAsia="Calibri"/>
          <w:noProof/>
        </w:rPr>
      </w:pPr>
      <w:r>
        <w:rPr>
          <w:noProof/>
        </w:rPr>
        <w:t xml:space="preserve">Obiectivul investiției este de a finanța vouchere pentru programe acreditate de educație, formare și perfecționare a adulților în vederea dobândirii competențelor necesare pe piața forței de muncă și, în special, în tranziția către o economie verde și digitală. Această măsură constă în acordarea de bonuri valorice pentru educația adulților, cu accent pe grupurile vulnerabile. </w:t>
      </w:r>
    </w:p>
    <w:p w14:paraId="5FB3AF80" w14:textId="77777777" w:rsidR="00FA7C11" w:rsidRDefault="00D84965">
      <w:pPr>
        <w:pStyle w:val="P68B1DB1-Normal96"/>
        <w:keepNext/>
        <w:numPr>
          <w:ilvl w:val="2"/>
          <w:numId w:val="0"/>
        </w:numPr>
        <w:spacing w:before="240" w:after="0"/>
        <w:ind w:left="851"/>
        <w:jc w:val="both"/>
        <w:outlineLvl w:val="2"/>
        <w:rPr>
          <w:bCs/>
          <w:noProof/>
        </w:rPr>
      </w:pPr>
      <w:r>
        <w:rPr>
          <w:noProof/>
        </w:rPr>
        <w:t>Reforma C4.1 R4 – Îmbunătățirea legislației muncii</w:t>
      </w:r>
    </w:p>
    <w:p w14:paraId="0B60ADED" w14:textId="77777777" w:rsidR="00FA7C11" w:rsidRDefault="00D84965">
      <w:pPr>
        <w:pStyle w:val="P68B1DB1-Normal33"/>
        <w:spacing w:before="120" w:line="240" w:lineRule="auto"/>
        <w:jc w:val="both"/>
        <w:rPr>
          <w:rFonts w:eastAsia="Times New Roman"/>
          <w:noProof/>
        </w:rPr>
      </w:pPr>
      <w:r>
        <w:rPr>
          <w:noProof/>
        </w:rPr>
        <w:t>Obiectivul acestei reforme este de a crea un cadru legislativ clar și modern, menit să îmbunătățească condițiile de muncă și echilibrul dintre viața profesională și cea privată, să reglementeze mai bine noile forme de muncă și să încurajeze tranziția de la contractele fixe la cele pe durată nedeterminată și de la munca nedeclarată la munca declarată.</w:t>
      </w:r>
    </w:p>
    <w:p w14:paraId="16FD0A35" w14:textId="77777777" w:rsidR="00FA7C11" w:rsidRDefault="00D84965">
      <w:pPr>
        <w:pStyle w:val="P68B1DB1-Normal33"/>
        <w:spacing w:line="240" w:lineRule="auto"/>
        <w:jc w:val="both"/>
        <w:rPr>
          <w:noProof/>
        </w:rPr>
      </w:pPr>
      <w:r>
        <w:rPr>
          <w:noProof/>
        </w:rPr>
        <w:t>Reforma include modificări ale Legii muncii, și anume:</w:t>
      </w:r>
    </w:p>
    <w:p w14:paraId="047D5412" w14:textId="77777777" w:rsidR="00FA7C11" w:rsidRDefault="00D84965">
      <w:pPr>
        <w:pStyle w:val="P68B1DB1-Normal83"/>
        <w:numPr>
          <w:ilvl w:val="0"/>
          <w:numId w:val="72"/>
        </w:numPr>
        <w:tabs>
          <w:tab w:val="left" w:pos="426"/>
        </w:tabs>
        <w:spacing w:before="120" w:after="120" w:line="276" w:lineRule="auto"/>
        <w:ind w:left="851" w:hanging="567"/>
        <w:jc w:val="both"/>
        <w:rPr>
          <w:noProof/>
        </w:rPr>
      </w:pPr>
      <w:r>
        <w:rPr>
          <w:noProof/>
        </w:rPr>
        <w:t>Reglementarea activității desfășurate de la domiciliu a vizat asigurarea securității juridice pentru părțile la raportul de muncă în circumstanțe excepționale și obișnuite.</w:t>
      </w:r>
    </w:p>
    <w:p w14:paraId="570EEE96" w14:textId="77777777" w:rsidR="00FA7C11" w:rsidRDefault="00D84965">
      <w:pPr>
        <w:pStyle w:val="P68B1DB1-Normal83"/>
        <w:numPr>
          <w:ilvl w:val="0"/>
          <w:numId w:val="72"/>
        </w:numPr>
        <w:tabs>
          <w:tab w:val="left" w:pos="426"/>
        </w:tabs>
        <w:spacing w:before="120" w:after="120" w:line="276" w:lineRule="auto"/>
        <w:ind w:left="851" w:hanging="567"/>
        <w:jc w:val="both"/>
        <w:rPr>
          <w:noProof/>
        </w:rPr>
      </w:pPr>
      <w:r>
        <w:rPr>
          <w:noProof/>
        </w:rPr>
        <w:t xml:space="preserve">Descurajarea utilizării nejustificate a contractelor de muncă pe durată determinată, în special a celor de durată extrem de scurtă, limitarea numărului de posibile contracte temporare succesive și prevenirea utilizării abuzive a unor astfel de contracte, în special în ceea ce privește recrutarea de către angajatori afiliați, precum și o mai bună definire a conceptului de „succesivitate”. </w:t>
      </w:r>
    </w:p>
    <w:p w14:paraId="72E3C53C" w14:textId="77777777" w:rsidR="00FA7C11" w:rsidRDefault="00D84965">
      <w:pPr>
        <w:pStyle w:val="P68B1DB1-Normal83"/>
        <w:numPr>
          <w:ilvl w:val="0"/>
          <w:numId w:val="72"/>
        </w:numPr>
        <w:tabs>
          <w:tab w:val="left" w:pos="426"/>
        </w:tabs>
        <w:spacing w:before="120" w:after="120" w:line="276" w:lineRule="auto"/>
        <w:ind w:left="851" w:hanging="567"/>
        <w:jc w:val="both"/>
        <w:rPr>
          <w:noProof/>
        </w:rPr>
      </w:pPr>
      <w:r>
        <w:rPr>
          <w:noProof/>
        </w:rPr>
        <w:t>Consolidarea dreptului la muncă suplimentară pentru alți angajatori.</w:t>
      </w:r>
    </w:p>
    <w:p w14:paraId="27127959" w14:textId="77777777" w:rsidR="00FA7C11" w:rsidRDefault="00D84965">
      <w:pPr>
        <w:pStyle w:val="P68B1DB1-Normal83"/>
        <w:numPr>
          <w:ilvl w:val="0"/>
          <w:numId w:val="72"/>
        </w:numPr>
        <w:tabs>
          <w:tab w:val="left" w:pos="426"/>
        </w:tabs>
        <w:spacing w:before="120" w:after="120" w:line="276" w:lineRule="auto"/>
        <w:ind w:left="851" w:hanging="567"/>
        <w:jc w:val="both"/>
        <w:rPr>
          <w:noProof/>
        </w:rPr>
      </w:pPr>
      <w:r>
        <w:rPr>
          <w:noProof/>
        </w:rPr>
        <w:t xml:space="preserve">Crearea unui cadru juridic care să reglementeze munca prin intermediul platformelor online ca formă specifică de muncă, prin stabilirea drepturilor și obligațiilor subiective care decurg din acest raport juridic specific – drepturi și obligații fundamentale pe baza muncii, asigurare obligatorie, siguranță și securitate, perioade de repaus, rezilierea contractelor, codecizie și asociere și drepturi în cadrul raporturilor de muncă colective. </w:t>
      </w:r>
    </w:p>
    <w:p w14:paraId="0AC60A33" w14:textId="77777777" w:rsidR="00FA7C11" w:rsidRDefault="00D84965">
      <w:pPr>
        <w:pStyle w:val="P68B1DB1-Normal83"/>
        <w:numPr>
          <w:ilvl w:val="0"/>
          <w:numId w:val="72"/>
        </w:numPr>
        <w:tabs>
          <w:tab w:val="left" w:pos="426"/>
        </w:tabs>
        <w:spacing w:before="120" w:after="120" w:line="276" w:lineRule="auto"/>
        <w:ind w:left="851" w:hanging="567"/>
        <w:jc w:val="both"/>
        <w:rPr>
          <w:noProof/>
        </w:rPr>
      </w:pPr>
      <w:r>
        <w:rPr>
          <w:noProof/>
        </w:rPr>
        <w:t>Revizuirea dispoziției legale privind încetarea automată a activității la începutul vârstei de pensionare și revizuirea dispoziției privind concedierea obligatorie în cazul angajaților care ating vârsta de pensionare, cu scopul de a stimula lucrătorii să rămână activi, evitând în același timp sarcinile nejustificate pentru angajatori.</w:t>
      </w:r>
    </w:p>
    <w:p w14:paraId="6A820936" w14:textId="77777777" w:rsidR="00FA7C11" w:rsidRDefault="00D84965">
      <w:pPr>
        <w:pStyle w:val="P68B1DB1-Normal83"/>
        <w:numPr>
          <w:ilvl w:val="0"/>
          <w:numId w:val="72"/>
        </w:numPr>
        <w:tabs>
          <w:tab w:val="left" w:pos="426"/>
        </w:tabs>
        <w:spacing w:before="120" w:after="120" w:line="276" w:lineRule="auto"/>
        <w:ind w:left="851" w:hanging="567"/>
        <w:jc w:val="both"/>
        <w:rPr>
          <w:noProof/>
        </w:rPr>
      </w:pPr>
      <w:r>
        <w:rPr>
          <w:noProof/>
        </w:rPr>
        <w:t xml:space="preserve">Definirea adecvată a conceptului de remunerație și a tuturor componentelor sale, pentru a-l corela mai bine cu salariul minim și pentru a facilita aplicarea reglementărilor în domeniul muncii și a normelor privind impozitarea veniturilor din muncă. </w:t>
      </w:r>
    </w:p>
    <w:p w14:paraId="19A84FC9" w14:textId="77777777" w:rsidR="00FA7C11" w:rsidRDefault="00D84965">
      <w:pPr>
        <w:pStyle w:val="P68B1DB1-Normal83"/>
        <w:numPr>
          <w:ilvl w:val="0"/>
          <w:numId w:val="72"/>
        </w:numPr>
        <w:tabs>
          <w:tab w:val="left" w:pos="426"/>
        </w:tabs>
        <w:spacing w:before="120" w:after="120" w:line="276" w:lineRule="auto"/>
        <w:ind w:left="851" w:hanging="567"/>
        <w:jc w:val="both"/>
        <w:rPr>
          <w:noProof/>
        </w:rPr>
      </w:pPr>
      <w:r>
        <w:rPr>
          <w:noProof/>
        </w:rPr>
        <w:t>Definirea acoperirii drepturilor prevăzute în contractele colective de muncă printr-o mai bună corelare a acestora cu calitatea de membru, pentru a spori participarea scăzută a lucrătorilor la sindicate și la negocierile colective și, astfel, pentru a consolida dialogul social.</w:t>
      </w:r>
    </w:p>
    <w:p w14:paraId="69098C76" w14:textId="77777777" w:rsidR="00FA7C11" w:rsidRDefault="00D84965">
      <w:pPr>
        <w:pStyle w:val="P68B1DB1-Normal33"/>
        <w:spacing w:line="240" w:lineRule="auto"/>
        <w:jc w:val="both"/>
        <w:rPr>
          <w:noProof/>
        </w:rPr>
      </w:pPr>
      <w:r>
        <w:rPr>
          <w:noProof/>
        </w:rPr>
        <w:t>Reforma modifică Legea privind asigurarea obligatorie de sănătate prin transferarea costului concediului medical pentru lucrătorii activi care sunt eligibili pentru pensionarea pentru limită de vârstă către Institutul Croat de Asigurări de Sănătate.</w:t>
      </w:r>
    </w:p>
    <w:p w14:paraId="2E5E7EC8" w14:textId="77777777" w:rsidR="00FA7C11" w:rsidRDefault="00D84965">
      <w:pPr>
        <w:pStyle w:val="P68B1DB1-Normal33"/>
        <w:spacing w:line="240" w:lineRule="auto"/>
        <w:jc w:val="both"/>
        <w:rPr>
          <w:noProof/>
        </w:rPr>
      </w:pPr>
      <w:r>
        <w:rPr>
          <w:noProof/>
        </w:rPr>
        <w:t>Reforma include modificări ale legilor existente care reglementează relațiile de muncă și adoptarea unei noi legi privind combaterea muncii nedeclarate, precum și acțiuni fără caracter legislativ de combatere a muncii nedeclarate, și anume:</w:t>
      </w:r>
    </w:p>
    <w:p w14:paraId="7A32986B" w14:textId="77777777" w:rsidR="00FA7C11" w:rsidRDefault="00D84965">
      <w:pPr>
        <w:pStyle w:val="P68B1DB1-Normal83"/>
        <w:numPr>
          <w:ilvl w:val="0"/>
          <w:numId w:val="73"/>
        </w:numPr>
        <w:tabs>
          <w:tab w:val="left" w:pos="426"/>
        </w:tabs>
        <w:spacing w:before="120" w:after="120" w:line="276" w:lineRule="auto"/>
        <w:ind w:left="851" w:hanging="567"/>
        <w:jc w:val="both"/>
        <w:rPr>
          <w:noProof/>
        </w:rPr>
      </w:pPr>
      <w:r>
        <w:rPr>
          <w:noProof/>
        </w:rPr>
        <w:t>Consolidarea cunoștințelor și competențelor părților interesate și ale instituțiilor care le supraveghează</w:t>
      </w:r>
    </w:p>
    <w:p w14:paraId="020E31F1" w14:textId="77777777" w:rsidR="00FA7C11" w:rsidRDefault="00D84965">
      <w:pPr>
        <w:pStyle w:val="P68B1DB1-Normal83"/>
        <w:numPr>
          <w:ilvl w:val="0"/>
          <w:numId w:val="73"/>
        </w:numPr>
        <w:tabs>
          <w:tab w:val="left" w:pos="426"/>
        </w:tabs>
        <w:spacing w:before="120" w:after="120" w:line="276" w:lineRule="auto"/>
        <w:ind w:left="851" w:hanging="567"/>
        <w:jc w:val="both"/>
        <w:rPr>
          <w:noProof/>
        </w:rPr>
      </w:pPr>
      <w:r>
        <w:rPr>
          <w:noProof/>
        </w:rPr>
        <w:t>Crearea unor baze de date comune pentru o monitorizare eficace a aplicării legii</w:t>
      </w:r>
    </w:p>
    <w:p w14:paraId="759EA1C5" w14:textId="77777777" w:rsidR="00FA7C11" w:rsidRDefault="00D84965">
      <w:pPr>
        <w:pStyle w:val="P68B1DB1-Normal83"/>
        <w:numPr>
          <w:ilvl w:val="0"/>
          <w:numId w:val="73"/>
        </w:numPr>
        <w:tabs>
          <w:tab w:val="left" w:pos="426"/>
        </w:tabs>
        <w:spacing w:before="120" w:after="120" w:line="276" w:lineRule="auto"/>
        <w:ind w:left="851" w:hanging="567"/>
        <w:jc w:val="both"/>
        <w:rPr>
          <w:noProof/>
        </w:rPr>
      </w:pPr>
      <w:r>
        <w:rPr>
          <w:noProof/>
        </w:rPr>
        <w:t>Redefinirea și o mai bună armonizare a sancțiunilor impuse pentru munca nedeclarată</w:t>
      </w:r>
    </w:p>
    <w:p w14:paraId="61B0FDC0" w14:textId="77777777" w:rsidR="00FA7C11" w:rsidRDefault="00D84965">
      <w:pPr>
        <w:pStyle w:val="P68B1DB1-Normal83"/>
        <w:numPr>
          <w:ilvl w:val="0"/>
          <w:numId w:val="73"/>
        </w:numPr>
        <w:tabs>
          <w:tab w:val="left" w:pos="426"/>
        </w:tabs>
        <w:spacing w:before="120" w:after="120" w:line="276" w:lineRule="auto"/>
        <w:ind w:left="851" w:hanging="567"/>
        <w:jc w:val="both"/>
        <w:rPr>
          <w:noProof/>
        </w:rPr>
      </w:pPr>
      <w:r>
        <w:rPr>
          <w:noProof/>
        </w:rPr>
        <w:t xml:space="preserve">Creșterea gradului de sensibilizare a publicului cu privire la beneficiile muncii legale și la dezavantajele muncii nedeclarate, inclusiv prin campanii care vor promova, de asemenea, posibilitățile de utilizare a măsurilor active pe piața forței de muncă legate de activitatea independentă, precum și cursuri de formare cu privire la diferitele modalități de înregistrare a unei meșteșuguri de afaceri pentru care beneficiile publice sunt plătite sub formă de sume forfetare în conformitate cu normele fiscale. </w:t>
      </w:r>
    </w:p>
    <w:p w14:paraId="5E0390FB" w14:textId="77777777" w:rsidR="00FA7C11" w:rsidRDefault="00D84965">
      <w:pPr>
        <w:pStyle w:val="P68B1DB1-Normal83"/>
        <w:numPr>
          <w:ilvl w:val="0"/>
          <w:numId w:val="73"/>
        </w:numPr>
        <w:tabs>
          <w:tab w:val="left" w:pos="426"/>
        </w:tabs>
        <w:spacing w:before="120" w:after="120" w:line="276" w:lineRule="auto"/>
        <w:ind w:left="851" w:hanging="567"/>
        <w:jc w:val="both"/>
        <w:rPr>
          <w:noProof/>
        </w:rPr>
      </w:pPr>
      <w:r>
        <w:rPr>
          <w:noProof/>
        </w:rPr>
        <w:t>Stabilirea evidențelor electronice ale lucrătorilor și ale timpului de lucru în sectorul construcțiilor și apoi, treptat, în alte activități.</w:t>
      </w:r>
    </w:p>
    <w:p w14:paraId="49DDCC0B" w14:textId="77777777" w:rsidR="00FA7C11" w:rsidRDefault="00D84965">
      <w:pPr>
        <w:pStyle w:val="P68B1DB1-Normal83"/>
        <w:numPr>
          <w:ilvl w:val="0"/>
          <w:numId w:val="73"/>
        </w:numPr>
        <w:tabs>
          <w:tab w:val="left" w:pos="426"/>
        </w:tabs>
        <w:spacing w:before="120" w:after="120" w:line="276" w:lineRule="auto"/>
        <w:ind w:left="851" w:hanging="567"/>
        <w:jc w:val="both"/>
        <w:rPr>
          <w:noProof/>
        </w:rPr>
      </w:pPr>
      <w:r>
        <w:rPr>
          <w:noProof/>
        </w:rPr>
        <w:t xml:space="preserve">O reglementare mai largă a răspunderii pentru neplata salariilor în lanțul contractual în cazul subcontractării. </w:t>
      </w:r>
    </w:p>
    <w:p w14:paraId="5CE99A2F" w14:textId="77777777" w:rsidR="00FA7C11" w:rsidRDefault="00D84965">
      <w:pPr>
        <w:pStyle w:val="P68B1DB1-Normal83"/>
        <w:numPr>
          <w:ilvl w:val="0"/>
          <w:numId w:val="73"/>
        </w:numPr>
        <w:tabs>
          <w:tab w:val="left" w:pos="426"/>
        </w:tabs>
        <w:spacing w:before="120" w:after="120" w:line="276" w:lineRule="auto"/>
        <w:ind w:left="851" w:hanging="567"/>
        <w:jc w:val="both"/>
        <w:rPr>
          <w:noProof/>
        </w:rPr>
      </w:pPr>
      <w:r>
        <w:rPr>
          <w:noProof/>
        </w:rPr>
        <w:t>Definirea muncii nedeclarate în toate manifestările sale, consolidarea inspecțiilor și a sancțiunilor aplicabile în cazul încălcării dispozițiilor și reglementarea acțiunilor autorităților implicate în combaterea muncii nedeclarate.</w:t>
      </w:r>
    </w:p>
    <w:p w14:paraId="08CCF543" w14:textId="77777777" w:rsidR="00FA7C11" w:rsidRDefault="00D84965">
      <w:pPr>
        <w:pStyle w:val="P68B1DB1-Normal83"/>
        <w:numPr>
          <w:ilvl w:val="0"/>
          <w:numId w:val="73"/>
        </w:numPr>
        <w:tabs>
          <w:tab w:val="left" w:pos="426"/>
        </w:tabs>
        <w:spacing w:before="120" w:after="120" w:line="276" w:lineRule="auto"/>
        <w:ind w:left="851" w:hanging="567"/>
        <w:jc w:val="both"/>
        <w:rPr>
          <w:noProof/>
        </w:rPr>
      </w:pPr>
      <w:r>
        <w:rPr>
          <w:noProof/>
        </w:rPr>
        <w:t xml:space="preserve">Definirea procesului de tranziție de la munca nedeclarată la munca declarată, prin mandatarea angajatorilor să înregistreze un angajat retroactiv din prima zi de muncă (și cel puțin trei luni) în termen de trei zile de la data la care inspecția detectează munca nedeclarată. În plus, încălcarea va atrage după sine o sancțiune în cuantumul prevăzut pentru fiecare lucrător nedeclarat și obligația de a plăti salariul, contribuțiile și prestațiile lucrătorului. </w:t>
      </w:r>
    </w:p>
    <w:p w14:paraId="39E9CC4E" w14:textId="77777777" w:rsidR="00FA7C11" w:rsidRDefault="00D84965">
      <w:pPr>
        <w:pStyle w:val="P68B1DB1-Normal33"/>
        <w:spacing w:line="240" w:lineRule="auto"/>
        <w:jc w:val="both"/>
        <w:rPr>
          <w:noProof/>
        </w:rPr>
      </w:pPr>
      <w:r>
        <w:rPr>
          <w:noProof/>
        </w:rPr>
        <w:t>Reforma include modificări ale Legii privind salariul minim, și anume:</w:t>
      </w:r>
    </w:p>
    <w:p w14:paraId="594F9251" w14:textId="77777777" w:rsidR="00FA7C11" w:rsidRDefault="00D84965">
      <w:pPr>
        <w:pStyle w:val="P68B1DB1-Normal83"/>
        <w:numPr>
          <w:ilvl w:val="0"/>
          <w:numId w:val="74"/>
        </w:numPr>
        <w:tabs>
          <w:tab w:val="left" w:pos="426"/>
        </w:tabs>
        <w:spacing w:before="120" w:after="120" w:line="276" w:lineRule="auto"/>
        <w:ind w:left="851" w:hanging="567"/>
        <w:jc w:val="both"/>
        <w:rPr>
          <w:noProof/>
        </w:rPr>
      </w:pPr>
      <w:r>
        <w:rPr>
          <w:noProof/>
        </w:rPr>
        <w:t>Excluderea majorității suplimentelor salariale din cuantumul salariului minim și impunerea unor majorări minime pentru orele suplimentare, munca de noapte și munca în zilele de duminică și de sărbătoare.</w:t>
      </w:r>
    </w:p>
    <w:p w14:paraId="5CAD204A" w14:textId="77777777" w:rsidR="00FA7C11" w:rsidRDefault="00D84965">
      <w:pPr>
        <w:pStyle w:val="P68B1DB1-Normal83"/>
        <w:numPr>
          <w:ilvl w:val="0"/>
          <w:numId w:val="74"/>
        </w:numPr>
        <w:tabs>
          <w:tab w:val="left" w:pos="426"/>
        </w:tabs>
        <w:spacing w:before="120" w:after="120" w:line="276" w:lineRule="auto"/>
        <w:ind w:left="851" w:hanging="567"/>
        <w:jc w:val="both"/>
        <w:rPr>
          <w:noProof/>
        </w:rPr>
      </w:pPr>
      <w:r>
        <w:rPr>
          <w:noProof/>
        </w:rPr>
        <w:t>Excluderea posibilității de a renunța la salariul minim pentru a preveni eventualele abuzuri din partea angajatorilor.</w:t>
      </w:r>
    </w:p>
    <w:p w14:paraId="78BCA22D" w14:textId="77777777" w:rsidR="00FA7C11" w:rsidRDefault="00D84965">
      <w:pPr>
        <w:pStyle w:val="P68B1DB1-Normal83"/>
        <w:numPr>
          <w:ilvl w:val="0"/>
          <w:numId w:val="74"/>
        </w:numPr>
        <w:tabs>
          <w:tab w:val="left" w:pos="426"/>
        </w:tabs>
        <w:spacing w:before="120" w:after="120" w:line="276" w:lineRule="auto"/>
        <w:ind w:left="851" w:hanging="567"/>
        <w:jc w:val="both"/>
        <w:rPr>
          <w:noProof/>
        </w:rPr>
      </w:pPr>
      <w:r>
        <w:rPr>
          <w:noProof/>
        </w:rPr>
        <w:t>Consolidarea controalelor efectuate de autoritățile de inspecție și redefinirea sancțiunilor pentru neplata salariilor minime.</w:t>
      </w:r>
    </w:p>
    <w:p w14:paraId="77A69CBE" w14:textId="77777777" w:rsidR="00FA7C11" w:rsidRDefault="00D84965">
      <w:pPr>
        <w:pStyle w:val="P68B1DB1-Normal83"/>
        <w:numPr>
          <w:ilvl w:val="0"/>
          <w:numId w:val="74"/>
        </w:numPr>
        <w:tabs>
          <w:tab w:val="left" w:pos="426"/>
        </w:tabs>
        <w:spacing w:before="120" w:after="120" w:line="276" w:lineRule="auto"/>
        <w:ind w:left="851" w:hanging="567"/>
        <w:jc w:val="both"/>
        <w:rPr>
          <w:noProof/>
        </w:rPr>
      </w:pPr>
      <w:r>
        <w:rPr>
          <w:noProof/>
        </w:rPr>
        <w:t xml:space="preserve">Consolidarea rolului Comisiei de experți pentru monitorizarea și analiza evoluției salariilor minime, încredințându-i acesteia sarcina de a analiza impactul potențial al creșterilor salariului minim asupra economiei, a ocupării forței de muncă, a nivelului de trai și a altor segmente ale vieții și muncii și, în consecință, de a recomanda orientări. </w:t>
      </w:r>
    </w:p>
    <w:p w14:paraId="4DD823BA" w14:textId="77777777" w:rsidR="00FA7C11" w:rsidRDefault="00D84965">
      <w:pPr>
        <w:pStyle w:val="P68B1DB1-Normal33"/>
        <w:spacing w:line="240" w:lineRule="auto"/>
        <w:jc w:val="both"/>
        <w:rPr>
          <w:noProof/>
        </w:rPr>
      </w:pPr>
      <w:r>
        <w:rPr>
          <w:noProof/>
        </w:rPr>
        <w:t>Reforma se finalizează până la 31 decembrie 2024.</w:t>
      </w:r>
    </w:p>
    <w:p w14:paraId="77DF7667" w14:textId="77777777" w:rsidR="00FA7C11" w:rsidRDefault="00FA7C11">
      <w:pPr>
        <w:rPr>
          <w:noProof/>
        </w:rPr>
        <w:sectPr w:rsidR="00FA7C11" w:rsidSect="00FA29B2">
          <w:headerReference w:type="even" r:id="rId314"/>
          <w:headerReference w:type="default" r:id="rId315"/>
          <w:footerReference w:type="even" r:id="rId316"/>
          <w:footerReference w:type="default" r:id="rId317"/>
          <w:headerReference w:type="first" r:id="rId318"/>
          <w:footerReference w:type="first" r:id="rId319"/>
          <w:pgSz w:w="11906" w:h="16838"/>
          <w:pgMar w:top="1134" w:right="1134" w:bottom="1134" w:left="1134" w:header="567" w:footer="567" w:gutter="0"/>
          <w:cols w:space="708"/>
          <w:docGrid w:linePitch="360"/>
        </w:sectPr>
      </w:pPr>
    </w:p>
    <w:p w14:paraId="52CE3378" w14:textId="77777777" w:rsidR="00FA7C11" w:rsidRDefault="00D84965">
      <w:pPr>
        <w:pStyle w:val="P68B1DB1-Normal57"/>
        <w:keepNext/>
        <w:tabs>
          <w:tab w:val="num" w:pos="850"/>
        </w:tabs>
        <w:spacing w:after="0" w:line="240" w:lineRule="auto"/>
        <w:ind w:left="851"/>
        <w:jc w:val="both"/>
        <w:outlineLvl w:val="1"/>
        <w:rPr>
          <w:noProof/>
        </w:rPr>
      </w:pPr>
      <w:r>
        <w:rPr>
          <w:noProof/>
        </w:rPr>
        <w:t xml:space="preserve">R.2. </w:t>
      </w:r>
      <w:r>
        <w:rPr>
          <w:noProof/>
        </w:rPr>
        <w:tab/>
        <w:t>Jaloane, ținte, indicatori și calendarul de monitorizare și implementare aplicabile sprijinului financiar nerambursabil</w:t>
      </w:r>
    </w:p>
    <w:p w14:paraId="4B996BB8" w14:textId="77777777" w:rsidR="00FA7C11" w:rsidRDefault="00FA7C11">
      <w:pPr>
        <w:keepNext/>
        <w:tabs>
          <w:tab w:val="num" w:pos="850"/>
        </w:tabs>
        <w:spacing w:after="0" w:line="240" w:lineRule="auto"/>
        <w:ind w:left="851"/>
        <w:jc w:val="both"/>
        <w:outlineLvl w:val="1"/>
        <w:rPr>
          <w:rFonts w:ascii="Times New Roman" w:eastAsia="SimSun" w:hAnsi="Times New Roman" w:cs="Times New Roman"/>
          <w:b/>
          <w:noProof/>
          <w:sz w:val="24"/>
          <w:szCs w:val="24"/>
          <w:u w:val="single"/>
        </w:rPr>
      </w:pPr>
    </w:p>
    <w:tbl>
      <w:tblPr>
        <w:tblW w:w="15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8"/>
        <w:gridCol w:w="1203"/>
        <w:gridCol w:w="1345"/>
        <w:gridCol w:w="2076"/>
        <w:gridCol w:w="1843"/>
        <w:gridCol w:w="1072"/>
        <w:gridCol w:w="826"/>
        <w:gridCol w:w="850"/>
        <w:gridCol w:w="919"/>
        <w:gridCol w:w="846"/>
        <w:gridCol w:w="4498"/>
      </w:tblGrid>
      <w:tr w:rsidR="00FA7C11" w14:paraId="7B7F4C4A" w14:textId="77777777">
        <w:trPr>
          <w:trHeight w:val="636"/>
          <w:tblHeader/>
          <w:jc w:val="center"/>
        </w:trPr>
        <w:tc>
          <w:tcPr>
            <w:tcW w:w="768" w:type="dxa"/>
            <w:vMerge w:val="restart"/>
            <w:shd w:val="clear" w:color="auto" w:fill="BDD7EE"/>
            <w:vAlign w:val="center"/>
            <w:hideMark/>
          </w:tcPr>
          <w:p w14:paraId="57C6459D" w14:textId="77777777" w:rsidR="00FA7C11" w:rsidRDefault="00D84965">
            <w:pPr>
              <w:pStyle w:val="P68B1DB1-Normal58"/>
              <w:spacing w:after="0" w:line="276" w:lineRule="auto"/>
              <w:jc w:val="center"/>
              <w:rPr>
                <w:bCs/>
                <w:noProof/>
              </w:rPr>
            </w:pPr>
            <w:r>
              <w:rPr>
                <w:noProof/>
              </w:rPr>
              <w:t>Număr</w:t>
            </w:r>
          </w:p>
        </w:tc>
        <w:tc>
          <w:tcPr>
            <w:tcW w:w="1203" w:type="dxa"/>
            <w:vMerge w:val="restart"/>
            <w:shd w:val="clear" w:color="auto" w:fill="BDD7EE"/>
            <w:vAlign w:val="center"/>
            <w:hideMark/>
          </w:tcPr>
          <w:p w14:paraId="6C6974B8" w14:textId="77777777" w:rsidR="00FA7C11" w:rsidRDefault="00D84965">
            <w:pPr>
              <w:pStyle w:val="P68B1DB1-Normal58"/>
              <w:spacing w:after="0" w:line="276" w:lineRule="auto"/>
              <w:jc w:val="center"/>
              <w:rPr>
                <w:bCs/>
                <w:noProof/>
              </w:rPr>
            </w:pPr>
            <w:r>
              <w:rPr>
                <w:noProof/>
              </w:rPr>
              <w:t>Măsură</w:t>
            </w:r>
          </w:p>
        </w:tc>
        <w:tc>
          <w:tcPr>
            <w:tcW w:w="1024" w:type="dxa"/>
            <w:vMerge w:val="restart"/>
            <w:shd w:val="clear" w:color="auto" w:fill="BDD7EE"/>
            <w:vAlign w:val="center"/>
            <w:hideMark/>
          </w:tcPr>
          <w:p w14:paraId="24AFAB22" w14:textId="77777777" w:rsidR="00FA7C11" w:rsidRDefault="00D84965">
            <w:pPr>
              <w:pStyle w:val="P68B1DB1-Normal58"/>
              <w:spacing w:after="0" w:line="276" w:lineRule="auto"/>
              <w:jc w:val="center"/>
              <w:rPr>
                <w:bCs/>
                <w:noProof/>
              </w:rPr>
            </w:pPr>
            <w:r>
              <w:rPr>
                <w:noProof/>
              </w:rPr>
              <w:t>Etapă/Obiectiv</w:t>
            </w:r>
          </w:p>
        </w:tc>
        <w:tc>
          <w:tcPr>
            <w:tcW w:w="2076" w:type="dxa"/>
            <w:vMerge w:val="restart"/>
            <w:shd w:val="clear" w:color="auto" w:fill="BDD7EE"/>
            <w:vAlign w:val="center"/>
            <w:hideMark/>
          </w:tcPr>
          <w:p w14:paraId="02450D99" w14:textId="77777777" w:rsidR="00FA7C11" w:rsidRDefault="00D84965">
            <w:pPr>
              <w:pStyle w:val="P68B1DB1-Normal58"/>
              <w:spacing w:after="0" w:line="276" w:lineRule="auto"/>
              <w:jc w:val="center"/>
              <w:rPr>
                <w:bCs/>
                <w:noProof/>
              </w:rPr>
            </w:pPr>
            <w:r>
              <w:rPr>
                <w:noProof/>
              </w:rPr>
              <w:t>Nume</w:t>
            </w:r>
          </w:p>
        </w:tc>
        <w:tc>
          <w:tcPr>
            <w:tcW w:w="1843" w:type="dxa"/>
            <w:vMerge w:val="restart"/>
            <w:shd w:val="clear" w:color="auto" w:fill="BDD7EE"/>
            <w:vAlign w:val="center"/>
            <w:hideMark/>
          </w:tcPr>
          <w:p w14:paraId="2E275CAF"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748" w:type="dxa"/>
            <w:gridSpan w:val="3"/>
            <w:shd w:val="clear" w:color="auto" w:fill="BDD7EE"/>
            <w:vAlign w:val="center"/>
            <w:hideMark/>
          </w:tcPr>
          <w:p w14:paraId="371B5E99"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602" w:type="dxa"/>
            <w:gridSpan w:val="2"/>
            <w:shd w:val="clear" w:color="auto" w:fill="BDD7EE"/>
            <w:vAlign w:val="center"/>
            <w:hideMark/>
          </w:tcPr>
          <w:p w14:paraId="3008E6D4" w14:textId="77777777" w:rsidR="00FA7C11" w:rsidRDefault="00D84965">
            <w:pPr>
              <w:pStyle w:val="P68B1DB1-Normal58"/>
              <w:spacing w:after="0" w:line="276" w:lineRule="auto"/>
              <w:jc w:val="center"/>
              <w:rPr>
                <w:bCs/>
                <w:noProof/>
              </w:rPr>
            </w:pPr>
            <w:r>
              <w:rPr>
                <w:noProof/>
              </w:rPr>
              <w:t>Timp</w:t>
            </w:r>
          </w:p>
        </w:tc>
        <w:tc>
          <w:tcPr>
            <w:tcW w:w="4498" w:type="dxa"/>
            <w:vMerge w:val="restart"/>
            <w:shd w:val="clear" w:color="auto" w:fill="BDD7EE"/>
            <w:vAlign w:val="center"/>
            <w:hideMark/>
          </w:tcPr>
          <w:p w14:paraId="608C2549"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14462A67" w14:textId="77777777">
        <w:trPr>
          <w:trHeight w:val="503"/>
          <w:tblHeader/>
          <w:jc w:val="center"/>
        </w:trPr>
        <w:tc>
          <w:tcPr>
            <w:tcW w:w="768" w:type="dxa"/>
            <w:vMerge/>
            <w:hideMark/>
          </w:tcPr>
          <w:p w14:paraId="5D9EACDD"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203" w:type="dxa"/>
            <w:vMerge/>
            <w:hideMark/>
          </w:tcPr>
          <w:p w14:paraId="2B5A8F6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24" w:type="dxa"/>
            <w:vMerge/>
            <w:hideMark/>
          </w:tcPr>
          <w:p w14:paraId="4C3C1239"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076" w:type="dxa"/>
            <w:vMerge/>
            <w:hideMark/>
          </w:tcPr>
          <w:p w14:paraId="3793EA33" w14:textId="77777777" w:rsidR="00FA7C11" w:rsidRDefault="00FA7C11">
            <w:pPr>
              <w:spacing w:after="0" w:line="276" w:lineRule="auto"/>
              <w:rPr>
                <w:rFonts w:ascii="Times New Roman" w:eastAsia="Times New Roman" w:hAnsi="Times New Roman" w:cs="Times New Roman"/>
                <w:b/>
                <w:noProof/>
                <w:sz w:val="20"/>
                <w:szCs w:val="20"/>
              </w:rPr>
            </w:pPr>
          </w:p>
        </w:tc>
        <w:tc>
          <w:tcPr>
            <w:tcW w:w="1843" w:type="dxa"/>
            <w:vMerge/>
            <w:hideMark/>
          </w:tcPr>
          <w:p w14:paraId="408C8A08" w14:textId="77777777" w:rsidR="00FA7C11" w:rsidRDefault="00FA7C11">
            <w:pPr>
              <w:spacing w:after="0" w:line="276" w:lineRule="auto"/>
              <w:rPr>
                <w:rFonts w:ascii="Times New Roman" w:eastAsia="Times New Roman" w:hAnsi="Times New Roman" w:cs="Times New Roman"/>
                <w:b/>
                <w:noProof/>
                <w:sz w:val="20"/>
                <w:szCs w:val="20"/>
              </w:rPr>
            </w:pPr>
          </w:p>
        </w:tc>
        <w:tc>
          <w:tcPr>
            <w:tcW w:w="1072" w:type="dxa"/>
            <w:shd w:val="clear" w:color="auto" w:fill="BDD7EE"/>
            <w:vAlign w:val="center"/>
            <w:hideMark/>
          </w:tcPr>
          <w:p w14:paraId="6A983723" w14:textId="77777777" w:rsidR="00FA7C11" w:rsidRDefault="00D84965">
            <w:pPr>
              <w:pStyle w:val="P68B1DB1-Normal58"/>
              <w:spacing w:after="0" w:line="276" w:lineRule="auto"/>
              <w:jc w:val="center"/>
              <w:rPr>
                <w:bCs/>
                <w:noProof/>
              </w:rPr>
            </w:pPr>
            <w:r>
              <w:rPr>
                <w:noProof/>
              </w:rPr>
              <w:t>Unitate</w:t>
            </w:r>
          </w:p>
        </w:tc>
        <w:tc>
          <w:tcPr>
            <w:tcW w:w="826" w:type="dxa"/>
            <w:shd w:val="clear" w:color="auto" w:fill="BDD7EE"/>
            <w:vAlign w:val="center"/>
            <w:hideMark/>
          </w:tcPr>
          <w:p w14:paraId="6C881892" w14:textId="77777777" w:rsidR="00FA7C11" w:rsidRDefault="00D84965">
            <w:pPr>
              <w:pStyle w:val="P68B1DB1-Normal58"/>
              <w:spacing w:after="0" w:line="276" w:lineRule="auto"/>
              <w:jc w:val="center"/>
              <w:rPr>
                <w:bCs/>
                <w:noProof/>
              </w:rPr>
            </w:pPr>
            <w:r>
              <w:rPr>
                <w:noProof/>
              </w:rPr>
              <w:t>Situația de referință</w:t>
            </w:r>
          </w:p>
        </w:tc>
        <w:tc>
          <w:tcPr>
            <w:tcW w:w="850" w:type="dxa"/>
            <w:shd w:val="clear" w:color="auto" w:fill="BDD7EE"/>
            <w:vAlign w:val="center"/>
            <w:hideMark/>
          </w:tcPr>
          <w:p w14:paraId="3C239798" w14:textId="77777777" w:rsidR="00FA7C11" w:rsidRDefault="00D84965">
            <w:pPr>
              <w:pStyle w:val="P68B1DB1-Normal58"/>
              <w:spacing w:after="0" w:line="276" w:lineRule="auto"/>
              <w:jc w:val="center"/>
              <w:rPr>
                <w:bCs/>
                <w:noProof/>
              </w:rPr>
            </w:pPr>
            <w:r>
              <w:rPr>
                <w:noProof/>
              </w:rPr>
              <w:t>Obiectiv</w:t>
            </w:r>
          </w:p>
        </w:tc>
        <w:tc>
          <w:tcPr>
            <w:tcW w:w="756" w:type="dxa"/>
            <w:shd w:val="clear" w:color="auto" w:fill="BDD7EE"/>
            <w:vAlign w:val="center"/>
            <w:hideMark/>
          </w:tcPr>
          <w:p w14:paraId="3C7B741E" w14:textId="77777777" w:rsidR="00FA7C11" w:rsidRDefault="00D84965">
            <w:pPr>
              <w:pStyle w:val="P68B1DB1-Normal58"/>
              <w:spacing w:after="0" w:line="276" w:lineRule="auto"/>
              <w:jc w:val="center"/>
              <w:rPr>
                <w:bCs/>
                <w:noProof/>
              </w:rPr>
            </w:pPr>
            <w:r>
              <w:rPr>
                <w:noProof/>
              </w:rPr>
              <w:t>Trimestru</w:t>
            </w:r>
          </w:p>
        </w:tc>
        <w:tc>
          <w:tcPr>
            <w:tcW w:w="846" w:type="dxa"/>
            <w:shd w:val="clear" w:color="auto" w:fill="BDD7EE"/>
            <w:vAlign w:val="center"/>
            <w:hideMark/>
          </w:tcPr>
          <w:p w14:paraId="67226AD4" w14:textId="77777777" w:rsidR="00FA7C11" w:rsidRDefault="00D84965">
            <w:pPr>
              <w:pStyle w:val="P68B1DB1-Normal58"/>
              <w:spacing w:after="0" w:line="276" w:lineRule="auto"/>
              <w:jc w:val="center"/>
              <w:rPr>
                <w:bCs/>
                <w:noProof/>
              </w:rPr>
            </w:pPr>
            <w:r>
              <w:rPr>
                <w:noProof/>
              </w:rPr>
              <w:t>Anul</w:t>
            </w:r>
          </w:p>
        </w:tc>
        <w:tc>
          <w:tcPr>
            <w:tcW w:w="4498" w:type="dxa"/>
            <w:vMerge/>
            <w:hideMark/>
          </w:tcPr>
          <w:p w14:paraId="2E692F3E"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14FD165B" w14:textId="77777777">
        <w:trPr>
          <w:trHeight w:val="283"/>
          <w:jc w:val="center"/>
        </w:trPr>
        <w:tc>
          <w:tcPr>
            <w:tcW w:w="768" w:type="dxa"/>
            <w:shd w:val="clear" w:color="auto" w:fill="C6EFCE"/>
            <w:noWrap/>
          </w:tcPr>
          <w:p w14:paraId="62D572D4" w14:textId="77777777" w:rsidR="00FA7C11" w:rsidRDefault="00D84965">
            <w:pPr>
              <w:pStyle w:val="P68B1DB1-Normal66"/>
              <w:spacing w:after="0" w:line="276" w:lineRule="auto"/>
              <w:jc w:val="center"/>
              <w:rPr>
                <w:noProof/>
              </w:rPr>
            </w:pPr>
            <w:r>
              <w:rPr>
                <w:noProof/>
              </w:rPr>
              <w:t>286</w:t>
            </w:r>
          </w:p>
        </w:tc>
        <w:tc>
          <w:tcPr>
            <w:tcW w:w="1203" w:type="dxa"/>
            <w:shd w:val="clear" w:color="auto" w:fill="C6EFCE"/>
            <w:noWrap/>
          </w:tcPr>
          <w:p w14:paraId="31A31ECF" w14:textId="77777777" w:rsidR="00FA7C11" w:rsidRDefault="00D84965">
            <w:pPr>
              <w:pStyle w:val="P68B1DB1-Normal66"/>
              <w:spacing w:after="200" w:line="276" w:lineRule="auto"/>
              <w:jc w:val="center"/>
              <w:rPr>
                <w:noProof/>
              </w:rPr>
            </w:pPr>
            <w:r>
              <w:rPr>
                <w:noProof/>
              </w:rPr>
              <w:t>C4.1. R1</w:t>
            </w:r>
          </w:p>
        </w:tc>
        <w:tc>
          <w:tcPr>
            <w:tcW w:w="1024" w:type="dxa"/>
            <w:shd w:val="clear" w:color="auto" w:fill="C6EFCE"/>
            <w:noWrap/>
          </w:tcPr>
          <w:p w14:paraId="59E1C556" w14:textId="77777777" w:rsidR="00FA7C11" w:rsidRDefault="00D84965">
            <w:pPr>
              <w:pStyle w:val="P68B1DB1-Normal66"/>
              <w:spacing w:after="200" w:line="276" w:lineRule="auto"/>
              <w:jc w:val="center"/>
              <w:rPr>
                <w:noProof/>
              </w:rPr>
            </w:pPr>
            <w:r>
              <w:rPr>
                <w:noProof/>
              </w:rPr>
              <w:t>M</w:t>
            </w:r>
          </w:p>
        </w:tc>
        <w:tc>
          <w:tcPr>
            <w:tcW w:w="2076" w:type="dxa"/>
            <w:shd w:val="clear" w:color="auto" w:fill="C6EFCE"/>
            <w:noWrap/>
          </w:tcPr>
          <w:p w14:paraId="455C61CA" w14:textId="77777777" w:rsidR="00FA7C11" w:rsidRDefault="00D84965">
            <w:pPr>
              <w:pStyle w:val="P68B1DB1-Normal66"/>
              <w:spacing w:after="200" w:line="276" w:lineRule="auto"/>
              <w:rPr>
                <w:noProof/>
              </w:rPr>
            </w:pPr>
            <w:r>
              <w:rPr>
                <w:noProof/>
              </w:rPr>
              <w:t>Completarea politicilor active în domeniul pieței forței de muncă</w:t>
            </w:r>
          </w:p>
        </w:tc>
        <w:tc>
          <w:tcPr>
            <w:tcW w:w="1843" w:type="dxa"/>
            <w:shd w:val="clear" w:color="auto" w:fill="C6EFCE"/>
            <w:noWrap/>
          </w:tcPr>
          <w:p w14:paraId="04204B4B" w14:textId="77777777" w:rsidR="00FA7C11" w:rsidRDefault="00D84965">
            <w:pPr>
              <w:pStyle w:val="P68B1DB1-Normal66"/>
              <w:spacing w:after="200" w:line="276" w:lineRule="auto"/>
              <w:rPr>
                <w:noProof/>
              </w:rPr>
            </w:pPr>
            <w:r>
              <w:rPr>
                <w:noProof/>
              </w:rPr>
              <w:t>Au fost adoptate trei noi măsuri de politică activă în domeniul pieței forței de muncă</w:t>
            </w:r>
          </w:p>
        </w:tc>
        <w:tc>
          <w:tcPr>
            <w:tcW w:w="1072" w:type="dxa"/>
            <w:shd w:val="clear" w:color="auto" w:fill="C6EFCE"/>
            <w:noWrap/>
          </w:tcPr>
          <w:p w14:paraId="65F5259B" w14:textId="77777777" w:rsidR="00FA7C11" w:rsidRDefault="00D84965">
            <w:pPr>
              <w:pStyle w:val="P68B1DB1-Normal66"/>
              <w:spacing w:after="200" w:line="276" w:lineRule="auto"/>
              <w:jc w:val="center"/>
              <w:rPr>
                <w:noProof/>
              </w:rPr>
            </w:pPr>
            <w:r>
              <w:rPr>
                <w:noProof/>
              </w:rPr>
              <w:t> </w:t>
            </w:r>
          </w:p>
        </w:tc>
        <w:tc>
          <w:tcPr>
            <w:tcW w:w="826" w:type="dxa"/>
            <w:shd w:val="clear" w:color="auto" w:fill="C6EFCE"/>
            <w:noWrap/>
          </w:tcPr>
          <w:p w14:paraId="08B08F57" w14:textId="77777777" w:rsidR="00FA7C11" w:rsidRDefault="00D84965">
            <w:pPr>
              <w:pStyle w:val="P68B1DB1-Normal66"/>
              <w:spacing w:after="200" w:line="276" w:lineRule="auto"/>
              <w:jc w:val="center"/>
              <w:rPr>
                <w:noProof/>
              </w:rPr>
            </w:pPr>
            <w:r>
              <w:rPr>
                <w:noProof/>
              </w:rPr>
              <w:t> </w:t>
            </w:r>
          </w:p>
        </w:tc>
        <w:tc>
          <w:tcPr>
            <w:tcW w:w="850" w:type="dxa"/>
            <w:shd w:val="clear" w:color="auto" w:fill="C6EFCE"/>
            <w:noWrap/>
          </w:tcPr>
          <w:p w14:paraId="7877C2E3" w14:textId="77777777" w:rsidR="00FA7C11" w:rsidRDefault="00D84965">
            <w:pPr>
              <w:pStyle w:val="P68B1DB1-Normal66"/>
              <w:spacing w:after="200" w:line="276" w:lineRule="auto"/>
              <w:jc w:val="center"/>
              <w:rPr>
                <w:noProof/>
              </w:rPr>
            </w:pPr>
            <w:r>
              <w:rPr>
                <w:noProof/>
              </w:rPr>
              <w:t> </w:t>
            </w:r>
          </w:p>
        </w:tc>
        <w:tc>
          <w:tcPr>
            <w:tcW w:w="756" w:type="dxa"/>
            <w:shd w:val="clear" w:color="auto" w:fill="C6EFCE"/>
            <w:noWrap/>
          </w:tcPr>
          <w:p w14:paraId="257C66D8" w14:textId="77777777" w:rsidR="00FA7C11" w:rsidRDefault="00D84965">
            <w:pPr>
              <w:pStyle w:val="P68B1DB1-Normal66"/>
              <w:spacing w:after="200" w:line="276" w:lineRule="auto"/>
              <w:jc w:val="center"/>
              <w:rPr>
                <w:noProof/>
              </w:rPr>
            </w:pPr>
            <w:r>
              <w:rPr>
                <w:noProof/>
              </w:rPr>
              <w:t>Î1</w:t>
            </w:r>
          </w:p>
        </w:tc>
        <w:tc>
          <w:tcPr>
            <w:tcW w:w="846" w:type="dxa"/>
            <w:shd w:val="clear" w:color="auto" w:fill="C6EFCE"/>
            <w:noWrap/>
          </w:tcPr>
          <w:p w14:paraId="308220FF" w14:textId="77777777" w:rsidR="00FA7C11" w:rsidRDefault="00D84965">
            <w:pPr>
              <w:pStyle w:val="P68B1DB1-Normal66"/>
              <w:spacing w:after="200" w:line="276" w:lineRule="auto"/>
              <w:jc w:val="center"/>
              <w:rPr>
                <w:noProof/>
              </w:rPr>
            </w:pPr>
            <w:r>
              <w:rPr>
                <w:noProof/>
              </w:rPr>
              <w:t>2022</w:t>
            </w:r>
          </w:p>
        </w:tc>
        <w:tc>
          <w:tcPr>
            <w:tcW w:w="4498" w:type="dxa"/>
            <w:shd w:val="clear" w:color="auto" w:fill="C6EFCE"/>
            <w:noWrap/>
          </w:tcPr>
          <w:p w14:paraId="0B3896C7" w14:textId="77777777" w:rsidR="00FA7C11" w:rsidRDefault="00D84965">
            <w:pPr>
              <w:pStyle w:val="P68B1DB1-Normal66"/>
              <w:spacing w:after="200" w:line="276" w:lineRule="auto"/>
              <w:rPr>
                <w:noProof/>
              </w:rPr>
            </w:pPr>
            <w:r>
              <w:rPr>
                <w:noProof/>
              </w:rPr>
              <w:t>Serviciul croat de ocupare a forței de muncă adoptă trei noi măsuri pentru a sprijini crearea de locuri de muncă în cadrul tranziției verzi și al celei digitale. Condițiile și criteriile de utilizare a fondurilor în cadrul acestor măsuri, precum și activitățile Serviciului public croat de ocupare a forței de muncă sunt concepute astfel încât să acorde prioritate reactivării și (auto) angajării persoanelor inactive, a șomerilor de lungă durată și a tinerilor care nu sunt încadrați profesional și nu urmează niciun program educațional sau de formare (NEET).</w:t>
            </w:r>
          </w:p>
        </w:tc>
      </w:tr>
      <w:tr w:rsidR="00FA7C11" w14:paraId="33227841" w14:textId="77777777">
        <w:trPr>
          <w:trHeight w:val="3440"/>
          <w:jc w:val="center"/>
        </w:trPr>
        <w:tc>
          <w:tcPr>
            <w:tcW w:w="768" w:type="dxa"/>
            <w:shd w:val="clear" w:color="auto" w:fill="C6EFCE"/>
            <w:noWrap/>
          </w:tcPr>
          <w:p w14:paraId="4C4F4E2A" w14:textId="77777777" w:rsidR="00FA7C11" w:rsidRDefault="00D84965">
            <w:pPr>
              <w:pStyle w:val="P68B1DB1-Normal66"/>
              <w:spacing w:after="200" w:line="276" w:lineRule="auto"/>
              <w:jc w:val="center"/>
              <w:rPr>
                <w:noProof/>
              </w:rPr>
            </w:pPr>
            <w:r>
              <w:rPr>
                <w:noProof/>
              </w:rPr>
              <w:t>287</w:t>
            </w:r>
          </w:p>
        </w:tc>
        <w:tc>
          <w:tcPr>
            <w:tcW w:w="1203" w:type="dxa"/>
            <w:shd w:val="clear" w:color="auto" w:fill="C6EFCE"/>
            <w:noWrap/>
          </w:tcPr>
          <w:p w14:paraId="19768870" w14:textId="77777777" w:rsidR="00FA7C11" w:rsidRDefault="00D84965">
            <w:pPr>
              <w:pStyle w:val="P68B1DB1-Normal66"/>
              <w:spacing w:after="200" w:line="276" w:lineRule="auto"/>
              <w:jc w:val="center"/>
              <w:rPr>
                <w:noProof/>
              </w:rPr>
            </w:pPr>
            <w:r>
              <w:rPr>
                <w:noProof/>
              </w:rPr>
              <w:t>C4.1. R1</w:t>
            </w:r>
          </w:p>
        </w:tc>
        <w:tc>
          <w:tcPr>
            <w:tcW w:w="1024" w:type="dxa"/>
            <w:shd w:val="clear" w:color="auto" w:fill="C6EFCE"/>
            <w:noWrap/>
          </w:tcPr>
          <w:p w14:paraId="735CE8BB" w14:textId="77777777" w:rsidR="00FA7C11" w:rsidRDefault="00D84965">
            <w:pPr>
              <w:pStyle w:val="P68B1DB1-Normal66"/>
              <w:spacing w:after="200" w:line="276" w:lineRule="auto"/>
              <w:jc w:val="center"/>
              <w:rPr>
                <w:noProof/>
              </w:rPr>
            </w:pPr>
            <w:r>
              <w:rPr>
                <w:noProof/>
              </w:rPr>
              <w:t>T</w:t>
            </w:r>
          </w:p>
        </w:tc>
        <w:tc>
          <w:tcPr>
            <w:tcW w:w="2076" w:type="dxa"/>
            <w:shd w:val="clear" w:color="auto" w:fill="C6EFCE"/>
            <w:noWrap/>
          </w:tcPr>
          <w:p w14:paraId="4E59490A" w14:textId="77777777" w:rsidR="00FA7C11" w:rsidRDefault="00D84965">
            <w:pPr>
              <w:pStyle w:val="P68B1DB1-Normal66"/>
              <w:spacing w:after="200" w:line="276" w:lineRule="auto"/>
              <w:rPr>
                <w:noProof/>
              </w:rPr>
            </w:pPr>
            <w:r>
              <w:rPr>
                <w:noProof/>
              </w:rPr>
              <w:t>Numărul de beneficiari ai noilor măsuri de politică active în domeniul pieței forței de muncă</w:t>
            </w:r>
          </w:p>
        </w:tc>
        <w:tc>
          <w:tcPr>
            <w:tcW w:w="1843" w:type="dxa"/>
            <w:shd w:val="clear" w:color="auto" w:fill="C6EFCE"/>
            <w:noWrap/>
          </w:tcPr>
          <w:p w14:paraId="5253EF41" w14:textId="77777777" w:rsidR="00FA7C11" w:rsidRDefault="00D84965">
            <w:pPr>
              <w:pStyle w:val="P68B1DB1-Normal66"/>
              <w:spacing w:after="200" w:line="276" w:lineRule="auto"/>
              <w:rPr>
                <w:noProof/>
              </w:rPr>
            </w:pPr>
            <w:r>
              <w:rPr>
                <w:noProof/>
              </w:rPr>
              <w:t xml:space="preserve"> </w:t>
            </w:r>
          </w:p>
        </w:tc>
        <w:tc>
          <w:tcPr>
            <w:tcW w:w="1072" w:type="dxa"/>
            <w:shd w:val="clear" w:color="auto" w:fill="C6EFCE"/>
            <w:noWrap/>
          </w:tcPr>
          <w:p w14:paraId="790E7CA8" w14:textId="77777777" w:rsidR="00FA7C11" w:rsidRDefault="00D84965">
            <w:pPr>
              <w:pStyle w:val="P68B1DB1-Normal66"/>
              <w:spacing w:after="200" w:line="276" w:lineRule="auto"/>
              <w:jc w:val="center"/>
              <w:rPr>
                <w:noProof/>
              </w:rPr>
            </w:pPr>
            <w:r>
              <w:rPr>
                <w:noProof/>
              </w:rPr>
              <w:t>Număr</w:t>
            </w:r>
          </w:p>
        </w:tc>
        <w:tc>
          <w:tcPr>
            <w:tcW w:w="826" w:type="dxa"/>
            <w:shd w:val="clear" w:color="auto" w:fill="C6EFCE"/>
            <w:noWrap/>
          </w:tcPr>
          <w:p w14:paraId="3BD13663" w14:textId="77777777" w:rsidR="00FA7C11" w:rsidRDefault="00D84965">
            <w:pPr>
              <w:pStyle w:val="P68B1DB1-Normal66"/>
              <w:spacing w:after="200" w:line="276" w:lineRule="auto"/>
              <w:jc w:val="center"/>
              <w:rPr>
                <w:noProof/>
              </w:rPr>
            </w:pPr>
            <w:r>
              <w:rPr>
                <w:noProof/>
              </w:rPr>
              <w:t>0</w:t>
            </w:r>
          </w:p>
          <w:p w14:paraId="219372B5" w14:textId="77777777" w:rsidR="00FA7C11" w:rsidRDefault="00FA7C11">
            <w:pPr>
              <w:rPr>
                <w:rFonts w:ascii="Times New Roman" w:eastAsia="Calibri" w:hAnsi="Times New Roman" w:cs="Times New Roman"/>
                <w:noProof/>
                <w:sz w:val="20"/>
                <w:szCs w:val="20"/>
              </w:rPr>
            </w:pPr>
          </w:p>
        </w:tc>
        <w:tc>
          <w:tcPr>
            <w:tcW w:w="850" w:type="dxa"/>
            <w:shd w:val="clear" w:color="auto" w:fill="C6EFCE"/>
            <w:noWrap/>
          </w:tcPr>
          <w:p w14:paraId="30A44EC4" w14:textId="5B15F68D" w:rsidR="00FA7C11" w:rsidRDefault="00D84965">
            <w:pPr>
              <w:pStyle w:val="P68B1DB1-Normal66"/>
              <w:spacing w:after="200" w:line="276" w:lineRule="auto"/>
              <w:jc w:val="center"/>
              <w:rPr>
                <w:noProof/>
              </w:rPr>
            </w:pPr>
            <w:r>
              <w:rPr>
                <w:noProof/>
              </w:rPr>
              <w:t>5 000</w:t>
            </w:r>
          </w:p>
        </w:tc>
        <w:tc>
          <w:tcPr>
            <w:tcW w:w="756" w:type="dxa"/>
            <w:shd w:val="clear" w:color="auto" w:fill="C6EFCE"/>
            <w:noWrap/>
          </w:tcPr>
          <w:p w14:paraId="2A6E73D8" w14:textId="77777777" w:rsidR="00FA7C11" w:rsidRDefault="00D84965">
            <w:pPr>
              <w:pStyle w:val="P68B1DB1-Normal66"/>
              <w:spacing w:after="200" w:line="276" w:lineRule="auto"/>
              <w:jc w:val="center"/>
              <w:rPr>
                <w:noProof/>
              </w:rPr>
            </w:pPr>
            <w:r>
              <w:rPr>
                <w:noProof/>
              </w:rPr>
              <w:t>Î4</w:t>
            </w:r>
          </w:p>
        </w:tc>
        <w:tc>
          <w:tcPr>
            <w:tcW w:w="846" w:type="dxa"/>
            <w:shd w:val="clear" w:color="auto" w:fill="C6EFCE"/>
            <w:noWrap/>
          </w:tcPr>
          <w:p w14:paraId="6A5EF99C" w14:textId="77777777" w:rsidR="00FA7C11" w:rsidRDefault="00D84965">
            <w:pPr>
              <w:pStyle w:val="P68B1DB1-Normal66"/>
              <w:spacing w:after="200" w:line="276" w:lineRule="auto"/>
              <w:jc w:val="center"/>
              <w:rPr>
                <w:noProof/>
              </w:rPr>
            </w:pPr>
            <w:r>
              <w:rPr>
                <w:noProof/>
              </w:rPr>
              <w:t>2025</w:t>
            </w:r>
          </w:p>
        </w:tc>
        <w:tc>
          <w:tcPr>
            <w:tcW w:w="4498" w:type="dxa"/>
            <w:shd w:val="clear" w:color="auto" w:fill="C6EFCE"/>
            <w:noWrap/>
          </w:tcPr>
          <w:p w14:paraId="589AD533" w14:textId="4ADDFA6F" w:rsidR="00FA7C11" w:rsidRDefault="00D84965">
            <w:pPr>
              <w:pStyle w:val="P68B1DB1-Normal66"/>
              <w:spacing w:line="276" w:lineRule="auto"/>
              <w:rPr>
                <w:noProof/>
                <w:color w:val="000000" w:themeColor="text1"/>
              </w:rPr>
            </w:pPr>
            <w:r>
              <w:rPr>
                <w:noProof/>
              </w:rPr>
              <w:t>Cel puțin 5 000 de persoane beneficiază de noile politici active în domeniul pieței forței de muncă, dintre care cel puțin 3 200 trebuie să provină din grupuri vulnerabile. Aceste noi măsuri de politică activă în domeniul pieței forței de muncă constau în:</w:t>
            </w:r>
          </w:p>
          <w:p w14:paraId="46F1E536" w14:textId="77777777" w:rsidR="00FA7C11" w:rsidRDefault="00D84965">
            <w:pPr>
              <w:pStyle w:val="P68B1DB1-Normal66"/>
              <w:spacing w:line="276" w:lineRule="auto"/>
              <w:rPr>
                <w:noProof/>
                <w:color w:val="000000" w:themeColor="text1"/>
              </w:rPr>
            </w:pPr>
            <w:r>
              <w:rPr>
                <w:noProof/>
              </w:rPr>
              <w:t>— Acordarea de sprijin sub formă de granturi pentru ocuparea forței de muncă în locuri de muncă legate de tranziția verde și cea digitală;</w:t>
            </w:r>
          </w:p>
          <w:p w14:paraId="48F320BC" w14:textId="77777777" w:rsidR="00FA7C11" w:rsidRDefault="00D84965">
            <w:pPr>
              <w:pStyle w:val="P68B1DB1-Normal66"/>
              <w:spacing w:line="276" w:lineRule="auto"/>
              <w:rPr>
                <w:noProof/>
                <w:color w:val="000000" w:themeColor="text1"/>
              </w:rPr>
            </w:pPr>
            <w:r>
              <w:rPr>
                <w:noProof/>
              </w:rPr>
              <w:t>— Sprijin sub formă de granturi pentru stagiile legate de tranziția verde și cea digitală;</w:t>
            </w:r>
          </w:p>
          <w:p w14:paraId="323B9727" w14:textId="6B70E07D" w:rsidR="00FA7C11" w:rsidRDefault="00D84965">
            <w:pPr>
              <w:pStyle w:val="P68B1DB1-Normal66"/>
              <w:spacing w:after="0" w:line="276" w:lineRule="auto"/>
              <w:rPr>
                <w:noProof/>
              </w:rPr>
            </w:pPr>
            <w:r>
              <w:rPr>
                <w:noProof/>
              </w:rPr>
              <w:t xml:space="preserve">— Acordarea de sprijin pentru desfășurarea de activități independente legate de tranziția verde și cea digitală.  </w:t>
            </w:r>
          </w:p>
        </w:tc>
      </w:tr>
      <w:tr w:rsidR="00FA7C11" w14:paraId="0FB9879D" w14:textId="77777777">
        <w:trPr>
          <w:trHeight w:val="283"/>
          <w:jc w:val="center"/>
        </w:trPr>
        <w:tc>
          <w:tcPr>
            <w:tcW w:w="768" w:type="dxa"/>
            <w:shd w:val="clear" w:color="auto" w:fill="C6EFCE"/>
            <w:noWrap/>
          </w:tcPr>
          <w:p w14:paraId="4C6C1B39" w14:textId="77777777" w:rsidR="00FA7C11" w:rsidRDefault="00D84965">
            <w:pPr>
              <w:pStyle w:val="P68B1DB1-Normal66"/>
              <w:spacing w:after="200" w:line="276" w:lineRule="auto"/>
              <w:jc w:val="center"/>
              <w:rPr>
                <w:noProof/>
              </w:rPr>
            </w:pPr>
            <w:r>
              <w:rPr>
                <w:noProof/>
              </w:rPr>
              <w:t>288</w:t>
            </w:r>
          </w:p>
        </w:tc>
        <w:tc>
          <w:tcPr>
            <w:tcW w:w="1203" w:type="dxa"/>
            <w:shd w:val="clear" w:color="auto" w:fill="C6EFCE"/>
            <w:noWrap/>
          </w:tcPr>
          <w:p w14:paraId="6A5D29BA" w14:textId="77777777" w:rsidR="00FA7C11" w:rsidRDefault="00D84965">
            <w:pPr>
              <w:pStyle w:val="P68B1DB1-Normal66"/>
              <w:spacing w:after="200" w:line="276" w:lineRule="auto"/>
              <w:jc w:val="center"/>
              <w:rPr>
                <w:noProof/>
              </w:rPr>
            </w:pPr>
            <w:r>
              <w:rPr>
                <w:noProof/>
              </w:rPr>
              <w:t>C4.1. R2</w:t>
            </w:r>
          </w:p>
        </w:tc>
        <w:tc>
          <w:tcPr>
            <w:tcW w:w="1024" w:type="dxa"/>
            <w:shd w:val="clear" w:color="auto" w:fill="C6EFCE"/>
            <w:noWrap/>
          </w:tcPr>
          <w:p w14:paraId="1316C47A" w14:textId="77777777" w:rsidR="00FA7C11" w:rsidRDefault="00D84965">
            <w:pPr>
              <w:pStyle w:val="P68B1DB1-Normal66"/>
              <w:spacing w:after="200" w:line="276" w:lineRule="auto"/>
              <w:jc w:val="center"/>
              <w:rPr>
                <w:noProof/>
              </w:rPr>
            </w:pPr>
            <w:r>
              <w:rPr>
                <w:noProof/>
              </w:rPr>
              <w:t>M</w:t>
            </w:r>
          </w:p>
        </w:tc>
        <w:tc>
          <w:tcPr>
            <w:tcW w:w="2076" w:type="dxa"/>
            <w:shd w:val="clear" w:color="auto" w:fill="C6EFCE"/>
            <w:noWrap/>
          </w:tcPr>
          <w:p w14:paraId="6B7C321E" w14:textId="77777777" w:rsidR="00FA7C11" w:rsidRDefault="00D84965">
            <w:pPr>
              <w:pStyle w:val="P68B1DB1-Normal66"/>
              <w:spacing w:after="200" w:line="276" w:lineRule="auto"/>
              <w:rPr>
                <w:noProof/>
              </w:rPr>
            </w:pPr>
            <w:r>
              <w:rPr>
                <w:noProof/>
              </w:rPr>
              <w:t>Intrarea în vigoare a modificărilor aduse Legii privind piața forței de muncă</w:t>
            </w:r>
          </w:p>
        </w:tc>
        <w:tc>
          <w:tcPr>
            <w:tcW w:w="1843" w:type="dxa"/>
            <w:shd w:val="clear" w:color="auto" w:fill="C6EFCE"/>
            <w:noWrap/>
          </w:tcPr>
          <w:p w14:paraId="169B92C6" w14:textId="77777777" w:rsidR="00FA7C11" w:rsidRDefault="00D84965">
            <w:pPr>
              <w:pStyle w:val="P68B1DB1-Normal66"/>
              <w:spacing w:after="200" w:line="276" w:lineRule="auto"/>
              <w:rPr>
                <w:noProof/>
              </w:rPr>
            </w:pPr>
            <w:r>
              <w:rPr>
                <w:noProof/>
              </w:rPr>
              <w:t>Intrarea în vigoare a actului de modificare a Legii privind piața forței de muncă</w:t>
            </w:r>
          </w:p>
        </w:tc>
        <w:tc>
          <w:tcPr>
            <w:tcW w:w="1072" w:type="dxa"/>
            <w:shd w:val="clear" w:color="auto" w:fill="C6EFCE"/>
            <w:noWrap/>
          </w:tcPr>
          <w:p w14:paraId="695A82BB" w14:textId="77777777" w:rsidR="00FA7C11" w:rsidRDefault="00D84965">
            <w:pPr>
              <w:pStyle w:val="P68B1DB1-Normal66"/>
              <w:spacing w:after="200" w:line="276" w:lineRule="auto"/>
              <w:jc w:val="center"/>
              <w:rPr>
                <w:noProof/>
              </w:rPr>
            </w:pPr>
            <w:r>
              <w:rPr>
                <w:noProof/>
              </w:rPr>
              <w:t> </w:t>
            </w:r>
          </w:p>
        </w:tc>
        <w:tc>
          <w:tcPr>
            <w:tcW w:w="826" w:type="dxa"/>
            <w:shd w:val="clear" w:color="auto" w:fill="C6EFCE"/>
            <w:noWrap/>
          </w:tcPr>
          <w:p w14:paraId="505620BE" w14:textId="77777777" w:rsidR="00FA7C11" w:rsidRDefault="00D84965">
            <w:pPr>
              <w:pStyle w:val="P68B1DB1-Normal66"/>
              <w:spacing w:after="200" w:line="276" w:lineRule="auto"/>
              <w:jc w:val="center"/>
              <w:rPr>
                <w:noProof/>
              </w:rPr>
            </w:pPr>
            <w:r>
              <w:rPr>
                <w:noProof/>
              </w:rPr>
              <w:t> </w:t>
            </w:r>
          </w:p>
        </w:tc>
        <w:tc>
          <w:tcPr>
            <w:tcW w:w="850" w:type="dxa"/>
            <w:shd w:val="clear" w:color="auto" w:fill="C6EFCE"/>
            <w:noWrap/>
          </w:tcPr>
          <w:p w14:paraId="1332E694" w14:textId="77777777" w:rsidR="00FA7C11" w:rsidRDefault="00D84965">
            <w:pPr>
              <w:pStyle w:val="P68B1DB1-Normal66"/>
              <w:spacing w:after="200" w:line="276" w:lineRule="auto"/>
              <w:jc w:val="center"/>
              <w:rPr>
                <w:noProof/>
              </w:rPr>
            </w:pPr>
            <w:r>
              <w:rPr>
                <w:noProof/>
              </w:rPr>
              <w:t> </w:t>
            </w:r>
          </w:p>
        </w:tc>
        <w:tc>
          <w:tcPr>
            <w:tcW w:w="756" w:type="dxa"/>
            <w:shd w:val="clear" w:color="auto" w:fill="C6EFCE"/>
            <w:noWrap/>
          </w:tcPr>
          <w:p w14:paraId="22C46F2B" w14:textId="77777777" w:rsidR="00FA7C11" w:rsidRDefault="00D84965">
            <w:pPr>
              <w:pStyle w:val="P68B1DB1-Normal66"/>
              <w:spacing w:after="200" w:line="276" w:lineRule="auto"/>
              <w:jc w:val="center"/>
              <w:rPr>
                <w:noProof/>
              </w:rPr>
            </w:pPr>
            <w:r>
              <w:rPr>
                <w:noProof/>
              </w:rPr>
              <w:t>Î3</w:t>
            </w:r>
          </w:p>
        </w:tc>
        <w:tc>
          <w:tcPr>
            <w:tcW w:w="846" w:type="dxa"/>
            <w:shd w:val="clear" w:color="auto" w:fill="C6EFCE"/>
            <w:noWrap/>
          </w:tcPr>
          <w:p w14:paraId="64E98F53" w14:textId="77777777" w:rsidR="00FA7C11" w:rsidRDefault="00D84965">
            <w:pPr>
              <w:pStyle w:val="P68B1DB1-Normal66"/>
              <w:spacing w:after="200" w:line="276" w:lineRule="auto"/>
              <w:jc w:val="center"/>
              <w:rPr>
                <w:noProof/>
              </w:rPr>
            </w:pPr>
            <w:r>
              <w:rPr>
                <w:noProof/>
              </w:rPr>
              <w:t>2024</w:t>
            </w:r>
          </w:p>
        </w:tc>
        <w:tc>
          <w:tcPr>
            <w:tcW w:w="4498" w:type="dxa"/>
            <w:shd w:val="clear" w:color="auto" w:fill="C6EFCE"/>
            <w:noWrap/>
          </w:tcPr>
          <w:p w14:paraId="6F2C40A9" w14:textId="77777777" w:rsidR="00FA7C11" w:rsidRDefault="00D84965">
            <w:pPr>
              <w:pStyle w:val="P68B1DB1-Normal66"/>
              <w:spacing w:after="200" w:line="276" w:lineRule="auto"/>
              <w:rPr>
                <w:noProof/>
              </w:rPr>
            </w:pPr>
            <w:r>
              <w:rPr>
                <w:noProof/>
              </w:rPr>
              <w:t>Intrarea în vigoare a unei legi modificate sau noi privind piața forței de muncă, care majorează cuantumul prestațiilor de șomaj și prelungește durata acestora, relaxează cerințele pentru lucrătorii vulnerabili și digitalizează procesul de solicitare a prestațiilor de șomaj în conformitate cu analiza efectuată.</w:t>
            </w:r>
          </w:p>
        </w:tc>
      </w:tr>
      <w:tr w:rsidR="00FA7C11" w14:paraId="0C4DB59D" w14:textId="77777777">
        <w:trPr>
          <w:trHeight w:val="283"/>
          <w:jc w:val="center"/>
        </w:trPr>
        <w:tc>
          <w:tcPr>
            <w:tcW w:w="768" w:type="dxa"/>
            <w:shd w:val="clear" w:color="auto" w:fill="C6EFCE"/>
            <w:noWrap/>
          </w:tcPr>
          <w:p w14:paraId="5B943B05" w14:textId="77777777" w:rsidR="00FA7C11" w:rsidRDefault="00D84965">
            <w:pPr>
              <w:pStyle w:val="P68B1DB1-Normal66"/>
              <w:spacing w:after="200" w:line="276" w:lineRule="auto"/>
              <w:jc w:val="center"/>
              <w:rPr>
                <w:noProof/>
              </w:rPr>
            </w:pPr>
            <w:r>
              <w:rPr>
                <w:noProof/>
              </w:rPr>
              <w:t>289</w:t>
            </w:r>
          </w:p>
        </w:tc>
        <w:tc>
          <w:tcPr>
            <w:tcW w:w="1203" w:type="dxa"/>
            <w:shd w:val="clear" w:color="auto" w:fill="C6EFCE"/>
            <w:noWrap/>
          </w:tcPr>
          <w:p w14:paraId="60A9165E" w14:textId="77777777" w:rsidR="00FA7C11" w:rsidRDefault="00D84965">
            <w:pPr>
              <w:pStyle w:val="P68B1DB1-Normal66"/>
              <w:spacing w:after="200" w:line="276" w:lineRule="auto"/>
              <w:jc w:val="center"/>
              <w:rPr>
                <w:noProof/>
              </w:rPr>
            </w:pPr>
            <w:r>
              <w:rPr>
                <w:noProof/>
              </w:rPr>
              <w:t>C4.1. R2</w:t>
            </w:r>
          </w:p>
        </w:tc>
        <w:tc>
          <w:tcPr>
            <w:tcW w:w="1024" w:type="dxa"/>
            <w:shd w:val="clear" w:color="auto" w:fill="C6EFCE"/>
            <w:noWrap/>
          </w:tcPr>
          <w:p w14:paraId="51CBEF09" w14:textId="77777777" w:rsidR="00FA7C11" w:rsidRDefault="00D84965">
            <w:pPr>
              <w:pStyle w:val="P68B1DB1-Normal66"/>
              <w:spacing w:after="200" w:line="276" w:lineRule="auto"/>
              <w:jc w:val="center"/>
              <w:rPr>
                <w:noProof/>
              </w:rPr>
            </w:pPr>
            <w:r>
              <w:rPr>
                <w:noProof/>
              </w:rPr>
              <w:t>M</w:t>
            </w:r>
          </w:p>
        </w:tc>
        <w:tc>
          <w:tcPr>
            <w:tcW w:w="2076" w:type="dxa"/>
            <w:shd w:val="clear" w:color="auto" w:fill="C6EFCE"/>
            <w:noWrap/>
          </w:tcPr>
          <w:p w14:paraId="179E12C6" w14:textId="77777777" w:rsidR="00FA7C11" w:rsidRDefault="00D84965">
            <w:pPr>
              <w:pStyle w:val="P68B1DB1-Normal66"/>
              <w:spacing w:after="200" w:line="276" w:lineRule="auto"/>
              <w:rPr>
                <w:noProof/>
              </w:rPr>
            </w:pPr>
            <w:r>
              <w:rPr>
                <w:noProof/>
              </w:rPr>
              <w:t xml:space="preserve">Îmbunătățirea calității sprijinului pentru grupurile vulnerabile </w:t>
            </w:r>
          </w:p>
        </w:tc>
        <w:tc>
          <w:tcPr>
            <w:tcW w:w="1843" w:type="dxa"/>
            <w:shd w:val="clear" w:color="auto" w:fill="C6EFCE"/>
            <w:noWrap/>
          </w:tcPr>
          <w:p w14:paraId="2642FBFD" w14:textId="78E97055" w:rsidR="00FA7C11" w:rsidRDefault="00D84965">
            <w:pPr>
              <w:pStyle w:val="P68B1DB1-Normal66"/>
              <w:spacing w:after="200" w:line="276" w:lineRule="auto"/>
              <w:rPr>
                <w:noProof/>
              </w:rPr>
            </w:pPr>
            <w:r>
              <w:rPr>
                <w:noProof/>
              </w:rPr>
              <w:t>Intrarea în vigoare a unui act delegat sau adoptarea unui cadru de reglementare intern privind procesele consolidate pentru activitatea CES în ceea ce privește crearea de profiluri, segmentarea, integrarea și activarea grupurilor vulnerabile</w:t>
            </w:r>
          </w:p>
        </w:tc>
        <w:tc>
          <w:tcPr>
            <w:tcW w:w="1072" w:type="dxa"/>
            <w:shd w:val="clear" w:color="auto" w:fill="C6EFCE"/>
            <w:noWrap/>
          </w:tcPr>
          <w:p w14:paraId="72C9EC61" w14:textId="77777777" w:rsidR="00FA7C11" w:rsidRDefault="00D84965">
            <w:pPr>
              <w:pStyle w:val="P68B1DB1-Normal66"/>
              <w:spacing w:after="200" w:line="276" w:lineRule="auto"/>
              <w:jc w:val="center"/>
              <w:rPr>
                <w:noProof/>
              </w:rPr>
            </w:pPr>
            <w:r>
              <w:rPr>
                <w:noProof/>
              </w:rPr>
              <w:t> </w:t>
            </w:r>
          </w:p>
        </w:tc>
        <w:tc>
          <w:tcPr>
            <w:tcW w:w="826" w:type="dxa"/>
            <w:shd w:val="clear" w:color="auto" w:fill="C6EFCE"/>
            <w:noWrap/>
          </w:tcPr>
          <w:p w14:paraId="3D44C73C" w14:textId="77777777" w:rsidR="00FA7C11" w:rsidRDefault="00FA7C11">
            <w:pPr>
              <w:spacing w:after="200" w:line="276" w:lineRule="auto"/>
              <w:rPr>
                <w:rFonts w:ascii="Times New Roman" w:eastAsia="Calibri" w:hAnsi="Times New Roman" w:cs="Times New Roman"/>
                <w:noProof/>
                <w:sz w:val="20"/>
                <w:szCs w:val="20"/>
              </w:rPr>
            </w:pPr>
          </w:p>
        </w:tc>
        <w:tc>
          <w:tcPr>
            <w:tcW w:w="850" w:type="dxa"/>
            <w:shd w:val="clear" w:color="auto" w:fill="C6EFCE"/>
            <w:noWrap/>
          </w:tcPr>
          <w:p w14:paraId="129C2F9A" w14:textId="77777777" w:rsidR="00FA7C11" w:rsidRDefault="00D84965">
            <w:pPr>
              <w:pStyle w:val="P68B1DB1-Normal66"/>
              <w:spacing w:after="200" w:line="276" w:lineRule="auto"/>
              <w:jc w:val="center"/>
              <w:rPr>
                <w:noProof/>
              </w:rPr>
            </w:pPr>
            <w:r>
              <w:rPr>
                <w:noProof/>
              </w:rPr>
              <w:t> </w:t>
            </w:r>
          </w:p>
        </w:tc>
        <w:tc>
          <w:tcPr>
            <w:tcW w:w="756" w:type="dxa"/>
            <w:shd w:val="clear" w:color="auto" w:fill="C6EFCE"/>
            <w:noWrap/>
          </w:tcPr>
          <w:p w14:paraId="0CDAE284" w14:textId="77777777" w:rsidR="00FA7C11" w:rsidRDefault="00D84965">
            <w:pPr>
              <w:pStyle w:val="P68B1DB1-Normal66"/>
              <w:spacing w:after="200" w:line="276" w:lineRule="auto"/>
              <w:jc w:val="center"/>
              <w:rPr>
                <w:noProof/>
              </w:rPr>
            </w:pPr>
            <w:r>
              <w:rPr>
                <w:noProof/>
              </w:rPr>
              <w:t>Î4</w:t>
            </w:r>
          </w:p>
        </w:tc>
        <w:tc>
          <w:tcPr>
            <w:tcW w:w="846" w:type="dxa"/>
            <w:shd w:val="clear" w:color="auto" w:fill="C6EFCE"/>
            <w:noWrap/>
          </w:tcPr>
          <w:p w14:paraId="4430A4F0" w14:textId="77777777" w:rsidR="00FA7C11" w:rsidRDefault="00D84965">
            <w:pPr>
              <w:pStyle w:val="P68B1DB1-Normal66"/>
              <w:spacing w:after="200" w:line="276" w:lineRule="auto"/>
              <w:jc w:val="center"/>
              <w:rPr>
                <w:noProof/>
              </w:rPr>
            </w:pPr>
            <w:r>
              <w:rPr>
                <w:noProof/>
              </w:rPr>
              <w:t>2024</w:t>
            </w:r>
          </w:p>
        </w:tc>
        <w:tc>
          <w:tcPr>
            <w:tcW w:w="4498" w:type="dxa"/>
            <w:shd w:val="clear" w:color="auto" w:fill="C6EFCE"/>
            <w:noWrap/>
          </w:tcPr>
          <w:p w14:paraId="193473DD" w14:textId="77777777" w:rsidR="00FA7C11" w:rsidRDefault="00D84965">
            <w:pPr>
              <w:pStyle w:val="P68B1DB1-Normal66"/>
              <w:spacing w:after="200" w:line="276" w:lineRule="auto"/>
              <w:rPr>
                <w:noProof/>
              </w:rPr>
            </w:pPr>
            <w:r>
              <w:rPr>
                <w:noProof/>
              </w:rPr>
              <w:t>Noile procese ale Serviciului public croat de ocupare a forței de muncă sunt operaționale pentru crearea de profiluri, segmentarea, integrarea și activarea grupurilor vulnerabile, dezvoltarea de instrumente pentru corelarea șomerilor cu locurile de muncă vacante și operaționalizarea sistemului de monitorizare și evaluare a politicilor active în domeniul pieței forței de muncă.</w:t>
            </w:r>
          </w:p>
        </w:tc>
      </w:tr>
      <w:tr w:rsidR="00FA7C11" w14:paraId="34A5ADA2" w14:textId="77777777">
        <w:trPr>
          <w:trHeight w:val="283"/>
          <w:jc w:val="center"/>
        </w:trPr>
        <w:tc>
          <w:tcPr>
            <w:tcW w:w="768" w:type="dxa"/>
            <w:shd w:val="clear" w:color="auto" w:fill="C6EFCE"/>
            <w:noWrap/>
          </w:tcPr>
          <w:p w14:paraId="1C3CF0B9" w14:textId="77777777" w:rsidR="00FA7C11" w:rsidRDefault="00D84965">
            <w:pPr>
              <w:pStyle w:val="P68B1DB1-Normal66"/>
              <w:spacing w:after="200" w:line="276" w:lineRule="auto"/>
              <w:jc w:val="center"/>
              <w:rPr>
                <w:noProof/>
              </w:rPr>
            </w:pPr>
            <w:r>
              <w:rPr>
                <w:noProof/>
              </w:rPr>
              <w:t>290</w:t>
            </w:r>
          </w:p>
        </w:tc>
        <w:tc>
          <w:tcPr>
            <w:tcW w:w="1203" w:type="dxa"/>
            <w:shd w:val="clear" w:color="auto" w:fill="C6EFCE"/>
            <w:noWrap/>
          </w:tcPr>
          <w:p w14:paraId="68EBB4E2" w14:textId="77777777" w:rsidR="00FA7C11" w:rsidRDefault="00D84965">
            <w:pPr>
              <w:pStyle w:val="P68B1DB1-Normal66"/>
              <w:spacing w:after="200" w:line="276" w:lineRule="auto"/>
              <w:jc w:val="center"/>
              <w:rPr>
                <w:noProof/>
              </w:rPr>
            </w:pPr>
            <w:r>
              <w:rPr>
                <w:noProof/>
              </w:rPr>
              <w:t>C4.1. R2</w:t>
            </w:r>
          </w:p>
        </w:tc>
        <w:tc>
          <w:tcPr>
            <w:tcW w:w="1024" w:type="dxa"/>
            <w:shd w:val="clear" w:color="auto" w:fill="C6EFCE"/>
            <w:noWrap/>
          </w:tcPr>
          <w:p w14:paraId="35872D7A" w14:textId="77777777" w:rsidR="00FA7C11" w:rsidRDefault="00D84965">
            <w:pPr>
              <w:pStyle w:val="P68B1DB1-Normal66"/>
              <w:spacing w:after="200" w:line="276" w:lineRule="auto"/>
              <w:jc w:val="center"/>
              <w:rPr>
                <w:noProof/>
                <w:color w:val="000000" w:themeColor="text1"/>
              </w:rPr>
            </w:pPr>
            <w:r>
              <w:rPr>
                <w:noProof/>
              </w:rPr>
              <w:t>T</w:t>
            </w:r>
          </w:p>
        </w:tc>
        <w:tc>
          <w:tcPr>
            <w:tcW w:w="2076" w:type="dxa"/>
            <w:shd w:val="clear" w:color="auto" w:fill="C6EFCE"/>
            <w:noWrap/>
          </w:tcPr>
          <w:p w14:paraId="1DE85FF6" w14:textId="77777777" w:rsidR="00FA7C11" w:rsidRDefault="00D84965">
            <w:pPr>
              <w:pStyle w:val="P68B1DB1-Normal66"/>
              <w:spacing w:after="200" w:line="276" w:lineRule="auto"/>
              <w:rPr>
                <w:noProof/>
              </w:rPr>
            </w:pPr>
            <w:r>
              <w:rPr>
                <w:noProof/>
              </w:rPr>
              <w:t>Îmbunătățirea calității sprijinului pentru cel puțin 5 000 de persoane din grupuri vulnerabile</w:t>
            </w:r>
          </w:p>
        </w:tc>
        <w:tc>
          <w:tcPr>
            <w:tcW w:w="1843" w:type="dxa"/>
            <w:shd w:val="clear" w:color="auto" w:fill="C6EFCE"/>
            <w:noWrap/>
          </w:tcPr>
          <w:p w14:paraId="76B63482" w14:textId="77777777" w:rsidR="00FA7C11" w:rsidRDefault="00D84965">
            <w:pPr>
              <w:pStyle w:val="P68B1DB1-Normal66"/>
              <w:spacing w:after="200" w:line="276" w:lineRule="auto"/>
              <w:rPr>
                <w:noProof/>
              </w:rPr>
            </w:pPr>
            <w:r>
              <w:rPr>
                <w:noProof/>
              </w:rPr>
              <w:t xml:space="preserve"> </w:t>
            </w:r>
          </w:p>
        </w:tc>
        <w:tc>
          <w:tcPr>
            <w:tcW w:w="1072" w:type="dxa"/>
            <w:shd w:val="clear" w:color="auto" w:fill="C6EFCE"/>
            <w:noWrap/>
          </w:tcPr>
          <w:p w14:paraId="47095EC1" w14:textId="77777777" w:rsidR="00FA7C11" w:rsidRDefault="00D84965">
            <w:pPr>
              <w:pStyle w:val="P68B1DB1-Normal66"/>
              <w:spacing w:after="200" w:line="276" w:lineRule="auto"/>
              <w:jc w:val="center"/>
              <w:rPr>
                <w:noProof/>
              </w:rPr>
            </w:pPr>
            <w:r>
              <w:rPr>
                <w:noProof/>
              </w:rPr>
              <w:t>Număr</w:t>
            </w:r>
          </w:p>
        </w:tc>
        <w:tc>
          <w:tcPr>
            <w:tcW w:w="826" w:type="dxa"/>
            <w:shd w:val="clear" w:color="auto" w:fill="C6EFCE"/>
            <w:noWrap/>
          </w:tcPr>
          <w:p w14:paraId="4D84F1F2" w14:textId="77777777" w:rsidR="00FA7C11" w:rsidRDefault="00D84965">
            <w:pPr>
              <w:pStyle w:val="P68B1DB1-Normal66"/>
              <w:spacing w:after="200" w:line="276" w:lineRule="auto"/>
              <w:jc w:val="center"/>
              <w:rPr>
                <w:noProof/>
              </w:rPr>
            </w:pPr>
            <w:r>
              <w:rPr>
                <w:noProof/>
              </w:rPr>
              <w:t>0</w:t>
            </w:r>
          </w:p>
        </w:tc>
        <w:tc>
          <w:tcPr>
            <w:tcW w:w="850" w:type="dxa"/>
            <w:shd w:val="clear" w:color="auto" w:fill="C6EFCE"/>
            <w:noWrap/>
          </w:tcPr>
          <w:p w14:paraId="0042B6F8" w14:textId="77777777" w:rsidR="00FA7C11" w:rsidRDefault="00D84965">
            <w:pPr>
              <w:pStyle w:val="P68B1DB1-Normal66"/>
              <w:spacing w:after="200" w:line="276" w:lineRule="auto"/>
              <w:jc w:val="center"/>
              <w:rPr>
                <w:noProof/>
              </w:rPr>
            </w:pPr>
            <w:r>
              <w:rPr>
                <w:noProof/>
              </w:rPr>
              <w:t>5 000</w:t>
            </w:r>
          </w:p>
        </w:tc>
        <w:tc>
          <w:tcPr>
            <w:tcW w:w="756" w:type="dxa"/>
            <w:shd w:val="clear" w:color="auto" w:fill="C6EFCE"/>
            <w:noWrap/>
          </w:tcPr>
          <w:p w14:paraId="1A720AB5" w14:textId="77777777" w:rsidR="00FA7C11" w:rsidRDefault="00D84965">
            <w:pPr>
              <w:pStyle w:val="P68B1DB1-Normal66"/>
              <w:spacing w:after="200" w:line="276" w:lineRule="auto"/>
              <w:jc w:val="center"/>
              <w:rPr>
                <w:noProof/>
              </w:rPr>
            </w:pPr>
            <w:r>
              <w:rPr>
                <w:noProof/>
              </w:rPr>
              <w:t>Î2</w:t>
            </w:r>
          </w:p>
        </w:tc>
        <w:tc>
          <w:tcPr>
            <w:tcW w:w="846" w:type="dxa"/>
            <w:shd w:val="clear" w:color="auto" w:fill="C6EFCE"/>
            <w:noWrap/>
          </w:tcPr>
          <w:p w14:paraId="24118797" w14:textId="77777777" w:rsidR="00FA7C11" w:rsidRDefault="00D84965">
            <w:pPr>
              <w:pStyle w:val="P68B1DB1-Normal66"/>
              <w:spacing w:after="200" w:line="276" w:lineRule="auto"/>
              <w:jc w:val="center"/>
              <w:rPr>
                <w:noProof/>
              </w:rPr>
            </w:pPr>
            <w:r>
              <w:rPr>
                <w:noProof/>
              </w:rPr>
              <w:t>2025</w:t>
            </w:r>
          </w:p>
        </w:tc>
        <w:tc>
          <w:tcPr>
            <w:tcW w:w="4498" w:type="dxa"/>
            <w:shd w:val="clear" w:color="auto" w:fill="C6EFCE"/>
            <w:noWrap/>
          </w:tcPr>
          <w:p w14:paraId="4F8B78CA" w14:textId="07739742" w:rsidR="00FA7C11" w:rsidRDefault="00D84965">
            <w:pPr>
              <w:pStyle w:val="P68B1DB1-Normal66"/>
              <w:spacing w:after="200" w:line="276" w:lineRule="auto"/>
              <w:rPr>
                <w:noProof/>
              </w:rPr>
            </w:pPr>
            <w:r>
              <w:rPr>
                <w:noProof/>
              </w:rPr>
              <w:t>Activitățile de informare a grupurilor vulnerabile permit includerea a 5 000 de noi utilizatori.</w:t>
            </w:r>
          </w:p>
        </w:tc>
      </w:tr>
      <w:tr w:rsidR="00FA7C11" w14:paraId="31C874BE" w14:textId="77777777">
        <w:trPr>
          <w:trHeight w:val="283"/>
          <w:jc w:val="center"/>
        </w:trPr>
        <w:tc>
          <w:tcPr>
            <w:tcW w:w="768" w:type="dxa"/>
            <w:shd w:val="clear" w:color="auto" w:fill="C6EFCE"/>
            <w:noWrap/>
          </w:tcPr>
          <w:p w14:paraId="5302E7EF" w14:textId="77777777" w:rsidR="00FA7C11" w:rsidRDefault="00D84965">
            <w:pPr>
              <w:pStyle w:val="P68B1DB1-Normal66"/>
              <w:spacing w:after="200" w:line="276" w:lineRule="auto"/>
              <w:jc w:val="center"/>
              <w:rPr>
                <w:noProof/>
              </w:rPr>
            </w:pPr>
            <w:r>
              <w:rPr>
                <w:noProof/>
              </w:rPr>
              <w:t>291</w:t>
            </w:r>
          </w:p>
        </w:tc>
        <w:tc>
          <w:tcPr>
            <w:tcW w:w="1203" w:type="dxa"/>
            <w:shd w:val="clear" w:color="auto" w:fill="C6EFCE"/>
            <w:noWrap/>
          </w:tcPr>
          <w:p w14:paraId="31888BA0" w14:textId="77777777" w:rsidR="00FA7C11" w:rsidRDefault="00D84965">
            <w:pPr>
              <w:pStyle w:val="P68B1DB1-Normal66"/>
              <w:spacing w:after="200" w:line="276" w:lineRule="auto"/>
              <w:jc w:val="center"/>
              <w:rPr>
                <w:noProof/>
              </w:rPr>
            </w:pPr>
            <w:r>
              <w:rPr>
                <w:noProof/>
              </w:rPr>
              <w:t>C4.1. R3</w:t>
            </w:r>
          </w:p>
        </w:tc>
        <w:tc>
          <w:tcPr>
            <w:tcW w:w="1024" w:type="dxa"/>
            <w:shd w:val="clear" w:color="auto" w:fill="C6EFCE"/>
            <w:noWrap/>
          </w:tcPr>
          <w:p w14:paraId="5E613DC2" w14:textId="77777777" w:rsidR="00FA7C11" w:rsidRDefault="00D84965">
            <w:pPr>
              <w:pStyle w:val="P68B1DB1-Normal66"/>
              <w:spacing w:after="200" w:line="276" w:lineRule="auto"/>
              <w:jc w:val="center"/>
              <w:rPr>
                <w:noProof/>
              </w:rPr>
            </w:pPr>
            <w:r>
              <w:rPr>
                <w:noProof/>
              </w:rPr>
              <w:t>M</w:t>
            </w:r>
          </w:p>
        </w:tc>
        <w:tc>
          <w:tcPr>
            <w:tcW w:w="2076" w:type="dxa"/>
            <w:shd w:val="clear" w:color="auto" w:fill="C6EFCE"/>
            <w:noWrap/>
          </w:tcPr>
          <w:p w14:paraId="538B2400" w14:textId="77777777" w:rsidR="00FA7C11" w:rsidRDefault="00D84965">
            <w:pPr>
              <w:pStyle w:val="P68B1DB1-Normal66"/>
              <w:spacing w:after="200" w:line="276" w:lineRule="auto"/>
              <w:rPr>
                <w:noProof/>
              </w:rPr>
            </w:pPr>
            <w:r>
              <w:rPr>
                <w:noProof/>
              </w:rPr>
              <w:t>Dezvoltarea competențelor în funcție de nevoile pieței</w:t>
            </w:r>
          </w:p>
        </w:tc>
        <w:tc>
          <w:tcPr>
            <w:tcW w:w="1843" w:type="dxa"/>
            <w:shd w:val="clear" w:color="auto" w:fill="C6EFCE"/>
            <w:noWrap/>
          </w:tcPr>
          <w:p w14:paraId="1BF0FCC1" w14:textId="77777777" w:rsidR="00FA7C11" w:rsidRDefault="00D84965">
            <w:pPr>
              <w:pStyle w:val="P68B1DB1-Normal66"/>
              <w:spacing w:after="200" w:line="276" w:lineRule="auto"/>
              <w:rPr>
                <w:noProof/>
              </w:rPr>
            </w:pPr>
            <w:r>
              <w:rPr>
                <w:noProof/>
              </w:rPr>
              <w:t>Sistemul de vouchere utilizat</w:t>
            </w:r>
          </w:p>
        </w:tc>
        <w:tc>
          <w:tcPr>
            <w:tcW w:w="1072" w:type="dxa"/>
            <w:shd w:val="clear" w:color="auto" w:fill="C6EFCE"/>
            <w:noWrap/>
          </w:tcPr>
          <w:p w14:paraId="071D290C" w14:textId="77777777" w:rsidR="00FA7C11" w:rsidRDefault="00D84965">
            <w:pPr>
              <w:pStyle w:val="P68B1DB1-Normal66"/>
              <w:spacing w:after="200" w:line="276" w:lineRule="auto"/>
              <w:jc w:val="center"/>
              <w:rPr>
                <w:noProof/>
              </w:rPr>
            </w:pPr>
            <w:r>
              <w:rPr>
                <w:noProof/>
              </w:rPr>
              <w:t> </w:t>
            </w:r>
          </w:p>
        </w:tc>
        <w:tc>
          <w:tcPr>
            <w:tcW w:w="826" w:type="dxa"/>
            <w:shd w:val="clear" w:color="auto" w:fill="C6EFCE"/>
            <w:noWrap/>
          </w:tcPr>
          <w:p w14:paraId="04BC55EE" w14:textId="77777777" w:rsidR="00FA7C11" w:rsidRDefault="00D84965">
            <w:pPr>
              <w:pStyle w:val="P68B1DB1-Normal66"/>
              <w:spacing w:after="200" w:line="276" w:lineRule="auto"/>
              <w:jc w:val="center"/>
              <w:rPr>
                <w:noProof/>
              </w:rPr>
            </w:pPr>
            <w:r>
              <w:rPr>
                <w:noProof/>
              </w:rPr>
              <w:t> </w:t>
            </w:r>
          </w:p>
        </w:tc>
        <w:tc>
          <w:tcPr>
            <w:tcW w:w="850" w:type="dxa"/>
            <w:shd w:val="clear" w:color="auto" w:fill="C6EFCE"/>
            <w:noWrap/>
          </w:tcPr>
          <w:p w14:paraId="48393126" w14:textId="77777777" w:rsidR="00FA7C11" w:rsidRDefault="00D84965">
            <w:pPr>
              <w:pStyle w:val="P68B1DB1-Normal66"/>
              <w:spacing w:after="200" w:line="276" w:lineRule="auto"/>
              <w:jc w:val="center"/>
              <w:rPr>
                <w:noProof/>
              </w:rPr>
            </w:pPr>
            <w:r>
              <w:rPr>
                <w:noProof/>
              </w:rPr>
              <w:t> </w:t>
            </w:r>
          </w:p>
        </w:tc>
        <w:tc>
          <w:tcPr>
            <w:tcW w:w="756" w:type="dxa"/>
            <w:shd w:val="clear" w:color="auto" w:fill="C6EFCE"/>
            <w:noWrap/>
          </w:tcPr>
          <w:p w14:paraId="551F66A8" w14:textId="77777777" w:rsidR="00FA7C11" w:rsidRDefault="00D84965">
            <w:pPr>
              <w:pStyle w:val="P68B1DB1-Normal66"/>
              <w:spacing w:after="200" w:line="276" w:lineRule="auto"/>
              <w:jc w:val="center"/>
              <w:rPr>
                <w:noProof/>
              </w:rPr>
            </w:pPr>
            <w:r>
              <w:rPr>
                <w:noProof/>
              </w:rPr>
              <w:t>Î1</w:t>
            </w:r>
          </w:p>
        </w:tc>
        <w:tc>
          <w:tcPr>
            <w:tcW w:w="846" w:type="dxa"/>
            <w:shd w:val="clear" w:color="auto" w:fill="C6EFCE"/>
            <w:noWrap/>
          </w:tcPr>
          <w:p w14:paraId="30B20B6E" w14:textId="77777777" w:rsidR="00FA7C11" w:rsidRDefault="00D84965">
            <w:pPr>
              <w:pStyle w:val="P68B1DB1-Normal66"/>
              <w:spacing w:after="200" w:line="276" w:lineRule="auto"/>
              <w:jc w:val="center"/>
              <w:rPr>
                <w:noProof/>
              </w:rPr>
            </w:pPr>
            <w:r>
              <w:rPr>
                <w:noProof/>
              </w:rPr>
              <w:t>2022</w:t>
            </w:r>
          </w:p>
        </w:tc>
        <w:tc>
          <w:tcPr>
            <w:tcW w:w="4498" w:type="dxa"/>
            <w:shd w:val="clear" w:color="auto" w:fill="C6EFCE"/>
            <w:noWrap/>
          </w:tcPr>
          <w:p w14:paraId="396D50FB" w14:textId="77777777" w:rsidR="00FA7C11" w:rsidRDefault="00D84965">
            <w:pPr>
              <w:pStyle w:val="P68B1DB1-Normal66"/>
              <w:spacing w:after="200" w:line="276" w:lineRule="auto"/>
              <w:rPr>
                <w:noProof/>
              </w:rPr>
            </w:pPr>
            <w:r>
              <w:rPr>
                <w:noProof/>
              </w:rPr>
              <w:t>Sistemul de vouchere este operațional și utilizat pentru a finanța participarea exclusiv la programe educaționale elaborate pe baza Cadrului croat al calificărilor și puse în aplicare prin intermediul instituțiilor acreditate în conformitate cu noua lege adoptată privind educația adulților. Sunt implicate cel puțin 25 programe educaționale. Sistemul conține un catalog de competențe care cartografiază competențele existente și necesare pe piața forței de muncă, precum și o aplicație informatică pentru gestionarea și acordarea voucherelor. Sistemul de vouchere este în beneficiul angajaților și al șomerilor, cu un accent deosebit pe grupurile vulnerabile (șomeri de lungă durată, persoane inactive sau tineri NEET).</w:t>
            </w:r>
          </w:p>
        </w:tc>
      </w:tr>
      <w:tr w:rsidR="00FA7C11" w14:paraId="7B59F2F6" w14:textId="77777777">
        <w:trPr>
          <w:trHeight w:val="283"/>
          <w:jc w:val="center"/>
        </w:trPr>
        <w:tc>
          <w:tcPr>
            <w:tcW w:w="768" w:type="dxa"/>
            <w:shd w:val="clear" w:color="auto" w:fill="C6EFCE"/>
            <w:noWrap/>
          </w:tcPr>
          <w:p w14:paraId="72336268" w14:textId="77777777" w:rsidR="00FA7C11" w:rsidRDefault="00D84965">
            <w:pPr>
              <w:pStyle w:val="P68B1DB1-Normal66"/>
              <w:spacing w:after="200" w:line="276" w:lineRule="auto"/>
              <w:jc w:val="center"/>
              <w:rPr>
                <w:noProof/>
              </w:rPr>
            </w:pPr>
            <w:r>
              <w:rPr>
                <w:noProof/>
              </w:rPr>
              <w:t>292</w:t>
            </w:r>
          </w:p>
        </w:tc>
        <w:tc>
          <w:tcPr>
            <w:tcW w:w="1203" w:type="dxa"/>
            <w:shd w:val="clear" w:color="auto" w:fill="C6EFCE"/>
            <w:noWrap/>
          </w:tcPr>
          <w:p w14:paraId="38531144" w14:textId="77777777" w:rsidR="00FA7C11" w:rsidRDefault="00D84965">
            <w:pPr>
              <w:pStyle w:val="P68B1DB1-Normal66"/>
              <w:spacing w:after="200" w:line="276" w:lineRule="auto"/>
              <w:jc w:val="center"/>
              <w:rPr>
                <w:noProof/>
              </w:rPr>
            </w:pPr>
            <w:r>
              <w:rPr>
                <w:noProof/>
              </w:rPr>
              <w:t>C4.1. R3-I1</w:t>
            </w:r>
          </w:p>
        </w:tc>
        <w:tc>
          <w:tcPr>
            <w:tcW w:w="1024" w:type="dxa"/>
            <w:shd w:val="clear" w:color="auto" w:fill="C6EFCE"/>
            <w:noWrap/>
          </w:tcPr>
          <w:p w14:paraId="65CA1D51" w14:textId="77777777" w:rsidR="00FA7C11" w:rsidRDefault="00D84965">
            <w:pPr>
              <w:pStyle w:val="P68B1DB1-Normal66"/>
              <w:spacing w:after="200" w:line="276" w:lineRule="auto"/>
              <w:jc w:val="center"/>
              <w:rPr>
                <w:noProof/>
              </w:rPr>
            </w:pPr>
            <w:r>
              <w:rPr>
                <w:noProof/>
              </w:rPr>
              <w:t>T</w:t>
            </w:r>
          </w:p>
        </w:tc>
        <w:tc>
          <w:tcPr>
            <w:tcW w:w="2076" w:type="dxa"/>
            <w:shd w:val="clear" w:color="auto" w:fill="C6EFCE"/>
            <w:noWrap/>
          </w:tcPr>
          <w:p w14:paraId="15D38E6F" w14:textId="77777777" w:rsidR="00FA7C11" w:rsidRDefault="00D84965">
            <w:pPr>
              <w:pStyle w:val="P68B1DB1-Normal66"/>
              <w:spacing w:after="200" w:line="276" w:lineRule="auto"/>
              <w:rPr>
                <w:noProof/>
              </w:rPr>
            </w:pPr>
            <w:r>
              <w:rPr>
                <w:noProof/>
              </w:rPr>
              <w:t>Utilizarea voucherelor pentru educație</w:t>
            </w:r>
          </w:p>
        </w:tc>
        <w:tc>
          <w:tcPr>
            <w:tcW w:w="1843" w:type="dxa"/>
            <w:shd w:val="clear" w:color="auto" w:fill="C6EFCE"/>
            <w:noWrap/>
          </w:tcPr>
          <w:p w14:paraId="700C0247" w14:textId="77777777" w:rsidR="00FA7C11" w:rsidRDefault="00D84965">
            <w:pPr>
              <w:pStyle w:val="P68B1DB1-Normal66"/>
              <w:spacing w:after="200" w:line="276" w:lineRule="auto"/>
              <w:rPr>
                <w:noProof/>
              </w:rPr>
            </w:pPr>
            <w:r>
              <w:rPr>
                <w:noProof/>
              </w:rPr>
              <w:t xml:space="preserve"> </w:t>
            </w:r>
          </w:p>
        </w:tc>
        <w:tc>
          <w:tcPr>
            <w:tcW w:w="1072" w:type="dxa"/>
            <w:shd w:val="clear" w:color="auto" w:fill="C6EFCE"/>
            <w:noWrap/>
          </w:tcPr>
          <w:p w14:paraId="17C04259" w14:textId="77777777" w:rsidR="00FA7C11" w:rsidRDefault="00D84965">
            <w:pPr>
              <w:pStyle w:val="P68B1DB1-Normal66"/>
              <w:spacing w:after="200" w:line="276" w:lineRule="auto"/>
              <w:jc w:val="center"/>
              <w:rPr>
                <w:noProof/>
              </w:rPr>
            </w:pPr>
            <w:r>
              <w:rPr>
                <w:noProof/>
              </w:rPr>
              <w:t>Număr</w:t>
            </w:r>
          </w:p>
        </w:tc>
        <w:tc>
          <w:tcPr>
            <w:tcW w:w="826" w:type="dxa"/>
            <w:shd w:val="clear" w:color="auto" w:fill="C6EFCE"/>
            <w:noWrap/>
          </w:tcPr>
          <w:p w14:paraId="45BE212E" w14:textId="77777777" w:rsidR="00FA7C11" w:rsidRDefault="00D84965">
            <w:pPr>
              <w:pStyle w:val="P68B1DB1-Normal66"/>
              <w:spacing w:after="200" w:line="276" w:lineRule="auto"/>
              <w:jc w:val="center"/>
              <w:rPr>
                <w:noProof/>
              </w:rPr>
            </w:pPr>
            <w:r>
              <w:rPr>
                <w:noProof/>
              </w:rPr>
              <w:t>0</w:t>
            </w:r>
          </w:p>
        </w:tc>
        <w:tc>
          <w:tcPr>
            <w:tcW w:w="850" w:type="dxa"/>
            <w:shd w:val="clear" w:color="auto" w:fill="C6EFCE"/>
            <w:noWrap/>
          </w:tcPr>
          <w:p w14:paraId="2A0BBB2D" w14:textId="0960E686" w:rsidR="00FA7C11" w:rsidRDefault="00D84965">
            <w:pPr>
              <w:pStyle w:val="P68B1DB1-Normal66"/>
              <w:spacing w:after="200" w:line="276" w:lineRule="auto"/>
              <w:jc w:val="center"/>
              <w:rPr>
                <w:noProof/>
              </w:rPr>
            </w:pPr>
            <w:r>
              <w:rPr>
                <w:noProof/>
              </w:rPr>
              <w:t>40 389</w:t>
            </w:r>
          </w:p>
        </w:tc>
        <w:tc>
          <w:tcPr>
            <w:tcW w:w="756" w:type="dxa"/>
            <w:shd w:val="clear" w:color="auto" w:fill="C6EFCE"/>
            <w:noWrap/>
          </w:tcPr>
          <w:p w14:paraId="1F18828B" w14:textId="77777777" w:rsidR="00FA7C11" w:rsidRDefault="00D84965">
            <w:pPr>
              <w:pStyle w:val="P68B1DB1-Normal66"/>
              <w:spacing w:after="200" w:line="276" w:lineRule="auto"/>
              <w:jc w:val="center"/>
              <w:rPr>
                <w:noProof/>
              </w:rPr>
            </w:pPr>
            <w:r>
              <w:rPr>
                <w:noProof/>
              </w:rPr>
              <w:t>Î2</w:t>
            </w:r>
          </w:p>
        </w:tc>
        <w:tc>
          <w:tcPr>
            <w:tcW w:w="846" w:type="dxa"/>
            <w:shd w:val="clear" w:color="auto" w:fill="C6EFCE"/>
            <w:noWrap/>
          </w:tcPr>
          <w:p w14:paraId="0A54D622" w14:textId="77777777" w:rsidR="00FA7C11" w:rsidRDefault="00D84965">
            <w:pPr>
              <w:pStyle w:val="P68B1DB1-Normal66"/>
              <w:spacing w:after="200" w:line="276" w:lineRule="auto"/>
              <w:jc w:val="center"/>
              <w:rPr>
                <w:noProof/>
              </w:rPr>
            </w:pPr>
            <w:r>
              <w:rPr>
                <w:noProof/>
              </w:rPr>
              <w:t>2026</w:t>
            </w:r>
          </w:p>
        </w:tc>
        <w:tc>
          <w:tcPr>
            <w:tcW w:w="4498" w:type="dxa"/>
            <w:shd w:val="clear" w:color="auto" w:fill="C6EFCE"/>
            <w:noWrap/>
          </w:tcPr>
          <w:p w14:paraId="73A77C56" w14:textId="65785DDF" w:rsidR="00FA7C11" w:rsidRDefault="00D84965">
            <w:pPr>
              <w:pStyle w:val="P68B1DB1-Normal66"/>
              <w:spacing w:after="200" w:line="240" w:lineRule="auto"/>
              <w:jc w:val="both"/>
              <w:rPr>
                <w:noProof/>
              </w:rPr>
            </w:pPr>
            <w:r>
              <w:rPr>
                <w:noProof/>
              </w:rPr>
              <w:t>Cupoane valorice acordate unui număr de cel puțin 40 389 de beneficiari unici, dintre care cel puțin 12 000 din grupuri vulnerabile.</w:t>
            </w:r>
          </w:p>
        </w:tc>
      </w:tr>
      <w:tr w:rsidR="00FA7C11" w14:paraId="593F17C2" w14:textId="77777777">
        <w:trPr>
          <w:trHeight w:val="283"/>
          <w:jc w:val="center"/>
        </w:trPr>
        <w:tc>
          <w:tcPr>
            <w:tcW w:w="768" w:type="dxa"/>
            <w:shd w:val="clear" w:color="auto" w:fill="C6EFCE"/>
            <w:noWrap/>
          </w:tcPr>
          <w:p w14:paraId="44CAD428" w14:textId="77777777" w:rsidR="00FA7C11" w:rsidRDefault="00D84965">
            <w:pPr>
              <w:pStyle w:val="P68B1DB1-Normal66"/>
              <w:spacing w:after="200" w:line="276" w:lineRule="auto"/>
              <w:jc w:val="center"/>
              <w:rPr>
                <w:noProof/>
              </w:rPr>
            </w:pPr>
            <w:r>
              <w:rPr>
                <w:noProof/>
              </w:rPr>
              <w:t>293</w:t>
            </w:r>
          </w:p>
        </w:tc>
        <w:tc>
          <w:tcPr>
            <w:tcW w:w="1203" w:type="dxa"/>
            <w:shd w:val="clear" w:color="auto" w:fill="C6EFCE"/>
            <w:noWrap/>
          </w:tcPr>
          <w:p w14:paraId="3439E80F" w14:textId="77777777" w:rsidR="00FA7C11" w:rsidRDefault="00D84965">
            <w:pPr>
              <w:pStyle w:val="P68B1DB1-Normal66"/>
              <w:spacing w:after="200" w:line="276" w:lineRule="auto"/>
              <w:jc w:val="center"/>
              <w:rPr>
                <w:noProof/>
              </w:rPr>
            </w:pPr>
            <w:r>
              <w:rPr>
                <w:noProof/>
              </w:rPr>
              <w:t>C4.1. R4</w:t>
            </w:r>
          </w:p>
        </w:tc>
        <w:tc>
          <w:tcPr>
            <w:tcW w:w="1024" w:type="dxa"/>
            <w:shd w:val="clear" w:color="auto" w:fill="C6EFCE"/>
            <w:noWrap/>
          </w:tcPr>
          <w:p w14:paraId="2C886603" w14:textId="77777777" w:rsidR="00FA7C11" w:rsidRDefault="00D84965">
            <w:pPr>
              <w:pStyle w:val="P68B1DB1-Normal66"/>
              <w:spacing w:after="200" w:line="276" w:lineRule="auto"/>
              <w:jc w:val="center"/>
              <w:rPr>
                <w:noProof/>
              </w:rPr>
            </w:pPr>
            <w:r>
              <w:rPr>
                <w:noProof/>
              </w:rPr>
              <w:t>M</w:t>
            </w:r>
          </w:p>
        </w:tc>
        <w:tc>
          <w:tcPr>
            <w:tcW w:w="2076" w:type="dxa"/>
            <w:shd w:val="clear" w:color="auto" w:fill="C6EFCE"/>
            <w:noWrap/>
          </w:tcPr>
          <w:p w14:paraId="07BE3D69" w14:textId="77777777" w:rsidR="00FA7C11" w:rsidRDefault="00D84965">
            <w:pPr>
              <w:pStyle w:val="P68B1DB1-Normal66"/>
              <w:spacing w:after="200" w:line="276" w:lineRule="auto"/>
              <w:rPr>
                <w:noProof/>
              </w:rPr>
            </w:pPr>
            <w:r>
              <w:rPr>
                <w:noProof/>
              </w:rPr>
              <w:t>Intrarea în vigoare a modificărilor aduse Legii privind salariul minim</w:t>
            </w:r>
          </w:p>
        </w:tc>
        <w:tc>
          <w:tcPr>
            <w:tcW w:w="1843" w:type="dxa"/>
            <w:shd w:val="clear" w:color="auto" w:fill="C6EFCE"/>
            <w:noWrap/>
          </w:tcPr>
          <w:p w14:paraId="2846A117" w14:textId="77777777" w:rsidR="00FA7C11" w:rsidRDefault="00D84965">
            <w:pPr>
              <w:pStyle w:val="P68B1DB1-Normal66"/>
              <w:spacing w:after="200" w:line="276" w:lineRule="auto"/>
              <w:rPr>
                <w:noProof/>
              </w:rPr>
            </w:pPr>
            <w:r>
              <w:rPr>
                <w:noProof/>
              </w:rPr>
              <w:t>Intrarea în vigoare a actului de modificare a Legii privind salariul minim</w:t>
            </w:r>
          </w:p>
        </w:tc>
        <w:tc>
          <w:tcPr>
            <w:tcW w:w="1072" w:type="dxa"/>
            <w:shd w:val="clear" w:color="auto" w:fill="C6EFCE"/>
            <w:noWrap/>
          </w:tcPr>
          <w:p w14:paraId="389EAED2" w14:textId="77777777" w:rsidR="00FA7C11" w:rsidRDefault="00D84965">
            <w:pPr>
              <w:pStyle w:val="P68B1DB1-Normal66"/>
              <w:spacing w:after="200" w:line="276" w:lineRule="auto"/>
              <w:jc w:val="center"/>
              <w:rPr>
                <w:noProof/>
              </w:rPr>
            </w:pPr>
            <w:r>
              <w:rPr>
                <w:noProof/>
              </w:rPr>
              <w:t> </w:t>
            </w:r>
          </w:p>
        </w:tc>
        <w:tc>
          <w:tcPr>
            <w:tcW w:w="826" w:type="dxa"/>
            <w:shd w:val="clear" w:color="auto" w:fill="C6EFCE"/>
            <w:noWrap/>
          </w:tcPr>
          <w:p w14:paraId="3AA5825C" w14:textId="77777777" w:rsidR="00FA7C11" w:rsidRDefault="00D84965">
            <w:pPr>
              <w:pStyle w:val="P68B1DB1-Normal66"/>
              <w:spacing w:after="200" w:line="276" w:lineRule="auto"/>
              <w:jc w:val="center"/>
              <w:rPr>
                <w:noProof/>
              </w:rPr>
            </w:pPr>
            <w:r>
              <w:rPr>
                <w:noProof/>
              </w:rPr>
              <w:t> </w:t>
            </w:r>
          </w:p>
        </w:tc>
        <w:tc>
          <w:tcPr>
            <w:tcW w:w="850" w:type="dxa"/>
            <w:shd w:val="clear" w:color="auto" w:fill="C6EFCE"/>
            <w:noWrap/>
          </w:tcPr>
          <w:p w14:paraId="7A86D59D" w14:textId="77777777" w:rsidR="00FA7C11" w:rsidRDefault="00D84965">
            <w:pPr>
              <w:pStyle w:val="P68B1DB1-Normal66"/>
              <w:spacing w:after="200" w:line="276" w:lineRule="auto"/>
              <w:jc w:val="center"/>
              <w:rPr>
                <w:noProof/>
              </w:rPr>
            </w:pPr>
            <w:r>
              <w:rPr>
                <w:noProof/>
              </w:rPr>
              <w:t> </w:t>
            </w:r>
          </w:p>
        </w:tc>
        <w:tc>
          <w:tcPr>
            <w:tcW w:w="756" w:type="dxa"/>
            <w:shd w:val="clear" w:color="auto" w:fill="C6EFCE"/>
            <w:noWrap/>
          </w:tcPr>
          <w:p w14:paraId="21BDF235" w14:textId="77777777" w:rsidR="00FA7C11" w:rsidRDefault="00D84965">
            <w:pPr>
              <w:pStyle w:val="P68B1DB1-Normal66"/>
              <w:spacing w:after="200" w:line="276" w:lineRule="auto"/>
              <w:jc w:val="center"/>
              <w:rPr>
                <w:noProof/>
              </w:rPr>
            </w:pPr>
            <w:r>
              <w:rPr>
                <w:noProof/>
              </w:rPr>
              <w:t>Î4</w:t>
            </w:r>
          </w:p>
        </w:tc>
        <w:tc>
          <w:tcPr>
            <w:tcW w:w="846" w:type="dxa"/>
            <w:shd w:val="clear" w:color="auto" w:fill="C6EFCE"/>
            <w:noWrap/>
          </w:tcPr>
          <w:p w14:paraId="0F018CA3" w14:textId="77777777" w:rsidR="00FA7C11" w:rsidRDefault="00D84965">
            <w:pPr>
              <w:pStyle w:val="P68B1DB1-Normal66"/>
              <w:spacing w:after="200" w:line="276" w:lineRule="auto"/>
              <w:jc w:val="center"/>
              <w:rPr>
                <w:noProof/>
              </w:rPr>
            </w:pPr>
            <w:r>
              <w:rPr>
                <w:noProof/>
              </w:rPr>
              <w:t>2021</w:t>
            </w:r>
          </w:p>
        </w:tc>
        <w:tc>
          <w:tcPr>
            <w:tcW w:w="4498" w:type="dxa"/>
            <w:shd w:val="clear" w:color="auto" w:fill="C6EFCE"/>
            <w:noWrap/>
          </w:tcPr>
          <w:p w14:paraId="497CF13A" w14:textId="77777777" w:rsidR="00FA7C11" w:rsidRDefault="00D84965">
            <w:pPr>
              <w:pStyle w:val="P68B1DB1-Normal66"/>
              <w:spacing w:after="200" w:line="276" w:lineRule="auto"/>
              <w:rPr>
                <w:noProof/>
              </w:rPr>
            </w:pPr>
            <w:r>
              <w:rPr>
                <w:noProof/>
              </w:rPr>
              <w:t>Noua Lege privind salariul minim exclude diferitele suplimente salariale din salariul minim și impune majorări minime pentru orele suplimentare, munca de noapte, duminica și sărbătorile legale. Acesta interzice, de asemenea, posibilitatea de a renunța la salariul minim pentru a preveni abuzurile, pentru a consolida controlul organismelor de inspecție și pentru a redefini sancțiunile pentru contravenienți.</w:t>
            </w:r>
          </w:p>
        </w:tc>
      </w:tr>
      <w:tr w:rsidR="00FA7C11" w14:paraId="62E7EFD4" w14:textId="77777777">
        <w:trPr>
          <w:trHeight w:val="283"/>
          <w:jc w:val="center"/>
        </w:trPr>
        <w:tc>
          <w:tcPr>
            <w:tcW w:w="768" w:type="dxa"/>
            <w:shd w:val="clear" w:color="auto" w:fill="C6EFCE"/>
            <w:noWrap/>
          </w:tcPr>
          <w:p w14:paraId="647F5793" w14:textId="77777777" w:rsidR="00FA7C11" w:rsidRDefault="00D84965">
            <w:pPr>
              <w:pStyle w:val="P68B1DB1-Normal66"/>
              <w:spacing w:after="200" w:line="276" w:lineRule="auto"/>
              <w:jc w:val="center"/>
              <w:rPr>
                <w:noProof/>
              </w:rPr>
            </w:pPr>
            <w:r>
              <w:rPr>
                <w:noProof/>
              </w:rPr>
              <w:t>294</w:t>
            </w:r>
          </w:p>
        </w:tc>
        <w:tc>
          <w:tcPr>
            <w:tcW w:w="1203" w:type="dxa"/>
            <w:shd w:val="clear" w:color="auto" w:fill="C6EFCE"/>
            <w:noWrap/>
          </w:tcPr>
          <w:p w14:paraId="044F840A" w14:textId="77777777" w:rsidR="00FA7C11" w:rsidRDefault="00D84965">
            <w:pPr>
              <w:pStyle w:val="P68B1DB1-Normal66"/>
              <w:spacing w:after="200" w:line="276" w:lineRule="auto"/>
              <w:jc w:val="center"/>
              <w:rPr>
                <w:noProof/>
              </w:rPr>
            </w:pPr>
            <w:r>
              <w:rPr>
                <w:noProof/>
              </w:rPr>
              <w:t>C4.1. R4</w:t>
            </w:r>
          </w:p>
        </w:tc>
        <w:tc>
          <w:tcPr>
            <w:tcW w:w="1024" w:type="dxa"/>
            <w:shd w:val="clear" w:color="auto" w:fill="C6EFCE"/>
            <w:noWrap/>
          </w:tcPr>
          <w:p w14:paraId="79891ABE" w14:textId="77777777" w:rsidR="00FA7C11" w:rsidRDefault="00D84965">
            <w:pPr>
              <w:pStyle w:val="P68B1DB1-Normal66"/>
              <w:spacing w:after="200" w:line="276" w:lineRule="auto"/>
              <w:jc w:val="center"/>
              <w:rPr>
                <w:noProof/>
              </w:rPr>
            </w:pPr>
            <w:r>
              <w:rPr>
                <w:noProof/>
              </w:rPr>
              <w:t>M</w:t>
            </w:r>
          </w:p>
        </w:tc>
        <w:tc>
          <w:tcPr>
            <w:tcW w:w="2076" w:type="dxa"/>
            <w:shd w:val="clear" w:color="auto" w:fill="C6EFCE"/>
            <w:noWrap/>
          </w:tcPr>
          <w:p w14:paraId="1BD3E42F" w14:textId="77777777" w:rsidR="00FA7C11" w:rsidRDefault="00D84965">
            <w:pPr>
              <w:pStyle w:val="P68B1DB1-Normal66"/>
              <w:spacing w:after="200" w:line="276" w:lineRule="auto"/>
              <w:rPr>
                <w:noProof/>
              </w:rPr>
            </w:pPr>
            <w:r>
              <w:rPr>
                <w:noProof/>
              </w:rPr>
              <w:t>Adoptarea legii privind combaterea muncii nedeclarate și a noii legi a muncii</w:t>
            </w:r>
          </w:p>
        </w:tc>
        <w:tc>
          <w:tcPr>
            <w:tcW w:w="1843" w:type="dxa"/>
            <w:shd w:val="clear" w:color="auto" w:fill="C6EFCE"/>
            <w:noWrap/>
          </w:tcPr>
          <w:p w14:paraId="2AE5ADFA" w14:textId="77777777" w:rsidR="00FA7C11" w:rsidRDefault="00D84965">
            <w:pPr>
              <w:pStyle w:val="P68B1DB1-Normal66"/>
              <w:spacing w:after="200" w:line="276" w:lineRule="auto"/>
              <w:rPr>
                <w:noProof/>
              </w:rPr>
            </w:pPr>
            <w:r>
              <w:rPr>
                <w:noProof/>
              </w:rPr>
              <w:t>Intrarea în vigoare a Legii privind combaterea muncii nedeclarate și a Legii de modificare a Legii muncii</w:t>
            </w:r>
          </w:p>
        </w:tc>
        <w:tc>
          <w:tcPr>
            <w:tcW w:w="1072" w:type="dxa"/>
            <w:shd w:val="clear" w:color="auto" w:fill="C6EFCE"/>
            <w:noWrap/>
          </w:tcPr>
          <w:p w14:paraId="48500D90" w14:textId="77777777" w:rsidR="00FA7C11" w:rsidRDefault="00D84965">
            <w:pPr>
              <w:pStyle w:val="P68B1DB1-Normal66"/>
              <w:spacing w:after="200" w:line="276" w:lineRule="auto"/>
              <w:jc w:val="center"/>
              <w:rPr>
                <w:noProof/>
              </w:rPr>
            </w:pPr>
            <w:r>
              <w:rPr>
                <w:noProof/>
              </w:rPr>
              <w:t> </w:t>
            </w:r>
          </w:p>
        </w:tc>
        <w:tc>
          <w:tcPr>
            <w:tcW w:w="826" w:type="dxa"/>
            <w:shd w:val="clear" w:color="auto" w:fill="C6EFCE"/>
            <w:noWrap/>
          </w:tcPr>
          <w:p w14:paraId="42251A90" w14:textId="77777777" w:rsidR="00FA7C11" w:rsidRDefault="00D84965">
            <w:pPr>
              <w:pStyle w:val="P68B1DB1-Normal66"/>
              <w:spacing w:after="200" w:line="276" w:lineRule="auto"/>
              <w:jc w:val="center"/>
              <w:rPr>
                <w:noProof/>
              </w:rPr>
            </w:pPr>
            <w:r>
              <w:rPr>
                <w:noProof/>
              </w:rPr>
              <w:t> </w:t>
            </w:r>
          </w:p>
        </w:tc>
        <w:tc>
          <w:tcPr>
            <w:tcW w:w="850" w:type="dxa"/>
            <w:shd w:val="clear" w:color="auto" w:fill="C6EFCE"/>
            <w:noWrap/>
          </w:tcPr>
          <w:p w14:paraId="2478EA92" w14:textId="77777777" w:rsidR="00FA7C11" w:rsidRDefault="00D84965">
            <w:pPr>
              <w:pStyle w:val="P68B1DB1-Normal66"/>
              <w:spacing w:after="200" w:line="276" w:lineRule="auto"/>
              <w:jc w:val="center"/>
              <w:rPr>
                <w:noProof/>
              </w:rPr>
            </w:pPr>
            <w:r>
              <w:rPr>
                <w:noProof/>
              </w:rPr>
              <w:t> </w:t>
            </w:r>
          </w:p>
        </w:tc>
        <w:tc>
          <w:tcPr>
            <w:tcW w:w="756" w:type="dxa"/>
            <w:shd w:val="clear" w:color="auto" w:fill="C6EFCE"/>
            <w:noWrap/>
          </w:tcPr>
          <w:p w14:paraId="4DCB97DD" w14:textId="77777777" w:rsidR="00FA7C11" w:rsidRDefault="00D84965">
            <w:pPr>
              <w:pStyle w:val="P68B1DB1-Normal66"/>
              <w:spacing w:after="200" w:line="276" w:lineRule="auto"/>
              <w:jc w:val="center"/>
              <w:rPr>
                <w:noProof/>
              </w:rPr>
            </w:pPr>
            <w:r>
              <w:rPr>
                <w:noProof/>
              </w:rPr>
              <w:t>Î4</w:t>
            </w:r>
          </w:p>
        </w:tc>
        <w:tc>
          <w:tcPr>
            <w:tcW w:w="846" w:type="dxa"/>
            <w:shd w:val="clear" w:color="auto" w:fill="C6EFCE"/>
            <w:noWrap/>
          </w:tcPr>
          <w:p w14:paraId="168DD54D" w14:textId="77777777" w:rsidR="00FA7C11" w:rsidRDefault="00D84965">
            <w:pPr>
              <w:pStyle w:val="P68B1DB1-Normal66"/>
              <w:spacing w:after="200" w:line="276" w:lineRule="auto"/>
              <w:jc w:val="center"/>
              <w:rPr>
                <w:noProof/>
              </w:rPr>
            </w:pPr>
            <w:r>
              <w:rPr>
                <w:noProof/>
              </w:rPr>
              <w:t>2022</w:t>
            </w:r>
          </w:p>
        </w:tc>
        <w:tc>
          <w:tcPr>
            <w:tcW w:w="4498" w:type="dxa"/>
            <w:shd w:val="clear" w:color="auto" w:fill="C6EFCE"/>
            <w:noWrap/>
          </w:tcPr>
          <w:p w14:paraId="5A3CA08C" w14:textId="77777777" w:rsidR="00FA7C11" w:rsidRDefault="00D84965">
            <w:pPr>
              <w:pStyle w:val="P68B1DB1-Normal66"/>
              <w:spacing w:after="200" w:line="276" w:lineRule="auto"/>
              <w:rPr>
                <w:noProof/>
              </w:rPr>
            </w:pPr>
            <w:r>
              <w:rPr>
                <w:noProof/>
              </w:rPr>
              <w:t xml:space="preserve">Legea muncii modificată sau nouă reglementează munca în afara locului de muncă și munca pe platforme online, limitează numărul de contracte temporare succesive, consolidează dreptul de a lucra pentru alți angajatori și revizuiește clauza de pensionare de 65 de ani, modifică dispozițiile privind finanțarea concediului medical și a concedierii lucrătorilor la vârsta de pensionare, încurajează angajarea suplimentară și angajarea cu fracțiune de normă și include dispoziții care permit flexibilitatea timpului de lucru și a locului de muncă și reduc diferența de remunerare între femei și bărbați. Legea nouă sau modificată privind combaterea muncii nedeclarate definește munca nedeclarată și toate manifestările acesteia, consolidează inspecțiile și stabilește dispoziții privind infracțiunile, reglementează procesul de transfer al lucrătorilor de la munca nedeclarată la munca declarată. </w:t>
            </w:r>
          </w:p>
        </w:tc>
      </w:tr>
      <w:tr w:rsidR="00FA7C11" w14:paraId="1C1F54FA" w14:textId="77777777">
        <w:trPr>
          <w:trHeight w:val="283"/>
          <w:jc w:val="center"/>
        </w:trPr>
        <w:tc>
          <w:tcPr>
            <w:tcW w:w="768" w:type="dxa"/>
            <w:shd w:val="clear" w:color="auto" w:fill="C6EFCE"/>
            <w:noWrap/>
          </w:tcPr>
          <w:p w14:paraId="76E8711A" w14:textId="77777777" w:rsidR="00FA7C11" w:rsidRDefault="00D84965">
            <w:pPr>
              <w:pStyle w:val="P68B1DB1-Normal66"/>
              <w:spacing w:after="200" w:line="276" w:lineRule="auto"/>
              <w:jc w:val="center"/>
              <w:rPr>
                <w:noProof/>
              </w:rPr>
            </w:pPr>
            <w:r>
              <w:rPr>
                <w:noProof/>
              </w:rPr>
              <w:t>295</w:t>
            </w:r>
          </w:p>
        </w:tc>
        <w:tc>
          <w:tcPr>
            <w:tcW w:w="1203" w:type="dxa"/>
            <w:shd w:val="clear" w:color="auto" w:fill="C6EFCE"/>
            <w:noWrap/>
          </w:tcPr>
          <w:p w14:paraId="4E47F186" w14:textId="77777777" w:rsidR="00FA7C11" w:rsidRDefault="00D84965">
            <w:pPr>
              <w:pStyle w:val="P68B1DB1-Normal66"/>
              <w:spacing w:after="200" w:line="276" w:lineRule="auto"/>
              <w:jc w:val="center"/>
              <w:rPr>
                <w:noProof/>
              </w:rPr>
            </w:pPr>
            <w:r>
              <w:rPr>
                <w:noProof/>
              </w:rPr>
              <w:t>C4.1. R4</w:t>
            </w:r>
          </w:p>
        </w:tc>
        <w:tc>
          <w:tcPr>
            <w:tcW w:w="1024" w:type="dxa"/>
            <w:shd w:val="clear" w:color="auto" w:fill="C6EFCE"/>
            <w:noWrap/>
          </w:tcPr>
          <w:p w14:paraId="39097DEB" w14:textId="77777777" w:rsidR="00FA7C11" w:rsidRDefault="00D84965">
            <w:pPr>
              <w:pStyle w:val="P68B1DB1-Normal66"/>
              <w:spacing w:after="200" w:line="276" w:lineRule="auto"/>
              <w:jc w:val="center"/>
              <w:rPr>
                <w:noProof/>
              </w:rPr>
            </w:pPr>
            <w:r>
              <w:rPr>
                <w:noProof/>
              </w:rPr>
              <w:t>T</w:t>
            </w:r>
          </w:p>
        </w:tc>
        <w:tc>
          <w:tcPr>
            <w:tcW w:w="2076" w:type="dxa"/>
            <w:shd w:val="clear" w:color="auto" w:fill="C6EFCE"/>
            <w:noWrap/>
          </w:tcPr>
          <w:p w14:paraId="3C306ADA" w14:textId="77777777" w:rsidR="00FA7C11" w:rsidRDefault="00D84965">
            <w:pPr>
              <w:pStyle w:val="P68B1DB1-Normal66"/>
              <w:spacing w:after="200" w:line="276" w:lineRule="auto"/>
              <w:rPr>
                <w:noProof/>
              </w:rPr>
            </w:pPr>
            <w:r>
              <w:rPr>
                <w:noProof/>
              </w:rPr>
              <w:t xml:space="preserve">Creșterea raportului dintre salariul minim și salariul mediu brut în 2024 la 50 %. </w:t>
            </w:r>
          </w:p>
        </w:tc>
        <w:tc>
          <w:tcPr>
            <w:tcW w:w="1843" w:type="dxa"/>
            <w:shd w:val="clear" w:color="auto" w:fill="C6EFCE"/>
            <w:noWrap/>
          </w:tcPr>
          <w:p w14:paraId="287FF5CD" w14:textId="77777777" w:rsidR="00FA7C11" w:rsidRDefault="00D84965">
            <w:pPr>
              <w:pStyle w:val="P68B1DB1-Normal66"/>
              <w:spacing w:after="200" w:line="276" w:lineRule="auto"/>
              <w:rPr>
                <w:noProof/>
              </w:rPr>
            </w:pPr>
            <w:r>
              <w:rPr>
                <w:noProof/>
              </w:rPr>
              <w:t xml:space="preserve"> </w:t>
            </w:r>
          </w:p>
        </w:tc>
        <w:tc>
          <w:tcPr>
            <w:tcW w:w="1072" w:type="dxa"/>
            <w:shd w:val="clear" w:color="auto" w:fill="C6EFCE"/>
            <w:noWrap/>
          </w:tcPr>
          <w:p w14:paraId="500593B0" w14:textId="77777777" w:rsidR="00FA7C11" w:rsidRDefault="00D84965">
            <w:pPr>
              <w:pStyle w:val="P68B1DB1-Normal66"/>
              <w:spacing w:after="200" w:line="276" w:lineRule="auto"/>
              <w:jc w:val="center"/>
              <w:rPr>
                <w:noProof/>
              </w:rPr>
            </w:pPr>
            <w:r>
              <w:rPr>
                <w:noProof/>
              </w:rPr>
              <w:t>% (procent)</w:t>
            </w:r>
          </w:p>
        </w:tc>
        <w:tc>
          <w:tcPr>
            <w:tcW w:w="826" w:type="dxa"/>
            <w:shd w:val="clear" w:color="auto" w:fill="C6EFCE"/>
            <w:noWrap/>
          </w:tcPr>
          <w:p w14:paraId="00FF9518" w14:textId="77777777" w:rsidR="00FA7C11" w:rsidRDefault="00D84965">
            <w:pPr>
              <w:pStyle w:val="P68B1DB1-Normal66"/>
              <w:spacing w:after="200" w:line="276" w:lineRule="auto"/>
              <w:jc w:val="center"/>
              <w:rPr>
                <w:noProof/>
              </w:rPr>
            </w:pPr>
            <w:r>
              <w:rPr>
                <w:noProof/>
              </w:rPr>
              <w:t>46,29</w:t>
            </w:r>
          </w:p>
        </w:tc>
        <w:tc>
          <w:tcPr>
            <w:tcW w:w="850" w:type="dxa"/>
            <w:shd w:val="clear" w:color="auto" w:fill="C6EFCE"/>
            <w:noWrap/>
          </w:tcPr>
          <w:p w14:paraId="68075823" w14:textId="77777777" w:rsidR="00FA7C11" w:rsidRDefault="00D84965">
            <w:pPr>
              <w:pStyle w:val="P68B1DB1-Normal66"/>
              <w:spacing w:after="200" w:line="276" w:lineRule="auto"/>
              <w:jc w:val="center"/>
              <w:rPr>
                <w:noProof/>
              </w:rPr>
            </w:pPr>
            <w:r>
              <w:rPr>
                <w:noProof/>
              </w:rPr>
              <w:t>50</w:t>
            </w:r>
          </w:p>
        </w:tc>
        <w:tc>
          <w:tcPr>
            <w:tcW w:w="756" w:type="dxa"/>
            <w:shd w:val="clear" w:color="auto" w:fill="C6EFCE"/>
            <w:noWrap/>
          </w:tcPr>
          <w:p w14:paraId="7CCD2D2D" w14:textId="77777777" w:rsidR="00FA7C11" w:rsidRDefault="00D84965">
            <w:pPr>
              <w:pStyle w:val="P68B1DB1-Normal66"/>
              <w:spacing w:after="200" w:line="276" w:lineRule="auto"/>
              <w:jc w:val="center"/>
              <w:rPr>
                <w:noProof/>
              </w:rPr>
            </w:pPr>
            <w:r>
              <w:rPr>
                <w:noProof/>
              </w:rPr>
              <w:t>Î4</w:t>
            </w:r>
          </w:p>
        </w:tc>
        <w:tc>
          <w:tcPr>
            <w:tcW w:w="846" w:type="dxa"/>
            <w:shd w:val="clear" w:color="auto" w:fill="C6EFCE"/>
            <w:noWrap/>
          </w:tcPr>
          <w:p w14:paraId="664B0351" w14:textId="77777777" w:rsidR="00FA7C11" w:rsidRDefault="00D84965">
            <w:pPr>
              <w:pStyle w:val="P68B1DB1-Normal66"/>
              <w:spacing w:after="200" w:line="276" w:lineRule="auto"/>
              <w:jc w:val="center"/>
              <w:rPr>
                <w:noProof/>
              </w:rPr>
            </w:pPr>
            <w:r>
              <w:rPr>
                <w:noProof/>
              </w:rPr>
              <w:t>2024</w:t>
            </w:r>
          </w:p>
        </w:tc>
        <w:tc>
          <w:tcPr>
            <w:tcW w:w="4498" w:type="dxa"/>
            <w:shd w:val="clear" w:color="auto" w:fill="C6EFCE"/>
            <w:noWrap/>
          </w:tcPr>
          <w:p w14:paraId="66CB30E3" w14:textId="77777777" w:rsidR="00FA7C11" w:rsidRDefault="00D84965">
            <w:pPr>
              <w:pStyle w:val="P68B1DB1-Normal66"/>
              <w:spacing w:after="200" w:line="276" w:lineRule="auto"/>
              <w:rPr>
                <w:noProof/>
              </w:rPr>
            </w:pPr>
            <w:r>
              <w:rPr>
                <w:noProof/>
              </w:rPr>
              <w:t>În consultare cu partenerii sociali și în cooperare cu Grupul de experți pentru monitorizarea și analiza evoluției salariului minim, salariul minim este majorat la 50 % din salariul mediu din anul precedent.</w:t>
            </w:r>
          </w:p>
        </w:tc>
      </w:tr>
      <w:tr w:rsidR="00FA7C11" w14:paraId="21840FEC" w14:textId="77777777">
        <w:trPr>
          <w:trHeight w:val="283"/>
          <w:jc w:val="center"/>
        </w:trPr>
        <w:tc>
          <w:tcPr>
            <w:tcW w:w="768" w:type="dxa"/>
            <w:shd w:val="clear" w:color="auto" w:fill="C6EFCE"/>
            <w:noWrap/>
          </w:tcPr>
          <w:p w14:paraId="790BAC7F" w14:textId="77777777" w:rsidR="00FA7C11" w:rsidRDefault="00D84965">
            <w:pPr>
              <w:pStyle w:val="P68B1DB1-Normal66"/>
              <w:spacing w:after="200" w:line="276" w:lineRule="auto"/>
              <w:jc w:val="center"/>
              <w:rPr>
                <w:noProof/>
              </w:rPr>
            </w:pPr>
            <w:r>
              <w:rPr>
                <w:noProof/>
              </w:rPr>
              <w:t>296</w:t>
            </w:r>
          </w:p>
        </w:tc>
        <w:tc>
          <w:tcPr>
            <w:tcW w:w="1203" w:type="dxa"/>
            <w:shd w:val="clear" w:color="auto" w:fill="C6EFCE"/>
            <w:noWrap/>
          </w:tcPr>
          <w:p w14:paraId="4FE56E62" w14:textId="77777777" w:rsidR="00FA7C11" w:rsidRDefault="00D84965">
            <w:pPr>
              <w:pStyle w:val="P68B1DB1-Normal66"/>
              <w:spacing w:after="200" w:line="276" w:lineRule="auto"/>
              <w:jc w:val="center"/>
              <w:rPr>
                <w:noProof/>
              </w:rPr>
            </w:pPr>
            <w:r>
              <w:rPr>
                <w:noProof/>
              </w:rPr>
              <w:t>C4.1. R4</w:t>
            </w:r>
          </w:p>
        </w:tc>
        <w:tc>
          <w:tcPr>
            <w:tcW w:w="1024" w:type="dxa"/>
            <w:shd w:val="clear" w:color="auto" w:fill="C6EFCE"/>
            <w:noWrap/>
          </w:tcPr>
          <w:p w14:paraId="2FC89552" w14:textId="77777777" w:rsidR="00FA7C11" w:rsidRDefault="00D84965">
            <w:pPr>
              <w:pStyle w:val="P68B1DB1-Normal66"/>
              <w:spacing w:after="200" w:line="276" w:lineRule="auto"/>
              <w:jc w:val="center"/>
              <w:rPr>
                <w:noProof/>
              </w:rPr>
            </w:pPr>
            <w:r>
              <w:rPr>
                <w:noProof/>
              </w:rPr>
              <w:t>T</w:t>
            </w:r>
          </w:p>
        </w:tc>
        <w:tc>
          <w:tcPr>
            <w:tcW w:w="2076" w:type="dxa"/>
            <w:shd w:val="clear" w:color="auto" w:fill="C6EFCE"/>
            <w:noWrap/>
          </w:tcPr>
          <w:p w14:paraId="3D153DF6" w14:textId="77777777" w:rsidR="00FA7C11" w:rsidRDefault="00D84965">
            <w:pPr>
              <w:pStyle w:val="P68B1DB1-Normal66"/>
              <w:spacing w:after="200" w:line="276" w:lineRule="auto"/>
              <w:rPr>
                <w:noProof/>
              </w:rPr>
            </w:pPr>
            <w:r>
              <w:rPr>
                <w:noProof/>
              </w:rPr>
              <w:t>Reducerea ponderii contractelor temporare la 17 %</w:t>
            </w:r>
          </w:p>
        </w:tc>
        <w:tc>
          <w:tcPr>
            <w:tcW w:w="1843" w:type="dxa"/>
            <w:shd w:val="clear" w:color="auto" w:fill="C6EFCE"/>
            <w:noWrap/>
          </w:tcPr>
          <w:p w14:paraId="72F6D1AB" w14:textId="77777777" w:rsidR="00FA7C11" w:rsidRDefault="00D84965">
            <w:pPr>
              <w:pStyle w:val="P68B1DB1-Normal66"/>
              <w:spacing w:after="200" w:line="276" w:lineRule="auto"/>
              <w:rPr>
                <w:noProof/>
              </w:rPr>
            </w:pPr>
            <w:r>
              <w:rPr>
                <w:noProof/>
              </w:rPr>
              <w:t xml:space="preserve"> </w:t>
            </w:r>
          </w:p>
        </w:tc>
        <w:tc>
          <w:tcPr>
            <w:tcW w:w="1072" w:type="dxa"/>
            <w:shd w:val="clear" w:color="auto" w:fill="C6EFCE"/>
            <w:noWrap/>
          </w:tcPr>
          <w:p w14:paraId="01D67C05" w14:textId="77777777" w:rsidR="00FA7C11" w:rsidRDefault="00D84965">
            <w:pPr>
              <w:pStyle w:val="P68B1DB1-Normal66"/>
              <w:spacing w:after="200" w:line="276" w:lineRule="auto"/>
              <w:jc w:val="center"/>
              <w:rPr>
                <w:noProof/>
              </w:rPr>
            </w:pPr>
            <w:r>
              <w:rPr>
                <w:noProof/>
              </w:rPr>
              <w:t>% (procent)</w:t>
            </w:r>
          </w:p>
        </w:tc>
        <w:tc>
          <w:tcPr>
            <w:tcW w:w="826" w:type="dxa"/>
            <w:shd w:val="clear" w:color="auto" w:fill="C6EFCE"/>
            <w:noWrap/>
          </w:tcPr>
          <w:p w14:paraId="1C6078B3" w14:textId="77777777" w:rsidR="00FA7C11" w:rsidRDefault="00D84965">
            <w:pPr>
              <w:pStyle w:val="P68B1DB1-Normal66"/>
              <w:spacing w:after="200" w:line="276" w:lineRule="auto"/>
              <w:jc w:val="center"/>
              <w:rPr>
                <w:noProof/>
              </w:rPr>
            </w:pPr>
            <w:r>
              <w:rPr>
                <w:noProof/>
              </w:rPr>
              <w:t>18,1</w:t>
            </w:r>
          </w:p>
        </w:tc>
        <w:tc>
          <w:tcPr>
            <w:tcW w:w="850" w:type="dxa"/>
            <w:shd w:val="clear" w:color="auto" w:fill="C6EFCE"/>
            <w:noWrap/>
          </w:tcPr>
          <w:p w14:paraId="3C033D4D" w14:textId="77777777" w:rsidR="00FA7C11" w:rsidRDefault="00D84965">
            <w:pPr>
              <w:pStyle w:val="P68B1DB1-Normal66"/>
              <w:spacing w:after="200" w:line="276" w:lineRule="auto"/>
              <w:jc w:val="center"/>
              <w:rPr>
                <w:noProof/>
              </w:rPr>
            </w:pPr>
            <w:r>
              <w:rPr>
                <w:noProof/>
              </w:rPr>
              <w:t>17</w:t>
            </w:r>
          </w:p>
        </w:tc>
        <w:tc>
          <w:tcPr>
            <w:tcW w:w="756" w:type="dxa"/>
            <w:shd w:val="clear" w:color="auto" w:fill="C6EFCE"/>
            <w:noWrap/>
          </w:tcPr>
          <w:p w14:paraId="63538E62" w14:textId="77777777" w:rsidR="00FA7C11" w:rsidRDefault="00D84965">
            <w:pPr>
              <w:pStyle w:val="P68B1DB1-Normal66"/>
              <w:spacing w:after="200" w:line="276" w:lineRule="auto"/>
              <w:jc w:val="center"/>
              <w:rPr>
                <w:noProof/>
              </w:rPr>
            </w:pPr>
            <w:r>
              <w:rPr>
                <w:noProof/>
              </w:rPr>
              <w:t>Î4</w:t>
            </w:r>
          </w:p>
        </w:tc>
        <w:tc>
          <w:tcPr>
            <w:tcW w:w="846" w:type="dxa"/>
            <w:shd w:val="clear" w:color="auto" w:fill="C6EFCE"/>
            <w:noWrap/>
          </w:tcPr>
          <w:p w14:paraId="178A3685" w14:textId="77777777" w:rsidR="00FA7C11" w:rsidRDefault="00D84965">
            <w:pPr>
              <w:pStyle w:val="P68B1DB1-Normal66"/>
              <w:spacing w:after="200" w:line="276" w:lineRule="auto"/>
              <w:jc w:val="center"/>
              <w:rPr>
                <w:noProof/>
              </w:rPr>
            </w:pPr>
            <w:r>
              <w:rPr>
                <w:noProof/>
              </w:rPr>
              <w:t>2024</w:t>
            </w:r>
          </w:p>
        </w:tc>
        <w:tc>
          <w:tcPr>
            <w:tcW w:w="4498" w:type="dxa"/>
            <w:shd w:val="clear" w:color="auto" w:fill="C6EFCE"/>
            <w:noWrap/>
          </w:tcPr>
          <w:p w14:paraId="2C5A5BE4" w14:textId="77777777" w:rsidR="00FA7C11" w:rsidRDefault="00D84965">
            <w:pPr>
              <w:pStyle w:val="P68B1DB1-Normal66"/>
              <w:spacing w:after="200" w:line="276" w:lineRule="auto"/>
              <w:rPr>
                <w:noProof/>
              </w:rPr>
            </w:pPr>
            <w:r>
              <w:rPr>
                <w:noProof/>
              </w:rPr>
              <w:t>Modificările aduse Legii muncii creează condițiile pentru reducerea numărului de contracte temporare, care se preconizează că va scădea de la 18,1 % la maximum 17 %.</w:t>
            </w:r>
          </w:p>
        </w:tc>
      </w:tr>
    </w:tbl>
    <w:p w14:paraId="62639F42" w14:textId="77777777" w:rsidR="00FA7C11" w:rsidRDefault="00FA7C11">
      <w:pPr>
        <w:spacing w:line="240" w:lineRule="auto"/>
        <w:ind w:left="709"/>
        <w:jc w:val="both"/>
        <w:rPr>
          <w:rFonts w:eastAsia="Calibri"/>
          <w:noProof/>
        </w:rPr>
      </w:pPr>
    </w:p>
    <w:p w14:paraId="22E18E9B" w14:textId="77777777" w:rsidR="00FA7C11" w:rsidRDefault="00FA7C11">
      <w:pPr>
        <w:spacing w:line="240" w:lineRule="auto"/>
        <w:ind w:left="709"/>
        <w:jc w:val="both"/>
        <w:rPr>
          <w:rFonts w:eastAsia="Calibri"/>
          <w:noProof/>
        </w:rPr>
      </w:pPr>
    </w:p>
    <w:p w14:paraId="42288BCD" w14:textId="77777777" w:rsidR="00FA7C11" w:rsidRDefault="00FA7C11">
      <w:pPr>
        <w:rPr>
          <w:noProof/>
        </w:rPr>
      </w:pPr>
    </w:p>
    <w:p w14:paraId="288819DB" w14:textId="77777777" w:rsidR="00FA7C11" w:rsidRDefault="00FA7C11">
      <w:pPr>
        <w:keepNext/>
        <w:tabs>
          <w:tab w:val="left" w:pos="850"/>
        </w:tabs>
        <w:spacing w:before="360" w:line="240" w:lineRule="auto"/>
        <w:jc w:val="both"/>
        <w:outlineLvl w:val="0"/>
        <w:rPr>
          <w:rFonts w:eastAsia="Calibri"/>
          <w:b/>
          <w:smallCaps/>
          <w:noProof/>
          <w:szCs w:val="24"/>
        </w:rPr>
        <w:sectPr w:rsidR="00FA7C11" w:rsidSect="00FA29B2">
          <w:headerReference w:type="even" r:id="rId320"/>
          <w:headerReference w:type="default" r:id="rId321"/>
          <w:footerReference w:type="even" r:id="rId322"/>
          <w:footerReference w:type="default" r:id="rId323"/>
          <w:headerReference w:type="first" r:id="rId324"/>
          <w:footerReference w:type="first" r:id="rId325"/>
          <w:pgSz w:w="16838" w:h="11906" w:orient="landscape"/>
          <w:pgMar w:top="1134" w:right="1134" w:bottom="1134" w:left="1134" w:header="567" w:footer="567" w:gutter="0"/>
          <w:cols w:space="708"/>
          <w:docGrid w:linePitch="360"/>
        </w:sectPr>
      </w:pPr>
    </w:p>
    <w:p w14:paraId="0854ACFF" w14:textId="77777777" w:rsidR="00FA7C11" w:rsidRDefault="00D84965">
      <w:pPr>
        <w:pStyle w:val="P68B1DB1-Normal32"/>
        <w:keepNext/>
        <w:spacing w:before="360" w:line="240" w:lineRule="auto"/>
        <w:jc w:val="both"/>
        <w:outlineLvl w:val="0"/>
        <w:rPr>
          <w:noProof/>
        </w:rPr>
      </w:pPr>
      <w:r>
        <w:rPr>
          <w:noProof/>
        </w:rPr>
        <w:t>S. COMPONENTA 4.2: ÎMBUNĂTĂȚIREA SISTEMULUI DE PENSII PRIN CREȘTEREA GRADULUI DE ADECVARE A PENSIILOR</w:t>
      </w:r>
    </w:p>
    <w:p w14:paraId="337D5C39" w14:textId="77777777" w:rsidR="00FA7C11" w:rsidRDefault="00D84965">
      <w:pPr>
        <w:pStyle w:val="P68B1DB1-Normal33"/>
        <w:spacing w:line="240" w:lineRule="auto"/>
        <w:jc w:val="both"/>
        <w:rPr>
          <w:noProof/>
        </w:rPr>
      </w:pPr>
      <w:r>
        <w:rPr>
          <w:noProof/>
        </w:rPr>
        <w:t xml:space="preserve">Această componentă a planului croat de redresare și reziliență vizează consolidarea în continuare a sustenabilității sistemului de pensii, și anume prin stimularea prelungirii vieții profesionale, prin consolidarea celui de al doilea pilon al sistemului de pensii și prin creșterea celor mai mici pensii. Obiectivul general al reformei din cadrul acestei componente este de a îmbunătăți adecvarea și sustenabilitatea pensiilor. </w:t>
      </w:r>
    </w:p>
    <w:p w14:paraId="6B47C947" w14:textId="77777777" w:rsidR="00FA7C11" w:rsidRDefault="00D84965">
      <w:pPr>
        <w:pStyle w:val="P68B1DB1-Normal57"/>
        <w:keepNext/>
        <w:spacing w:before="40" w:after="0"/>
        <w:ind w:left="851"/>
        <w:jc w:val="both"/>
        <w:outlineLvl w:val="1"/>
        <w:rPr>
          <w:noProof/>
        </w:rPr>
      </w:pPr>
      <w:r>
        <w:rPr>
          <w:noProof/>
        </w:rPr>
        <w:t xml:space="preserve">S.1. </w:t>
      </w:r>
      <w:r>
        <w:rPr>
          <w:noProof/>
        </w:rPr>
        <w:tab/>
        <w:t>Descrierea reformelor și a investițiilor pentru sprijinul financiar nerambursabil</w:t>
      </w:r>
    </w:p>
    <w:p w14:paraId="3C018914" w14:textId="77777777" w:rsidR="00FA7C11" w:rsidRDefault="00D84965">
      <w:pPr>
        <w:pStyle w:val="P68B1DB1-Normal96"/>
        <w:keepNext/>
        <w:spacing w:before="240" w:after="0"/>
        <w:ind w:left="850"/>
        <w:jc w:val="both"/>
        <w:outlineLvl w:val="2"/>
        <w:rPr>
          <w:noProof/>
        </w:rPr>
      </w:pPr>
      <w:r>
        <w:rPr>
          <w:noProof/>
        </w:rPr>
        <w:t>Reforma C4.2 R1 – Creșterea adecvării pensiilor prin continuarea reformei pensiilor</w:t>
      </w:r>
    </w:p>
    <w:p w14:paraId="21F4877A" w14:textId="77777777" w:rsidR="00FA7C11" w:rsidRDefault="00D84965">
      <w:pPr>
        <w:pStyle w:val="P68B1DB1-Normal46"/>
        <w:spacing w:before="240" w:after="240" w:line="240" w:lineRule="auto"/>
        <w:jc w:val="both"/>
        <w:rPr>
          <w:rFonts w:eastAsia="Times New Roman"/>
          <w:b/>
          <w:bCs/>
          <w:noProof/>
        </w:rPr>
      </w:pPr>
      <w:r>
        <w:rPr>
          <w:noProof/>
        </w:rPr>
        <w:t>Obiectivul acestei reforme este triplu: I) îmbunătățirea adecvării pensiilor, în special pentru beneficiarii cu cele mai mici venituri, ii) îmbunătățirea sustenabilității sistemului de pensii prin consolidarea celui de al doilea pilon al sistemului de pensii și iii) revigorarea eforturilor de reformă pe termen lung într-un mod favorabil incluziunii sociale, prin formarea unui grup de lucru care să implice toate părțile interesate esențiale și partenerii sociali. Această măsură constă în modificarea legislației privind pensiile pentru a majora pensiile minime și pensiile de urmaș, pentru a extinde opțiunile de investiții pentru fondurile de pensii din al doilea pilon și pentru a pune în aplicare reforme suplimentare pe baza recomandărilor grupului de lucru.</w:t>
      </w:r>
    </w:p>
    <w:p w14:paraId="3CFE2A8A" w14:textId="77777777" w:rsidR="00FA7C11" w:rsidRDefault="00FA7C11">
      <w:pPr>
        <w:spacing w:line="240" w:lineRule="auto"/>
        <w:jc w:val="both"/>
        <w:rPr>
          <w:rFonts w:ascii="Times New Roman" w:eastAsia="Calibri" w:hAnsi="Times New Roman" w:cs="Times New Roman"/>
          <w:noProof/>
          <w:sz w:val="24"/>
          <w:szCs w:val="24"/>
        </w:rPr>
      </w:pPr>
    </w:p>
    <w:p w14:paraId="7DB2B417" w14:textId="77777777" w:rsidR="00FA7C11" w:rsidRDefault="00D84965">
      <w:pPr>
        <w:tabs>
          <w:tab w:val="left" w:pos="5697"/>
        </w:tabs>
        <w:rPr>
          <w:noProof/>
        </w:rPr>
        <w:sectPr w:rsidR="00FA7C11" w:rsidSect="00FA29B2">
          <w:headerReference w:type="even" r:id="rId326"/>
          <w:headerReference w:type="default" r:id="rId327"/>
          <w:footerReference w:type="even" r:id="rId328"/>
          <w:footerReference w:type="default" r:id="rId329"/>
          <w:headerReference w:type="first" r:id="rId330"/>
          <w:footerReference w:type="first" r:id="rId331"/>
          <w:pgSz w:w="11906" w:h="16838"/>
          <w:pgMar w:top="1134" w:right="1134" w:bottom="1134" w:left="1134" w:header="567" w:footer="567" w:gutter="0"/>
          <w:cols w:space="708"/>
          <w:docGrid w:linePitch="360"/>
        </w:sectPr>
      </w:pPr>
      <w:r>
        <w:rPr>
          <w:noProof/>
        </w:rPr>
        <w:tab/>
      </w:r>
    </w:p>
    <w:p w14:paraId="4BB3CCE4" w14:textId="77777777" w:rsidR="00FA7C11" w:rsidRDefault="00D84965">
      <w:pPr>
        <w:pStyle w:val="P68B1DB1-Normal57"/>
        <w:keepNext/>
        <w:tabs>
          <w:tab w:val="num" w:pos="850"/>
        </w:tabs>
        <w:spacing w:after="0" w:line="240" w:lineRule="auto"/>
        <w:ind w:left="851"/>
        <w:jc w:val="both"/>
        <w:outlineLvl w:val="1"/>
        <w:rPr>
          <w:noProof/>
        </w:rPr>
      </w:pPr>
      <w:r>
        <w:rPr>
          <w:noProof/>
        </w:rPr>
        <w:t xml:space="preserve">S.2. </w:t>
      </w:r>
      <w:r>
        <w:rPr>
          <w:noProof/>
        </w:rPr>
        <w:tab/>
        <w:t>Jaloane, ținte, indicatori și calendarul de monitorizare și implementare aplicabile sprijinului financiar nerambursabil</w:t>
      </w:r>
    </w:p>
    <w:p w14:paraId="4BC82E74" w14:textId="77777777" w:rsidR="00FA7C11" w:rsidRDefault="00FA7C11">
      <w:pPr>
        <w:keepNext/>
        <w:tabs>
          <w:tab w:val="num" w:pos="850"/>
        </w:tabs>
        <w:spacing w:after="0" w:line="240" w:lineRule="auto"/>
        <w:ind w:left="851"/>
        <w:jc w:val="both"/>
        <w:outlineLvl w:val="1"/>
        <w:rPr>
          <w:rFonts w:ascii="Times New Roman" w:eastAsia="SimSun" w:hAnsi="Times New Roman" w:cs="Times New Roman"/>
          <w:b/>
          <w:noProof/>
          <w:sz w:val="24"/>
          <w:szCs w:val="24"/>
          <w:u w:val="single"/>
        </w:rPr>
      </w:pPr>
    </w:p>
    <w:tbl>
      <w:tblPr>
        <w:tblW w:w="15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51"/>
        <w:gridCol w:w="993"/>
        <w:gridCol w:w="1345"/>
        <w:gridCol w:w="2393"/>
        <w:gridCol w:w="2093"/>
        <w:gridCol w:w="1134"/>
        <w:gridCol w:w="808"/>
        <w:gridCol w:w="850"/>
        <w:gridCol w:w="919"/>
        <w:gridCol w:w="884"/>
        <w:gridCol w:w="3685"/>
      </w:tblGrid>
      <w:tr w:rsidR="00FA7C11" w14:paraId="49709F04" w14:textId="77777777">
        <w:trPr>
          <w:trHeight w:val="635"/>
          <w:tblHeader/>
          <w:jc w:val="center"/>
        </w:trPr>
        <w:tc>
          <w:tcPr>
            <w:tcW w:w="851" w:type="dxa"/>
            <w:vMerge w:val="restart"/>
            <w:shd w:val="clear" w:color="auto" w:fill="BDD7EE"/>
            <w:vAlign w:val="center"/>
            <w:hideMark/>
          </w:tcPr>
          <w:p w14:paraId="59AAF9FF" w14:textId="77777777" w:rsidR="00FA7C11" w:rsidRDefault="00D84965">
            <w:pPr>
              <w:pStyle w:val="P68B1DB1-Normal58"/>
              <w:spacing w:after="0" w:line="276" w:lineRule="auto"/>
              <w:jc w:val="center"/>
              <w:rPr>
                <w:bCs/>
                <w:noProof/>
              </w:rPr>
            </w:pPr>
            <w:r>
              <w:rPr>
                <w:noProof/>
              </w:rPr>
              <w:t>Număr</w:t>
            </w:r>
          </w:p>
        </w:tc>
        <w:tc>
          <w:tcPr>
            <w:tcW w:w="993" w:type="dxa"/>
            <w:vMerge w:val="restart"/>
            <w:shd w:val="clear" w:color="auto" w:fill="BDD7EE"/>
            <w:vAlign w:val="center"/>
            <w:hideMark/>
          </w:tcPr>
          <w:p w14:paraId="0F458E05" w14:textId="77777777" w:rsidR="00FA7C11" w:rsidRDefault="00D84965">
            <w:pPr>
              <w:pStyle w:val="P68B1DB1-Normal58"/>
              <w:spacing w:after="0" w:line="276" w:lineRule="auto"/>
              <w:jc w:val="center"/>
              <w:rPr>
                <w:noProof/>
              </w:rPr>
            </w:pPr>
            <w:r>
              <w:rPr>
                <w:noProof/>
              </w:rPr>
              <w:t>Măsură</w:t>
            </w:r>
          </w:p>
        </w:tc>
        <w:tc>
          <w:tcPr>
            <w:tcW w:w="1151" w:type="dxa"/>
            <w:vMerge w:val="restart"/>
            <w:shd w:val="clear" w:color="auto" w:fill="BDD7EE"/>
            <w:vAlign w:val="center"/>
            <w:hideMark/>
          </w:tcPr>
          <w:p w14:paraId="7A661C3F" w14:textId="77777777" w:rsidR="00FA7C11" w:rsidRDefault="00D84965">
            <w:pPr>
              <w:pStyle w:val="P68B1DB1-Normal58"/>
              <w:spacing w:after="0" w:line="276" w:lineRule="auto"/>
              <w:jc w:val="center"/>
              <w:rPr>
                <w:noProof/>
              </w:rPr>
            </w:pPr>
            <w:r>
              <w:rPr>
                <w:noProof/>
              </w:rPr>
              <w:t>Etapă/Obiectiv</w:t>
            </w:r>
          </w:p>
        </w:tc>
        <w:tc>
          <w:tcPr>
            <w:tcW w:w="2393" w:type="dxa"/>
            <w:vMerge w:val="restart"/>
            <w:shd w:val="clear" w:color="auto" w:fill="BDD7EE"/>
            <w:vAlign w:val="center"/>
            <w:hideMark/>
          </w:tcPr>
          <w:p w14:paraId="3A569333" w14:textId="77777777" w:rsidR="00FA7C11" w:rsidRDefault="00D84965">
            <w:pPr>
              <w:pStyle w:val="P68B1DB1-Normal58"/>
              <w:spacing w:after="0" w:line="276" w:lineRule="auto"/>
              <w:jc w:val="center"/>
              <w:rPr>
                <w:noProof/>
              </w:rPr>
            </w:pPr>
            <w:r>
              <w:rPr>
                <w:noProof/>
              </w:rPr>
              <w:t>Nume</w:t>
            </w:r>
          </w:p>
        </w:tc>
        <w:tc>
          <w:tcPr>
            <w:tcW w:w="2093" w:type="dxa"/>
            <w:vMerge w:val="restart"/>
            <w:shd w:val="clear" w:color="auto" w:fill="BDD7EE"/>
            <w:vAlign w:val="center"/>
            <w:hideMark/>
          </w:tcPr>
          <w:p w14:paraId="2659DE2D" w14:textId="77777777" w:rsidR="00FA7C11" w:rsidRDefault="00D84965">
            <w:pPr>
              <w:pStyle w:val="P68B1DB1-Normal58"/>
              <w:spacing w:after="0" w:line="276" w:lineRule="auto"/>
              <w:jc w:val="center"/>
              <w:rPr>
                <w:noProof/>
              </w:rPr>
            </w:pPr>
            <w:r>
              <w:rPr>
                <w:noProof/>
              </w:rPr>
              <w:t xml:space="preserve">Indicatori calitativi </w:t>
            </w:r>
            <w:r>
              <w:rPr>
                <w:noProof/>
              </w:rPr>
              <w:br/>
              <w:t>(pentru jaloane)</w:t>
            </w:r>
          </w:p>
        </w:tc>
        <w:tc>
          <w:tcPr>
            <w:tcW w:w="2752" w:type="dxa"/>
            <w:gridSpan w:val="3"/>
            <w:shd w:val="clear" w:color="auto" w:fill="BDD7EE"/>
            <w:vAlign w:val="center"/>
            <w:hideMark/>
          </w:tcPr>
          <w:p w14:paraId="60AD253C" w14:textId="77777777" w:rsidR="00FA7C11" w:rsidRDefault="00D84965">
            <w:pPr>
              <w:pStyle w:val="P68B1DB1-Normal58"/>
              <w:spacing w:after="0" w:line="276" w:lineRule="auto"/>
              <w:jc w:val="center"/>
              <w:rPr>
                <w:noProof/>
              </w:rPr>
            </w:pPr>
            <w:r>
              <w:rPr>
                <w:noProof/>
              </w:rPr>
              <w:t xml:space="preserve">Indicatori cantitativi </w:t>
            </w:r>
            <w:r>
              <w:rPr>
                <w:noProof/>
              </w:rPr>
              <w:br/>
              <w:t>(pentru obiective)</w:t>
            </w:r>
          </w:p>
        </w:tc>
        <w:tc>
          <w:tcPr>
            <w:tcW w:w="1640" w:type="dxa"/>
            <w:gridSpan w:val="2"/>
            <w:shd w:val="clear" w:color="auto" w:fill="BDD7EE"/>
            <w:vAlign w:val="center"/>
            <w:hideMark/>
          </w:tcPr>
          <w:p w14:paraId="6D7A542C" w14:textId="77777777" w:rsidR="00FA7C11" w:rsidRDefault="00D84965">
            <w:pPr>
              <w:pStyle w:val="P68B1DB1-Normal58"/>
              <w:spacing w:after="0" w:line="276" w:lineRule="auto"/>
              <w:jc w:val="center"/>
              <w:rPr>
                <w:noProof/>
              </w:rPr>
            </w:pPr>
            <w:r>
              <w:rPr>
                <w:noProof/>
              </w:rPr>
              <w:t>Timp</w:t>
            </w:r>
          </w:p>
        </w:tc>
        <w:tc>
          <w:tcPr>
            <w:tcW w:w="3685" w:type="dxa"/>
            <w:vMerge w:val="restart"/>
            <w:shd w:val="clear" w:color="auto" w:fill="BDD7EE"/>
            <w:vAlign w:val="center"/>
            <w:hideMark/>
          </w:tcPr>
          <w:p w14:paraId="08FC12F9" w14:textId="77777777" w:rsidR="00FA7C11" w:rsidRDefault="00D84965">
            <w:pPr>
              <w:pStyle w:val="P68B1DB1-Normal58"/>
              <w:spacing w:after="0" w:line="276" w:lineRule="auto"/>
              <w:jc w:val="center"/>
              <w:rPr>
                <w:noProof/>
              </w:rPr>
            </w:pPr>
            <w:r>
              <w:rPr>
                <w:noProof/>
              </w:rPr>
              <w:t>Descrierea fiecărui jalon și a fiecărei ținte</w:t>
            </w:r>
          </w:p>
        </w:tc>
      </w:tr>
      <w:tr w:rsidR="00FA7C11" w14:paraId="4B6F8A30" w14:textId="77777777">
        <w:trPr>
          <w:trHeight w:val="503"/>
          <w:tblHeader/>
          <w:jc w:val="center"/>
        </w:trPr>
        <w:tc>
          <w:tcPr>
            <w:tcW w:w="851" w:type="dxa"/>
            <w:vMerge/>
            <w:hideMark/>
          </w:tcPr>
          <w:p w14:paraId="00913E04"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993" w:type="dxa"/>
            <w:vMerge/>
            <w:hideMark/>
          </w:tcPr>
          <w:p w14:paraId="5F04BF99"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51" w:type="dxa"/>
            <w:vMerge/>
            <w:hideMark/>
          </w:tcPr>
          <w:p w14:paraId="54372780"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393" w:type="dxa"/>
            <w:vMerge/>
            <w:hideMark/>
          </w:tcPr>
          <w:p w14:paraId="62F3336A" w14:textId="77777777" w:rsidR="00FA7C11" w:rsidRDefault="00FA7C11">
            <w:pPr>
              <w:spacing w:after="0" w:line="276" w:lineRule="auto"/>
              <w:rPr>
                <w:rFonts w:ascii="Times New Roman" w:eastAsia="Times New Roman" w:hAnsi="Times New Roman" w:cs="Times New Roman"/>
                <w:b/>
                <w:noProof/>
                <w:sz w:val="20"/>
                <w:szCs w:val="20"/>
              </w:rPr>
            </w:pPr>
          </w:p>
        </w:tc>
        <w:tc>
          <w:tcPr>
            <w:tcW w:w="2093" w:type="dxa"/>
            <w:vMerge/>
            <w:hideMark/>
          </w:tcPr>
          <w:p w14:paraId="27084226" w14:textId="77777777" w:rsidR="00FA7C11" w:rsidRDefault="00FA7C11">
            <w:pPr>
              <w:spacing w:after="0" w:line="276" w:lineRule="auto"/>
              <w:rPr>
                <w:rFonts w:ascii="Times New Roman" w:eastAsia="Times New Roman" w:hAnsi="Times New Roman" w:cs="Times New Roman"/>
                <w:b/>
                <w:noProof/>
                <w:sz w:val="20"/>
                <w:szCs w:val="20"/>
              </w:rPr>
            </w:pPr>
          </w:p>
        </w:tc>
        <w:tc>
          <w:tcPr>
            <w:tcW w:w="1134" w:type="dxa"/>
            <w:shd w:val="clear" w:color="auto" w:fill="BDD7EE"/>
            <w:vAlign w:val="center"/>
            <w:hideMark/>
          </w:tcPr>
          <w:p w14:paraId="02DE8114" w14:textId="77777777" w:rsidR="00FA7C11" w:rsidRDefault="00D84965">
            <w:pPr>
              <w:pStyle w:val="P68B1DB1-Normal58"/>
              <w:spacing w:after="0" w:line="276" w:lineRule="auto"/>
              <w:jc w:val="center"/>
              <w:rPr>
                <w:noProof/>
              </w:rPr>
            </w:pPr>
            <w:r>
              <w:rPr>
                <w:noProof/>
              </w:rPr>
              <w:t>Unitate</w:t>
            </w:r>
          </w:p>
        </w:tc>
        <w:tc>
          <w:tcPr>
            <w:tcW w:w="768" w:type="dxa"/>
            <w:shd w:val="clear" w:color="auto" w:fill="BDD7EE"/>
            <w:vAlign w:val="center"/>
            <w:hideMark/>
          </w:tcPr>
          <w:p w14:paraId="2D0A8481" w14:textId="77777777" w:rsidR="00FA7C11" w:rsidRDefault="00D84965">
            <w:pPr>
              <w:pStyle w:val="P68B1DB1-Normal58"/>
              <w:spacing w:after="0" w:line="276" w:lineRule="auto"/>
              <w:jc w:val="center"/>
              <w:rPr>
                <w:noProof/>
              </w:rPr>
            </w:pPr>
            <w:r>
              <w:rPr>
                <w:noProof/>
              </w:rPr>
              <w:t>Situația de referință</w:t>
            </w:r>
          </w:p>
        </w:tc>
        <w:tc>
          <w:tcPr>
            <w:tcW w:w="850" w:type="dxa"/>
            <w:shd w:val="clear" w:color="auto" w:fill="BDD7EE"/>
            <w:vAlign w:val="center"/>
            <w:hideMark/>
          </w:tcPr>
          <w:p w14:paraId="078A111A" w14:textId="77777777" w:rsidR="00FA7C11" w:rsidRDefault="00D84965">
            <w:pPr>
              <w:pStyle w:val="P68B1DB1-Normal58"/>
              <w:spacing w:after="0" w:line="276" w:lineRule="auto"/>
              <w:jc w:val="center"/>
              <w:rPr>
                <w:noProof/>
              </w:rPr>
            </w:pPr>
            <w:r>
              <w:rPr>
                <w:noProof/>
              </w:rPr>
              <w:t>Obiectiv</w:t>
            </w:r>
          </w:p>
        </w:tc>
        <w:tc>
          <w:tcPr>
            <w:tcW w:w="756" w:type="dxa"/>
            <w:shd w:val="clear" w:color="auto" w:fill="BDD7EE"/>
            <w:vAlign w:val="center"/>
            <w:hideMark/>
          </w:tcPr>
          <w:p w14:paraId="56BEBA75" w14:textId="77777777" w:rsidR="00FA7C11" w:rsidRDefault="00D84965">
            <w:pPr>
              <w:pStyle w:val="P68B1DB1-Normal58"/>
              <w:spacing w:after="0" w:line="276" w:lineRule="auto"/>
              <w:jc w:val="center"/>
              <w:rPr>
                <w:noProof/>
              </w:rPr>
            </w:pPr>
            <w:r>
              <w:rPr>
                <w:noProof/>
              </w:rPr>
              <w:t>Trimestru</w:t>
            </w:r>
          </w:p>
        </w:tc>
        <w:tc>
          <w:tcPr>
            <w:tcW w:w="884" w:type="dxa"/>
            <w:shd w:val="clear" w:color="auto" w:fill="BDD7EE"/>
            <w:vAlign w:val="center"/>
            <w:hideMark/>
          </w:tcPr>
          <w:p w14:paraId="6E03F431" w14:textId="77777777" w:rsidR="00FA7C11" w:rsidRDefault="00D84965">
            <w:pPr>
              <w:pStyle w:val="P68B1DB1-Normal58"/>
              <w:spacing w:after="0" w:line="276" w:lineRule="auto"/>
              <w:jc w:val="center"/>
              <w:rPr>
                <w:noProof/>
              </w:rPr>
            </w:pPr>
            <w:r>
              <w:rPr>
                <w:noProof/>
              </w:rPr>
              <w:t>Anul</w:t>
            </w:r>
          </w:p>
        </w:tc>
        <w:tc>
          <w:tcPr>
            <w:tcW w:w="3685" w:type="dxa"/>
            <w:vMerge/>
            <w:hideMark/>
          </w:tcPr>
          <w:p w14:paraId="28BBE5E7"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5AF7A13A" w14:textId="77777777">
        <w:trPr>
          <w:trHeight w:val="283"/>
          <w:jc w:val="center"/>
        </w:trPr>
        <w:tc>
          <w:tcPr>
            <w:tcW w:w="851" w:type="dxa"/>
            <w:shd w:val="clear" w:color="auto" w:fill="C6EFCE"/>
            <w:noWrap/>
          </w:tcPr>
          <w:p w14:paraId="111520EB" w14:textId="77777777" w:rsidR="00FA7C11" w:rsidRDefault="00D84965">
            <w:pPr>
              <w:pStyle w:val="P68B1DB1-Normal66"/>
              <w:spacing w:after="0" w:line="276" w:lineRule="auto"/>
              <w:jc w:val="center"/>
              <w:rPr>
                <w:noProof/>
              </w:rPr>
            </w:pPr>
            <w:r>
              <w:rPr>
                <w:noProof/>
              </w:rPr>
              <w:t>297</w:t>
            </w:r>
          </w:p>
        </w:tc>
        <w:tc>
          <w:tcPr>
            <w:tcW w:w="993" w:type="dxa"/>
            <w:shd w:val="clear" w:color="auto" w:fill="C6EFCE"/>
            <w:noWrap/>
          </w:tcPr>
          <w:p w14:paraId="729C83CD" w14:textId="77777777" w:rsidR="00FA7C11" w:rsidRDefault="00D84965">
            <w:pPr>
              <w:pStyle w:val="P68B1DB1-Normal66"/>
              <w:spacing w:after="200" w:line="276" w:lineRule="auto"/>
              <w:jc w:val="center"/>
              <w:rPr>
                <w:noProof/>
              </w:rPr>
            </w:pPr>
            <w:r>
              <w:rPr>
                <w:noProof/>
              </w:rPr>
              <w:t>C4.2. R1</w:t>
            </w:r>
          </w:p>
        </w:tc>
        <w:tc>
          <w:tcPr>
            <w:tcW w:w="1151" w:type="dxa"/>
            <w:shd w:val="clear" w:color="auto" w:fill="C6EFCE"/>
            <w:noWrap/>
          </w:tcPr>
          <w:p w14:paraId="797944A8" w14:textId="77777777" w:rsidR="00FA7C11" w:rsidRDefault="00D84965">
            <w:pPr>
              <w:pStyle w:val="P68B1DB1-Normal66"/>
              <w:spacing w:after="200" w:line="276" w:lineRule="auto"/>
              <w:jc w:val="center"/>
              <w:rPr>
                <w:noProof/>
              </w:rPr>
            </w:pPr>
            <w:r>
              <w:rPr>
                <w:noProof/>
              </w:rPr>
              <w:t>M</w:t>
            </w:r>
          </w:p>
        </w:tc>
        <w:tc>
          <w:tcPr>
            <w:tcW w:w="2393" w:type="dxa"/>
            <w:shd w:val="clear" w:color="auto" w:fill="C6EFCE"/>
            <w:noWrap/>
          </w:tcPr>
          <w:p w14:paraId="3C4BE488" w14:textId="77777777" w:rsidR="00FA7C11" w:rsidRDefault="00D84965">
            <w:pPr>
              <w:pStyle w:val="P68B1DB1-Normal66"/>
              <w:spacing w:after="200" w:line="276" w:lineRule="auto"/>
              <w:rPr>
                <w:noProof/>
              </w:rPr>
            </w:pPr>
            <w:r>
              <w:rPr>
                <w:noProof/>
              </w:rPr>
              <w:t>Adoptarea modificărilor la Legea privind asigurarea de pensie</w:t>
            </w:r>
          </w:p>
        </w:tc>
        <w:tc>
          <w:tcPr>
            <w:tcW w:w="2093" w:type="dxa"/>
            <w:shd w:val="clear" w:color="auto" w:fill="C6EFCE"/>
            <w:noWrap/>
          </w:tcPr>
          <w:p w14:paraId="468B06DA" w14:textId="77777777" w:rsidR="00FA7C11" w:rsidRDefault="00D84965">
            <w:pPr>
              <w:pStyle w:val="P68B1DB1-Normal66"/>
              <w:spacing w:after="200" w:line="276" w:lineRule="auto"/>
              <w:rPr>
                <w:noProof/>
              </w:rPr>
            </w:pPr>
            <w:r>
              <w:rPr>
                <w:noProof/>
              </w:rPr>
              <w:t xml:space="preserve">Intrarea în vigoare a legii noi sau modificate privind asigurarea de pensie. </w:t>
            </w:r>
          </w:p>
        </w:tc>
        <w:tc>
          <w:tcPr>
            <w:tcW w:w="1134" w:type="dxa"/>
            <w:shd w:val="clear" w:color="auto" w:fill="C6EFCE"/>
            <w:noWrap/>
          </w:tcPr>
          <w:p w14:paraId="5E92C40B" w14:textId="77777777" w:rsidR="00FA7C11" w:rsidRDefault="00D84965">
            <w:pPr>
              <w:pStyle w:val="P68B1DB1-Normal66"/>
              <w:spacing w:after="200" w:line="276" w:lineRule="auto"/>
              <w:jc w:val="center"/>
              <w:rPr>
                <w:noProof/>
              </w:rPr>
            </w:pPr>
            <w:r>
              <w:rPr>
                <w:noProof/>
              </w:rPr>
              <w:t> </w:t>
            </w:r>
          </w:p>
        </w:tc>
        <w:tc>
          <w:tcPr>
            <w:tcW w:w="768" w:type="dxa"/>
            <w:shd w:val="clear" w:color="auto" w:fill="C6EFCE"/>
            <w:noWrap/>
          </w:tcPr>
          <w:p w14:paraId="3F77B496" w14:textId="77777777" w:rsidR="00FA7C11" w:rsidRDefault="00D84965">
            <w:pPr>
              <w:pStyle w:val="P68B1DB1-Normal66"/>
              <w:spacing w:after="200" w:line="276" w:lineRule="auto"/>
              <w:jc w:val="center"/>
              <w:rPr>
                <w:noProof/>
              </w:rPr>
            </w:pPr>
            <w:r>
              <w:rPr>
                <w:noProof/>
              </w:rPr>
              <w:t> </w:t>
            </w:r>
          </w:p>
        </w:tc>
        <w:tc>
          <w:tcPr>
            <w:tcW w:w="850" w:type="dxa"/>
            <w:shd w:val="clear" w:color="auto" w:fill="C6EFCE"/>
            <w:noWrap/>
          </w:tcPr>
          <w:p w14:paraId="6E57A91E" w14:textId="77777777" w:rsidR="00FA7C11" w:rsidRDefault="00D84965">
            <w:pPr>
              <w:pStyle w:val="P68B1DB1-Normal66"/>
              <w:spacing w:after="200" w:line="276" w:lineRule="auto"/>
              <w:jc w:val="center"/>
              <w:rPr>
                <w:noProof/>
              </w:rPr>
            </w:pPr>
            <w:r>
              <w:rPr>
                <w:noProof/>
              </w:rPr>
              <w:t> </w:t>
            </w:r>
          </w:p>
        </w:tc>
        <w:tc>
          <w:tcPr>
            <w:tcW w:w="756" w:type="dxa"/>
            <w:shd w:val="clear" w:color="auto" w:fill="C6EFCE"/>
            <w:noWrap/>
          </w:tcPr>
          <w:p w14:paraId="33FFE0CE" w14:textId="77777777" w:rsidR="00FA7C11" w:rsidRDefault="00D84965">
            <w:pPr>
              <w:pStyle w:val="P68B1DB1-Normal66"/>
              <w:spacing w:after="200" w:line="276" w:lineRule="auto"/>
              <w:jc w:val="center"/>
              <w:rPr>
                <w:noProof/>
              </w:rPr>
            </w:pPr>
            <w:r>
              <w:rPr>
                <w:noProof/>
              </w:rPr>
              <w:t>Î1</w:t>
            </w:r>
          </w:p>
        </w:tc>
        <w:tc>
          <w:tcPr>
            <w:tcW w:w="884" w:type="dxa"/>
            <w:shd w:val="clear" w:color="auto" w:fill="C6EFCE"/>
            <w:noWrap/>
          </w:tcPr>
          <w:p w14:paraId="7A6010E1" w14:textId="77777777" w:rsidR="00FA7C11" w:rsidRDefault="00D84965">
            <w:pPr>
              <w:pStyle w:val="P68B1DB1-Normal66"/>
              <w:spacing w:after="200" w:line="276" w:lineRule="auto"/>
              <w:jc w:val="center"/>
              <w:rPr>
                <w:noProof/>
              </w:rPr>
            </w:pPr>
            <w:r>
              <w:rPr>
                <w:noProof/>
              </w:rPr>
              <w:t>2023</w:t>
            </w:r>
          </w:p>
        </w:tc>
        <w:tc>
          <w:tcPr>
            <w:tcW w:w="3685" w:type="dxa"/>
            <w:shd w:val="clear" w:color="auto" w:fill="C6EFCE"/>
            <w:noWrap/>
          </w:tcPr>
          <w:p w14:paraId="527483F8" w14:textId="77777777" w:rsidR="00FA7C11" w:rsidRDefault="00D84965">
            <w:pPr>
              <w:pStyle w:val="P68B1DB1-Normal66"/>
              <w:spacing w:after="200" w:line="276" w:lineRule="auto"/>
              <w:rPr>
                <w:noProof/>
              </w:rPr>
            </w:pPr>
            <w:r>
              <w:rPr>
                <w:noProof/>
              </w:rPr>
              <w:t>Modificările aduse Legii privind asigurarea de pensie majorează pensia minimă și factorul de pensie utilizate pentru calcularea cuantumului pensiei de urmaș pentru a face posibilă utilizarea unei părți din pensia de urmaș în plus față de o pensie personală (pentru limită de vârstă/de invaliditate) în condiții legate de vârstă și venit, pentru pensionarii cu venituri mai mici.</w:t>
            </w:r>
          </w:p>
        </w:tc>
      </w:tr>
      <w:tr w:rsidR="00FA7C11" w14:paraId="01118367" w14:textId="77777777">
        <w:trPr>
          <w:trHeight w:val="283"/>
          <w:jc w:val="center"/>
        </w:trPr>
        <w:tc>
          <w:tcPr>
            <w:tcW w:w="851" w:type="dxa"/>
            <w:shd w:val="clear" w:color="auto" w:fill="C6EFCE"/>
            <w:noWrap/>
          </w:tcPr>
          <w:p w14:paraId="68F109A1" w14:textId="77777777" w:rsidR="00FA7C11" w:rsidRDefault="00D84965">
            <w:pPr>
              <w:pStyle w:val="P68B1DB1-Normal66"/>
              <w:spacing w:after="200" w:line="276" w:lineRule="auto"/>
              <w:jc w:val="center"/>
              <w:rPr>
                <w:noProof/>
              </w:rPr>
            </w:pPr>
            <w:r>
              <w:rPr>
                <w:noProof/>
              </w:rPr>
              <w:t>298</w:t>
            </w:r>
          </w:p>
        </w:tc>
        <w:tc>
          <w:tcPr>
            <w:tcW w:w="993" w:type="dxa"/>
            <w:shd w:val="clear" w:color="auto" w:fill="C6EFCE"/>
            <w:noWrap/>
          </w:tcPr>
          <w:p w14:paraId="020B6459" w14:textId="77777777" w:rsidR="00FA7C11" w:rsidRDefault="00D84965">
            <w:pPr>
              <w:pStyle w:val="P68B1DB1-Normal66"/>
              <w:spacing w:after="200" w:line="276" w:lineRule="auto"/>
              <w:jc w:val="center"/>
              <w:rPr>
                <w:noProof/>
              </w:rPr>
            </w:pPr>
            <w:r>
              <w:rPr>
                <w:noProof/>
              </w:rPr>
              <w:t>C4.2. R1</w:t>
            </w:r>
          </w:p>
        </w:tc>
        <w:tc>
          <w:tcPr>
            <w:tcW w:w="1151" w:type="dxa"/>
            <w:shd w:val="clear" w:color="auto" w:fill="C6EFCE"/>
            <w:noWrap/>
          </w:tcPr>
          <w:p w14:paraId="0A154B4E" w14:textId="77777777" w:rsidR="00FA7C11" w:rsidRDefault="00D84965">
            <w:pPr>
              <w:pStyle w:val="P68B1DB1-Normal66"/>
              <w:spacing w:after="200" w:line="276" w:lineRule="auto"/>
              <w:jc w:val="center"/>
              <w:rPr>
                <w:noProof/>
              </w:rPr>
            </w:pPr>
            <w:r>
              <w:rPr>
                <w:noProof/>
              </w:rPr>
              <w:t>M</w:t>
            </w:r>
          </w:p>
        </w:tc>
        <w:tc>
          <w:tcPr>
            <w:tcW w:w="2393" w:type="dxa"/>
            <w:shd w:val="clear" w:color="auto" w:fill="C6EFCE"/>
            <w:noWrap/>
          </w:tcPr>
          <w:p w14:paraId="6DF69FD0" w14:textId="1C4B3222" w:rsidR="00FA7C11" w:rsidRDefault="00D84965">
            <w:pPr>
              <w:pStyle w:val="P68B1DB1-Normal66"/>
              <w:spacing w:after="200" w:line="276" w:lineRule="auto"/>
              <w:rPr>
                <w:noProof/>
              </w:rPr>
            </w:pPr>
            <w:r>
              <w:rPr>
                <w:noProof/>
              </w:rPr>
              <w:t xml:space="preserve">Adoptarea Legii de modificare a Legii privind fondurile de pensii obligatorii </w:t>
            </w:r>
          </w:p>
        </w:tc>
        <w:tc>
          <w:tcPr>
            <w:tcW w:w="2093" w:type="dxa"/>
            <w:shd w:val="clear" w:color="auto" w:fill="C6EFCE"/>
            <w:noWrap/>
          </w:tcPr>
          <w:p w14:paraId="295DF367" w14:textId="77777777" w:rsidR="00FA7C11" w:rsidRDefault="00D84965">
            <w:pPr>
              <w:pStyle w:val="P68B1DB1-Normal66"/>
              <w:spacing w:after="200" w:line="276" w:lineRule="auto"/>
              <w:rPr>
                <w:noProof/>
              </w:rPr>
            </w:pPr>
            <w:r>
              <w:rPr>
                <w:noProof/>
              </w:rPr>
              <w:t>Adoptarea Legii de modificare a Legii privind fondurile de pensii obligatorii pentru a spori oportunitățile de investiții ale fondurilor de pensii obligatorii.</w:t>
            </w:r>
          </w:p>
        </w:tc>
        <w:tc>
          <w:tcPr>
            <w:tcW w:w="1134" w:type="dxa"/>
            <w:shd w:val="clear" w:color="auto" w:fill="C6EFCE"/>
            <w:noWrap/>
          </w:tcPr>
          <w:p w14:paraId="14152483" w14:textId="2C48FA64" w:rsidR="00FA7C11" w:rsidRDefault="00D84965">
            <w:pPr>
              <w:pStyle w:val="P68B1DB1-Normal66"/>
              <w:spacing w:after="200" w:line="276" w:lineRule="auto"/>
              <w:jc w:val="center"/>
              <w:rPr>
                <w:noProof/>
              </w:rPr>
            </w:pPr>
            <w:r>
              <w:rPr>
                <w:noProof/>
              </w:rPr>
              <w:t> </w:t>
            </w:r>
          </w:p>
          <w:p w14:paraId="0A2665EC" w14:textId="77777777" w:rsidR="00FA7C11" w:rsidRDefault="00FA7C11">
            <w:pPr>
              <w:rPr>
                <w:rFonts w:ascii="Times New Roman" w:eastAsia="Calibri" w:hAnsi="Times New Roman" w:cs="Times New Roman"/>
                <w:noProof/>
                <w:sz w:val="20"/>
                <w:szCs w:val="20"/>
              </w:rPr>
            </w:pPr>
          </w:p>
          <w:p w14:paraId="7E20C847" w14:textId="77777777" w:rsidR="00FA7C11" w:rsidRDefault="00FA7C11">
            <w:pPr>
              <w:rPr>
                <w:rFonts w:ascii="Times New Roman" w:eastAsia="Calibri" w:hAnsi="Times New Roman" w:cs="Times New Roman"/>
                <w:noProof/>
                <w:sz w:val="20"/>
                <w:szCs w:val="20"/>
              </w:rPr>
            </w:pPr>
          </w:p>
        </w:tc>
        <w:tc>
          <w:tcPr>
            <w:tcW w:w="768" w:type="dxa"/>
            <w:shd w:val="clear" w:color="auto" w:fill="C6EFCE"/>
            <w:noWrap/>
          </w:tcPr>
          <w:p w14:paraId="4AB038D0" w14:textId="77777777" w:rsidR="00FA7C11" w:rsidRDefault="00D84965">
            <w:pPr>
              <w:pStyle w:val="P68B1DB1-Normal66"/>
              <w:spacing w:after="200" w:line="276" w:lineRule="auto"/>
              <w:jc w:val="center"/>
              <w:rPr>
                <w:noProof/>
              </w:rPr>
            </w:pPr>
            <w:r>
              <w:rPr>
                <w:noProof/>
              </w:rPr>
              <w:t> </w:t>
            </w:r>
          </w:p>
        </w:tc>
        <w:tc>
          <w:tcPr>
            <w:tcW w:w="850" w:type="dxa"/>
            <w:shd w:val="clear" w:color="auto" w:fill="C6EFCE"/>
            <w:noWrap/>
          </w:tcPr>
          <w:p w14:paraId="6580687D" w14:textId="77777777" w:rsidR="00FA7C11" w:rsidRDefault="00D84965">
            <w:pPr>
              <w:pStyle w:val="P68B1DB1-Normal66"/>
              <w:spacing w:after="200" w:line="276" w:lineRule="auto"/>
              <w:jc w:val="center"/>
              <w:rPr>
                <w:noProof/>
              </w:rPr>
            </w:pPr>
            <w:r>
              <w:rPr>
                <w:noProof/>
              </w:rPr>
              <w:t> </w:t>
            </w:r>
          </w:p>
        </w:tc>
        <w:tc>
          <w:tcPr>
            <w:tcW w:w="756" w:type="dxa"/>
            <w:shd w:val="clear" w:color="auto" w:fill="C6EFCE"/>
            <w:noWrap/>
          </w:tcPr>
          <w:p w14:paraId="0A3576F4" w14:textId="77777777" w:rsidR="00FA7C11" w:rsidRDefault="00D84965">
            <w:pPr>
              <w:pStyle w:val="P68B1DB1-Normal66"/>
              <w:spacing w:after="200" w:line="276" w:lineRule="auto"/>
              <w:jc w:val="center"/>
              <w:rPr>
                <w:noProof/>
              </w:rPr>
            </w:pPr>
            <w:r>
              <w:rPr>
                <w:noProof/>
              </w:rPr>
              <w:t>Î1</w:t>
            </w:r>
          </w:p>
        </w:tc>
        <w:tc>
          <w:tcPr>
            <w:tcW w:w="884" w:type="dxa"/>
            <w:shd w:val="clear" w:color="auto" w:fill="C6EFCE"/>
            <w:noWrap/>
          </w:tcPr>
          <w:p w14:paraId="40212590" w14:textId="77777777" w:rsidR="00FA7C11" w:rsidRDefault="00D84965">
            <w:pPr>
              <w:pStyle w:val="P68B1DB1-Normal66"/>
              <w:spacing w:after="200" w:line="276" w:lineRule="auto"/>
              <w:jc w:val="center"/>
              <w:rPr>
                <w:noProof/>
                <w:color w:val="000000" w:themeColor="text1"/>
              </w:rPr>
            </w:pPr>
            <w:r>
              <w:rPr>
                <w:noProof/>
              </w:rPr>
              <w:t>2025</w:t>
            </w:r>
          </w:p>
        </w:tc>
        <w:tc>
          <w:tcPr>
            <w:tcW w:w="3685" w:type="dxa"/>
            <w:shd w:val="clear" w:color="auto" w:fill="C6EFCE"/>
            <w:noWrap/>
          </w:tcPr>
          <w:p w14:paraId="52AAE49F" w14:textId="77777777" w:rsidR="00FA7C11" w:rsidRDefault="00D84965">
            <w:pPr>
              <w:pStyle w:val="P68B1DB1-Normal70"/>
              <w:spacing w:after="200" w:line="276" w:lineRule="auto"/>
              <w:rPr>
                <w:noProof/>
              </w:rPr>
            </w:pPr>
            <w:r>
              <w:rPr>
                <w:noProof/>
                <w:color w:val="000000" w:themeColor="text1"/>
              </w:rPr>
              <w:t>Domeniul de aplicare al investițiilor eligibile pentru fondurile de pensii din al doilea pilon este extins</w:t>
            </w:r>
            <w:r>
              <w:rPr>
                <w:noProof/>
              </w:rPr>
              <w:t xml:space="preserve">. Se adoptă </w:t>
            </w:r>
            <w:r>
              <w:rPr>
                <w:noProof/>
                <w:color w:val="000000" w:themeColor="text1"/>
              </w:rPr>
              <w:t>o lege de modificare a Legii privind fondurile de pensii obligatorii, care va îmbunătăți și mai mult sistemul de economii pentru pensii capitalizate individuale în faza de acumulare, în vederea îmbunătățirii funcționării comerciale a entităților din sistemul capitalizat în beneficiul tuturor membrilor fondului de pensii. Decretul care urmează să fie adoptat de guvern va preciza în continuare: (I) criteriile de clasificare a unui emitent ca emitent desemnat pentru finanțarea sau securitizarea proiectelor de infrastructură pe teritoriul Republicii Croația; (II) procedura și conținutul cererii, și anume cererea de clasificare, și (iii) procedura de evaluare și emitere a clasificării.</w:t>
            </w:r>
          </w:p>
        </w:tc>
      </w:tr>
      <w:tr w:rsidR="00FA7C11" w14:paraId="27D0C938" w14:textId="77777777">
        <w:trPr>
          <w:trHeight w:val="283"/>
          <w:jc w:val="center"/>
        </w:trPr>
        <w:tc>
          <w:tcPr>
            <w:tcW w:w="851" w:type="dxa"/>
            <w:shd w:val="clear" w:color="auto" w:fill="C6EFCE"/>
            <w:noWrap/>
          </w:tcPr>
          <w:p w14:paraId="17EABF84" w14:textId="77777777" w:rsidR="00FA7C11" w:rsidRDefault="00D84965">
            <w:pPr>
              <w:pStyle w:val="P68B1DB1-Normal66"/>
              <w:spacing w:after="200" w:line="276" w:lineRule="auto"/>
              <w:jc w:val="center"/>
              <w:rPr>
                <w:noProof/>
              </w:rPr>
            </w:pPr>
            <w:r>
              <w:rPr>
                <w:noProof/>
              </w:rPr>
              <w:t>299</w:t>
            </w:r>
          </w:p>
        </w:tc>
        <w:tc>
          <w:tcPr>
            <w:tcW w:w="993" w:type="dxa"/>
            <w:shd w:val="clear" w:color="auto" w:fill="C6EFCE"/>
            <w:noWrap/>
          </w:tcPr>
          <w:p w14:paraId="23C1EE2B" w14:textId="77777777" w:rsidR="00FA7C11" w:rsidRDefault="00D84965">
            <w:pPr>
              <w:pStyle w:val="P68B1DB1-Normal66"/>
              <w:spacing w:after="200" w:line="276" w:lineRule="auto"/>
              <w:jc w:val="center"/>
              <w:rPr>
                <w:noProof/>
              </w:rPr>
            </w:pPr>
            <w:r>
              <w:rPr>
                <w:noProof/>
              </w:rPr>
              <w:t>C4.2. R1</w:t>
            </w:r>
          </w:p>
        </w:tc>
        <w:tc>
          <w:tcPr>
            <w:tcW w:w="1151" w:type="dxa"/>
            <w:shd w:val="clear" w:color="auto" w:fill="C6EFCE"/>
            <w:noWrap/>
          </w:tcPr>
          <w:p w14:paraId="61DAA3F9" w14:textId="77777777" w:rsidR="00FA7C11" w:rsidRDefault="00D84965">
            <w:pPr>
              <w:pStyle w:val="P68B1DB1-Normal66"/>
              <w:spacing w:after="200" w:line="276" w:lineRule="auto"/>
              <w:jc w:val="center"/>
              <w:rPr>
                <w:noProof/>
              </w:rPr>
            </w:pPr>
            <w:r>
              <w:rPr>
                <w:noProof/>
              </w:rPr>
              <w:t>T</w:t>
            </w:r>
          </w:p>
        </w:tc>
        <w:tc>
          <w:tcPr>
            <w:tcW w:w="2393" w:type="dxa"/>
            <w:shd w:val="clear" w:color="auto" w:fill="C6EFCE"/>
            <w:noWrap/>
          </w:tcPr>
          <w:p w14:paraId="1BD1806E" w14:textId="77777777" w:rsidR="00FA7C11" w:rsidRDefault="00D84965">
            <w:pPr>
              <w:pStyle w:val="P68B1DB1-Normal66"/>
              <w:spacing w:after="200" w:line="276" w:lineRule="auto"/>
              <w:rPr>
                <w:noProof/>
              </w:rPr>
            </w:pPr>
            <w:r>
              <w:rPr>
                <w:noProof/>
              </w:rPr>
              <w:t>O creștere cu cel puțin 10 % a venitului total din pensii pentru beneficiarii formei redefinite de pensie de urmaș.</w:t>
            </w:r>
          </w:p>
        </w:tc>
        <w:tc>
          <w:tcPr>
            <w:tcW w:w="2093" w:type="dxa"/>
            <w:shd w:val="clear" w:color="auto" w:fill="C6EFCE"/>
            <w:noWrap/>
          </w:tcPr>
          <w:p w14:paraId="4F38CC95" w14:textId="77777777" w:rsidR="00FA7C11" w:rsidRDefault="00D84965">
            <w:pPr>
              <w:pStyle w:val="P68B1DB1-Normal66"/>
              <w:spacing w:after="200" w:line="276" w:lineRule="auto"/>
              <w:rPr>
                <w:noProof/>
              </w:rPr>
            </w:pPr>
            <w:r>
              <w:rPr>
                <w:noProof/>
              </w:rPr>
              <w:t xml:space="preserve"> </w:t>
            </w:r>
          </w:p>
        </w:tc>
        <w:tc>
          <w:tcPr>
            <w:tcW w:w="1134" w:type="dxa"/>
            <w:shd w:val="clear" w:color="auto" w:fill="C6EFCE"/>
            <w:noWrap/>
          </w:tcPr>
          <w:p w14:paraId="510D5B0D" w14:textId="77777777" w:rsidR="00FA7C11" w:rsidRDefault="00D84965">
            <w:pPr>
              <w:pStyle w:val="P68B1DB1-Normal66"/>
              <w:spacing w:after="200" w:line="276" w:lineRule="auto"/>
              <w:jc w:val="center"/>
              <w:rPr>
                <w:noProof/>
              </w:rPr>
            </w:pPr>
            <w:r>
              <w:rPr>
                <w:noProof/>
              </w:rPr>
              <w:t>% (procent)</w:t>
            </w:r>
          </w:p>
        </w:tc>
        <w:tc>
          <w:tcPr>
            <w:tcW w:w="768" w:type="dxa"/>
            <w:shd w:val="clear" w:color="auto" w:fill="C6EFCE"/>
            <w:noWrap/>
          </w:tcPr>
          <w:p w14:paraId="086AE348" w14:textId="77777777" w:rsidR="00FA7C11" w:rsidRDefault="00D84965">
            <w:pPr>
              <w:pStyle w:val="P68B1DB1-Normal66"/>
              <w:spacing w:after="200" w:line="276" w:lineRule="auto"/>
              <w:jc w:val="center"/>
              <w:rPr>
                <w:noProof/>
              </w:rPr>
            </w:pPr>
            <w:r>
              <w:rPr>
                <w:noProof/>
              </w:rPr>
              <w:t>0</w:t>
            </w:r>
          </w:p>
        </w:tc>
        <w:tc>
          <w:tcPr>
            <w:tcW w:w="850" w:type="dxa"/>
            <w:shd w:val="clear" w:color="auto" w:fill="C6EFCE"/>
            <w:noWrap/>
          </w:tcPr>
          <w:p w14:paraId="079E07AB" w14:textId="77777777" w:rsidR="00FA7C11" w:rsidRDefault="00D84965">
            <w:pPr>
              <w:pStyle w:val="P68B1DB1-Normal66"/>
              <w:spacing w:after="200" w:line="276" w:lineRule="auto"/>
              <w:jc w:val="center"/>
              <w:rPr>
                <w:noProof/>
              </w:rPr>
            </w:pPr>
            <w:r>
              <w:rPr>
                <w:noProof/>
              </w:rPr>
              <w:t>10</w:t>
            </w:r>
          </w:p>
        </w:tc>
        <w:tc>
          <w:tcPr>
            <w:tcW w:w="756" w:type="dxa"/>
            <w:shd w:val="clear" w:color="auto" w:fill="C6EFCE"/>
            <w:noWrap/>
          </w:tcPr>
          <w:p w14:paraId="5498DBAC" w14:textId="77777777" w:rsidR="00FA7C11" w:rsidRDefault="00D84965">
            <w:pPr>
              <w:pStyle w:val="P68B1DB1-Normal66"/>
              <w:spacing w:after="200" w:line="276" w:lineRule="auto"/>
              <w:jc w:val="center"/>
              <w:rPr>
                <w:noProof/>
              </w:rPr>
            </w:pPr>
            <w:r>
              <w:rPr>
                <w:noProof/>
              </w:rPr>
              <w:t>Î4</w:t>
            </w:r>
          </w:p>
        </w:tc>
        <w:tc>
          <w:tcPr>
            <w:tcW w:w="884" w:type="dxa"/>
            <w:shd w:val="clear" w:color="auto" w:fill="C6EFCE"/>
            <w:noWrap/>
          </w:tcPr>
          <w:p w14:paraId="07304A4D" w14:textId="77777777" w:rsidR="00FA7C11" w:rsidRDefault="00D84965">
            <w:pPr>
              <w:pStyle w:val="P68B1DB1-Normal66"/>
              <w:spacing w:after="200" w:line="276" w:lineRule="auto"/>
              <w:jc w:val="center"/>
              <w:rPr>
                <w:noProof/>
              </w:rPr>
            </w:pPr>
            <w:r>
              <w:rPr>
                <w:noProof/>
              </w:rPr>
              <w:t>2024</w:t>
            </w:r>
          </w:p>
        </w:tc>
        <w:tc>
          <w:tcPr>
            <w:tcW w:w="3685" w:type="dxa"/>
            <w:shd w:val="clear" w:color="auto" w:fill="C6EFCE"/>
            <w:noWrap/>
          </w:tcPr>
          <w:p w14:paraId="629F2644" w14:textId="77777777" w:rsidR="00FA7C11" w:rsidRDefault="00D84965">
            <w:pPr>
              <w:pStyle w:val="P68B1DB1-Normal66"/>
              <w:spacing w:line="240" w:lineRule="auto"/>
              <w:contextualSpacing/>
              <w:jc w:val="both"/>
              <w:rPr>
                <w:noProof/>
              </w:rPr>
            </w:pPr>
            <w:r>
              <w:rPr>
                <w:noProof/>
              </w:rPr>
              <w:t>Modificările aduse calculului pensiei de urmaș conduc la o creștere a venitului total din pensie cu cel puțin 10 % în total, în raport cu nivelurile din 2014, pentru beneficiarii unei pensii de urmaș și introduc posibilitatea de a utiliza o parte din pensia de urmaș în plus față de o pensie personală pentru beneficiarii unei pensii mai mici (atât pentru limită de vârstă, cât și pentru invaliditate) în condiții legate de vârstă și venit.</w:t>
            </w:r>
          </w:p>
          <w:p w14:paraId="0E8BE4AF" w14:textId="77777777" w:rsidR="00FA7C11" w:rsidRDefault="00FA7C11">
            <w:pPr>
              <w:spacing w:line="240" w:lineRule="auto"/>
              <w:contextualSpacing/>
              <w:jc w:val="both"/>
              <w:rPr>
                <w:rFonts w:ascii="Times New Roman" w:eastAsia="Calibri" w:hAnsi="Times New Roman" w:cs="Times New Roman"/>
                <w:noProof/>
                <w:sz w:val="20"/>
                <w:szCs w:val="20"/>
              </w:rPr>
            </w:pPr>
          </w:p>
        </w:tc>
      </w:tr>
      <w:tr w:rsidR="00FA7C11" w14:paraId="263049A2" w14:textId="77777777">
        <w:trPr>
          <w:trHeight w:val="283"/>
          <w:jc w:val="center"/>
        </w:trPr>
        <w:tc>
          <w:tcPr>
            <w:tcW w:w="851" w:type="dxa"/>
            <w:shd w:val="clear" w:color="auto" w:fill="C6EFCE"/>
            <w:noWrap/>
          </w:tcPr>
          <w:p w14:paraId="0FC4334D" w14:textId="77777777" w:rsidR="00FA7C11" w:rsidRDefault="00D84965">
            <w:pPr>
              <w:pStyle w:val="P68B1DB1-Normal66"/>
              <w:spacing w:after="200" w:line="276" w:lineRule="auto"/>
              <w:jc w:val="center"/>
              <w:rPr>
                <w:noProof/>
              </w:rPr>
            </w:pPr>
            <w:bookmarkStart w:id="8" w:name="_Hlk198130835"/>
            <w:r>
              <w:rPr>
                <w:noProof/>
              </w:rPr>
              <w:t>300</w:t>
            </w:r>
          </w:p>
        </w:tc>
        <w:tc>
          <w:tcPr>
            <w:tcW w:w="993" w:type="dxa"/>
            <w:shd w:val="clear" w:color="auto" w:fill="C6EFCE"/>
            <w:noWrap/>
          </w:tcPr>
          <w:p w14:paraId="74F0CF29" w14:textId="77777777" w:rsidR="00FA7C11" w:rsidRDefault="00D84965">
            <w:pPr>
              <w:pStyle w:val="P68B1DB1-Normal66"/>
              <w:spacing w:after="200" w:line="276" w:lineRule="auto"/>
              <w:jc w:val="center"/>
              <w:rPr>
                <w:noProof/>
              </w:rPr>
            </w:pPr>
            <w:r>
              <w:rPr>
                <w:noProof/>
              </w:rPr>
              <w:t>C4.2. R1</w:t>
            </w:r>
          </w:p>
        </w:tc>
        <w:tc>
          <w:tcPr>
            <w:tcW w:w="1151" w:type="dxa"/>
            <w:shd w:val="clear" w:color="auto" w:fill="C6EFCE"/>
            <w:noWrap/>
          </w:tcPr>
          <w:p w14:paraId="55484EF4" w14:textId="77777777" w:rsidR="00FA7C11" w:rsidRDefault="00D84965">
            <w:pPr>
              <w:pStyle w:val="P68B1DB1-Normal66"/>
              <w:spacing w:after="200" w:line="276" w:lineRule="auto"/>
              <w:jc w:val="center"/>
              <w:rPr>
                <w:noProof/>
              </w:rPr>
            </w:pPr>
            <w:r>
              <w:rPr>
                <w:noProof/>
              </w:rPr>
              <w:t>M</w:t>
            </w:r>
          </w:p>
        </w:tc>
        <w:tc>
          <w:tcPr>
            <w:tcW w:w="2393" w:type="dxa"/>
            <w:shd w:val="clear" w:color="auto" w:fill="C6EFCE"/>
            <w:noWrap/>
          </w:tcPr>
          <w:p w14:paraId="5209D89B" w14:textId="77777777" w:rsidR="00FA7C11" w:rsidRDefault="00D84965">
            <w:pPr>
              <w:pStyle w:val="P68B1DB1-Normal66"/>
              <w:spacing w:after="200" w:line="276" w:lineRule="auto"/>
              <w:rPr>
                <w:noProof/>
              </w:rPr>
            </w:pPr>
            <w:r>
              <w:rPr>
                <w:noProof/>
              </w:rPr>
              <w:t xml:space="preserve">Adoptarea modificărilor la Legea privind asigurarea de pensie </w:t>
            </w:r>
          </w:p>
        </w:tc>
        <w:tc>
          <w:tcPr>
            <w:tcW w:w="2093" w:type="dxa"/>
            <w:shd w:val="clear" w:color="auto" w:fill="C6EFCE"/>
            <w:noWrap/>
          </w:tcPr>
          <w:p w14:paraId="5EC796B6" w14:textId="77777777" w:rsidR="00FA7C11" w:rsidRDefault="00D84965">
            <w:pPr>
              <w:pStyle w:val="P68B1DB1-Normal66"/>
              <w:spacing w:after="200" w:line="276" w:lineRule="auto"/>
              <w:rPr>
                <w:noProof/>
              </w:rPr>
            </w:pPr>
            <w:r>
              <w:rPr>
                <w:noProof/>
              </w:rPr>
              <w:t>Intrarea în vigoare a noii Legi privind asigurarea de pensie</w:t>
            </w:r>
          </w:p>
        </w:tc>
        <w:tc>
          <w:tcPr>
            <w:tcW w:w="1134" w:type="dxa"/>
            <w:shd w:val="clear" w:color="auto" w:fill="C6EFCE"/>
            <w:noWrap/>
          </w:tcPr>
          <w:p w14:paraId="29EDAD3E" w14:textId="77777777" w:rsidR="00FA7C11" w:rsidRDefault="00D84965">
            <w:pPr>
              <w:pStyle w:val="P68B1DB1-Normal66"/>
              <w:spacing w:after="200" w:line="276" w:lineRule="auto"/>
              <w:jc w:val="center"/>
              <w:rPr>
                <w:noProof/>
              </w:rPr>
            </w:pPr>
            <w:r>
              <w:rPr>
                <w:noProof/>
              </w:rPr>
              <w:t> </w:t>
            </w:r>
          </w:p>
        </w:tc>
        <w:tc>
          <w:tcPr>
            <w:tcW w:w="768" w:type="dxa"/>
            <w:shd w:val="clear" w:color="auto" w:fill="C6EFCE"/>
            <w:noWrap/>
          </w:tcPr>
          <w:p w14:paraId="1E1BF74C" w14:textId="77777777" w:rsidR="00FA7C11" w:rsidRDefault="00D84965">
            <w:pPr>
              <w:pStyle w:val="P68B1DB1-Normal66"/>
              <w:spacing w:after="200" w:line="276" w:lineRule="auto"/>
              <w:jc w:val="center"/>
              <w:rPr>
                <w:noProof/>
              </w:rPr>
            </w:pPr>
            <w:r>
              <w:rPr>
                <w:noProof/>
              </w:rPr>
              <w:t> </w:t>
            </w:r>
          </w:p>
        </w:tc>
        <w:tc>
          <w:tcPr>
            <w:tcW w:w="850" w:type="dxa"/>
            <w:shd w:val="clear" w:color="auto" w:fill="C6EFCE"/>
            <w:noWrap/>
          </w:tcPr>
          <w:p w14:paraId="31EAD4EF" w14:textId="77777777" w:rsidR="00FA7C11" w:rsidRDefault="00D84965">
            <w:pPr>
              <w:pStyle w:val="P68B1DB1-Normal66"/>
              <w:spacing w:after="200" w:line="276" w:lineRule="auto"/>
              <w:jc w:val="center"/>
              <w:rPr>
                <w:noProof/>
              </w:rPr>
            </w:pPr>
            <w:r>
              <w:rPr>
                <w:noProof/>
              </w:rPr>
              <w:t> </w:t>
            </w:r>
          </w:p>
        </w:tc>
        <w:tc>
          <w:tcPr>
            <w:tcW w:w="756" w:type="dxa"/>
            <w:shd w:val="clear" w:color="auto" w:fill="C6EFCE"/>
            <w:noWrap/>
          </w:tcPr>
          <w:p w14:paraId="18F7A2C1" w14:textId="77777777" w:rsidR="00FA7C11" w:rsidRDefault="00D84965">
            <w:pPr>
              <w:pStyle w:val="P68B1DB1-Normal66"/>
              <w:spacing w:after="200" w:line="276" w:lineRule="auto"/>
              <w:jc w:val="center"/>
              <w:rPr>
                <w:noProof/>
              </w:rPr>
            </w:pPr>
            <w:r>
              <w:rPr>
                <w:noProof/>
              </w:rPr>
              <w:t>Î4</w:t>
            </w:r>
          </w:p>
        </w:tc>
        <w:tc>
          <w:tcPr>
            <w:tcW w:w="884" w:type="dxa"/>
            <w:shd w:val="clear" w:color="auto" w:fill="C6EFCE"/>
            <w:noWrap/>
          </w:tcPr>
          <w:p w14:paraId="6F2B75FD" w14:textId="77777777" w:rsidR="00FA7C11" w:rsidRDefault="00D84965">
            <w:pPr>
              <w:pStyle w:val="P68B1DB1-Normal66"/>
              <w:spacing w:after="200" w:line="276" w:lineRule="auto"/>
              <w:jc w:val="center"/>
              <w:rPr>
                <w:noProof/>
              </w:rPr>
            </w:pPr>
            <w:r>
              <w:rPr>
                <w:noProof/>
              </w:rPr>
              <w:t>2025</w:t>
            </w:r>
          </w:p>
        </w:tc>
        <w:tc>
          <w:tcPr>
            <w:tcW w:w="3685" w:type="dxa"/>
            <w:shd w:val="clear" w:color="auto" w:fill="C6EFCE"/>
            <w:noWrap/>
          </w:tcPr>
          <w:p w14:paraId="715A6DBB" w14:textId="77777777" w:rsidR="00FA7C11" w:rsidRDefault="00D84965">
            <w:pPr>
              <w:pStyle w:val="P68B1DB1-Normal66"/>
              <w:spacing w:after="200" w:line="276" w:lineRule="auto"/>
              <w:rPr>
                <w:noProof/>
              </w:rPr>
            </w:pPr>
            <w:r>
              <w:rPr>
                <w:noProof/>
              </w:rPr>
              <w:t xml:space="preserve">Se înființează un grup de lucru cu sarcina de a analiza situația sistemului de pensii și de a discuta alte opțiuni pentru îmbunătățirea caracterului adecvat și a sustenabilității acestuia. Acesta este alcătuit din parteneri sociali, asociații de pensii, mediul academic, consultanți specializați și alte părți interesate. Concluziile și recomandările grupului de lucru sunt luate în considerare la modificarea cadrului legislativ. </w:t>
            </w:r>
          </w:p>
          <w:p w14:paraId="3530A4D5" w14:textId="77777777" w:rsidR="00FA7C11" w:rsidRDefault="00D84965">
            <w:pPr>
              <w:pStyle w:val="P68B1DB1-Normal59"/>
              <w:spacing w:after="200" w:line="276" w:lineRule="auto"/>
              <w:rPr>
                <w:rFonts w:ascii="Times New Roman" w:eastAsia="Calibri" w:hAnsi="Times New Roman" w:cs="Times New Roman"/>
                <w:noProof/>
                <w:color w:val="000000"/>
              </w:rPr>
            </w:pPr>
            <w:r>
              <w:rPr>
                <w:rFonts w:ascii="Times New Roman" w:eastAsia="Calibri" w:hAnsi="Times New Roman" w:cs="Times New Roman"/>
                <w:noProof/>
                <w:color w:val="000000" w:themeColor="text1"/>
              </w:rPr>
              <w:t>Se adoptă cel puțin următoarele modificări: (I) să majoreze pensia minimă de la 103 % din valoarea actuală a pensiei (AVM) la cel puțin 106 %; (II) să</w:t>
            </w:r>
            <w:r>
              <w:rPr>
                <w:rFonts w:ascii="Times New Roman" w:eastAsia="Calibri" w:hAnsi="Times New Roman" w:cs="Times New Roman"/>
                <w:noProof/>
              </w:rPr>
              <w:t xml:space="preserve"> modifice raportul actual utilizat pentru indexarea pensiilor între indicii salariilor și ai prețurilor de consum de la 70: 30 la 85: 15, acordând o pondere mai mare indicelui care este mai favorabil pensionarilor</w:t>
            </w:r>
            <w:r>
              <w:rPr>
                <w:rFonts w:ascii="Times New Roman" w:eastAsia="Calibri" w:hAnsi="Times New Roman" w:cs="Times New Roman"/>
                <w:noProof/>
                <w:color w:val="000000" w:themeColor="text1"/>
              </w:rPr>
              <w:t>; (III) să introducă un supliment anual de pensie pentru toți beneficiarii de pensie.</w:t>
            </w:r>
            <w:r>
              <w:rPr>
                <w:rFonts w:ascii="Times New Roman" w:hAnsi="Times New Roman" w:cs="Times New Roman"/>
                <w:noProof/>
              </w:rPr>
              <w:t xml:space="preserve"> </w:t>
            </w:r>
          </w:p>
        </w:tc>
      </w:tr>
      <w:bookmarkEnd w:id="8"/>
      <w:tr w:rsidR="00FA7C11" w14:paraId="51B3DD16" w14:textId="77777777">
        <w:trPr>
          <w:trHeight w:val="283"/>
          <w:jc w:val="center"/>
        </w:trPr>
        <w:tc>
          <w:tcPr>
            <w:tcW w:w="851" w:type="dxa"/>
            <w:shd w:val="clear" w:color="auto" w:fill="C6EFCE"/>
            <w:noWrap/>
          </w:tcPr>
          <w:p w14:paraId="2585A5EB" w14:textId="77777777" w:rsidR="00FA7C11" w:rsidRDefault="00D84965">
            <w:pPr>
              <w:pStyle w:val="P68B1DB1-Normal66"/>
              <w:spacing w:after="200" w:line="276" w:lineRule="auto"/>
              <w:jc w:val="center"/>
              <w:rPr>
                <w:noProof/>
              </w:rPr>
            </w:pPr>
            <w:r>
              <w:rPr>
                <w:noProof/>
              </w:rPr>
              <w:t>301</w:t>
            </w:r>
          </w:p>
        </w:tc>
        <w:tc>
          <w:tcPr>
            <w:tcW w:w="993" w:type="dxa"/>
            <w:shd w:val="clear" w:color="auto" w:fill="C6EFCE"/>
            <w:noWrap/>
          </w:tcPr>
          <w:p w14:paraId="133AE896" w14:textId="77777777" w:rsidR="00FA7C11" w:rsidRDefault="00D84965">
            <w:pPr>
              <w:pStyle w:val="P68B1DB1-Normal66"/>
              <w:spacing w:after="200" w:line="276" w:lineRule="auto"/>
              <w:jc w:val="center"/>
              <w:rPr>
                <w:noProof/>
              </w:rPr>
            </w:pPr>
            <w:r>
              <w:rPr>
                <w:noProof/>
              </w:rPr>
              <w:t>C4.2. R1</w:t>
            </w:r>
          </w:p>
        </w:tc>
        <w:tc>
          <w:tcPr>
            <w:tcW w:w="1151" w:type="dxa"/>
            <w:shd w:val="clear" w:color="auto" w:fill="C6EFCE"/>
            <w:noWrap/>
          </w:tcPr>
          <w:p w14:paraId="55F98F84" w14:textId="77777777" w:rsidR="00FA7C11" w:rsidRDefault="00D84965">
            <w:pPr>
              <w:pStyle w:val="P68B1DB1-Normal66"/>
              <w:spacing w:after="200" w:line="276" w:lineRule="auto"/>
              <w:jc w:val="center"/>
              <w:rPr>
                <w:noProof/>
              </w:rPr>
            </w:pPr>
            <w:r>
              <w:rPr>
                <w:noProof/>
              </w:rPr>
              <w:t>T</w:t>
            </w:r>
          </w:p>
        </w:tc>
        <w:tc>
          <w:tcPr>
            <w:tcW w:w="2393" w:type="dxa"/>
            <w:shd w:val="clear" w:color="auto" w:fill="C6EFCE"/>
            <w:noWrap/>
          </w:tcPr>
          <w:p w14:paraId="6203B0AA" w14:textId="77777777" w:rsidR="00FA7C11" w:rsidRDefault="00D84965">
            <w:pPr>
              <w:pStyle w:val="P68B1DB1-Normal66"/>
              <w:spacing w:after="200" w:line="276" w:lineRule="auto"/>
              <w:rPr>
                <w:noProof/>
              </w:rPr>
            </w:pPr>
            <w:r>
              <w:rPr>
                <w:noProof/>
              </w:rPr>
              <w:t>Creșterea pensiei minime cu 3 %</w:t>
            </w:r>
          </w:p>
        </w:tc>
        <w:tc>
          <w:tcPr>
            <w:tcW w:w="2093" w:type="dxa"/>
            <w:shd w:val="clear" w:color="auto" w:fill="C6EFCE"/>
            <w:noWrap/>
          </w:tcPr>
          <w:p w14:paraId="429D514F" w14:textId="77777777" w:rsidR="00FA7C11" w:rsidRDefault="00D84965">
            <w:pPr>
              <w:pStyle w:val="P68B1DB1-Normal66"/>
              <w:spacing w:after="200" w:line="276" w:lineRule="auto"/>
              <w:rPr>
                <w:noProof/>
              </w:rPr>
            </w:pPr>
            <w:r>
              <w:rPr>
                <w:noProof/>
              </w:rPr>
              <w:t xml:space="preserve"> </w:t>
            </w:r>
          </w:p>
        </w:tc>
        <w:tc>
          <w:tcPr>
            <w:tcW w:w="1134" w:type="dxa"/>
            <w:shd w:val="clear" w:color="auto" w:fill="C6EFCE"/>
            <w:noWrap/>
          </w:tcPr>
          <w:p w14:paraId="28451E97" w14:textId="77777777" w:rsidR="00FA7C11" w:rsidRDefault="00D84965">
            <w:pPr>
              <w:pStyle w:val="P68B1DB1-Normal66"/>
              <w:spacing w:after="200" w:line="276" w:lineRule="auto"/>
              <w:jc w:val="center"/>
              <w:rPr>
                <w:noProof/>
              </w:rPr>
            </w:pPr>
            <w:r>
              <w:rPr>
                <w:noProof/>
              </w:rPr>
              <w:t>% (procent)</w:t>
            </w:r>
          </w:p>
        </w:tc>
        <w:tc>
          <w:tcPr>
            <w:tcW w:w="768" w:type="dxa"/>
            <w:shd w:val="clear" w:color="auto" w:fill="C6EFCE"/>
            <w:noWrap/>
          </w:tcPr>
          <w:p w14:paraId="7EB346FE" w14:textId="77777777" w:rsidR="00FA7C11" w:rsidRDefault="00D84965">
            <w:pPr>
              <w:pStyle w:val="P68B1DB1-Normal66"/>
              <w:spacing w:after="200" w:line="276" w:lineRule="auto"/>
              <w:jc w:val="center"/>
              <w:rPr>
                <w:noProof/>
              </w:rPr>
            </w:pPr>
            <w:r>
              <w:rPr>
                <w:noProof/>
              </w:rPr>
              <w:t>0</w:t>
            </w:r>
          </w:p>
        </w:tc>
        <w:tc>
          <w:tcPr>
            <w:tcW w:w="850" w:type="dxa"/>
            <w:shd w:val="clear" w:color="auto" w:fill="C6EFCE"/>
            <w:noWrap/>
          </w:tcPr>
          <w:p w14:paraId="3EB76AB2" w14:textId="77777777" w:rsidR="00FA7C11" w:rsidRDefault="00D84965">
            <w:pPr>
              <w:pStyle w:val="P68B1DB1-Normal66"/>
              <w:spacing w:after="200" w:line="276" w:lineRule="auto"/>
              <w:jc w:val="center"/>
              <w:rPr>
                <w:noProof/>
              </w:rPr>
            </w:pPr>
            <w:r>
              <w:rPr>
                <w:noProof/>
              </w:rPr>
              <w:t>3</w:t>
            </w:r>
          </w:p>
        </w:tc>
        <w:tc>
          <w:tcPr>
            <w:tcW w:w="756" w:type="dxa"/>
            <w:shd w:val="clear" w:color="auto" w:fill="C6EFCE"/>
            <w:noWrap/>
          </w:tcPr>
          <w:p w14:paraId="1D850236" w14:textId="77777777" w:rsidR="00FA7C11" w:rsidRDefault="00D84965">
            <w:pPr>
              <w:pStyle w:val="P68B1DB1-Normal66"/>
              <w:spacing w:after="200" w:line="276" w:lineRule="auto"/>
              <w:jc w:val="center"/>
              <w:rPr>
                <w:noProof/>
              </w:rPr>
            </w:pPr>
            <w:r>
              <w:rPr>
                <w:noProof/>
              </w:rPr>
              <w:t>Î4</w:t>
            </w:r>
          </w:p>
        </w:tc>
        <w:tc>
          <w:tcPr>
            <w:tcW w:w="884" w:type="dxa"/>
            <w:shd w:val="clear" w:color="auto" w:fill="C6EFCE"/>
            <w:noWrap/>
          </w:tcPr>
          <w:p w14:paraId="12B29967" w14:textId="77777777" w:rsidR="00FA7C11" w:rsidRDefault="00D84965">
            <w:pPr>
              <w:pStyle w:val="P68B1DB1-Normal66"/>
              <w:spacing w:after="200" w:line="276" w:lineRule="auto"/>
              <w:jc w:val="center"/>
              <w:rPr>
                <w:noProof/>
              </w:rPr>
            </w:pPr>
            <w:r>
              <w:rPr>
                <w:noProof/>
              </w:rPr>
              <w:t>2024</w:t>
            </w:r>
          </w:p>
        </w:tc>
        <w:tc>
          <w:tcPr>
            <w:tcW w:w="3685" w:type="dxa"/>
            <w:shd w:val="clear" w:color="auto" w:fill="C6EFCE"/>
            <w:noWrap/>
          </w:tcPr>
          <w:p w14:paraId="68B3B857" w14:textId="77777777" w:rsidR="00FA7C11" w:rsidRDefault="00D84965">
            <w:pPr>
              <w:pStyle w:val="P68B1DB1-Normal66"/>
              <w:spacing w:after="200" w:line="276" w:lineRule="auto"/>
              <w:rPr>
                <w:noProof/>
              </w:rPr>
            </w:pPr>
            <w:r>
              <w:rPr>
                <w:noProof/>
              </w:rPr>
              <w:t>O creștere globală a pensiei minime cu cel puțin 3 % în termeni reali (adică peste indexarea regulată) în comparație cu 2020.</w:t>
            </w:r>
          </w:p>
        </w:tc>
      </w:tr>
    </w:tbl>
    <w:p w14:paraId="7C357C04" w14:textId="77777777" w:rsidR="00FA7C11" w:rsidRDefault="00FA7C11">
      <w:pPr>
        <w:rPr>
          <w:noProof/>
        </w:rPr>
      </w:pPr>
    </w:p>
    <w:p w14:paraId="2AE39C4B" w14:textId="77777777" w:rsidR="00FA7C11" w:rsidRDefault="00FA7C11">
      <w:pPr>
        <w:rPr>
          <w:noProof/>
        </w:rPr>
      </w:pPr>
    </w:p>
    <w:p w14:paraId="78EFA004" w14:textId="77777777" w:rsidR="00FA7C11" w:rsidRDefault="00FA7C11">
      <w:pPr>
        <w:keepNext/>
        <w:tabs>
          <w:tab w:val="left" w:pos="850"/>
        </w:tabs>
        <w:spacing w:before="360" w:line="240" w:lineRule="auto"/>
        <w:jc w:val="both"/>
        <w:outlineLvl w:val="0"/>
        <w:rPr>
          <w:rFonts w:ascii="Times New Roman" w:eastAsia="Calibri" w:hAnsi="Times New Roman" w:cs="Times New Roman"/>
          <w:b/>
          <w:smallCaps/>
          <w:noProof/>
          <w:sz w:val="24"/>
          <w:szCs w:val="24"/>
        </w:rPr>
        <w:sectPr w:rsidR="00FA7C11" w:rsidSect="00FA29B2">
          <w:headerReference w:type="even" r:id="rId332"/>
          <w:headerReference w:type="default" r:id="rId333"/>
          <w:footerReference w:type="even" r:id="rId334"/>
          <w:footerReference w:type="default" r:id="rId335"/>
          <w:headerReference w:type="first" r:id="rId336"/>
          <w:footerReference w:type="first" r:id="rId337"/>
          <w:pgSz w:w="16838" w:h="11906" w:orient="landscape"/>
          <w:pgMar w:top="1134" w:right="1134" w:bottom="1134" w:left="1134" w:header="567" w:footer="567" w:gutter="0"/>
          <w:cols w:space="708"/>
          <w:docGrid w:linePitch="360"/>
        </w:sectPr>
      </w:pPr>
    </w:p>
    <w:p w14:paraId="1BDAB131" w14:textId="77777777" w:rsidR="00FA7C11" w:rsidRDefault="00D84965">
      <w:pPr>
        <w:pStyle w:val="P68B1DB1-Normal32"/>
        <w:keepNext/>
        <w:tabs>
          <w:tab w:val="left" w:pos="850"/>
        </w:tabs>
        <w:spacing w:before="360" w:line="240" w:lineRule="auto"/>
        <w:jc w:val="both"/>
        <w:outlineLvl w:val="0"/>
        <w:rPr>
          <w:noProof/>
        </w:rPr>
      </w:pPr>
      <w:r>
        <w:rPr>
          <w:noProof/>
        </w:rPr>
        <w:t>T. COMPONENTA 4.3: ÎMBUNĂTĂȚIREA SISTEMULUI DE PROTECȚIE SOCIALĂ</w:t>
      </w:r>
    </w:p>
    <w:p w14:paraId="2FCC6278" w14:textId="77777777" w:rsidR="00FA7C11" w:rsidRDefault="00D84965">
      <w:pPr>
        <w:pStyle w:val="P68B1DB1-Normal33"/>
        <w:spacing w:line="240" w:lineRule="auto"/>
        <w:jc w:val="both"/>
        <w:rPr>
          <w:noProof/>
        </w:rPr>
      </w:pPr>
      <w:r>
        <w:rPr>
          <w:noProof/>
        </w:rPr>
        <w:t xml:space="preserve">Această componentă a planului croat de redresare și reziliență abordează provocările legate de sistemul de protecție socială, atât în ceea ce privește prestațiile sociale, cât și serviciile sociale. Obiectivul general al reformelor și al investițiilor în această componentă este de a reduce sărăcia, de a preveni excluziunea socială și de a dezvolta servicii sociale adaptate grupurilor vulnerabile, construind astfel o societate mai rezilientă. </w:t>
      </w:r>
    </w:p>
    <w:p w14:paraId="4EEA5BE0" w14:textId="22068628" w:rsidR="00FA7C11" w:rsidRDefault="00D84965">
      <w:pPr>
        <w:pStyle w:val="P68B1DB1-Normal132"/>
        <w:spacing w:line="240" w:lineRule="auto"/>
        <w:jc w:val="both"/>
        <w:rPr>
          <w:noProof/>
        </w:rPr>
      </w:pPr>
      <w:r>
        <w:rPr>
          <w:noProof/>
        </w:rPr>
        <w:t xml:space="preserve">Componenta include următoarele măsuri: </w:t>
      </w:r>
    </w:p>
    <w:p w14:paraId="0FD388C1" w14:textId="77777777" w:rsidR="00FA7C11" w:rsidRDefault="00D84965">
      <w:pPr>
        <w:pStyle w:val="P68B1DB1-Normal33"/>
        <w:numPr>
          <w:ilvl w:val="0"/>
          <w:numId w:val="75"/>
        </w:numPr>
        <w:spacing w:before="120" w:after="120" w:line="240" w:lineRule="auto"/>
        <w:jc w:val="both"/>
        <w:rPr>
          <w:noProof/>
        </w:rPr>
      </w:pPr>
      <w:r>
        <w:rPr>
          <w:noProof/>
        </w:rPr>
        <w:t>Îmbunătățirea cadrului legislativ prin adoptarea noii Legi privind bunăstarea socială și a trei documente strategice</w:t>
      </w:r>
      <w:r>
        <w:rPr>
          <w:i/>
          <w:noProof/>
        </w:rPr>
        <w:t>;</w:t>
      </w:r>
    </w:p>
    <w:p w14:paraId="41320890" w14:textId="77777777" w:rsidR="00FA7C11" w:rsidRDefault="00D84965">
      <w:pPr>
        <w:pStyle w:val="P68B1DB1-Normal33"/>
        <w:numPr>
          <w:ilvl w:val="0"/>
          <w:numId w:val="75"/>
        </w:numPr>
        <w:spacing w:before="120" w:after="120" w:line="240" w:lineRule="auto"/>
        <w:jc w:val="both"/>
        <w:rPr>
          <w:noProof/>
        </w:rPr>
      </w:pPr>
      <w:r>
        <w:rPr>
          <w:noProof/>
        </w:rPr>
        <w:t>Creșterea gradului de adecvare și de acoperire a prestației minime garantate, principala prestație de reducere a sărăciei la nivel național;</w:t>
      </w:r>
    </w:p>
    <w:p w14:paraId="377F5BD9" w14:textId="77777777" w:rsidR="00FA7C11" w:rsidRDefault="00D84965">
      <w:pPr>
        <w:pStyle w:val="P68B1DB1-Normal33"/>
        <w:numPr>
          <w:ilvl w:val="0"/>
          <w:numId w:val="75"/>
        </w:numPr>
        <w:spacing w:before="120" w:after="120" w:line="240" w:lineRule="auto"/>
        <w:jc w:val="both"/>
        <w:rPr>
          <w:noProof/>
        </w:rPr>
      </w:pPr>
      <w:r>
        <w:rPr>
          <w:noProof/>
        </w:rPr>
        <w:t>Consolidarea tehnică și funcțională a prestațiilor sociale, la nivel național și local, prin introducerea indexării periodice și adaptarea criteriilor de eligibilitate;</w:t>
      </w:r>
    </w:p>
    <w:p w14:paraId="2BF35E03" w14:textId="77777777" w:rsidR="00FA7C11" w:rsidRDefault="00D84965">
      <w:pPr>
        <w:pStyle w:val="P68B1DB1-Normal33"/>
        <w:numPr>
          <w:ilvl w:val="0"/>
          <w:numId w:val="75"/>
        </w:numPr>
        <w:spacing w:before="120" w:after="120" w:line="240" w:lineRule="auto"/>
        <w:jc w:val="both"/>
        <w:rPr>
          <w:noProof/>
        </w:rPr>
      </w:pPr>
      <w:r>
        <w:rPr>
          <w:noProof/>
        </w:rPr>
        <w:t>Armonizarea prețurilor serviciilor sociale în rândul diferiților furnizori existenți;</w:t>
      </w:r>
    </w:p>
    <w:p w14:paraId="326A6C30" w14:textId="77777777" w:rsidR="00FA7C11" w:rsidRDefault="00D84965">
      <w:pPr>
        <w:pStyle w:val="P68B1DB1-Normal33"/>
        <w:numPr>
          <w:ilvl w:val="0"/>
          <w:numId w:val="75"/>
        </w:numPr>
        <w:spacing w:before="120" w:after="120" w:line="240" w:lineRule="auto"/>
        <w:jc w:val="both"/>
        <w:rPr>
          <w:noProof/>
        </w:rPr>
      </w:pPr>
      <w:r>
        <w:rPr>
          <w:noProof/>
        </w:rPr>
        <w:t>Dezvoltarea noilor servicii sociale (mentorat social și asistenți familiali) cu scopul de a preveni instituționalizarea și excluziunea socială;</w:t>
      </w:r>
    </w:p>
    <w:p w14:paraId="37C531C6" w14:textId="77777777" w:rsidR="00FA7C11" w:rsidRDefault="00D84965">
      <w:pPr>
        <w:pStyle w:val="P68B1DB1-Normal33"/>
        <w:numPr>
          <w:ilvl w:val="0"/>
          <w:numId w:val="75"/>
        </w:numPr>
        <w:spacing w:before="120" w:after="120" w:line="240" w:lineRule="auto"/>
        <w:jc w:val="both"/>
        <w:rPr>
          <w:noProof/>
        </w:rPr>
      </w:pPr>
      <w:r>
        <w:rPr>
          <w:noProof/>
        </w:rPr>
        <w:t>Promovarea tranziției către îngrijirea pe termen lung la domiciliu și în comunitate pentru persoanele în vârstă prin dezvoltarea de servicii neinstituționale, oferind în același timp capacități de cazare suficiente exclusiv pentru persoanele care au nevoie de îngrijire pe termen lung fără o alternativă viabilă la domiciliu și la nivelul comunității.</w:t>
      </w:r>
    </w:p>
    <w:p w14:paraId="23134595" w14:textId="77777777" w:rsidR="00FA7C11" w:rsidRDefault="00D84965">
      <w:pPr>
        <w:pStyle w:val="P68B1DB1-Normal133"/>
        <w:spacing w:line="240" w:lineRule="auto"/>
        <w:jc w:val="both"/>
        <w:rPr>
          <w:noProof/>
        </w:rPr>
      </w:pPr>
      <w:r>
        <w:rPr>
          <w:noProof/>
        </w:rPr>
        <w:t>Componenta abordează recomandarea specifică fiecărei țări de a consolida prestațiile sociale și de a îmbunătăți capacitatea acestora de a reduce sărăcia (recomandările specifice fiecărei țări 2.2 și 2019), recomandarea specifică fiecărei țări privind adecvarea prestațiilor de șomaj și îmbunătățirea sistemelor de venit minim (recomandările specifice fiecărei țări 2.2 și 2020), precum și privind contribuția la creșterea accesului la infrastructura și serviciile digitale (recomandările specifice fiecărei țări 2.3 și 2020) și promovarea dobândirii de competențe (recomandările specifice fiecărei țări 2.4 și 2020).</w:t>
      </w:r>
    </w:p>
    <w:p w14:paraId="35613800" w14:textId="77777777" w:rsidR="00FA7C11" w:rsidRDefault="00D84965">
      <w:pPr>
        <w:pStyle w:val="P68B1DB1-Normal57"/>
        <w:keepNext/>
        <w:spacing w:before="40" w:after="0"/>
        <w:ind w:left="851"/>
        <w:jc w:val="both"/>
        <w:outlineLvl w:val="1"/>
        <w:rPr>
          <w:noProof/>
        </w:rPr>
      </w:pPr>
      <w:r>
        <w:rPr>
          <w:noProof/>
        </w:rPr>
        <w:t xml:space="preserve">T.1. </w:t>
      </w:r>
      <w:r>
        <w:rPr>
          <w:noProof/>
        </w:rPr>
        <w:tab/>
        <w:t>Descrierea reformelor și a investițiilor pentru sprijinul financiar nerambursabil</w:t>
      </w:r>
    </w:p>
    <w:p w14:paraId="6DAE2DCA" w14:textId="77777777" w:rsidR="00FA7C11" w:rsidRDefault="00D84965">
      <w:pPr>
        <w:pStyle w:val="P68B1DB1-Normal96"/>
        <w:keepNext/>
        <w:tabs>
          <w:tab w:val="num" w:pos="850"/>
        </w:tabs>
        <w:spacing w:before="240" w:after="0"/>
        <w:ind w:left="851"/>
        <w:jc w:val="both"/>
        <w:outlineLvl w:val="2"/>
        <w:rPr>
          <w:noProof/>
        </w:rPr>
      </w:pPr>
      <w:r>
        <w:rPr>
          <w:noProof/>
        </w:rPr>
        <w:t xml:space="preserve">Reforma C4.3 R1 – Transparența și caracterul adecvat al prestațiilor sociale în sistemul de protecție socială </w:t>
      </w:r>
    </w:p>
    <w:p w14:paraId="4E1F9DC3" w14:textId="77777777" w:rsidR="00FA7C11" w:rsidRDefault="00D84965">
      <w:pPr>
        <w:pStyle w:val="P68B1DB1-Normal34"/>
        <w:spacing w:before="240" w:after="240" w:line="240" w:lineRule="auto"/>
        <w:jc w:val="both"/>
        <w:rPr>
          <w:rFonts w:ascii="Times New Roman" w:eastAsia="Calibri" w:hAnsi="Times New Roman" w:cs="Times New Roman"/>
          <w:noProof/>
        </w:rPr>
      </w:pPr>
      <w:r>
        <w:rPr>
          <w:rFonts w:ascii="Times New Roman" w:eastAsia="Calibri" w:hAnsi="Times New Roman" w:cs="Times New Roman"/>
          <w:noProof/>
          <w:shd w:val="clear" w:color="auto" w:fill="FFFFFF"/>
        </w:rPr>
        <w:t xml:space="preserve">Obiectivul acestei măsuri este de a </w:t>
      </w:r>
      <w:r>
        <w:rPr>
          <w:rFonts w:ascii="Times New Roman" w:hAnsi="Times New Roman" w:cs="Times New Roman"/>
          <w:noProof/>
        </w:rPr>
        <w:t>spori caracterul adecvat al principalelor prestații sociale destinate celor mai vulnerabile grupuri ale societății, de a contribui la reducerea inegalităților și a sarcinii administrative și de a spori transparența sistemului. Această măsură constă în adoptarea unui plan național de combatere a sărăciei, modificarea Legii privind protecția socială, integrarea prestațiilor, creșterea prestației minime garantate și extinderea sprijinului la mai mulți beneficiari.</w:t>
      </w:r>
    </w:p>
    <w:p w14:paraId="2DF41397" w14:textId="77777777" w:rsidR="00FA7C11" w:rsidRDefault="00D84965">
      <w:pPr>
        <w:pStyle w:val="P68B1DB1-Normal42"/>
        <w:spacing w:line="240" w:lineRule="auto"/>
        <w:ind w:left="850"/>
        <w:jc w:val="both"/>
        <w:rPr>
          <w:noProof/>
        </w:rPr>
      </w:pPr>
      <w:r>
        <w:rPr>
          <w:noProof/>
        </w:rPr>
        <w:t>Investiția C4.3 R1-I1 – Îmbunătățirea digitalizării sistemului de prestații sociale între nivelul național și cel local</w:t>
      </w:r>
    </w:p>
    <w:p w14:paraId="07A041DB" w14:textId="77777777" w:rsidR="00FA7C11" w:rsidRDefault="00D84965">
      <w:pPr>
        <w:pStyle w:val="P68B1DB1-Normal46"/>
        <w:keepLines/>
        <w:spacing w:after="0" w:line="276" w:lineRule="auto"/>
        <w:jc w:val="both"/>
        <w:rPr>
          <w:rFonts w:eastAsia="Calibri"/>
          <w:noProof/>
        </w:rPr>
      </w:pPr>
      <w:r>
        <w:rPr>
          <w:noProof/>
        </w:rPr>
        <w:t>Obiectivul acestei investiții este de a dezvolta în continuare accesul funcțional la toate datele disponibile privind prestațiile sociale pentru fiecare beneficiar individual. Această măsură constă în asigurarea faptului că toate autoritățile locale și regionale au acces funcțional la datele integrate privind prestațiile sociale.</w:t>
      </w:r>
    </w:p>
    <w:p w14:paraId="2A0B124D" w14:textId="77777777" w:rsidR="00FA7C11" w:rsidRDefault="00D84965">
      <w:pPr>
        <w:pStyle w:val="P68B1DB1-Normal132"/>
        <w:spacing w:line="240" w:lineRule="auto"/>
        <w:jc w:val="both"/>
        <w:rPr>
          <w:noProof/>
        </w:rPr>
      </w:pPr>
      <w:r>
        <w:rPr>
          <w:noProof/>
        </w:rPr>
        <w:t> </w:t>
      </w:r>
    </w:p>
    <w:p w14:paraId="7A228609" w14:textId="77777777" w:rsidR="00FA7C11" w:rsidRDefault="00FA7C11">
      <w:pPr>
        <w:spacing w:line="240" w:lineRule="auto"/>
        <w:jc w:val="both"/>
        <w:rPr>
          <w:rFonts w:ascii="Times New Roman" w:eastAsia="Calibri" w:hAnsi="Times New Roman" w:cs="Times New Roman"/>
          <w:noProof/>
          <w:sz w:val="24"/>
          <w:szCs w:val="24"/>
          <w:shd w:val="clear" w:color="auto" w:fill="FFFFFF"/>
        </w:rPr>
      </w:pPr>
    </w:p>
    <w:p w14:paraId="6AF3B187" w14:textId="77777777" w:rsidR="00FA7C11" w:rsidRDefault="00FA7C11">
      <w:pPr>
        <w:spacing w:line="240" w:lineRule="auto"/>
        <w:jc w:val="both"/>
        <w:rPr>
          <w:rFonts w:ascii="Times New Roman" w:eastAsia="Calibri" w:hAnsi="Times New Roman" w:cs="Times New Roman"/>
          <w:noProof/>
          <w:sz w:val="24"/>
          <w:szCs w:val="24"/>
        </w:rPr>
      </w:pPr>
    </w:p>
    <w:p w14:paraId="05C9E01B" w14:textId="77777777" w:rsidR="00FA7C11" w:rsidRDefault="00D84965">
      <w:pPr>
        <w:pStyle w:val="P68B1DB1-Normal42"/>
        <w:spacing w:line="240" w:lineRule="auto"/>
        <w:ind w:left="850"/>
        <w:jc w:val="both"/>
        <w:rPr>
          <w:noProof/>
        </w:rPr>
      </w:pPr>
      <w:r>
        <w:rPr>
          <w:noProof/>
        </w:rPr>
        <w:t>Investiția C4.3 R1-I2 – Dezvoltarea unei aplicații web privind posibilitatea de a primi prestații sociale la nivel național</w:t>
      </w:r>
    </w:p>
    <w:p w14:paraId="2CA70DE7" w14:textId="77777777" w:rsidR="00FA7C11" w:rsidRDefault="00D84965">
      <w:pPr>
        <w:pStyle w:val="P68B1DB1-Normal133"/>
        <w:spacing w:line="240" w:lineRule="auto"/>
        <w:jc w:val="both"/>
        <w:rPr>
          <w:noProof/>
        </w:rPr>
      </w:pPr>
      <w:r>
        <w:rPr>
          <w:noProof/>
        </w:rPr>
        <w:t>Obiectivul acestei investiții este de a crea o aplicație web accesibilă cetățenilor, care să reunească prestațiile sociale din sistemul de protecție socială la nivel național și condițiile pentru furnizarea acestora. Condițiile pentru obținerea a 12 de tipuri de prestații sociale într-un sistem de protecție socială la nivel național sunt disponibile în cerere.</w:t>
      </w:r>
    </w:p>
    <w:p w14:paraId="1FCD2332" w14:textId="77777777" w:rsidR="00FA7C11" w:rsidRDefault="00D84965">
      <w:pPr>
        <w:pStyle w:val="P68B1DB1-Normal132"/>
        <w:spacing w:line="240" w:lineRule="auto"/>
        <w:jc w:val="both"/>
        <w:rPr>
          <w:noProof/>
        </w:rPr>
      </w:pPr>
      <w:r>
        <w:rPr>
          <w:noProof/>
        </w:rPr>
        <w:t>Măsura se finalizează până la 31 decembrie 2024. </w:t>
      </w:r>
    </w:p>
    <w:p w14:paraId="1BCC0B8F" w14:textId="77777777" w:rsidR="00FA7C11" w:rsidRDefault="00D84965">
      <w:pPr>
        <w:pStyle w:val="P68B1DB1-Normal42"/>
        <w:spacing w:line="240" w:lineRule="auto"/>
        <w:ind w:left="850"/>
        <w:jc w:val="both"/>
        <w:rPr>
          <w:noProof/>
        </w:rPr>
      </w:pPr>
      <w:r>
        <w:rPr>
          <w:noProof/>
        </w:rPr>
        <w:t>Reforma C4.3 R2 – Dezvoltarea serviciului de mentorat social</w:t>
      </w:r>
    </w:p>
    <w:p w14:paraId="7DE430FB" w14:textId="77777777" w:rsidR="00FA7C11" w:rsidRDefault="00D84965">
      <w:pPr>
        <w:pStyle w:val="P68B1DB1-Normal33"/>
        <w:spacing w:line="240" w:lineRule="auto"/>
        <w:jc w:val="both"/>
        <w:rPr>
          <w:noProof/>
        </w:rPr>
      </w:pPr>
      <w:r>
        <w:rPr>
          <w:noProof/>
          <w:shd w:val="clear" w:color="auto" w:fill="FFFFFF"/>
        </w:rPr>
        <w:t xml:space="preserve">Obiectivul acestei reforme este de a asigura o capacitate umană suficientă pentru a furniza servicii sociale, printr-o mai bună cooperare și schimb de date, </w:t>
      </w:r>
      <w:r>
        <w:rPr>
          <w:noProof/>
        </w:rPr>
        <w:t>beneficiarilor prestațiilor minime garantate și grupurilor defavorizate de beneficiari.</w:t>
      </w:r>
      <w:r>
        <w:rPr>
          <w:noProof/>
          <w:shd w:val="clear" w:color="auto" w:fill="FFFFFF"/>
        </w:rPr>
        <w:t xml:space="preserve"> Reforma introduce un nou serviciu de mentorat social destinat persoanelor expuse riscului sau aflate deja într-o poziție marginalizată în societate, care va fi inclus în noua Lege privind bunăstarea socială.</w:t>
      </w:r>
    </w:p>
    <w:p w14:paraId="36380AB0" w14:textId="77777777" w:rsidR="00FA7C11" w:rsidRDefault="00D84965">
      <w:pPr>
        <w:pStyle w:val="P68B1DB1-Normal42"/>
        <w:spacing w:line="240" w:lineRule="auto"/>
        <w:ind w:left="850"/>
        <w:jc w:val="both"/>
        <w:rPr>
          <w:noProof/>
        </w:rPr>
      </w:pPr>
      <w:r>
        <w:rPr>
          <w:noProof/>
        </w:rPr>
        <w:t xml:space="preserve">Investiția C4.3 R2-I1 – Introducerea serviciilor de mentorat social </w:t>
      </w:r>
    </w:p>
    <w:p w14:paraId="1EFEE55F" w14:textId="77777777" w:rsidR="00FA7C11" w:rsidRDefault="00D84965">
      <w:pPr>
        <w:pStyle w:val="P68B1DB1-Normal34"/>
        <w:spacing w:line="240" w:lineRule="auto"/>
        <w:jc w:val="both"/>
        <w:rPr>
          <w:rFonts w:ascii="Times New Roman" w:eastAsia="Calibri" w:hAnsi="Times New Roman" w:cs="Times New Roman"/>
          <w:noProof/>
        </w:rPr>
      </w:pPr>
      <w:r>
        <w:rPr>
          <w:rFonts w:ascii="Times New Roman" w:eastAsia="Calibri" w:hAnsi="Times New Roman" w:cs="Times New Roman"/>
          <w:noProof/>
          <w:bdr w:val="none" w:sz="0" w:space="0" w:color="auto" w:frame="1"/>
        </w:rPr>
        <w:t xml:space="preserve">Obiectivul acestei investiții este de a pune noul serviciu de mentorat social la dispoziția tuturor potențialilor beneficiari, în special a beneficiarilor prestației minime garantate, a persoanelor cu handicap, a victimelor violenței, a persoanelor fără adăpost, a migranților, a romilor și a tinerilor care părăsesc sistemul de protecție socială, a persoanelor care execută pedepse cu închisoarea și a membrilor altor grupuri vulnerabile din punct de vedere social. </w:t>
      </w:r>
      <w:r>
        <w:rPr>
          <w:rFonts w:ascii="Times New Roman" w:hAnsi="Times New Roman" w:cs="Times New Roman"/>
          <w:noProof/>
        </w:rPr>
        <w:t xml:space="preserve">Această măsură constă în angajarea de mentori sociali instruiți și în instituirea unui sistem de sprijin individualizat și de cooperare între serviciile de asistență socială și serviciile de ocupare a forței de muncă. </w:t>
      </w:r>
      <w:r>
        <w:rPr>
          <w:rFonts w:ascii="Times New Roman" w:hAnsi="Times New Roman" w:cs="Times New Roman"/>
          <w:noProof/>
          <w:bdr w:val="none" w:sz="0" w:space="0" w:color="auto" w:frame="1"/>
        </w:rPr>
        <w:t>￼</w:t>
      </w:r>
    </w:p>
    <w:p w14:paraId="33B2226A" w14:textId="77777777" w:rsidR="00FA7C11" w:rsidRDefault="00D84965">
      <w:pPr>
        <w:pStyle w:val="P68B1DB1-Normal42"/>
        <w:spacing w:line="240" w:lineRule="auto"/>
        <w:ind w:left="850"/>
        <w:jc w:val="both"/>
        <w:rPr>
          <w:noProof/>
        </w:rPr>
      </w:pPr>
      <w:r>
        <w:rPr>
          <w:noProof/>
        </w:rPr>
        <w:t>Reforma C4.3 R3 – Dezvoltarea serviciilor comunitare pentru a preveni instituționalizarea</w:t>
      </w:r>
    </w:p>
    <w:p w14:paraId="53DEF920" w14:textId="77777777" w:rsidR="00FA7C11" w:rsidRDefault="00D84965">
      <w:pPr>
        <w:pStyle w:val="P68B1DB1-Normal33"/>
        <w:spacing w:line="240" w:lineRule="auto"/>
        <w:jc w:val="both"/>
        <w:rPr>
          <w:noProof/>
        </w:rPr>
      </w:pPr>
      <w:r>
        <w:rPr>
          <w:noProof/>
          <w:bdr w:val="none" w:sz="0" w:space="0" w:color="auto" w:frame="1"/>
        </w:rPr>
        <w:t>Obiectivul acestei reforme este de</w:t>
      </w:r>
      <w:r>
        <w:rPr>
          <w:noProof/>
          <w:shd w:val="clear" w:color="auto" w:fill="FFFFFF"/>
        </w:rPr>
        <w:t xml:space="preserve"> a adopta Planul național pentru dezvoltarea serviciilor sociale 2021-2027, care:</w:t>
      </w:r>
    </w:p>
    <w:p w14:paraId="2C081871" w14:textId="77777777" w:rsidR="00FA7C11" w:rsidRDefault="00D84965">
      <w:pPr>
        <w:pStyle w:val="P68B1DB1-Normal33"/>
        <w:numPr>
          <w:ilvl w:val="0"/>
          <w:numId w:val="75"/>
        </w:numPr>
        <w:spacing w:before="120" w:after="120" w:line="240" w:lineRule="auto"/>
        <w:jc w:val="both"/>
        <w:rPr>
          <w:noProof/>
        </w:rPr>
      </w:pPr>
      <w:r>
        <w:rPr>
          <w:noProof/>
        </w:rPr>
        <w:t>Identificarea priorităților pentru dezvoltarea serviciilor sociale;</w:t>
      </w:r>
    </w:p>
    <w:p w14:paraId="4D9E7C65" w14:textId="77777777" w:rsidR="00FA7C11" w:rsidRDefault="00D84965">
      <w:pPr>
        <w:pStyle w:val="P68B1DB1-Normal33"/>
        <w:numPr>
          <w:ilvl w:val="0"/>
          <w:numId w:val="75"/>
        </w:numPr>
        <w:spacing w:before="120" w:after="120" w:line="240" w:lineRule="auto"/>
        <w:jc w:val="both"/>
        <w:rPr>
          <w:noProof/>
        </w:rPr>
      </w:pPr>
      <w:r>
        <w:rPr>
          <w:noProof/>
        </w:rPr>
        <w:t xml:space="preserve">Să revizuiască nevoile pentru diferite forme de asistență socială, atât neinstituțională, cât și instituțională, cu un accent deosebit pe șomerii de lungă durată, persoanele cu handicap, beneficiarii prestațiilor minime garantate, victimele violenței și ale traficului de persoane, tinerii fără îngrijire, persoanele fără adăpost, migranții, romii și persoanele care execută pedepse cu închisoarea; </w:t>
      </w:r>
    </w:p>
    <w:p w14:paraId="54170442" w14:textId="77777777" w:rsidR="00FA7C11" w:rsidRDefault="00D84965">
      <w:pPr>
        <w:pStyle w:val="P68B1DB1-Normal33"/>
        <w:numPr>
          <w:ilvl w:val="0"/>
          <w:numId w:val="75"/>
        </w:numPr>
        <w:spacing w:before="120" w:after="120" w:line="240" w:lineRule="auto"/>
        <w:jc w:val="both"/>
        <w:rPr>
          <w:noProof/>
        </w:rPr>
      </w:pPr>
      <w:r>
        <w:rPr>
          <w:noProof/>
        </w:rPr>
        <w:t xml:space="preserve">Să stabilească un plan sistematic de îngrijire pe termen lung care să fie adaptat la cerințele specifice ale beneficiarilor; </w:t>
      </w:r>
    </w:p>
    <w:p w14:paraId="120B4274" w14:textId="77777777" w:rsidR="00FA7C11" w:rsidRDefault="00D84965">
      <w:pPr>
        <w:pStyle w:val="P68B1DB1-Normal33"/>
        <w:numPr>
          <w:ilvl w:val="0"/>
          <w:numId w:val="75"/>
        </w:numPr>
        <w:spacing w:before="120" w:after="120" w:line="240" w:lineRule="auto"/>
        <w:jc w:val="both"/>
        <w:rPr>
          <w:noProof/>
        </w:rPr>
      </w:pPr>
      <w:r>
        <w:rPr>
          <w:noProof/>
        </w:rPr>
        <w:t>Să enumere obiectivele și criteriile de dezvoltare a serviciilor de ședere pentru utilizatorii care, din punct de vedere funcțional, depind în întregime de îngrijirea instituționalizată și ale căror nevoi nu pot fi satisfăcute prin servicii neinstituționale, servicii de asistență comunitară și la domiciliu, precum și alte servicii care îmbunătățesc calitatea vieții și permit utilizatorilor să locuiască mai mult timp în casele și comunitatea lor;</w:t>
      </w:r>
    </w:p>
    <w:p w14:paraId="550113E3" w14:textId="77777777" w:rsidR="00FA7C11" w:rsidRDefault="00D84965">
      <w:pPr>
        <w:pStyle w:val="P68B1DB1-Normal33"/>
        <w:numPr>
          <w:ilvl w:val="0"/>
          <w:numId w:val="75"/>
        </w:numPr>
        <w:spacing w:before="120" w:after="120" w:line="240" w:lineRule="auto"/>
        <w:jc w:val="both"/>
        <w:rPr>
          <w:noProof/>
        </w:rPr>
      </w:pPr>
      <w:r>
        <w:rPr>
          <w:noProof/>
        </w:rPr>
        <w:t>Să adapteze serviciile pentru a se concentra asupra capacitării persoanelor de a-și influența statutul social prin trecerea de la excluziune la incluziune și prin depunerea de eforturi în vederea extinderii rețelei lor sociale;</w:t>
      </w:r>
    </w:p>
    <w:p w14:paraId="2564CAB3" w14:textId="77777777" w:rsidR="00FA7C11" w:rsidRDefault="00D84965">
      <w:pPr>
        <w:pStyle w:val="P68B1DB1-Normal133"/>
        <w:numPr>
          <w:ilvl w:val="0"/>
          <w:numId w:val="75"/>
        </w:numPr>
        <w:spacing w:before="120" w:after="120" w:line="240" w:lineRule="auto"/>
        <w:jc w:val="both"/>
        <w:rPr>
          <w:noProof/>
        </w:rPr>
      </w:pPr>
      <w:r>
        <w:rPr>
          <w:noProof/>
        </w:rPr>
        <w:t>Să dezvolte o îngrijire pe termen lung sistematică și integrată pentru persoanele în vârstă, care să acorde prioritate tranziției de la îngrijirea instituționalizată la îngrijirea persoanelor în vârstă la domiciliu și în comunitate;</w:t>
      </w:r>
    </w:p>
    <w:p w14:paraId="26C109B3" w14:textId="77777777" w:rsidR="00FA7C11" w:rsidRDefault="00D84965">
      <w:pPr>
        <w:pStyle w:val="P68B1DB1-Normal33"/>
        <w:numPr>
          <w:ilvl w:val="0"/>
          <w:numId w:val="75"/>
        </w:numPr>
        <w:spacing w:before="120" w:after="120" w:line="240" w:lineRule="auto"/>
        <w:jc w:val="both"/>
        <w:rPr>
          <w:noProof/>
        </w:rPr>
      </w:pPr>
      <w:r>
        <w:rPr>
          <w:noProof/>
        </w:rPr>
        <w:t xml:space="preserve">Să sprijine dezvoltarea serviciilor la domiciliu și a serviciilor comunitare de îngrijire pe termen lung; </w:t>
      </w:r>
    </w:p>
    <w:p w14:paraId="569DD53E" w14:textId="77777777" w:rsidR="00FA7C11" w:rsidRDefault="00D84965">
      <w:pPr>
        <w:pStyle w:val="P68B1DB1-Normal33"/>
        <w:numPr>
          <w:ilvl w:val="0"/>
          <w:numId w:val="75"/>
        </w:numPr>
        <w:spacing w:before="120" w:after="120" w:line="240" w:lineRule="auto"/>
        <w:jc w:val="both"/>
        <w:rPr>
          <w:noProof/>
        </w:rPr>
      </w:pPr>
      <w:r>
        <w:rPr>
          <w:noProof/>
        </w:rPr>
        <w:t>Să asigure disponibilitatea serviciilor instituționale numai pentru persoanele în vârstă care depind în totalitate, din punct de vedere funcțional, de îngrijirea instituționalizată și ale căror nevoi nu pot fi satisfăcute prin servicii neinstituționalizate;</w:t>
      </w:r>
    </w:p>
    <w:p w14:paraId="000A94BA" w14:textId="77777777" w:rsidR="00FA7C11" w:rsidRDefault="00D84965">
      <w:pPr>
        <w:pStyle w:val="P68B1DB1-Normal33"/>
        <w:numPr>
          <w:ilvl w:val="0"/>
          <w:numId w:val="75"/>
        </w:numPr>
        <w:spacing w:before="120" w:after="120" w:line="240" w:lineRule="auto"/>
        <w:jc w:val="both"/>
        <w:rPr>
          <w:noProof/>
        </w:rPr>
      </w:pPr>
      <w:r>
        <w:rPr>
          <w:noProof/>
        </w:rPr>
        <w:t xml:space="preserve">Plan privind perioada de îngrijire semirezidențială sau rezidențială, cu o preferință puternică pentru serviciile de îngrijire la domiciliu, ținând seama de disponibilitatea serviciilor și de nevoile utilizatorilor. </w:t>
      </w:r>
    </w:p>
    <w:p w14:paraId="30F857F2" w14:textId="77777777" w:rsidR="00FA7C11" w:rsidRDefault="00D84965">
      <w:pPr>
        <w:pStyle w:val="P68B1DB1-Normal33"/>
        <w:spacing w:line="240" w:lineRule="auto"/>
        <w:jc w:val="both"/>
        <w:rPr>
          <w:noProof/>
        </w:rPr>
      </w:pPr>
      <w:r>
        <w:rPr>
          <w:noProof/>
          <w:bdr w:val="none" w:sz="0" w:space="0" w:color="auto" w:frame="1"/>
        </w:rPr>
        <w:t xml:space="preserve">În plus, ca parte a reformei, vor fi elaborate </w:t>
      </w:r>
      <w:r>
        <w:rPr>
          <w:noProof/>
          <w:shd w:val="clear" w:color="auto" w:fill="FFFFFF"/>
        </w:rPr>
        <w:t>standarde de tratament pentru asistenții familiali. Standardizarea practicilor profesionale în ceea ce privește punerea în aplicare a măsurilor de protecție a familiei contribuie la îmbunătățirea protecției copiilor, a adulților cu handicap și a persoanelor în vârstă, egalizând calitatea serviciului furnizat și prevenind instituționalizarea prin furnizarea de servicii direct la domiciliul utilizatorilor, în cooperare cu alte părți interesate relevante de la nivel local.</w:t>
      </w:r>
    </w:p>
    <w:p w14:paraId="4252B77B" w14:textId="77777777" w:rsidR="00FA7C11" w:rsidRDefault="00D84965">
      <w:pPr>
        <w:pStyle w:val="P68B1DB1-Normal132"/>
        <w:spacing w:line="240" w:lineRule="auto"/>
        <w:jc w:val="both"/>
        <w:rPr>
          <w:noProof/>
        </w:rPr>
      </w:pPr>
      <w:r>
        <w:rPr>
          <w:noProof/>
        </w:rPr>
        <w:t>Reforma include modificări ale noii Legi privind bunăstarea socială pentru:</w:t>
      </w:r>
    </w:p>
    <w:p w14:paraId="7A55C59E" w14:textId="77777777" w:rsidR="00FA7C11" w:rsidRDefault="00D84965">
      <w:pPr>
        <w:pStyle w:val="P68B1DB1-Normal132"/>
        <w:numPr>
          <w:ilvl w:val="0"/>
          <w:numId w:val="75"/>
        </w:numPr>
        <w:spacing w:before="120" w:after="120" w:line="240" w:lineRule="auto"/>
        <w:jc w:val="both"/>
        <w:rPr>
          <w:noProof/>
        </w:rPr>
      </w:pPr>
      <w:r>
        <w:rPr>
          <w:noProof/>
        </w:rPr>
        <w:t>Să acorde prioritate dezinstituționalizării în domeniul îngrijirii pe termen lung pentru a determina schimbări structurale în acest domeniu de politică socială;</w:t>
      </w:r>
    </w:p>
    <w:p w14:paraId="478B39BB" w14:textId="77777777" w:rsidR="00FA7C11" w:rsidRDefault="00D84965">
      <w:pPr>
        <w:pStyle w:val="P68B1DB1-Normal132"/>
        <w:numPr>
          <w:ilvl w:val="0"/>
          <w:numId w:val="75"/>
        </w:numPr>
        <w:spacing w:before="120" w:after="120" w:line="240" w:lineRule="auto"/>
        <w:jc w:val="both"/>
        <w:rPr>
          <w:noProof/>
        </w:rPr>
      </w:pPr>
      <w:r>
        <w:rPr>
          <w:noProof/>
        </w:rPr>
        <w:t>Să permită și să promoveze coordonarea între serviciile sociale și să asigure o abordare coordonată la nivelul gamei largi de servicii de calitate pe care le furnizează.</w:t>
      </w:r>
    </w:p>
    <w:p w14:paraId="4332942C" w14:textId="77777777" w:rsidR="00FA7C11" w:rsidRDefault="00D84965">
      <w:pPr>
        <w:pStyle w:val="P68B1DB1-Normal132"/>
        <w:spacing w:line="240" w:lineRule="auto"/>
        <w:jc w:val="both"/>
        <w:rPr>
          <w:noProof/>
        </w:rPr>
      </w:pPr>
      <w:r>
        <w:rPr>
          <w:noProof/>
        </w:rPr>
        <w:t>Reforma se finalizează până la 31 decembrie 2022. </w:t>
      </w:r>
    </w:p>
    <w:p w14:paraId="066B42A4" w14:textId="77777777" w:rsidR="00FA7C11" w:rsidRDefault="00D84965">
      <w:pPr>
        <w:pStyle w:val="P68B1DB1-Normal42"/>
        <w:spacing w:line="240" w:lineRule="auto"/>
        <w:ind w:left="850"/>
        <w:jc w:val="both"/>
        <w:rPr>
          <w:noProof/>
        </w:rPr>
      </w:pPr>
      <w:r>
        <w:rPr>
          <w:noProof/>
        </w:rPr>
        <w:t>Investiția C4.3 R3-I1 – Consolidarea capacității profesioniștilor din serviciile comunitare</w:t>
      </w:r>
    </w:p>
    <w:p w14:paraId="5BE83B35" w14:textId="77777777" w:rsidR="00FA7C11" w:rsidRDefault="00D84965">
      <w:pPr>
        <w:pStyle w:val="P68B1DB1-Normal133"/>
        <w:spacing w:line="240" w:lineRule="auto"/>
        <w:jc w:val="both"/>
        <w:rPr>
          <w:noProof/>
        </w:rPr>
      </w:pPr>
      <w:r>
        <w:rPr>
          <w:noProof/>
        </w:rPr>
        <w:t xml:space="preserve">Obiectivul acestei măsuri este de a îmbunătăți capacitatea umană de a furniza servicii sociale prin activități educaționale și prin recrutarea de profesioniști. Investiția finanțează formarea și acordarea de licențe pentru 750 consilieri în domeniul măsurilor legale de protecție a familiei și pentru 40 asistenți familiali. În plus, un număr de 400 de lucrători profesioniști din instituțiile de asistență socială vor fi recrutați pentru a furniza servicii neinstituționale. Investiția contribuie la dezvoltarea și accesibilitatea regională a serviciilor sociale comunitare și consolidează competențele profesioniștilor în ceea ce privește tratamentul standardizat în cadrul activităților de protecție familială și juridică, pentru a preveni instituționalizarea copiilor, a tinerilor și a altor grupuri vulnerabile din punct de vedere social. </w:t>
      </w:r>
    </w:p>
    <w:p w14:paraId="773451D8" w14:textId="77777777" w:rsidR="00FA7C11" w:rsidRDefault="00D84965">
      <w:pPr>
        <w:pStyle w:val="P68B1DB1-Normal132"/>
        <w:spacing w:line="240" w:lineRule="auto"/>
        <w:jc w:val="both"/>
        <w:rPr>
          <w:noProof/>
        </w:rPr>
      </w:pPr>
      <w:r>
        <w:rPr>
          <w:noProof/>
        </w:rPr>
        <w:t>Investiția se finalizează până la 31 decembrie 2024. </w:t>
      </w:r>
    </w:p>
    <w:p w14:paraId="2D34B365" w14:textId="77777777" w:rsidR="00FA7C11" w:rsidRDefault="00D84965">
      <w:pPr>
        <w:pStyle w:val="P68B1DB1-Normal42"/>
        <w:spacing w:line="240" w:lineRule="auto"/>
        <w:ind w:left="850"/>
        <w:jc w:val="both"/>
        <w:rPr>
          <w:noProof/>
        </w:rPr>
      </w:pPr>
      <w:r>
        <w:rPr>
          <w:noProof/>
        </w:rPr>
        <w:t>Investiția C4.3 R3-I3 – Îmbunătățirea digitalizării sistemului de protecție socială și punerea în aplicare a unui sistem privind metodologia de calculare a prețurilor serviciilor sociale</w:t>
      </w:r>
    </w:p>
    <w:p w14:paraId="59D30122" w14:textId="77777777" w:rsidR="00FA7C11" w:rsidRDefault="00D84965">
      <w:pPr>
        <w:pStyle w:val="P68B1DB1-Normal33"/>
        <w:spacing w:line="240" w:lineRule="auto"/>
        <w:jc w:val="both"/>
        <w:rPr>
          <w:noProof/>
        </w:rPr>
      </w:pPr>
      <w:r>
        <w:rPr>
          <w:noProof/>
          <w:bdr w:val="none" w:sz="0" w:space="0" w:color="auto" w:frame="1"/>
        </w:rPr>
        <w:t>Obiectivul acestei măsuri este de a</w:t>
      </w:r>
      <w:r>
        <w:rPr>
          <w:noProof/>
          <w:shd w:val="clear" w:color="auto" w:fill="FFFFFF"/>
        </w:rPr>
        <w:t xml:space="preserve"> dezvolta o </w:t>
      </w:r>
      <w:r>
        <w:rPr>
          <w:noProof/>
        </w:rPr>
        <w:t xml:space="preserve">nouă soluție de gestionare a datelor pentru furnizorii de servicii sociale finanțați de la bugetul de stat. Principala funcționalitate a soluției dezvoltate de gestionare a datelor este colectarea automată a datelor, analiza calității și calcularea prețurilor serviciilor sociale. Investiția finanțează cerințe în materie de software, hardware și educație pentru a permite funcționalitatea deplină a soluției. </w:t>
      </w:r>
    </w:p>
    <w:p w14:paraId="0EDF4E38" w14:textId="77777777" w:rsidR="00FA7C11" w:rsidRDefault="00D84965">
      <w:pPr>
        <w:pStyle w:val="P68B1DB1-Normal132"/>
        <w:rPr>
          <w:noProof/>
        </w:rPr>
      </w:pPr>
      <w:r>
        <w:rPr>
          <w:noProof/>
        </w:rPr>
        <w:t>Măsura se finalizează până la 31 decembrie 2023. </w:t>
      </w:r>
    </w:p>
    <w:p w14:paraId="27C87E28" w14:textId="21EE857A" w:rsidR="00FA7C11" w:rsidRDefault="00D84965">
      <w:pPr>
        <w:pStyle w:val="P68B1DB1-Normal42"/>
        <w:spacing w:line="240" w:lineRule="auto"/>
        <w:ind w:left="850"/>
        <w:jc w:val="both"/>
        <w:rPr>
          <w:noProof/>
        </w:rPr>
      </w:pPr>
      <w:r>
        <w:rPr>
          <w:noProof/>
        </w:rPr>
        <w:t>Investiția C4.3 R3-I4 – Construirea și echiparea centrelor de îngrijire a persoanelor în vârstă (servicii la domiciliu și comunitare și servicii instituționale)</w:t>
      </w:r>
    </w:p>
    <w:p w14:paraId="519C86C4" w14:textId="3E2DA667" w:rsidR="00FA7C11" w:rsidRDefault="00D84965">
      <w:pPr>
        <w:pStyle w:val="P68B1DB1-Normal34"/>
        <w:spacing w:line="240" w:lineRule="auto"/>
        <w:jc w:val="both"/>
        <w:rPr>
          <w:rFonts w:ascii="Times New Roman" w:eastAsia="Calibri" w:hAnsi="Times New Roman" w:cs="Times New Roman"/>
          <w:noProof/>
        </w:rPr>
      </w:pPr>
      <w:r>
        <w:rPr>
          <w:rFonts w:ascii="Times New Roman" w:eastAsia="Calibri" w:hAnsi="Times New Roman" w:cs="Times New Roman"/>
          <w:noProof/>
          <w:bdr w:val="none" w:sz="0" w:space="0" w:color="auto" w:frame="1"/>
        </w:rPr>
        <w:t xml:space="preserve">Obiectivul acestei măsuri este de a construi centre pentru persoanele în vârstă pentru a  găzdui 900 de adulți în vârstă care, din punct de vedere funcțional, depind în întregime de îngrijirea instituționalizată și ale căror nevoi nu pot fi satisfăcute prin servicii neinstituționalizate. </w:t>
      </w:r>
      <w:r>
        <w:rPr>
          <w:rFonts w:ascii="Times New Roman" w:eastAsia="Times New Roman" w:hAnsi="Times New Roman" w:cs="Times New Roman"/>
          <w:noProof/>
        </w:rPr>
        <w:t xml:space="preserve">Această măsură constă în construirea de centre pentru persoanele în vârstă și de facilități pentru serviciile comunitare. </w:t>
      </w:r>
    </w:p>
    <w:p w14:paraId="7CEAFCEB" w14:textId="77777777" w:rsidR="00FA7C11" w:rsidRDefault="00FA7C11">
      <w:pPr>
        <w:rPr>
          <w:noProof/>
        </w:rPr>
        <w:sectPr w:rsidR="00FA7C11" w:rsidSect="00FA29B2">
          <w:headerReference w:type="even" r:id="rId338"/>
          <w:headerReference w:type="default" r:id="rId339"/>
          <w:footerReference w:type="even" r:id="rId340"/>
          <w:footerReference w:type="default" r:id="rId341"/>
          <w:headerReference w:type="first" r:id="rId342"/>
          <w:footerReference w:type="first" r:id="rId343"/>
          <w:pgSz w:w="11906" w:h="16838"/>
          <w:pgMar w:top="1134" w:right="1134" w:bottom="1134" w:left="1134" w:header="567" w:footer="567" w:gutter="0"/>
          <w:cols w:space="708"/>
          <w:docGrid w:linePitch="360"/>
        </w:sectPr>
      </w:pPr>
    </w:p>
    <w:p w14:paraId="5DF5BCE7" w14:textId="77777777" w:rsidR="00FA7C11" w:rsidRDefault="00D84965">
      <w:pPr>
        <w:pStyle w:val="P68B1DB1-Normal57"/>
        <w:keepNext/>
        <w:tabs>
          <w:tab w:val="num" w:pos="284"/>
        </w:tabs>
        <w:spacing w:before="40" w:after="0"/>
        <w:jc w:val="both"/>
        <w:outlineLvl w:val="1"/>
        <w:rPr>
          <w:noProof/>
        </w:rPr>
      </w:pPr>
      <w:r>
        <w:rPr>
          <w:noProof/>
        </w:rPr>
        <w:t xml:space="preserve">T.2. </w:t>
      </w:r>
      <w:r>
        <w:rPr>
          <w:noProof/>
        </w:rPr>
        <w:tab/>
        <w:t>Jaloane, ținte, indicatori și calendarul de monitorizare și implementare aplicabile sprijinului financiar nerambursabil</w:t>
      </w:r>
    </w:p>
    <w:p w14:paraId="375CDBBC" w14:textId="77777777" w:rsidR="00FA7C11" w:rsidRDefault="00FA7C11">
      <w:pPr>
        <w:keepNext/>
        <w:tabs>
          <w:tab w:val="num" w:pos="850"/>
        </w:tabs>
        <w:spacing w:before="40" w:after="0"/>
        <w:ind w:left="851"/>
        <w:jc w:val="both"/>
        <w:outlineLvl w:val="1"/>
        <w:rPr>
          <w:rFonts w:eastAsia="SimSun"/>
          <w:b/>
          <w:noProof/>
          <w:szCs w:val="24"/>
          <w:u w:val="single"/>
        </w:rPr>
      </w:pPr>
    </w:p>
    <w:tbl>
      <w:tblPr>
        <w:tblW w:w="14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006"/>
        <w:gridCol w:w="1272"/>
        <w:gridCol w:w="1080"/>
        <w:gridCol w:w="1680"/>
        <w:gridCol w:w="2040"/>
        <w:gridCol w:w="960"/>
        <w:gridCol w:w="1320"/>
        <w:gridCol w:w="1080"/>
        <w:gridCol w:w="840"/>
        <w:gridCol w:w="688"/>
        <w:gridCol w:w="2840"/>
      </w:tblGrid>
      <w:tr w:rsidR="00FA7C11" w14:paraId="60DA0824" w14:textId="77777777">
        <w:trPr>
          <w:trHeight w:val="634"/>
          <w:tblHeader/>
          <w:jc w:val="center"/>
        </w:trPr>
        <w:tc>
          <w:tcPr>
            <w:tcW w:w="1006" w:type="dxa"/>
            <w:vMerge w:val="restart"/>
            <w:shd w:val="clear" w:color="auto" w:fill="BDD7EE"/>
            <w:vAlign w:val="center"/>
            <w:hideMark/>
          </w:tcPr>
          <w:p w14:paraId="006691C5" w14:textId="77777777" w:rsidR="00FA7C11" w:rsidRDefault="00D84965">
            <w:pPr>
              <w:pStyle w:val="P68B1DB1-Normal58"/>
              <w:spacing w:after="0" w:line="276" w:lineRule="auto"/>
              <w:jc w:val="center"/>
              <w:rPr>
                <w:bCs/>
                <w:noProof/>
              </w:rPr>
            </w:pPr>
            <w:r>
              <w:rPr>
                <w:noProof/>
              </w:rPr>
              <w:t>Număr</w:t>
            </w:r>
          </w:p>
        </w:tc>
        <w:tc>
          <w:tcPr>
            <w:tcW w:w="1272" w:type="dxa"/>
            <w:vMerge w:val="restart"/>
            <w:shd w:val="clear" w:color="auto" w:fill="BDD7EE"/>
            <w:vAlign w:val="center"/>
            <w:hideMark/>
          </w:tcPr>
          <w:p w14:paraId="79F2D734" w14:textId="77777777" w:rsidR="00FA7C11" w:rsidRDefault="00D84965">
            <w:pPr>
              <w:pStyle w:val="P68B1DB1-Normal58"/>
              <w:spacing w:after="0" w:line="276" w:lineRule="auto"/>
              <w:jc w:val="center"/>
              <w:rPr>
                <w:bCs/>
                <w:noProof/>
              </w:rPr>
            </w:pPr>
            <w:r>
              <w:rPr>
                <w:noProof/>
              </w:rPr>
              <w:t>Măsură</w:t>
            </w:r>
          </w:p>
        </w:tc>
        <w:tc>
          <w:tcPr>
            <w:tcW w:w="1080" w:type="dxa"/>
            <w:vMerge w:val="restart"/>
            <w:shd w:val="clear" w:color="auto" w:fill="BDD7EE"/>
            <w:vAlign w:val="center"/>
            <w:hideMark/>
          </w:tcPr>
          <w:p w14:paraId="7436DF46" w14:textId="77777777" w:rsidR="00FA7C11" w:rsidRDefault="00D84965">
            <w:pPr>
              <w:pStyle w:val="P68B1DB1-Normal58"/>
              <w:spacing w:after="0" w:line="276" w:lineRule="auto"/>
              <w:jc w:val="center"/>
              <w:rPr>
                <w:bCs/>
                <w:noProof/>
              </w:rPr>
            </w:pPr>
            <w:r>
              <w:rPr>
                <w:noProof/>
              </w:rPr>
              <w:t>Etapă/Obiectiv</w:t>
            </w:r>
          </w:p>
        </w:tc>
        <w:tc>
          <w:tcPr>
            <w:tcW w:w="1680" w:type="dxa"/>
            <w:vMerge w:val="restart"/>
            <w:shd w:val="clear" w:color="auto" w:fill="BDD7EE"/>
            <w:vAlign w:val="center"/>
            <w:hideMark/>
          </w:tcPr>
          <w:p w14:paraId="7820728B" w14:textId="77777777" w:rsidR="00FA7C11" w:rsidRDefault="00D84965">
            <w:pPr>
              <w:pStyle w:val="P68B1DB1-Normal58"/>
              <w:spacing w:after="0" w:line="276" w:lineRule="auto"/>
              <w:jc w:val="center"/>
              <w:rPr>
                <w:bCs/>
                <w:noProof/>
              </w:rPr>
            </w:pPr>
            <w:r>
              <w:rPr>
                <w:noProof/>
              </w:rPr>
              <w:t>Nume</w:t>
            </w:r>
          </w:p>
        </w:tc>
        <w:tc>
          <w:tcPr>
            <w:tcW w:w="2040" w:type="dxa"/>
            <w:vMerge w:val="restart"/>
            <w:shd w:val="clear" w:color="auto" w:fill="BDD7EE"/>
            <w:vAlign w:val="center"/>
            <w:hideMark/>
          </w:tcPr>
          <w:p w14:paraId="0FD730EA"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3360" w:type="dxa"/>
            <w:gridSpan w:val="3"/>
            <w:shd w:val="clear" w:color="auto" w:fill="BDD7EE"/>
            <w:vAlign w:val="center"/>
            <w:hideMark/>
          </w:tcPr>
          <w:p w14:paraId="4D7C4292"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528" w:type="dxa"/>
            <w:gridSpan w:val="2"/>
            <w:shd w:val="clear" w:color="auto" w:fill="BDD7EE"/>
            <w:vAlign w:val="center"/>
            <w:hideMark/>
          </w:tcPr>
          <w:p w14:paraId="3312B268" w14:textId="77777777" w:rsidR="00FA7C11" w:rsidRDefault="00D84965">
            <w:pPr>
              <w:pStyle w:val="P68B1DB1-Normal58"/>
              <w:spacing w:after="0" w:line="276" w:lineRule="auto"/>
              <w:jc w:val="center"/>
              <w:rPr>
                <w:bCs/>
                <w:noProof/>
              </w:rPr>
            </w:pPr>
            <w:r>
              <w:rPr>
                <w:noProof/>
              </w:rPr>
              <w:t>Timp</w:t>
            </w:r>
          </w:p>
        </w:tc>
        <w:tc>
          <w:tcPr>
            <w:tcW w:w="2840" w:type="dxa"/>
            <w:vMerge w:val="restart"/>
            <w:shd w:val="clear" w:color="auto" w:fill="BDD7EE"/>
            <w:vAlign w:val="center"/>
            <w:hideMark/>
          </w:tcPr>
          <w:p w14:paraId="6F5311AD"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70BB313A" w14:textId="77777777">
        <w:trPr>
          <w:trHeight w:val="502"/>
          <w:tblHeader/>
          <w:jc w:val="center"/>
        </w:trPr>
        <w:tc>
          <w:tcPr>
            <w:tcW w:w="1006" w:type="dxa"/>
            <w:vMerge/>
            <w:hideMark/>
          </w:tcPr>
          <w:p w14:paraId="2777354E"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272" w:type="dxa"/>
            <w:vMerge/>
            <w:hideMark/>
          </w:tcPr>
          <w:p w14:paraId="2344BE37"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80" w:type="dxa"/>
            <w:vMerge/>
            <w:hideMark/>
          </w:tcPr>
          <w:p w14:paraId="1F420565"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680" w:type="dxa"/>
            <w:vMerge/>
            <w:hideMark/>
          </w:tcPr>
          <w:p w14:paraId="42D5BD1F" w14:textId="77777777" w:rsidR="00FA7C11" w:rsidRDefault="00FA7C11">
            <w:pPr>
              <w:spacing w:after="0" w:line="276" w:lineRule="auto"/>
              <w:rPr>
                <w:rFonts w:ascii="Times New Roman" w:eastAsia="Times New Roman" w:hAnsi="Times New Roman" w:cs="Times New Roman"/>
                <w:b/>
                <w:noProof/>
                <w:sz w:val="20"/>
                <w:szCs w:val="20"/>
              </w:rPr>
            </w:pPr>
          </w:p>
        </w:tc>
        <w:tc>
          <w:tcPr>
            <w:tcW w:w="2040" w:type="dxa"/>
            <w:vMerge/>
            <w:hideMark/>
          </w:tcPr>
          <w:p w14:paraId="1CC52867" w14:textId="77777777" w:rsidR="00FA7C11" w:rsidRDefault="00FA7C11">
            <w:pPr>
              <w:spacing w:after="0" w:line="276" w:lineRule="auto"/>
              <w:rPr>
                <w:rFonts w:ascii="Times New Roman" w:eastAsia="Times New Roman" w:hAnsi="Times New Roman" w:cs="Times New Roman"/>
                <w:b/>
                <w:noProof/>
                <w:sz w:val="20"/>
                <w:szCs w:val="20"/>
              </w:rPr>
            </w:pPr>
          </w:p>
        </w:tc>
        <w:tc>
          <w:tcPr>
            <w:tcW w:w="960" w:type="dxa"/>
            <w:shd w:val="clear" w:color="auto" w:fill="BDD7EE"/>
            <w:vAlign w:val="center"/>
            <w:hideMark/>
          </w:tcPr>
          <w:p w14:paraId="52ABBE99" w14:textId="77777777" w:rsidR="00FA7C11" w:rsidRDefault="00D84965">
            <w:pPr>
              <w:pStyle w:val="P68B1DB1-Normal58"/>
              <w:spacing w:after="0" w:line="276" w:lineRule="auto"/>
              <w:jc w:val="center"/>
              <w:rPr>
                <w:bCs/>
                <w:noProof/>
              </w:rPr>
            </w:pPr>
            <w:r>
              <w:rPr>
                <w:noProof/>
              </w:rPr>
              <w:t>Unitate</w:t>
            </w:r>
          </w:p>
        </w:tc>
        <w:tc>
          <w:tcPr>
            <w:tcW w:w="1320" w:type="dxa"/>
            <w:shd w:val="clear" w:color="auto" w:fill="BDD7EE"/>
            <w:vAlign w:val="center"/>
            <w:hideMark/>
          </w:tcPr>
          <w:p w14:paraId="21BBE2DA" w14:textId="77777777" w:rsidR="00FA7C11" w:rsidRDefault="00D84965">
            <w:pPr>
              <w:pStyle w:val="P68B1DB1-Normal58"/>
              <w:spacing w:after="0" w:line="276" w:lineRule="auto"/>
              <w:jc w:val="center"/>
              <w:rPr>
                <w:bCs/>
                <w:noProof/>
              </w:rPr>
            </w:pPr>
            <w:r>
              <w:rPr>
                <w:noProof/>
              </w:rPr>
              <w:t>Situația de referință</w:t>
            </w:r>
          </w:p>
        </w:tc>
        <w:tc>
          <w:tcPr>
            <w:tcW w:w="1080" w:type="dxa"/>
            <w:shd w:val="clear" w:color="auto" w:fill="BDD7EE"/>
            <w:vAlign w:val="center"/>
            <w:hideMark/>
          </w:tcPr>
          <w:p w14:paraId="3FFA94EB" w14:textId="77777777" w:rsidR="00FA7C11" w:rsidRDefault="00D84965">
            <w:pPr>
              <w:pStyle w:val="P68B1DB1-Normal58"/>
              <w:spacing w:after="0" w:line="276" w:lineRule="auto"/>
              <w:jc w:val="center"/>
              <w:rPr>
                <w:bCs/>
                <w:noProof/>
              </w:rPr>
            </w:pPr>
            <w:r>
              <w:rPr>
                <w:noProof/>
              </w:rPr>
              <w:t>Obiectiv</w:t>
            </w:r>
          </w:p>
        </w:tc>
        <w:tc>
          <w:tcPr>
            <w:tcW w:w="840" w:type="dxa"/>
            <w:shd w:val="clear" w:color="auto" w:fill="BDD7EE"/>
            <w:vAlign w:val="center"/>
            <w:hideMark/>
          </w:tcPr>
          <w:p w14:paraId="0B2FDF67" w14:textId="77777777" w:rsidR="00FA7C11" w:rsidRDefault="00D84965">
            <w:pPr>
              <w:pStyle w:val="P68B1DB1-Normal58"/>
              <w:spacing w:after="0" w:line="276" w:lineRule="auto"/>
              <w:jc w:val="center"/>
              <w:rPr>
                <w:bCs/>
                <w:noProof/>
              </w:rPr>
            </w:pPr>
            <w:r>
              <w:rPr>
                <w:noProof/>
              </w:rPr>
              <w:t>Trimestru</w:t>
            </w:r>
          </w:p>
        </w:tc>
        <w:tc>
          <w:tcPr>
            <w:tcW w:w="688" w:type="dxa"/>
            <w:shd w:val="clear" w:color="auto" w:fill="BDD7EE"/>
            <w:vAlign w:val="center"/>
            <w:hideMark/>
          </w:tcPr>
          <w:p w14:paraId="469A38B3" w14:textId="77777777" w:rsidR="00FA7C11" w:rsidRDefault="00D84965">
            <w:pPr>
              <w:pStyle w:val="P68B1DB1-Normal58"/>
              <w:spacing w:after="0" w:line="276" w:lineRule="auto"/>
              <w:jc w:val="center"/>
              <w:rPr>
                <w:bCs/>
                <w:noProof/>
              </w:rPr>
            </w:pPr>
            <w:r>
              <w:rPr>
                <w:noProof/>
              </w:rPr>
              <w:t>Anul</w:t>
            </w:r>
          </w:p>
        </w:tc>
        <w:tc>
          <w:tcPr>
            <w:tcW w:w="2840" w:type="dxa"/>
            <w:vMerge/>
            <w:hideMark/>
          </w:tcPr>
          <w:p w14:paraId="257E1368"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3D2030D5" w14:textId="77777777">
        <w:trPr>
          <w:trHeight w:val="282"/>
          <w:jc w:val="center"/>
        </w:trPr>
        <w:tc>
          <w:tcPr>
            <w:tcW w:w="1006" w:type="dxa"/>
            <w:shd w:val="clear" w:color="auto" w:fill="C6EFCE"/>
            <w:noWrap/>
          </w:tcPr>
          <w:p w14:paraId="585C83F7" w14:textId="77777777" w:rsidR="00FA7C11" w:rsidRDefault="00D84965">
            <w:pPr>
              <w:pStyle w:val="P68B1DB1-Normal66"/>
              <w:spacing w:after="0" w:line="276" w:lineRule="auto"/>
              <w:jc w:val="center"/>
              <w:rPr>
                <w:noProof/>
              </w:rPr>
            </w:pPr>
            <w:r>
              <w:rPr>
                <w:noProof/>
              </w:rPr>
              <w:t>302</w:t>
            </w:r>
          </w:p>
        </w:tc>
        <w:tc>
          <w:tcPr>
            <w:tcW w:w="1272" w:type="dxa"/>
            <w:shd w:val="clear" w:color="auto" w:fill="C6EFCE"/>
            <w:noWrap/>
          </w:tcPr>
          <w:p w14:paraId="703F8B58" w14:textId="77777777" w:rsidR="00FA7C11" w:rsidRDefault="00D84965">
            <w:pPr>
              <w:pStyle w:val="P68B1DB1-Normal66"/>
              <w:spacing w:after="200" w:line="276" w:lineRule="auto"/>
              <w:jc w:val="center"/>
              <w:rPr>
                <w:noProof/>
              </w:rPr>
            </w:pPr>
            <w:r>
              <w:rPr>
                <w:noProof/>
              </w:rPr>
              <w:t>C4.3. R1</w:t>
            </w:r>
          </w:p>
        </w:tc>
        <w:tc>
          <w:tcPr>
            <w:tcW w:w="1080" w:type="dxa"/>
            <w:shd w:val="clear" w:color="auto" w:fill="C6EFCE"/>
            <w:noWrap/>
          </w:tcPr>
          <w:p w14:paraId="50D1AF65" w14:textId="77777777" w:rsidR="00FA7C11" w:rsidRDefault="00D84965">
            <w:pPr>
              <w:pStyle w:val="P68B1DB1-Normal66"/>
              <w:spacing w:after="200" w:line="276" w:lineRule="auto"/>
              <w:jc w:val="center"/>
              <w:rPr>
                <w:noProof/>
              </w:rPr>
            </w:pPr>
            <w:r>
              <w:rPr>
                <w:noProof/>
              </w:rPr>
              <w:t>M</w:t>
            </w:r>
          </w:p>
        </w:tc>
        <w:tc>
          <w:tcPr>
            <w:tcW w:w="1680" w:type="dxa"/>
            <w:shd w:val="clear" w:color="auto" w:fill="C6EFCE"/>
            <w:noWrap/>
          </w:tcPr>
          <w:p w14:paraId="17429C6C" w14:textId="77777777" w:rsidR="00FA7C11" w:rsidRDefault="00D84965">
            <w:pPr>
              <w:pStyle w:val="P68B1DB1-Normal66"/>
              <w:spacing w:after="200" w:line="276" w:lineRule="auto"/>
              <w:rPr>
                <w:noProof/>
              </w:rPr>
            </w:pPr>
            <w:r>
              <w:rPr>
                <w:noProof/>
              </w:rPr>
              <w:t>Adoptarea Planului național de combatere a sărăciei și a excluziunii sociale 2021-2027</w:t>
            </w:r>
          </w:p>
        </w:tc>
        <w:tc>
          <w:tcPr>
            <w:tcW w:w="2040" w:type="dxa"/>
            <w:shd w:val="clear" w:color="auto" w:fill="C6EFCE"/>
            <w:noWrap/>
          </w:tcPr>
          <w:p w14:paraId="71778FD5" w14:textId="03963350" w:rsidR="00FA7C11" w:rsidRDefault="00D84965">
            <w:pPr>
              <w:pStyle w:val="P68B1DB1-Normal66"/>
              <w:spacing w:after="200" w:line="276" w:lineRule="auto"/>
              <w:rPr>
                <w:noProof/>
              </w:rPr>
            </w:pPr>
            <w:r>
              <w:rPr>
                <w:noProof/>
              </w:rPr>
              <w:t>Adoptarea Planului național de combatere a sărăciei și a excluziunii sociale pentru perioada 2021-2027</w:t>
            </w:r>
          </w:p>
        </w:tc>
        <w:tc>
          <w:tcPr>
            <w:tcW w:w="960" w:type="dxa"/>
            <w:shd w:val="clear" w:color="auto" w:fill="C6EFCE"/>
            <w:noWrap/>
          </w:tcPr>
          <w:p w14:paraId="12D5CBDA" w14:textId="77777777" w:rsidR="00FA7C11" w:rsidRDefault="00D84965">
            <w:pPr>
              <w:pStyle w:val="P68B1DB1-Normal66"/>
              <w:spacing w:after="200" w:line="276" w:lineRule="auto"/>
              <w:jc w:val="center"/>
              <w:rPr>
                <w:noProof/>
              </w:rPr>
            </w:pPr>
            <w:r>
              <w:rPr>
                <w:noProof/>
              </w:rPr>
              <w:t> </w:t>
            </w:r>
          </w:p>
        </w:tc>
        <w:tc>
          <w:tcPr>
            <w:tcW w:w="1320" w:type="dxa"/>
            <w:shd w:val="clear" w:color="auto" w:fill="C6EFCE"/>
            <w:noWrap/>
          </w:tcPr>
          <w:p w14:paraId="2EFA2C35" w14:textId="77777777" w:rsidR="00FA7C11" w:rsidRDefault="00D84965">
            <w:pPr>
              <w:pStyle w:val="P68B1DB1-Normal66"/>
              <w:spacing w:after="200" w:line="276" w:lineRule="auto"/>
              <w:rPr>
                <w:noProof/>
              </w:rPr>
            </w:pPr>
            <w:r>
              <w:rPr>
                <w:noProof/>
              </w:rPr>
              <w:t> </w:t>
            </w:r>
          </w:p>
        </w:tc>
        <w:tc>
          <w:tcPr>
            <w:tcW w:w="1080" w:type="dxa"/>
            <w:shd w:val="clear" w:color="auto" w:fill="C6EFCE"/>
            <w:noWrap/>
          </w:tcPr>
          <w:p w14:paraId="4E7EC811" w14:textId="77777777" w:rsidR="00FA7C11" w:rsidRDefault="00D84965">
            <w:pPr>
              <w:pStyle w:val="P68B1DB1-Normal66"/>
              <w:spacing w:after="200" w:line="276" w:lineRule="auto"/>
              <w:jc w:val="center"/>
              <w:rPr>
                <w:noProof/>
              </w:rPr>
            </w:pPr>
            <w:r>
              <w:rPr>
                <w:noProof/>
              </w:rPr>
              <w:t> </w:t>
            </w:r>
          </w:p>
        </w:tc>
        <w:tc>
          <w:tcPr>
            <w:tcW w:w="840" w:type="dxa"/>
            <w:shd w:val="clear" w:color="auto" w:fill="C6EFCE"/>
            <w:noWrap/>
          </w:tcPr>
          <w:p w14:paraId="70CE13B5" w14:textId="77777777" w:rsidR="00FA7C11" w:rsidRDefault="00D84965">
            <w:pPr>
              <w:pStyle w:val="P68B1DB1-Normal66"/>
              <w:spacing w:after="200" w:line="276" w:lineRule="auto"/>
              <w:jc w:val="center"/>
              <w:rPr>
                <w:noProof/>
              </w:rPr>
            </w:pPr>
            <w:r>
              <w:rPr>
                <w:noProof/>
              </w:rPr>
              <w:t>Î4</w:t>
            </w:r>
          </w:p>
        </w:tc>
        <w:tc>
          <w:tcPr>
            <w:tcW w:w="688" w:type="dxa"/>
            <w:shd w:val="clear" w:color="auto" w:fill="C6EFCE"/>
            <w:noWrap/>
          </w:tcPr>
          <w:p w14:paraId="2CD6F74C" w14:textId="77777777" w:rsidR="00FA7C11" w:rsidRDefault="00D84965">
            <w:pPr>
              <w:pStyle w:val="P68B1DB1-Normal66"/>
              <w:spacing w:after="200" w:line="276" w:lineRule="auto"/>
              <w:jc w:val="center"/>
              <w:rPr>
                <w:noProof/>
              </w:rPr>
            </w:pPr>
            <w:r>
              <w:rPr>
                <w:noProof/>
              </w:rPr>
              <w:t>2021</w:t>
            </w:r>
          </w:p>
        </w:tc>
        <w:tc>
          <w:tcPr>
            <w:tcW w:w="2840" w:type="dxa"/>
            <w:shd w:val="clear" w:color="auto" w:fill="C6EFCE"/>
            <w:noWrap/>
          </w:tcPr>
          <w:p w14:paraId="4DD9F1DB" w14:textId="77777777" w:rsidR="00FA7C11" w:rsidRDefault="00D84965">
            <w:pPr>
              <w:pStyle w:val="P68B1DB1-Normal66"/>
              <w:spacing w:after="200" w:line="276" w:lineRule="auto"/>
              <w:rPr>
                <w:noProof/>
              </w:rPr>
            </w:pPr>
            <w:r>
              <w:rPr>
                <w:noProof/>
              </w:rPr>
              <w:t xml:space="preserve">Planul național de combatere a sărăciei și a excluziunii sociale adoptat pentru perioada 2021-2027, care: </w:t>
            </w:r>
            <w:r>
              <w:rPr>
                <w:noProof/>
              </w:rPr>
              <w:br/>
            </w:r>
            <w:r>
              <w:rPr>
                <w:noProof/>
              </w:rPr>
              <w:br/>
              <w:t>— Să definească obiectivul de reducere a ratei riscului de sărăcie la mai puțin de 15 % față de un nivel de referință de 18,3 % pentru 2019 și planul de punere în aplicare;</w:t>
            </w:r>
            <w:r>
              <w:rPr>
                <w:noProof/>
              </w:rPr>
              <w:br/>
              <w:t>— Să asigure condiții care să reducă în mod eficace sărăcia și excluziunea socială și să îmbunătățească viața de zi cu zi a persoanelor expuse riscului de sărăcie, precum și a celor care se confruntă cu lipsuri materiale grave.</w:t>
            </w:r>
            <w:r>
              <w:rPr>
                <w:noProof/>
              </w:rPr>
              <w:br/>
              <w:t>Identificarea priorităților de dezvoltare pentru combaterea sărăciei și a excluziunii sociale și identificarea nevoilor legate de grupurile vulnerabile din cadrul sistemelor.</w:t>
            </w:r>
          </w:p>
        </w:tc>
      </w:tr>
      <w:tr w:rsidR="00FA7C11" w14:paraId="5E3FD3C7" w14:textId="77777777">
        <w:trPr>
          <w:trHeight w:val="282"/>
          <w:jc w:val="center"/>
        </w:trPr>
        <w:tc>
          <w:tcPr>
            <w:tcW w:w="1006" w:type="dxa"/>
            <w:shd w:val="clear" w:color="auto" w:fill="C6EFCE"/>
            <w:noWrap/>
          </w:tcPr>
          <w:p w14:paraId="16FE1FCB" w14:textId="77777777" w:rsidR="00FA7C11" w:rsidRDefault="00D84965">
            <w:pPr>
              <w:pStyle w:val="P68B1DB1-Normal66"/>
              <w:spacing w:after="200" w:line="276" w:lineRule="auto"/>
              <w:jc w:val="center"/>
              <w:rPr>
                <w:noProof/>
              </w:rPr>
            </w:pPr>
            <w:r>
              <w:rPr>
                <w:noProof/>
              </w:rPr>
              <w:t>303</w:t>
            </w:r>
          </w:p>
        </w:tc>
        <w:tc>
          <w:tcPr>
            <w:tcW w:w="1272" w:type="dxa"/>
            <w:shd w:val="clear" w:color="auto" w:fill="C6EFCE"/>
            <w:noWrap/>
          </w:tcPr>
          <w:p w14:paraId="2E165C01" w14:textId="77777777" w:rsidR="00FA7C11" w:rsidRDefault="00D84965">
            <w:pPr>
              <w:pStyle w:val="P68B1DB1-Normal66"/>
              <w:spacing w:after="200" w:line="276" w:lineRule="auto"/>
              <w:jc w:val="center"/>
              <w:rPr>
                <w:noProof/>
              </w:rPr>
            </w:pPr>
            <w:r>
              <w:rPr>
                <w:noProof/>
              </w:rPr>
              <w:t>C4.3. R1</w:t>
            </w:r>
          </w:p>
        </w:tc>
        <w:tc>
          <w:tcPr>
            <w:tcW w:w="1080" w:type="dxa"/>
            <w:shd w:val="clear" w:color="auto" w:fill="C6EFCE"/>
            <w:noWrap/>
          </w:tcPr>
          <w:p w14:paraId="2AD4611D" w14:textId="77777777" w:rsidR="00FA7C11" w:rsidRDefault="00D84965">
            <w:pPr>
              <w:pStyle w:val="P68B1DB1-Normal66"/>
              <w:spacing w:after="200" w:line="276" w:lineRule="auto"/>
              <w:jc w:val="center"/>
              <w:rPr>
                <w:noProof/>
              </w:rPr>
            </w:pPr>
            <w:r>
              <w:rPr>
                <w:noProof/>
              </w:rPr>
              <w:t>M</w:t>
            </w:r>
          </w:p>
        </w:tc>
        <w:tc>
          <w:tcPr>
            <w:tcW w:w="1680" w:type="dxa"/>
            <w:shd w:val="clear" w:color="auto" w:fill="C6EFCE"/>
            <w:noWrap/>
          </w:tcPr>
          <w:p w14:paraId="309E6BB4" w14:textId="77777777" w:rsidR="00FA7C11" w:rsidRDefault="00D84965">
            <w:pPr>
              <w:pStyle w:val="P68B1DB1-Normal66"/>
              <w:spacing w:after="200" w:line="276" w:lineRule="auto"/>
              <w:rPr>
                <w:noProof/>
              </w:rPr>
            </w:pPr>
            <w:r>
              <w:rPr>
                <w:noProof/>
              </w:rPr>
              <w:t>Adoptarea noii Legi privind protecția socială</w:t>
            </w:r>
          </w:p>
        </w:tc>
        <w:tc>
          <w:tcPr>
            <w:tcW w:w="2040" w:type="dxa"/>
            <w:shd w:val="clear" w:color="auto" w:fill="C6EFCE"/>
            <w:noWrap/>
          </w:tcPr>
          <w:p w14:paraId="4896ADE2" w14:textId="77777777" w:rsidR="00FA7C11" w:rsidRDefault="00D84965">
            <w:pPr>
              <w:pStyle w:val="P68B1DB1-Normal66"/>
              <w:spacing w:after="200" w:line="276" w:lineRule="auto"/>
              <w:rPr>
                <w:noProof/>
              </w:rPr>
            </w:pPr>
            <w:r>
              <w:rPr>
                <w:noProof/>
              </w:rPr>
              <w:t>Intrarea în vigoare a noii Legi privind protecția socială</w:t>
            </w:r>
          </w:p>
        </w:tc>
        <w:tc>
          <w:tcPr>
            <w:tcW w:w="960" w:type="dxa"/>
            <w:shd w:val="clear" w:color="auto" w:fill="C6EFCE"/>
            <w:noWrap/>
          </w:tcPr>
          <w:p w14:paraId="57999A9B" w14:textId="77777777" w:rsidR="00FA7C11" w:rsidRDefault="00D84965">
            <w:pPr>
              <w:pStyle w:val="P68B1DB1-Normal66"/>
              <w:spacing w:after="200" w:line="276" w:lineRule="auto"/>
              <w:jc w:val="center"/>
              <w:rPr>
                <w:noProof/>
              </w:rPr>
            </w:pPr>
            <w:r>
              <w:rPr>
                <w:noProof/>
              </w:rPr>
              <w:t> </w:t>
            </w:r>
          </w:p>
        </w:tc>
        <w:tc>
          <w:tcPr>
            <w:tcW w:w="1320" w:type="dxa"/>
            <w:shd w:val="clear" w:color="auto" w:fill="C6EFCE"/>
            <w:noWrap/>
          </w:tcPr>
          <w:p w14:paraId="3ACD0E8A" w14:textId="77777777" w:rsidR="00FA7C11" w:rsidRDefault="00FA7C11">
            <w:pPr>
              <w:spacing w:after="200" w:line="276" w:lineRule="auto"/>
              <w:rPr>
                <w:rFonts w:ascii="Times New Roman" w:eastAsia="Calibri" w:hAnsi="Times New Roman" w:cs="Times New Roman"/>
                <w:noProof/>
                <w:sz w:val="20"/>
                <w:szCs w:val="20"/>
              </w:rPr>
            </w:pPr>
          </w:p>
        </w:tc>
        <w:tc>
          <w:tcPr>
            <w:tcW w:w="1080" w:type="dxa"/>
            <w:shd w:val="clear" w:color="auto" w:fill="C6EFCE"/>
            <w:noWrap/>
          </w:tcPr>
          <w:p w14:paraId="67B3A2FD" w14:textId="77777777" w:rsidR="00FA7C11" w:rsidRDefault="00D84965">
            <w:pPr>
              <w:pStyle w:val="P68B1DB1-Normal66"/>
              <w:spacing w:after="200" w:line="276" w:lineRule="auto"/>
              <w:jc w:val="center"/>
              <w:rPr>
                <w:noProof/>
              </w:rPr>
            </w:pPr>
            <w:r>
              <w:rPr>
                <w:noProof/>
              </w:rPr>
              <w:t> </w:t>
            </w:r>
          </w:p>
        </w:tc>
        <w:tc>
          <w:tcPr>
            <w:tcW w:w="840" w:type="dxa"/>
            <w:shd w:val="clear" w:color="auto" w:fill="C6EFCE"/>
            <w:noWrap/>
          </w:tcPr>
          <w:p w14:paraId="7180C276" w14:textId="77777777" w:rsidR="00FA7C11" w:rsidRDefault="00D84965">
            <w:pPr>
              <w:pStyle w:val="P68B1DB1-Normal66"/>
              <w:spacing w:after="200" w:line="276" w:lineRule="auto"/>
              <w:jc w:val="center"/>
              <w:rPr>
                <w:noProof/>
              </w:rPr>
            </w:pPr>
            <w:r>
              <w:rPr>
                <w:noProof/>
              </w:rPr>
              <w:t>Î1</w:t>
            </w:r>
          </w:p>
        </w:tc>
        <w:tc>
          <w:tcPr>
            <w:tcW w:w="688" w:type="dxa"/>
            <w:shd w:val="clear" w:color="auto" w:fill="C6EFCE"/>
            <w:noWrap/>
          </w:tcPr>
          <w:p w14:paraId="73B1210D" w14:textId="77777777" w:rsidR="00FA7C11" w:rsidRDefault="00D84965">
            <w:pPr>
              <w:pStyle w:val="P68B1DB1-Normal66"/>
              <w:spacing w:after="200" w:line="276" w:lineRule="auto"/>
              <w:jc w:val="center"/>
              <w:rPr>
                <w:noProof/>
              </w:rPr>
            </w:pPr>
            <w:r>
              <w:rPr>
                <w:noProof/>
              </w:rPr>
              <w:t>2022</w:t>
            </w:r>
          </w:p>
        </w:tc>
        <w:tc>
          <w:tcPr>
            <w:tcW w:w="2840" w:type="dxa"/>
            <w:shd w:val="clear" w:color="auto" w:fill="C6EFCE"/>
            <w:noWrap/>
          </w:tcPr>
          <w:p w14:paraId="6D4DD70C" w14:textId="77777777"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 xml:space="preserve">Noua Lege privind protecția socială introduce următoarele modificări: </w:t>
            </w:r>
            <w:r>
              <w:rPr>
                <w:rFonts w:ascii="Times New Roman" w:hAnsi="Times New Roman" w:cs="Times New Roman"/>
                <w:noProof/>
              </w:rPr>
              <w:br/>
            </w:r>
            <w:r>
              <w:rPr>
                <w:rFonts w:ascii="Times New Roman" w:eastAsia="Calibri" w:hAnsi="Times New Roman" w:cs="Times New Roman"/>
                <w:noProof/>
                <w:color w:val="000000" w:themeColor="text1"/>
              </w:rPr>
              <w:t>— Combinarea costurilor existente cu locuința și a alocațiilor pentru încălzire într-o singură alocație integrată;</w:t>
            </w:r>
            <w:r>
              <w:rPr>
                <w:rFonts w:ascii="Times New Roman" w:hAnsi="Times New Roman" w:cs="Times New Roman"/>
                <w:noProof/>
              </w:rPr>
              <w:br/>
            </w:r>
            <w:r>
              <w:rPr>
                <w:rFonts w:ascii="Times New Roman" w:eastAsia="Calibri" w:hAnsi="Times New Roman" w:cs="Times New Roman"/>
                <w:noProof/>
                <w:color w:val="000000" w:themeColor="text1"/>
              </w:rPr>
              <w:t xml:space="preserve">— Dispoziția privind prestația minimă garantată se modifică prin creșterea cuantumului de bază la 1 000 HRK și creșterea cu cel puțin 25 % pentru gospodăriile cu copii prin relaxarea celor mai dificile criterii de eligibilitate, inclusiv o creștere a pragului de venit la 1 000 HRK; </w:t>
            </w:r>
            <w:r>
              <w:rPr>
                <w:rFonts w:ascii="Times New Roman" w:hAnsi="Times New Roman" w:cs="Times New Roman"/>
                <w:noProof/>
              </w:rPr>
              <w:br/>
            </w:r>
            <w:r>
              <w:rPr>
                <w:rFonts w:ascii="Times New Roman" w:eastAsia="Calibri" w:hAnsi="Times New Roman" w:cs="Times New Roman"/>
                <w:noProof/>
                <w:color w:val="000000" w:themeColor="text1"/>
              </w:rPr>
              <w:t>— Introducerea unui nou serviciu de mentorat social;</w:t>
            </w:r>
            <w:r>
              <w:rPr>
                <w:rFonts w:ascii="Times New Roman" w:hAnsi="Times New Roman" w:cs="Times New Roman"/>
                <w:noProof/>
              </w:rPr>
              <w:br/>
            </w:r>
            <w:r>
              <w:rPr>
                <w:rFonts w:ascii="Times New Roman" w:eastAsia="Calibri" w:hAnsi="Times New Roman" w:cs="Times New Roman"/>
                <w:noProof/>
                <w:color w:val="000000" w:themeColor="text1"/>
              </w:rPr>
              <w:t>— Schimbările structurale introduse în ceea ce privește îngrijirea pe termen lung, asigurând facilitarea dezinstituționalizării și a tranziției către servicii la domiciliu și la nivelul comunității;</w:t>
            </w:r>
            <w:r>
              <w:rPr>
                <w:rFonts w:ascii="Times New Roman" w:hAnsi="Times New Roman" w:cs="Times New Roman"/>
                <w:noProof/>
              </w:rPr>
              <w:br/>
            </w:r>
            <w:r>
              <w:rPr>
                <w:rFonts w:ascii="Times New Roman" w:eastAsia="Calibri" w:hAnsi="Times New Roman" w:cs="Times New Roman"/>
                <w:noProof/>
                <w:color w:val="000000" w:themeColor="text1"/>
              </w:rPr>
              <w:t>— Dispoziție de mandatare a cooperării și a schimbului periodic de informații între instituțiile care furnizează servicii sociale și prestații sociale pentru a asigura o abordare coordonată în întreaga gamă de servicii furnizate.</w:t>
            </w:r>
          </w:p>
        </w:tc>
      </w:tr>
      <w:tr w:rsidR="00FA7C11" w14:paraId="17469CB3" w14:textId="77777777">
        <w:trPr>
          <w:trHeight w:val="282"/>
          <w:jc w:val="center"/>
        </w:trPr>
        <w:tc>
          <w:tcPr>
            <w:tcW w:w="1006" w:type="dxa"/>
            <w:shd w:val="clear" w:color="auto" w:fill="C6EFCE"/>
            <w:noWrap/>
          </w:tcPr>
          <w:p w14:paraId="51AC7333" w14:textId="77777777" w:rsidR="00FA7C11" w:rsidRDefault="00D84965">
            <w:pPr>
              <w:pStyle w:val="P68B1DB1-Normal66"/>
              <w:spacing w:after="200" w:line="276" w:lineRule="auto"/>
              <w:jc w:val="center"/>
              <w:rPr>
                <w:noProof/>
              </w:rPr>
            </w:pPr>
            <w:r>
              <w:rPr>
                <w:noProof/>
              </w:rPr>
              <w:t>304</w:t>
            </w:r>
          </w:p>
        </w:tc>
        <w:tc>
          <w:tcPr>
            <w:tcW w:w="1272" w:type="dxa"/>
            <w:shd w:val="clear" w:color="auto" w:fill="C6EFCE"/>
            <w:noWrap/>
          </w:tcPr>
          <w:p w14:paraId="5FCC59AC" w14:textId="77777777" w:rsidR="00FA7C11" w:rsidRDefault="00D84965">
            <w:pPr>
              <w:pStyle w:val="P68B1DB1-Normal66"/>
              <w:spacing w:after="200" w:line="276" w:lineRule="auto"/>
              <w:jc w:val="center"/>
              <w:rPr>
                <w:noProof/>
              </w:rPr>
            </w:pPr>
            <w:r>
              <w:rPr>
                <w:noProof/>
              </w:rPr>
              <w:t>C4.3. R1</w:t>
            </w:r>
          </w:p>
        </w:tc>
        <w:tc>
          <w:tcPr>
            <w:tcW w:w="1080" w:type="dxa"/>
            <w:shd w:val="clear" w:color="auto" w:fill="C6EFCE"/>
            <w:noWrap/>
          </w:tcPr>
          <w:p w14:paraId="3D98F5C6" w14:textId="77777777" w:rsidR="00FA7C11" w:rsidRDefault="00D84965">
            <w:pPr>
              <w:pStyle w:val="P68B1DB1-Normal66"/>
              <w:spacing w:after="200" w:line="276" w:lineRule="auto"/>
              <w:jc w:val="center"/>
              <w:rPr>
                <w:noProof/>
              </w:rPr>
            </w:pPr>
            <w:r>
              <w:rPr>
                <w:noProof/>
              </w:rPr>
              <w:t>T</w:t>
            </w:r>
          </w:p>
        </w:tc>
        <w:tc>
          <w:tcPr>
            <w:tcW w:w="1680" w:type="dxa"/>
            <w:shd w:val="clear" w:color="auto" w:fill="C6EFCE"/>
            <w:noWrap/>
          </w:tcPr>
          <w:p w14:paraId="3019820D" w14:textId="77777777" w:rsidR="00FA7C11" w:rsidRDefault="00D84965">
            <w:pPr>
              <w:pStyle w:val="P68B1DB1-Normal66"/>
              <w:spacing w:after="200" w:line="276" w:lineRule="auto"/>
              <w:rPr>
                <w:noProof/>
                <w:color w:val="000000" w:themeColor="text1"/>
              </w:rPr>
            </w:pPr>
            <w:r>
              <w:rPr>
                <w:noProof/>
              </w:rPr>
              <w:t xml:space="preserve">Beneficiarii prestației minime garantate și ai compensației naționale pentru persoanele în vârstă </w:t>
            </w:r>
          </w:p>
        </w:tc>
        <w:tc>
          <w:tcPr>
            <w:tcW w:w="2040" w:type="dxa"/>
            <w:shd w:val="clear" w:color="auto" w:fill="C6EFCE"/>
            <w:noWrap/>
          </w:tcPr>
          <w:p w14:paraId="5D9EED62" w14:textId="77777777" w:rsidR="00FA7C11" w:rsidRDefault="00D84965">
            <w:pPr>
              <w:pStyle w:val="P68B1DB1-Normal66"/>
              <w:spacing w:after="200" w:line="276" w:lineRule="auto"/>
              <w:rPr>
                <w:noProof/>
              </w:rPr>
            </w:pPr>
            <w:r>
              <w:rPr>
                <w:noProof/>
              </w:rPr>
              <w:t> </w:t>
            </w:r>
          </w:p>
        </w:tc>
        <w:tc>
          <w:tcPr>
            <w:tcW w:w="960" w:type="dxa"/>
            <w:shd w:val="clear" w:color="auto" w:fill="C6EFCE"/>
            <w:noWrap/>
          </w:tcPr>
          <w:p w14:paraId="3505BF70" w14:textId="77777777" w:rsidR="00FA7C11" w:rsidRDefault="00D84965">
            <w:pPr>
              <w:pStyle w:val="P68B1DB1-Normal66"/>
              <w:spacing w:after="200" w:line="276" w:lineRule="auto"/>
              <w:jc w:val="center"/>
              <w:rPr>
                <w:noProof/>
              </w:rPr>
            </w:pPr>
            <w:r>
              <w:rPr>
                <w:noProof/>
              </w:rPr>
              <w:t>Număr</w:t>
            </w:r>
          </w:p>
        </w:tc>
        <w:tc>
          <w:tcPr>
            <w:tcW w:w="1320" w:type="dxa"/>
            <w:shd w:val="clear" w:color="auto" w:fill="C6EFCE"/>
            <w:noWrap/>
          </w:tcPr>
          <w:p w14:paraId="388E08AD" w14:textId="1DB338AD" w:rsidR="00FA7C11" w:rsidRDefault="00D84965">
            <w:pPr>
              <w:pStyle w:val="P68B1DB1-Normal66"/>
              <w:spacing w:after="200" w:line="276" w:lineRule="auto"/>
              <w:jc w:val="center"/>
              <w:rPr>
                <w:noProof/>
              </w:rPr>
            </w:pPr>
            <w:r>
              <w:rPr>
                <w:noProof/>
              </w:rPr>
              <w:t>66 890</w:t>
            </w:r>
          </w:p>
          <w:p w14:paraId="3BEF9849" w14:textId="47185505" w:rsidR="00FA7C11" w:rsidRDefault="00FA7C11">
            <w:pPr>
              <w:spacing w:after="200" w:line="276" w:lineRule="auto"/>
              <w:jc w:val="center"/>
              <w:rPr>
                <w:rFonts w:ascii="Times New Roman" w:eastAsia="Calibri" w:hAnsi="Times New Roman" w:cs="Times New Roman"/>
                <w:noProof/>
                <w:sz w:val="20"/>
                <w:szCs w:val="20"/>
              </w:rPr>
            </w:pPr>
          </w:p>
        </w:tc>
        <w:tc>
          <w:tcPr>
            <w:tcW w:w="1080" w:type="dxa"/>
            <w:shd w:val="clear" w:color="auto" w:fill="C6EFCE"/>
            <w:noWrap/>
          </w:tcPr>
          <w:p w14:paraId="71B1EE46" w14:textId="77777777" w:rsidR="00FA7C11" w:rsidRDefault="00D84965">
            <w:pPr>
              <w:pStyle w:val="P68B1DB1-Normal66"/>
              <w:spacing w:after="200" w:line="276" w:lineRule="auto"/>
              <w:jc w:val="center"/>
              <w:rPr>
                <w:noProof/>
              </w:rPr>
            </w:pPr>
            <w:r>
              <w:rPr>
                <w:noProof/>
              </w:rPr>
              <w:t>68 000</w:t>
            </w:r>
          </w:p>
        </w:tc>
        <w:tc>
          <w:tcPr>
            <w:tcW w:w="840" w:type="dxa"/>
            <w:shd w:val="clear" w:color="auto" w:fill="C6EFCE"/>
            <w:noWrap/>
          </w:tcPr>
          <w:p w14:paraId="520EF7C1" w14:textId="77777777" w:rsidR="00FA7C11" w:rsidRDefault="00D84965">
            <w:pPr>
              <w:pStyle w:val="P68B1DB1-Normal66"/>
              <w:spacing w:after="200" w:line="276" w:lineRule="auto"/>
              <w:jc w:val="center"/>
              <w:rPr>
                <w:noProof/>
              </w:rPr>
            </w:pPr>
            <w:r>
              <w:rPr>
                <w:noProof/>
              </w:rPr>
              <w:t>Î1</w:t>
            </w:r>
          </w:p>
        </w:tc>
        <w:tc>
          <w:tcPr>
            <w:tcW w:w="688" w:type="dxa"/>
            <w:shd w:val="clear" w:color="auto" w:fill="C6EFCE"/>
            <w:noWrap/>
          </w:tcPr>
          <w:p w14:paraId="23437890" w14:textId="77777777" w:rsidR="00FA7C11" w:rsidRDefault="00D84965">
            <w:pPr>
              <w:pStyle w:val="P68B1DB1-Normal66"/>
              <w:spacing w:after="200" w:line="276" w:lineRule="auto"/>
              <w:jc w:val="center"/>
              <w:rPr>
                <w:noProof/>
              </w:rPr>
            </w:pPr>
            <w:r>
              <w:rPr>
                <w:noProof/>
              </w:rPr>
              <w:t>2026</w:t>
            </w:r>
          </w:p>
        </w:tc>
        <w:tc>
          <w:tcPr>
            <w:tcW w:w="2840" w:type="dxa"/>
            <w:shd w:val="clear" w:color="auto" w:fill="C6EFCE"/>
            <w:noWrap/>
          </w:tcPr>
          <w:p w14:paraId="6E74F0CB" w14:textId="77777777" w:rsidR="00FA7C11" w:rsidRDefault="00D84965">
            <w:pPr>
              <w:pStyle w:val="P68B1DB1-Normal66"/>
              <w:spacing w:after="200" w:line="276" w:lineRule="auto"/>
              <w:contextualSpacing/>
              <w:rPr>
                <w:noProof/>
                <w:color w:val="000000" w:themeColor="text1"/>
              </w:rPr>
            </w:pPr>
            <w:r>
              <w:rPr>
                <w:noProof/>
              </w:rPr>
              <w:t>Numărul total al beneficiarilor care primesc fie prestația minimă garantată, fie compensația națională pentru persoanele în vârstă crește la 68 000.</w:t>
            </w:r>
          </w:p>
        </w:tc>
      </w:tr>
      <w:tr w:rsidR="00FA7C11" w14:paraId="1AD642D4" w14:textId="77777777">
        <w:trPr>
          <w:trHeight w:val="282"/>
          <w:jc w:val="center"/>
        </w:trPr>
        <w:tc>
          <w:tcPr>
            <w:tcW w:w="1006" w:type="dxa"/>
            <w:shd w:val="clear" w:color="auto" w:fill="C6EFCE"/>
            <w:noWrap/>
          </w:tcPr>
          <w:p w14:paraId="0AF649BC" w14:textId="77777777" w:rsidR="00FA7C11" w:rsidRDefault="00D84965">
            <w:pPr>
              <w:pStyle w:val="P68B1DB1-Normal66"/>
              <w:spacing w:after="200" w:line="276" w:lineRule="auto"/>
              <w:jc w:val="center"/>
              <w:rPr>
                <w:noProof/>
              </w:rPr>
            </w:pPr>
            <w:r>
              <w:rPr>
                <w:noProof/>
              </w:rPr>
              <w:t>305</w:t>
            </w:r>
          </w:p>
        </w:tc>
        <w:tc>
          <w:tcPr>
            <w:tcW w:w="1272" w:type="dxa"/>
            <w:shd w:val="clear" w:color="auto" w:fill="C6EFCE"/>
            <w:noWrap/>
          </w:tcPr>
          <w:p w14:paraId="25776872" w14:textId="77777777" w:rsidR="00FA7C11" w:rsidRDefault="00D84965">
            <w:pPr>
              <w:pStyle w:val="P68B1DB1-Normal66"/>
              <w:spacing w:after="200" w:line="276" w:lineRule="auto"/>
              <w:jc w:val="center"/>
              <w:rPr>
                <w:noProof/>
              </w:rPr>
            </w:pPr>
            <w:r>
              <w:rPr>
                <w:noProof/>
              </w:rPr>
              <w:t>C4.3. R1</w:t>
            </w:r>
          </w:p>
        </w:tc>
        <w:tc>
          <w:tcPr>
            <w:tcW w:w="1080" w:type="dxa"/>
            <w:shd w:val="clear" w:color="auto" w:fill="C6EFCE"/>
            <w:noWrap/>
          </w:tcPr>
          <w:p w14:paraId="70EEAB43" w14:textId="77777777" w:rsidR="00FA7C11" w:rsidRDefault="00D84965">
            <w:pPr>
              <w:pStyle w:val="P68B1DB1-Normal66"/>
              <w:spacing w:after="200" w:line="276" w:lineRule="auto"/>
              <w:jc w:val="center"/>
              <w:rPr>
                <w:noProof/>
              </w:rPr>
            </w:pPr>
            <w:r>
              <w:rPr>
                <w:noProof/>
              </w:rPr>
              <w:t>M</w:t>
            </w:r>
          </w:p>
        </w:tc>
        <w:tc>
          <w:tcPr>
            <w:tcW w:w="1680" w:type="dxa"/>
            <w:shd w:val="clear" w:color="auto" w:fill="C6EFCE"/>
            <w:noWrap/>
          </w:tcPr>
          <w:p w14:paraId="0F2D1EFB" w14:textId="77777777" w:rsidR="00FA7C11" w:rsidRDefault="00D84965">
            <w:pPr>
              <w:pStyle w:val="P68B1DB1-Normal66"/>
              <w:spacing w:after="200" w:line="276" w:lineRule="auto"/>
              <w:rPr>
                <w:noProof/>
              </w:rPr>
            </w:pPr>
            <w:r>
              <w:rPr>
                <w:noProof/>
              </w:rPr>
              <w:t xml:space="preserve">Adoptarea unei norme normative privind prestațiile sociale integrate funcțional </w:t>
            </w:r>
          </w:p>
        </w:tc>
        <w:tc>
          <w:tcPr>
            <w:tcW w:w="2040" w:type="dxa"/>
            <w:shd w:val="clear" w:color="auto" w:fill="C6EFCE"/>
            <w:noWrap/>
          </w:tcPr>
          <w:p w14:paraId="510A3D8D" w14:textId="5D8C894A" w:rsidR="00FA7C11" w:rsidRDefault="00D84965">
            <w:pPr>
              <w:pStyle w:val="P68B1DB1-Normal66"/>
              <w:spacing w:after="200" w:line="276" w:lineRule="auto"/>
              <w:rPr>
                <w:noProof/>
              </w:rPr>
            </w:pPr>
            <w:r>
              <w:rPr>
                <w:noProof/>
              </w:rPr>
              <w:t xml:space="preserve">Intrarea în vigoare a Legii privind protecția socială sau a Legii complementare favorabile incluziunii </w:t>
            </w:r>
          </w:p>
        </w:tc>
        <w:tc>
          <w:tcPr>
            <w:tcW w:w="960" w:type="dxa"/>
            <w:shd w:val="clear" w:color="auto" w:fill="C6EFCE"/>
            <w:noWrap/>
          </w:tcPr>
          <w:p w14:paraId="10E8372C" w14:textId="77777777" w:rsidR="00FA7C11" w:rsidRDefault="00D84965">
            <w:pPr>
              <w:pStyle w:val="P68B1DB1-Normal66"/>
              <w:spacing w:after="200" w:line="276" w:lineRule="auto"/>
              <w:jc w:val="center"/>
              <w:rPr>
                <w:noProof/>
              </w:rPr>
            </w:pPr>
            <w:r>
              <w:rPr>
                <w:noProof/>
              </w:rPr>
              <w:t> </w:t>
            </w:r>
          </w:p>
        </w:tc>
        <w:tc>
          <w:tcPr>
            <w:tcW w:w="1320" w:type="dxa"/>
            <w:shd w:val="clear" w:color="auto" w:fill="C6EFCE"/>
            <w:noWrap/>
          </w:tcPr>
          <w:p w14:paraId="37994A82" w14:textId="77777777" w:rsidR="00FA7C11" w:rsidRDefault="00D84965">
            <w:pPr>
              <w:pStyle w:val="P68B1DB1-Normal66"/>
              <w:spacing w:after="200" w:line="276" w:lineRule="auto"/>
              <w:jc w:val="center"/>
              <w:rPr>
                <w:noProof/>
              </w:rPr>
            </w:pPr>
            <w:r>
              <w:rPr>
                <w:noProof/>
              </w:rPr>
              <w:t> </w:t>
            </w:r>
          </w:p>
        </w:tc>
        <w:tc>
          <w:tcPr>
            <w:tcW w:w="1080" w:type="dxa"/>
            <w:shd w:val="clear" w:color="auto" w:fill="C6EFCE"/>
            <w:noWrap/>
          </w:tcPr>
          <w:p w14:paraId="0ECC278F" w14:textId="77777777" w:rsidR="00FA7C11" w:rsidRDefault="00D84965">
            <w:pPr>
              <w:pStyle w:val="P68B1DB1-Normal66"/>
              <w:spacing w:after="200" w:line="276" w:lineRule="auto"/>
              <w:jc w:val="center"/>
              <w:rPr>
                <w:noProof/>
              </w:rPr>
            </w:pPr>
            <w:r>
              <w:rPr>
                <w:noProof/>
              </w:rPr>
              <w:t> </w:t>
            </w:r>
          </w:p>
        </w:tc>
        <w:tc>
          <w:tcPr>
            <w:tcW w:w="840" w:type="dxa"/>
            <w:shd w:val="clear" w:color="auto" w:fill="C6EFCE"/>
            <w:noWrap/>
          </w:tcPr>
          <w:p w14:paraId="4916539E" w14:textId="77777777" w:rsidR="00FA7C11" w:rsidRDefault="00D84965">
            <w:pPr>
              <w:pStyle w:val="P68B1DB1-Normal66"/>
              <w:spacing w:after="200" w:line="276" w:lineRule="auto"/>
              <w:jc w:val="center"/>
              <w:rPr>
                <w:noProof/>
              </w:rPr>
            </w:pPr>
            <w:r>
              <w:rPr>
                <w:noProof/>
              </w:rPr>
              <w:t>Î4</w:t>
            </w:r>
          </w:p>
        </w:tc>
        <w:tc>
          <w:tcPr>
            <w:tcW w:w="688" w:type="dxa"/>
            <w:shd w:val="clear" w:color="auto" w:fill="C6EFCE"/>
            <w:noWrap/>
          </w:tcPr>
          <w:p w14:paraId="7892B6DA" w14:textId="77777777" w:rsidR="00FA7C11" w:rsidRDefault="00D84965">
            <w:pPr>
              <w:pStyle w:val="P68B1DB1-Normal66"/>
              <w:spacing w:after="200" w:line="276" w:lineRule="auto"/>
              <w:jc w:val="center"/>
              <w:rPr>
                <w:noProof/>
              </w:rPr>
            </w:pPr>
            <w:r>
              <w:rPr>
                <w:noProof/>
              </w:rPr>
              <w:t>2024</w:t>
            </w:r>
          </w:p>
        </w:tc>
        <w:tc>
          <w:tcPr>
            <w:tcW w:w="2840" w:type="dxa"/>
            <w:shd w:val="clear" w:color="auto" w:fill="C6EFCE"/>
            <w:noWrap/>
          </w:tcPr>
          <w:p w14:paraId="2F7DBCF6" w14:textId="77777777" w:rsidR="00FA7C11" w:rsidRDefault="00D84965">
            <w:pPr>
              <w:pStyle w:val="P68B1DB1-Normal59"/>
              <w:spacing w:after="0" w:line="276" w:lineRule="auto"/>
              <w:rPr>
                <w:rFonts w:ascii="Times New Roman" w:eastAsia="Calibri" w:hAnsi="Times New Roman" w:cs="Times New Roman"/>
                <w:noProof/>
                <w:color w:val="000000" w:themeColor="text1"/>
              </w:rPr>
            </w:pPr>
            <w:r>
              <w:rPr>
                <w:rFonts w:ascii="Times New Roman" w:eastAsia="Calibri" w:hAnsi="Times New Roman" w:cs="Times New Roman"/>
                <w:noProof/>
                <w:color w:val="000000" w:themeColor="text1"/>
              </w:rPr>
              <w:t>Modificări ale Legii privind protecția socială sau ale Suplimentului incluziv Acton privind prestațiile sociale integrate care:</w:t>
            </w:r>
            <w:r>
              <w:rPr>
                <w:rFonts w:ascii="Times New Roman" w:hAnsi="Times New Roman" w:cs="Times New Roman"/>
                <w:noProof/>
              </w:rPr>
              <w:br/>
            </w:r>
            <w:r>
              <w:rPr>
                <w:rFonts w:ascii="Times New Roman" w:eastAsia="Calibri" w:hAnsi="Times New Roman" w:cs="Times New Roman"/>
                <w:noProof/>
                <w:color w:val="000000" w:themeColor="text1"/>
              </w:rPr>
              <w:t xml:space="preserve">— Să modifice prestația minimă garantată prin majorarea cuantumului de bază la 160 EUR, prin intermediul unei decizii privind baza de calcul a cuantumului prestației minime garantate, și cu cel puțin 25 % pentru gospodăriile cu copii, și să asigure integrarea deplină a prestației minime garantate (GMB) cu alte prestații sociale. </w:t>
            </w:r>
            <w:r>
              <w:rPr>
                <w:rFonts w:ascii="Times New Roman" w:hAnsi="Times New Roman" w:cs="Times New Roman"/>
                <w:noProof/>
              </w:rPr>
              <w:br/>
            </w:r>
            <w:r>
              <w:rPr>
                <w:rFonts w:ascii="Times New Roman" w:eastAsia="Calibri" w:hAnsi="Times New Roman" w:cs="Times New Roman"/>
                <w:noProof/>
                <w:color w:val="000000" w:themeColor="text1"/>
              </w:rPr>
              <w:t>— Definirea integrării (funcționale) a prestațiilor sociale pe baza unei analize a experților;</w:t>
            </w:r>
            <w:r>
              <w:rPr>
                <w:rFonts w:ascii="Times New Roman" w:hAnsi="Times New Roman" w:cs="Times New Roman"/>
                <w:noProof/>
              </w:rPr>
              <w:br/>
            </w:r>
            <w:r>
              <w:rPr>
                <w:rFonts w:ascii="Times New Roman" w:eastAsia="Calibri" w:hAnsi="Times New Roman" w:cs="Times New Roman"/>
                <w:noProof/>
                <w:color w:val="000000" w:themeColor="text1"/>
              </w:rPr>
              <w:t>— Să consolideze dispozițiile privind eligibilitatea pentru primirea de prestații sociale, printre altele printr-o mai bună utilizare a mijloacelor și prin evaluarea veniturilor;</w:t>
            </w:r>
            <w:r>
              <w:rPr>
                <w:rFonts w:ascii="Times New Roman" w:hAnsi="Times New Roman" w:cs="Times New Roman"/>
                <w:noProof/>
              </w:rPr>
              <w:br/>
            </w:r>
            <w:r>
              <w:rPr>
                <w:rFonts w:ascii="Times New Roman" w:eastAsia="Calibri" w:hAnsi="Times New Roman" w:cs="Times New Roman"/>
                <w:noProof/>
                <w:color w:val="000000" w:themeColor="text1"/>
              </w:rPr>
              <w:t>— Să includă măsuri și dispoziții pentru a îmbunătăți acoperirea, caracterul adecvat și direcționarea prestațiilor sociale, pe baza unei analize a experților și cu un accent deosebit pe persoanele care suferă de sărăcie persistentă;</w:t>
            </w:r>
            <w:r>
              <w:rPr>
                <w:rFonts w:ascii="Times New Roman" w:hAnsi="Times New Roman" w:cs="Times New Roman"/>
                <w:noProof/>
              </w:rPr>
              <w:br/>
            </w:r>
            <w:r>
              <w:rPr>
                <w:rFonts w:ascii="Times New Roman" w:eastAsia="Calibri" w:hAnsi="Times New Roman" w:cs="Times New Roman"/>
                <w:noProof/>
                <w:color w:val="000000" w:themeColor="text1"/>
              </w:rPr>
              <w:t>— Să conțină dispoziții privind procesul de monitorizare și implicarea părților interesate relevante în cursul punerii în aplicare;</w:t>
            </w:r>
            <w:r>
              <w:rPr>
                <w:rFonts w:ascii="Times New Roman" w:hAnsi="Times New Roman" w:cs="Times New Roman"/>
                <w:noProof/>
              </w:rPr>
              <w:br/>
            </w:r>
            <w:r>
              <w:rPr>
                <w:rFonts w:ascii="Times New Roman" w:eastAsia="Calibri" w:hAnsi="Times New Roman" w:cs="Times New Roman"/>
                <w:noProof/>
                <w:color w:val="000000" w:themeColor="text1"/>
              </w:rPr>
              <w:t xml:space="preserve">— Introducerea indexării ca trăsătură standard a prestațiilor sociale </w:t>
            </w:r>
          </w:p>
          <w:p w14:paraId="05C6F546" w14:textId="77777777" w:rsidR="00FA7C11" w:rsidRDefault="00D84965">
            <w:pPr>
              <w:pStyle w:val="P68B1DB1-Normal66"/>
              <w:spacing w:after="0" w:line="276" w:lineRule="auto"/>
              <w:rPr>
                <w:noProof/>
                <w:color w:val="000000" w:themeColor="text1"/>
              </w:rPr>
            </w:pPr>
            <w:r>
              <w:rPr>
                <w:noProof/>
              </w:rPr>
              <w:t>— Să conțină dispoziții privind evaluarea și monitorizarea eficacității și a caracterului adecvat al prestațiilor sociale;</w:t>
            </w:r>
          </w:p>
          <w:p w14:paraId="3CBC31FB" w14:textId="77777777" w:rsidR="00FA7C11" w:rsidRDefault="00FA7C11">
            <w:pPr>
              <w:spacing w:after="0" w:line="276" w:lineRule="auto"/>
              <w:rPr>
                <w:rFonts w:ascii="Times New Roman" w:eastAsia="Calibri" w:hAnsi="Times New Roman" w:cs="Times New Roman"/>
                <w:noProof/>
                <w:sz w:val="20"/>
                <w:szCs w:val="20"/>
              </w:rPr>
            </w:pPr>
          </w:p>
        </w:tc>
      </w:tr>
      <w:tr w:rsidR="00FA7C11" w14:paraId="66BBFF9D" w14:textId="77777777">
        <w:trPr>
          <w:trHeight w:val="282"/>
          <w:jc w:val="center"/>
        </w:trPr>
        <w:tc>
          <w:tcPr>
            <w:tcW w:w="1006" w:type="dxa"/>
            <w:shd w:val="clear" w:color="auto" w:fill="C6EFCE"/>
            <w:noWrap/>
          </w:tcPr>
          <w:p w14:paraId="28CE6DEC" w14:textId="77777777" w:rsidR="00FA7C11" w:rsidRDefault="00D84965">
            <w:pPr>
              <w:pStyle w:val="P68B1DB1-Normal66"/>
              <w:spacing w:after="200" w:line="276" w:lineRule="auto"/>
              <w:jc w:val="center"/>
              <w:rPr>
                <w:noProof/>
              </w:rPr>
            </w:pPr>
            <w:r>
              <w:rPr>
                <w:noProof/>
              </w:rPr>
              <w:t>398</w:t>
            </w:r>
          </w:p>
        </w:tc>
        <w:tc>
          <w:tcPr>
            <w:tcW w:w="1272" w:type="dxa"/>
            <w:shd w:val="clear" w:color="auto" w:fill="C6EFCE"/>
            <w:noWrap/>
          </w:tcPr>
          <w:p w14:paraId="125BC556" w14:textId="77777777" w:rsidR="00FA7C11" w:rsidRDefault="00D84965">
            <w:pPr>
              <w:pStyle w:val="P68B1DB1-Normal66"/>
              <w:spacing w:after="200" w:line="276" w:lineRule="auto"/>
              <w:jc w:val="center"/>
              <w:rPr>
                <w:noProof/>
              </w:rPr>
            </w:pPr>
            <w:r>
              <w:rPr>
                <w:noProof/>
              </w:rPr>
              <w:t>C4.3. R1</w:t>
            </w:r>
          </w:p>
        </w:tc>
        <w:tc>
          <w:tcPr>
            <w:tcW w:w="1080" w:type="dxa"/>
            <w:shd w:val="clear" w:color="auto" w:fill="C6EFCE"/>
            <w:noWrap/>
          </w:tcPr>
          <w:p w14:paraId="65AE3C79" w14:textId="77777777" w:rsidR="00FA7C11" w:rsidRDefault="00D84965">
            <w:pPr>
              <w:pStyle w:val="P68B1DB1-Normal66"/>
              <w:spacing w:after="200" w:line="276" w:lineRule="auto"/>
              <w:jc w:val="center"/>
              <w:rPr>
                <w:noProof/>
              </w:rPr>
            </w:pPr>
            <w:r>
              <w:rPr>
                <w:noProof/>
              </w:rPr>
              <w:t>M</w:t>
            </w:r>
          </w:p>
        </w:tc>
        <w:tc>
          <w:tcPr>
            <w:tcW w:w="1680" w:type="dxa"/>
            <w:shd w:val="clear" w:color="auto" w:fill="C6EFCE"/>
            <w:noWrap/>
          </w:tcPr>
          <w:p w14:paraId="6852CBB1" w14:textId="77777777" w:rsidR="00FA7C11" w:rsidRDefault="00D84965">
            <w:pPr>
              <w:pStyle w:val="P68B1DB1-Normal66"/>
              <w:spacing w:after="200" w:line="276" w:lineRule="auto"/>
              <w:rPr>
                <w:noProof/>
              </w:rPr>
            </w:pPr>
            <w:r>
              <w:rPr>
                <w:noProof/>
              </w:rPr>
              <w:t>Intrarea în vigoare a modificărilor aduse Legii privind bunăstarea socială și adoptarea Deciziei privind prestația minimă garantată</w:t>
            </w:r>
          </w:p>
        </w:tc>
        <w:tc>
          <w:tcPr>
            <w:tcW w:w="2040" w:type="dxa"/>
            <w:shd w:val="clear" w:color="auto" w:fill="C6EFCE"/>
            <w:noWrap/>
          </w:tcPr>
          <w:p w14:paraId="4B5D280E" w14:textId="77777777" w:rsidR="00FA7C11" w:rsidRDefault="00D84965">
            <w:pPr>
              <w:pStyle w:val="P68B1DB1-Normal66"/>
              <w:spacing w:after="200" w:line="276" w:lineRule="auto"/>
              <w:rPr>
                <w:noProof/>
              </w:rPr>
            </w:pPr>
            <w:r>
              <w:rPr>
                <w:noProof/>
              </w:rPr>
              <w:t>Intrarea în vigoare a Legii modificate privind protecția socială și adoptarea deciziei de către guvern</w:t>
            </w:r>
          </w:p>
        </w:tc>
        <w:tc>
          <w:tcPr>
            <w:tcW w:w="960" w:type="dxa"/>
            <w:shd w:val="clear" w:color="auto" w:fill="C6EFCE"/>
            <w:noWrap/>
          </w:tcPr>
          <w:p w14:paraId="4FD68A5C"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1320" w:type="dxa"/>
            <w:shd w:val="clear" w:color="auto" w:fill="C6EFCE"/>
            <w:noWrap/>
          </w:tcPr>
          <w:p w14:paraId="7486CD20"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1080" w:type="dxa"/>
            <w:shd w:val="clear" w:color="auto" w:fill="C6EFCE"/>
            <w:noWrap/>
          </w:tcPr>
          <w:p w14:paraId="72783F6E"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40" w:type="dxa"/>
            <w:shd w:val="clear" w:color="auto" w:fill="C6EFCE"/>
            <w:noWrap/>
          </w:tcPr>
          <w:p w14:paraId="0A265414" w14:textId="77777777" w:rsidR="00FA7C11" w:rsidRDefault="00D84965">
            <w:pPr>
              <w:pStyle w:val="P68B1DB1-Normal66"/>
              <w:spacing w:after="200" w:line="276" w:lineRule="auto"/>
              <w:jc w:val="center"/>
              <w:rPr>
                <w:noProof/>
              </w:rPr>
            </w:pPr>
            <w:r>
              <w:rPr>
                <w:noProof/>
              </w:rPr>
              <w:t>Î4</w:t>
            </w:r>
          </w:p>
        </w:tc>
        <w:tc>
          <w:tcPr>
            <w:tcW w:w="688" w:type="dxa"/>
            <w:shd w:val="clear" w:color="auto" w:fill="C6EFCE"/>
            <w:noWrap/>
          </w:tcPr>
          <w:p w14:paraId="7B743324" w14:textId="77777777" w:rsidR="00FA7C11" w:rsidRDefault="00D84965">
            <w:pPr>
              <w:pStyle w:val="P68B1DB1-Normal66"/>
              <w:spacing w:after="200" w:line="276" w:lineRule="auto"/>
              <w:jc w:val="center"/>
              <w:rPr>
                <w:noProof/>
              </w:rPr>
            </w:pPr>
            <w:r>
              <w:rPr>
                <w:noProof/>
              </w:rPr>
              <w:t>2023</w:t>
            </w:r>
          </w:p>
        </w:tc>
        <w:tc>
          <w:tcPr>
            <w:tcW w:w="2840" w:type="dxa"/>
            <w:shd w:val="clear" w:color="auto" w:fill="C6EFCE"/>
            <w:noWrap/>
          </w:tcPr>
          <w:p w14:paraId="33DAEEE7" w14:textId="77777777" w:rsidR="00FA7C11" w:rsidRDefault="00D84965">
            <w:pPr>
              <w:pStyle w:val="P68B1DB1-Normal66"/>
              <w:spacing w:after="0" w:line="276" w:lineRule="auto"/>
              <w:rPr>
                <w:noProof/>
              </w:rPr>
            </w:pPr>
            <w:r>
              <w:rPr>
                <w:noProof/>
              </w:rPr>
              <w:t>Modificările aduse Legii privind protecția socială:</w:t>
            </w:r>
          </w:p>
          <w:p w14:paraId="710BF373" w14:textId="77777777" w:rsidR="00FA7C11" w:rsidRDefault="00D84965">
            <w:pPr>
              <w:pStyle w:val="P68B1DB1-Normal66"/>
              <w:spacing w:after="0" w:line="276" w:lineRule="auto"/>
              <w:rPr>
                <w:noProof/>
              </w:rPr>
            </w:pPr>
            <w:r>
              <w:rPr>
                <w:noProof/>
              </w:rPr>
              <w:t>— Eliminarea dispozițiilor legale care impun rambursarea sumelor plătite cu titlu de prestație minimă garantată (GMB) și impunerea de drepturi de retenție asupra proprietăților deținute de beneficiarii GMB;</w:t>
            </w:r>
          </w:p>
          <w:p w14:paraId="72877351" w14:textId="6C140A95" w:rsidR="00FA7C11" w:rsidRDefault="00D84965">
            <w:pPr>
              <w:pStyle w:val="P68B1DB1-Normal66"/>
              <w:spacing w:after="0" w:line="276" w:lineRule="auto"/>
              <w:rPr>
                <w:noProof/>
              </w:rPr>
            </w:pPr>
            <w:r>
              <w:rPr>
                <w:noProof/>
              </w:rPr>
              <w:t xml:space="preserve">— Reducerea sarcinii administrative pentru beneficiarii GMB prin instituirea unui mecanism statutar pentru eliminarea automată a drepturilor de retenție. </w:t>
            </w:r>
          </w:p>
          <w:p w14:paraId="515FE409" w14:textId="0F97ACEB" w:rsidR="00FA7C11" w:rsidRDefault="00D84965">
            <w:pPr>
              <w:pStyle w:val="P68B1DB1-Normal66"/>
              <w:spacing w:after="0" w:line="276" w:lineRule="auto"/>
              <w:rPr>
                <w:noProof/>
              </w:rPr>
            </w:pPr>
            <w:r>
              <w:rPr>
                <w:noProof/>
              </w:rPr>
              <w:t>Guvernul adoptă o decizie privind baza de calcul a valorii prestației minime garantate. Decizia intră în vigoare la 1 ianuarie 2024 și majorează suma de bază la 150 EUR.</w:t>
            </w:r>
          </w:p>
        </w:tc>
      </w:tr>
      <w:tr w:rsidR="00FA7C11" w14:paraId="5B1116EF" w14:textId="77777777">
        <w:trPr>
          <w:trHeight w:val="282"/>
          <w:jc w:val="center"/>
        </w:trPr>
        <w:tc>
          <w:tcPr>
            <w:tcW w:w="1006" w:type="dxa"/>
            <w:shd w:val="clear" w:color="auto" w:fill="C6EFCE"/>
            <w:noWrap/>
          </w:tcPr>
          <w:p w14:paraId="554A1BC6" w14:textId="77777777" w:rsidR="00FA7C11" w:rsidRDefault="00D84965">
            <w:pPr>
              <w:pStyle w:val="P68B1DB1-Normal66"/>
              <w:spacing w:after="200" w:line="276" w:lineRule="auto"/>
              <w:jc w:val="center"/>
              <w:rPr>
                <w:noProof/>
              </w:rPr>
            </w:pPr>
            <w:r>
              <w:rPr>
                <w:noProof/>
              </w:rPr>
              <w:t>307</w:t>
            </w:r>
          </w:p>
        </w:tc>
        <w:tc>
          <w:tcPr>
            <w:tcW w:w="1272" w:type="dxa"/>
            <w:shd w:val="clear" w:color="auto" w:fill="C6EFCE"/>
            <w:noWrap/>
          </w:tcPr>
          <w:p w14:paraId="171870CB" w14:textId="77777777" w:rsidR="00FA7C11" w:rsidRDefault="00D84965">
            <w:pPr>
              <w:pStyle w:val="P68B1DB1-Normal66"/>
              <w:spacing w:after="200" w:line="276" w:lineRule="auto"/>
              <w:jc w:val="center"/>
              <w:rPr>
                <w:noProof/>
              </w:rPr>
            </w:pPr>
            <w:r>
              <w:rPr>
                <w:noProof/>
              </w:rPr>
              <w:t>C4.3. R1-I1</w:t>
            </w:r>
          </w:p>
        </w:tc>
        <w:tc>
          <w:tcPr>
            <w:tcW w:w="1080" w:type="dxa"/>
            <w:shd w:val="clear" w:color="auto" w:fill="C6EFCE"/>
            <w:noWrap/>
          </w:tcPr>
          <w:p w14:paraId="1FABEADF" w14:textId="77777777" w:rsidR="00FA7C11" w:rsidRDefault="00D84965">
            <w:pPr>
              <w:pStyle w:val="P68B1DB1-Normal66"/>
              <w:spacing w:after="200" w:line="276" w:lineRule="auto"/>
              <w:jc w:val="center"/>
              <w:rPr>
                <w:noProof/>
              </w:rPr>
            </w:pPr>
            <w:r>
              <w:rPr>
                <w:noProof/>
              </w:rPr>
              <w:t>T</w:t>
            </w:r>
          </w:p>
        </w:tc>
        <w:tc>
          <w:tcPr>
            <w:tcW w:w="1680" w:type="dxa"/>
            <w:shd w:val="clear" w:color="auto" w:fill="C6EFCE"/>
            <w:noWrap/>
          </w:tcPr>
          <w:p w14:paraId="215E3FA9" w14:textId="77777777" w:rsidR="00FA7C11" w:rsidRDefault="00D84965">
            <w:pPr>
              <w:pStyle w:val="P68B1DB1-Normal66"/>
              <w:spacing w:after="200" w:line="276" w:lineRule="auto"/>
              <w:rPr>
                <w:noProof/>
              </w:rPr>
            </w:pPr>
            <w:r>
              <w:rPr>
                <w:noProof/>
              </w:rPr>
              <w:t>Accesul unităților administrației locale la datele privind prestațiile sociale pentru fiecare beneficiar individual</w:t>
            </w:r>
          </w:p>
        </w:tc>
        <w:tc>
          <w:tcPr>
            <w:tcW w:w="2040" w:type="dxa"/>
            <w:shd w:val="clear" w:color="auto" w:fill="C6EFCE"/>
            <w:noWrap/>
          </w:tcPr>
          <w:p w14:paraId="37BCF749" w14:textId="77777777" w:rsidR="00FA7C11" w:rsidRDefault="00D84965">
            <w:pPr>
              <w:pStyle w:val="P68B1DB1-Normal66"/>
              <w:spacing w:after="200" w:line="276" w:lineRule="auto"/>
              <w:rPr>
                <w:noProof/>
              </w:rPr>
            </w:pPr>
            <w:r>
              <w:rPr>
                <w:noProof/>
              </w:rPr>
              <w:t> </w:t>
            </w:r>
          </w:p>
        </w:tc>
        <w:tc>
          <w:tcPr>
            <w:tcW w:w="960" w:type="dxa"/>
            <w:shd w:val="clear" w:color="auto" w:fill="C6EFCE"/>
            <w:noWrap/>
          </w:tcPr>
          <w:p w14:paraId="67676A88" w14:textId="77777777" w:rsidR="00FA7C11" w:rsidRDefault="00D84965">
            <w:pPr>
              <w:pStyle w:val="P68B1DB1-Normal66"/>
              <w:spacing w:after="200" w:line="276" w:lineRule="auto"/>
              <w:jc w:val="center"/>
              <w:rPr>
                <w:noProof/>
              </w:rPr>
            </w:pPr>
            <w:r>
              <w:rPr>
                <w:noProof/>
              </w:rPr>
              <w:t>Procent</w:t>
            </w:r>
          </w:p>
        </w:tc>
        <w:tc>
          <w:tcPr>
            <w:tcW w:w="1320" w:type="dxa"/>
            <w:shd w:val="clear" w:color="auto" w:fill="C6EFCE"/>
            <w:noWrap/>
          </w:tcPr>
          <w:p w14:paraId="056EDA65" w14:textId="77777777" w:rsidR="00FA7C11" w:rsidRDefault="00D84965">
            <w:pPr>
              <w:pStyle w:val="P68B1DB1-Normal66"/>
              <w:spacing w:after="200" w:line="276" w:lineRule="auto"/>
              <w:jc w:val="center"/>
              <w:rPr>
                <w:noProof/>
              </w:rPr>
            </w:pPr>
            <w:r>
              <w:rPr>
                <w:noProof/>
              </w:rPr>
              <w:t>0</w:t>
            </w:r>
          </w:p>
        </w:tc>
        <w:tc>
          <w:tcPr>
            <w:tcW w:w="1080" w:type="dxa"/>
            <w:shd w:val="clear" w:color="auto" w:fill="C6EFCE"/>
            <w:noWrap/>
          </w:tcPr>
          <w:p w14:paraId="08BD1941" w14:textId="77777777" w:rsidR="00FA7C11" w:rsidRDefault="00D84965">
            <w:pPr>
              <w:pStyle w:val="P68B1DB1-Normal66"/>
              <w:spacing w:after="200" w:line="276" w:lineRule="auto"/>
              <w:jc w:val="center"/>
              <w:rPr>
                <w:noProof/>
              </w:rPr>
            </w:pPr>
            <w:r>
              <w:rPr>
                <w:noProof/>
              </w:rPr>
              <w:t>1</w:t>
            </w:r>
          </w:p>
        </w:tc>
        <w:tc>
          <w:tcPr>
            <w:tcW w:w="840" w:type="dxa"/>
            <w:shd w:val="clear" w:color="auto" w:fill="C6EFCE"/>
            <w:noWrap/>
          </w:tcPr>
          <w:p w14:paraId="597E8DCE" w14:textId="77777777" w:rsidR="00FA7C11" w:rsidRDefault="00D84965">
            <w:pPr>
              <w:pStyle w:val="P68B1DB1-Normal66"/>
              <w:spacing w:after="200" w:line="276" w:lineRule="auto"/>
              <w:jc w:val="center"/>
              <w:rPr>
                <w:noProof/>
              </w:rPr>
            </w:pPr>
            <w:r>
              <w:rPr>
                <w:noProof/>
              </w:rPr>
              <w:t>Î4</w:t>
            </w:r>
          </w:p>
        </w:tc>
        <w:tc>
          <w:tcPr>
            <w:tcW w:w="688" w:type="dxa"/>
            <w:shd w:val="clear" w:color="auto" w:fill="C6EFCE"/>
            <w:noWrap/>
          </w:tcPr>
          <w:p w14:paraId="671304B4" w14:textId="77777777" w:rsidR="00FA7C11" w:rsidRDefault="00D84965">
            <w:pPr>
              <w:pStyle w:val="P68B1DB1-Normal66"/>
              <w:spacing w:after="200" w:line="276" w:lineRule="auto"/>
              <w:jc w:val="center"/>
              <w:rPr>
                <w:noProof/>
              </w:rPr>
            </w:pPr>
            <w:r>
              <w:rPr>
                <w:noProof/>
              </w:rPr>
              <w:t>2025</w:t>
            </w:r>
          </w:p>
        </w:tc>
        <w:tc>
          <w:tcPr>
            <w:tcW w:w="2840" w:type="dxa"/>
            <w:shd w:val="clear" w:color="auto" w:fill="C6EFCE"/>
            <w:noWrap/>
          </w:tcPr>
          <w:p w14:paraId="5FA86AAB" w14:textId="77777777" w:rsidR="00FA7C11" w:rsidRDefault="00D84965">
            <w:pPr>
              <w:pStyle w:val="P68B1DB1-Normal66"/>
              <w:spacing w:after="200" w:line="276" w:lineRule="auto"/>
              <w:rPr>
                <w:noProof/>
              </w:rPr>
            </w:pPr>
            <w:r>
              <w:rPr>
                <w:noProof/>
              </w:rPr>
              <w:t xml:space="preserve">Toate unitățile administrației publice locale și regionale au acces funcțional la toate datele disponibile privind prestațiile sociale pentru fiecare beneficiar individual. </w:t>
            </w:r>
          </w:p>
        </w:tc>
      </w:tr>
      <w:tr w:rsidR="00FA7C11" w14:paraId="5A3D29FE" w14:textId="77777777">
        <w:trPr>
          <w:trHeight w:val="282"/>
          <w:jc w:val="center"/>
        </w:trPr>
        <w:tc>
          <w:tcPr>
            <w:tcW w:w="1006" w:type="dxa"/>
            <w:shd w:val="clear" w:color="auto" w:fill="C6EFCE"/>
            <w:noWrap/>
          </w:tcPr>
          <w:p w14:paraId="39A9AF7C" w14:textId="77777777" w:rsidR="00FA7C11" w:rsidRDefault="00D84965">
            <w:pPr>
              <w:pStyle w:val="P68B1DB1-Normal66"/>
              <w:spacing w:after="200" w:line="276" w:lineRule="auto"/>
              <w:jc w:val="center"/>
              <w:rPr>
                <w:noProof/>
              </w:rPr>
            </w:pPr>
            <w:r>
              <w:rPr>
                <w:noProof/>
              </w:rPr>
              <w:t>308</w:t>
            </w:r>
          </w:p>
        </w:tc>
        <w:tc>
          <w:tcPr>
            <w:tcW w:w="1272" w:type="dxa"/>
            <w:shd w:val="clear" w:color="auto" w:fill="C6EFCE"/>
            <w:noWrap/>
          </w:tcPr>
          <w:p w14:paraId="3DBDE7A9" w14:textId="77777777" w:rsidR="00FA7C11" w:rsidRDefault="00D84965">
            <w:pPr>
              <w:pStyle w:val="P68B1DB1-Normal66"/>
              <w:spacing w:after="200" w:line="276" w:lineRule="auto"/>
              <w:jc w:val="center"/>
              <w:rPr>
                <w:noProof/>
              </w:rPr>
            </w:pPr>
            <w:r>
              <w:rPr>
                <w:noProof/>
              </w:rPr>
              <w:t>C4.3. R1-I2</w:t>
            </w:r>
          </w:p>
        </w:tc>
        <w:tc>
          <w:tcPr>
            <w:tcW w:w="1080" w:type="dxa"/>
            <w:shd w:val="clear" w:color="auto" w:fill="C6EFCE"/>
            <w:noWrap/>
          </w:tcPr>
          <w:p w14:paraId="396D2067" w14:textId="77777777" w:rsidR="00FA7C11" w:rsidRDefault="00D84965">
            <w:pPr>
              <w:pStyle w:val="P68B1DB1-Normal66"/>
              <w:spacing w:after="200" w:line="276" w:lineRule="auto"/>
              <w:jc w:val="center"/>
              <w:rPr>
                <w:noProof/>
              </w:rPr>
            </w:pPr>
            <w:r>
              <w:rPr>
                <w:noProof/>
              </w:rPr>
              <w:t>M</w:t>
            </w:r>
          </w:p>
        </w:tc>
        <w:tc>
          <w:tcPr>
            <w:tcW w:w="1680" w:type="dxa"/>
            <w:shd w:val="clear" w:color="auto" w:fill="C6EFCE"/>
            <w:noWrap/>
          </w:tcPr>
          <w:p w14:paraId="2A80D960" w14:textId="77777777" w:rsidR="00FA7C11" w:rsidRDefault="00D84965">
            <w:pPr>
              <w:pStyle w:val="P68B1DB1-Normal66"/>
              <w:spacing w:after="200" w:line="276" w:lineRule="auto"/>
              <w:rPr>
                <w:noProof/>
              </w:rPr>
            </w:pPr>
            <w:r>
              <w:rPr>
                <w:noProof/>
              </w:rPr>
              <w:t>Disponibilitatea digitală a informațiilor privind prestațiile de protecție socială la nivel național</w:t>
            </w:r>
          </w:p>
        </w:tc>
        <w:tc>
          <w:tcPr>
            <w:tcW w:w="2040" w:type="dxa"/>
            <w:shd w:val="clear" w:color="auto" w:fill="C6EFCE"/>
            <w:noWrap/>
          </w:tcPr>
          <w:p w14:paraId="2C1FF611" w14:textId="5F5A143A" w:rsidR="00FA7C11" w:rsidRDefault="00D84965">
            <w:pPr>
              <w:pStyle w:val="P68B1DB1-Normal66"/>
              <w:spacing w:after="200" w:line="276" w:lineRule="auto"/>
              <w:rPr>
                <w:noProof/>
              </w:rPr>
            </w:pPr>
            <w:r>
              <w:rPr>
                <w:noProof/>
              </w:rPr>
              <w:t>O aplicație web dezvoltată și funcțională pentru a furniza informații privind prestațiile sociale, împreună cu criteriile și condițiile puse în aplicare pentru obținerea a 12 de tipuri de prestații sociale într-un sistem de protecție socială la nivel național</w:t>
            </w:r>
          </w:p>
        </w:tc>
        <w:tc>
          <w:tcPr>
            <w:tcW w:w="960" w:type="dxa"/>
            <w:shd w:val="clear" w:color="auto" w:fill="C6EFCE"/>
            <w:noWrap/>
          </w:tcPr>
          <w:p w14:paraId="612FBADF" w14:textId="77777777" w:rsidR="00FA7C11" w:rsidRDefault="00D84965">
            <w:pPr>
              <w:pStyle w:val="P68B1DB1-Normal66"/>
              <w:spacing w:after="200" w:line="276" w:lineRule="auto"/>
              <w:jc w:val="center"/>
              <w:rPr>
                <w:noProof/>
              </w:rPr>
            </w:pPr>
            <w:r>
              <w:rPr>
                <w:noProof/>
              </w:rPr>
              <w:t> </w:t>
            </w:r>
          </w:p>
        </w:tc>
        <w:tc>
          <w:tcPr>
            <w:tcW w:w="1320" w:type="dxa"/>
            <w:shd w:val="clear" w:color="auto" w:fill="C6EFCE"/>
            <w:noWrap/>
          </w:tcPr>
          <w:p w14:paraId="7F20EEE6" w14:textId="77777777" w:rsidR="00FA7C11" w:rsidRDefault="00D84965">
            <w:pPr>
              <w:pStyle w:val="P68B1DB1-Normal66"/>
              <w:spacing w:after="200" w:line="276" w:lineRule="auto"/>
              <w:jc w:val="center"/>
              <w:rPr>
                <w:noProof/>
              </w:rPr>
            </w:pPr>
            <w:r>
              <w:rPr>
                <w:noProof/>
              </w:rPr>
              <w:t> </w:t>
            </w:r>
          </w:p>
        </w:tc>
        <w:tc>
          <w:tcPr>
            <w:tcW w:w="1080" w:type="dxa"/>
            <w:shd w:val="clear" w:color="auto" w:fill="C6EFCE"/>
            <w:noWrap/>
          </w:tcPr>
          <w:p w14:paraId="2D79F15B" w14:textId="77777777" w:rsidR="00FA7C11" w:rsidRDefault="00D84965">
            <w:pPr>
              <w:pStyle w:val="P68B1DB1-Normal66"/>
              <w:spacing w:after="200" w:line="276" w:lineRule="auto"/>
              <w:jc w:val="center"/>
              <w:rPr>
                <w:noProof/>
              </w:rPr>
            </w:pPr>
            <w:r>
              <w:rPr>
                <w:noProof/>
              </w:rPr>
              <w:t> </w:t>
            </w:r>
          </w:p>
        </w:tc>
        <w:tc>
          <w:tcPr>
            <w:tcW w:w="840" w:type="dxa"/>
            <w:shd w:val="clear" w:color="auto" w:fill="C6EFCE"/>
            <w:noWrap/>
          </w:tcPr>
          <w:p w14:paraId="3A2CF704" w14:textId="77777777" w:rsidR="00FA7C11" w:rsidRDefault="00D84965">
            <w:pPr>
              <w:pStyle w:val="P68B1DB1-Normal66"/>
              <w:spacing w:after="200" w:line="276" w:lineRule="auto"/>
              <w:jc w:val="center"/>
              <w:rPr>
                <w:noProof/>
              </w:rPr>
            </w:pPr>
            <w:r>
              <w:rPr>
                <w:noProof/>
              </w:rPr>
              <w:t>Î4</w:t>
            </w:r>
          </w:p>
        </w:tc>
        <w:tc>
          <w:tcPr>
            <w:tcW w:w="688" w:type="dxa"/>
            <w:shd w:val="clear" w:color="auto" w:fill="C6EFCE"/>
            <w:noWrap/>
          </w:tcPr>
          <w:p w14:paraId="6A0D2ED0" w14:textId="77777777" w:rsidR="00FA7C11" w:rsidRDefault="00D84965">
            <w:pPr>
              <w:pStyle w:val="P68B1DB1-Normal66"/>
              <w:spacing w:after="200" w:line="276" w:lineRule="auto"/>
              <w:jc w:val="center"/>
              <w:rPr>
                <w:noProof/>
              </w:rPr>
            </w:pPr>
            <w:r>
              <w:rPr>
                <w:noProof/>
              </w:rPr>
              <w:t>2024</w:t>
            </w:r>
          </w:p>
        </w:tc>
        <w:tc>
          <w:tcPr>
            <w:tcW w:w="2840" w:type="dxa"/>
            <w:shd w:val="clear" w:color="auto" w:fill="C6EFCE"/>
            <w:noWrap/>
          </w:tcPr>
          <w:p w14:paraId="16C9E404" w14:textId="72E7C52E" w:rsidR="00FA7C11" w:rsidRDefault="00D84965">
            <w:pPr>
              <w:pStyle w:val="P68B1DB1-Normal66"/>
              <w:spacing w:after="200" w:line="276" w:lineRule="auto"/>
              <w:rPr>
                <w:noProof/>
              </w:rPr>
            </w:pPr>
            <w:r>
              <w:rPr>
                <w:noProof/>
              </w:rPr>
              <w:t>Pe baza dosarului proiectului și a unei specificații tehnice, se dezvoltă o aplicație web care este pusă la dispoziția tuturor cetățenilor. Cererea oferă acces la informații privind toate prestațiile de securitate socială existente în sistemul de protecție socială și posibilitatea indicativă de a le obține la nivel național. Criteriile și condițiile pentru obținerea a 12 de tipuri de prestații sociale într-un sistem de protecție socială la nivel național sunt disponibile în cerere.</w:t>
            </w:r>
          </w:p>
        </w:tc>
      </w:tr>
      <w:tr w:rsidR="00FA7C11" w14:paraId="4DC2F704" w14:textId="77777777">
        <w:trPr>
          <w:trHeight w:val="282"/>
          <w:jc w:val="center"/>
        </w:trPr>
        <w:tc>
          <w:tcPr>
            <w:tcW w:w="1006" w:type="dxa"/>
            <w:shd w:val="clear" w:color="auto" w:fill="C6EFCE"/>
            <w:noWrap/>
          </w:tcPr>
          <w:p w14:paraId="7780EC7B" w14:textId="77777777" w:rsidR="00FA7C11" w:rsidRDefault="00D84965">
            <w:pPr>
              <w:pStyle w:val="P68B1DB1-Normal66"/>
              <w:spacing w:after="200" w:line="276" w:lineRule="auto"/>
              <w:jc w:val="center"/>
              <w:rPr>
                <w:noProof/>
              </w:rPr>
            </w:pPr>
            <w:r>
              <w:rPr>
                <w:noProof/>
              </w:rPr>
              <w:t>309</w:t>
            </w:r>
          </w:p>
        </w:tc>
        <w:tc>
          <w:tcPr>
            <w:tcW w:w="1272" w:type="dxa"/>
            <w:shd w:val="clear" w:color="auto" w:fill="C6EFCE"/>
            <w:noWrap/>
          </w:tcPr>
          <w:p w14:paraId="27FD2A83" w14:textId="77777777" w:rsidR="00FA7C11" w:rsidRDefault="00D84965">
            <w:pPr>
              <w:pStyle w:val="P68B1DB1-Normal66"/>
              <w:spacing w:after="200" w:line="276" w:lineRule="auto"/>
              <w:jc w:val="center"/>
              <w:rPr>
                <w:noProof/>
              </w:rPr>
            </w:pPr>
            <w:r>
              <w:rPr>
                <w:noProof/>
              </w:rPr>
              <w:t>C4.3. R2</w:t>
            </w:r>
          </w:p>
        </w:tc>
        <w:tc>
          <w:tcPr>
            <w:tcW w:w="1080" w:type="dxa"/>
            <w:shd w:val="clear" w:color="auto" w:fill="C6EFCE"/>
            <w:noWrap/>
          </w:tcPr>
          <w:p w14:paraId="3654B8EF" w14:textId="77777777" w:rsidR="00FA7C11" w:rsidRDefault="00D84965">
            <w:pPr>
              <w:pStyle w:val="P68B1DB1-Normal66"/>
              <w:spacing w:after="200" w:line="276" w:lineRule="auto"/>
              <w:jc w:val="center"/>
              <w:rPr>
                <w:noProof/>
              </w:rPr>
            </w:pPr>
            <w:r>
              <w:rPr>
                <w:noProof/>
              </w:rPr>
              <w:t>T</w:t>
            </w:r>
          </w:p>
        </w:tc>
        <w:tc>
          <w:tcPr>
            <w:tcW w:w="1680" w:type="dxa"/>
            <w:shd w:val="clear" w:color="auto" w:fill="C6EFCE"/>
            <w:noWrap/>
          </w:tcPr>
          <w:p w14:paraId="6B477E64" w14:textId="77777777" w:rsidR="00FA7C11" w:rsidRDefault="00D84965">
            <w:pPr>
              <w:pStyle w:val="P68B1DB1-Normal66"/>
              <w:spacing w:after="200" w:line="276" w:lineRule="auto"/>
              <w:rPr>
                <w:noProof/>
              </w:rPr>
            </w:pPr>
            <w:r>
              <w:rPr>
                <w:noProof/>
              </w:rPr>
              <w:t xml:space="preserve">Formarea mai multor profesioniști din domeniul mentoratului social </w:t>
            </w:r>
          </w:p>
        </w:tc>
        <w:tc>
          <w:tcPr>
            <w:tcW w:w="2040" w:type="dxa"/>
            <w:shd w:val="clear" w:color="auto" w:fill="C6EFCE"/>
            <w:noWrap/>
          </w:tcPr>
          <w:p w14:paraId="30C8ACCD" w14:textId="77777777" w:rsidR="00FA7C11" w:rsidRDefault="00D84965">
            <w:pPr>
              <w:pStyle w:val="P68B1DB1-Normal66"/>
              <w:spacing w:after="200" w:line="276" w:lineRule="auto"/>
              <w:rPr>
                <w:noProof/>
              </w:rPr>
            </w:pPr>
            <w:r>
              <w:rPr>
                <w:noProof/>
              </w:rPr>
              <w:t> </w:t>
            </w:r>
          </w:p>
        </w:tc>
        <w:tc>
          <w:tcPr>
            <w:tcW w:w="960" w:type="dxa"/>
            <w:shd w:val="clear" w:color="auto" w:fill="C6EFCE"/>
            <w:noWrap/>
          </w:tcPr>
          <w:p w14:paraId="1D9A12A9" w14:textId="77777777" w:rsidR="00FA7C11" w:rsidRDefault="00D84965">
            <w:pPr>
              <w:pStyle w:val="P68B1DB1-Normal66"/>
              <w:spacing w:after="200" w:line="276" w:lineRule="auto"/>
              <w:jc w:val="center"/>
              <w:rPr>
                <w:noProof/>
              </w:rPr>
            </w:pPr>
            <w:r>
              <w:rPr>
                <w:noProof/>
              </w:rPr>
              <w:t>Număr</w:t>
            </w:r>
          </w:p>
        </w:tc>
        <w:tc>
          <w:tcPr>
            <w:tcW w:w="1320" w:type="dxa"/>
            <w:shd w:val="clear" w:color="auto" w:fill="C6EFCE"/>
            <w:noWrap/>
          </w:tcPr>
          <w:p w14:paraId="3ACA9D3C" w14:textId="77777777" w:rsidR="00FA7C11" w:rsidRDefault="00D84965">
            <w:pPr>
              <w:pStyle w:val="P68B1DB1-Normal66"/>
              <w:spacing w:after="200" w:line="276" w:lineRule="auto"/>
              <w:jc w:val="center"/>
              <w:rPr>
                <w:noProof/>
              </w:rPr>
            </w:pPr>
            <w:r>
              <w:rPr>
                <w:noProof/>
              </w:rPr>
              <w:t>0</w:t>
            </w:r>
          </w:p>
        </w:tc>
        <w:tc>
          <w:tcPr>
            <w:tcW w:w="1080" w:type="dxa"/>
            <w:shd w:val="clear" w:color="auto" w:fill="C6EFCE"/>
            <w:noWrap/>
          </w:tcPr>
          <w:p w14:paraId="09FED759" w14:textId="77777777" w:rsidR="00FA7C11" w:rsidRDefault="00D84965">
            <w:pPr>
              <w:pStyle w:val="P68B1DB1-Normal66"/>
              <w:spacing w:after="200" w:line="276" w:lineRule="auto"/>
              <w:jc w:val="center"/>
              <w:rPr>
                <w:noProof/>
              </w:rPr>
            </w:pPr>
            <w:r>
              <w:rPr>
                <w:noProof/>
              </w:rPr>
              <w:t>220</w:t>
            </w:r>
          </w:p>
        </w:tc>
        <w:tc>
          <w:tcPr>
            <w:tcW w:w="840" w:type="dxa"/>
            <w:shd w:val="clear" w:color="auto" w:fill="C6EFCE"/>
            <w:noWrap/>
          </w:tcPr>
          <w:p w14:paraId="10982EED" w14:textId="77777777" w:rsidR="00FA7C11" w:rsidRDefault="00D84965">
            <w:pPr>
              <w:pStyle w:val="P68B1DB1-Normal66"/>
              <w:spacing w:after="200" w:line="276" w:lineRule="auto"/>
              <w:jc w:val="center"/>
              <w:rPr>
                <w:noProof/>
              </w:rPr>
            </w:pPr>
            <w:r>
              <w:rPr>
                <w:noProof/>
              </w:rPr>
              <w:t>Î2</w:t>
            </w:r>
          </w:p>
        </w:tc>
        <w:tc>
          <w:tcPr>
            <w:tcW w:w="688" w:type="dxa"/>
            <w:shd w:val="clear" w:color="auto" w:fill="C6EFCE"/>
            <w:noWrap/>
          </w:tcPr>
          <w:p w14:paraId="394CF96A" w14:textId="77777777" w:rsidR="00FA7C11" w:rsidRDefault="00D84965">
            <w:pPr>
              <w:pStyle w:val="P68B1DB1-Normal66"/>
              <w:spacing w:after="200" w:line="276" w:lineRule="auto"/>
              <w:jc w:val="center"/>
              <w:rPr>
                <w:noProof/>
              </w:rPr>
            </w:pPr>
            <w:r>
              <w:rPr>
                <w:noProof/>
              </w:rPr>
              <w:t>2022</w:t>
            </w:r>
          </w:p>
        </w:tc>
        <w:tc>
          <w:tcPr>
            <w:tcW w:w="2840" w:type="dxa"/>
            <w:shd w:val="clear" w:color="auto" w:fill="C6EFCE"/>
            <w:noWrap/>
          </w:tcPr>
          <w:p w14:paraId="59091DA4" w14:textId="77777777" w:rsidR="00FA7C11" w:rsidRDefault="00D84965">
            <w:pPr>
              <w:pStyle w:val="P68B1DB1-Normal66"/>
              <w:spacing w:after="200" w:line="276" w:lineRule="auto"/>
              <w:rPr>
                <w:noProof/>
              </w:rPr>
            </w:pPr>
            <w:r>
              <w:rPr>
                <w:noProof/>
              </w:rPr>
              <w:t>Formarea mentorilor sociali se efectuează prin intermediul a 15 module și este completată de 220 profesioniști. Acest serviciu respectă principiile profesiei de asistent social și completează activitățile deja existente ale centrelor de asistență socială. Aceasta abordează necesitatea de a coopera cu alți furnizori de servicii sociale din cadrul comunității și necesitatea de a implica în mod activ beneficiarii sistemelor de protecție socială în depășirea propriei lor excluziuni sociale.</w:t>
            </w:r>
          </w:p>
        </w:tc>
      </w:tr>
      <w:tr w:rsidR="00FA7C11" w14:paraId="05247A20" w14:textId="77777777">
        <w:trPr>
          <w:trHeight w:val="282"/>
          <w:jc w:val="center"/>
        </w:trPr>
        <w:tc>
          <w:tcPr>
            <w:tcW w:w="1006" w:type="dxa"/>
            <w:shd w:val="clear" w:color="auto" w:fill="C6EFCE"/>
            <w:noWrap/>
          </w:tcPr>
          <w:p w14:paraId="4B8B3782" w14:textId="77777777" w:rsidR="00FA7C11" w:rsidRDefault="00D84965">
            <w:pPr>
              <w:pStyle w:val="P68B1DB1-Normal66"/>
              <w:spacing w:after="200" w:line="276" w:lineRule="auto"/>
              <w:jc w:val="center"/>
              <w:rPr>
                <w:noProof/>
              </w:rPr>
            </w:pPr>
            <w:r>
              <w:rPr>
                <w:noProof/>
              </w:rPr>
              <w:t>310</w:t>
            </w:r>
          </w:p>
        </w:tc>
        <w:tc>
          <w:tcPr>
            <w:tcW w:w="1272" w:type="dxa"/>
            <w:shd w:val="clear" w:color="auto" w:fill="C6EFCE"/>
            <w:noWrap/>
          </w:tcPr>
          <w:p w14:paraId="36DD5503" w14:textId="77777777" w:rsidR="00FA7C11" w:rsidRDefault="00D84965">
            <w:pPr>
              <w:pStyle w:val="P68B1DB1-Normal66"/>
              <w:spacing w:after="200" w:line="276" w:lineRule="auto"/>
              <w:jc w:val="center"/>
              <w:rPr>
                <w:noProof/>
              </w:rPr>
            </w:pPr>
            <w:r>
              <w:rPr>
                <w:noProof/>
              </w:rPr>
              <w:t>C4.3. R2-I1</w:t>
            </w:r>
          </w:p>
        </w:tc>
        <w:tc>
          <w:tcPr>
            <w:tcW w:w="1080" w:type="dxa"/>
            <w:shd w:val="clear" w:color="auto" w:fill="C6EFCE"/>
            <w:noWrap/>
          </w:tcPr>
          <w:p w14:paraId="6413254F" w14:textId="77777777" w:rsidR="00FA7C11" w:rsidRDefault="00D84965">
            <w:pPr>
              <w:pStyle w:val="P68B1DB1-Normal66"/>
              <w:spacing w:after="200" w:line="276" w:lineRule="auto"/>
              <w:jc w:val="center"/>
              <w:rPr>
                <w:noProof/>
              </w:rPr>
            </w:pPr>
            <w:r>
              <w:rPr>
                <w:noProof/>
              </w:rPr>
              <w:t>T</w:t>
            </w:r>
          </w:p>
        </w:tc>
        <w:tc>
          <w:tcPr>
            <w:tcW w:w="1680" w:type="dxa"/>
            <w:shd w:val="clear" w:color="auto" w:fill="C6EFCE"/>
            <w:noWrap/>
          </w:tcPr>
          <w:p w14:paraId="4D8B4401" w14:textId="77777777" w:rsidR="00FA7C11" w:rsidRDefault="00D84965">
            <w:pPr>
              <w:pStyle w:val="P68B1DB1-Normal66"/>
              <w:spacing w:after="200" w:line="276" w:lineRule="auto"/>
              <w:rPr>
                <w:noProof/>
              </w:rPr>
            </w:pPr>
            <w:r>
              <w:rPr>
                <w:noProof/>
              </w:rPr>
              <w:t xml:space="preserve">Angajarea profesioniștilor din domeniul mentoratului social </w:t>
            </w:r>
          </w:p>
        </w:tc>
        <w:tc>
          <w:tcPr>
            <w:tcW w:w="2040" w:type="dxa"/>
            <w:shd w:val="clear" w:color="auto" w:fill="C6EFCE"/>
            <w:noWrap/>
          </w:tcPr>
          <w:p w14:paraId="72BCC150" w14:textId="77777777" w:rsidR="00FA7C11" w:rsidRDefault="00D84965">
            <w:pPr>
              <w:pStyle w:val="P68B1DB1-Normal66"/>
              <w:spacing w:after="200" w:line="276" w:lineRule="auto"/>
              <w:rPr>
                <w:noProof/>
              </w:rPr>
            </w:pPr>
            <w:r>
              <w:rPr>
                <w:noProof/>
              </w:rPr>
              <w:t xml:space="preserve"> </w:t>
            </w:r>
          </w:p>
        </w:tc>
        <w:tc>
          <w:tcPr>
            <w:tcW w:w="960" w:type="dxa"/>
            <w:shd w:val="clear" w:color="auto" w:fill="C6EFCE"/>
            <w:noWrap/>
          </w:tcPr>
          <w:p w14:paraId="4E5109EE" w14:textId="77777777" w:rsidR="00FA7C11" w:rsidRDefault="00D84965">
            <w:pPr>
              <w:pStyle w:val="P68B1DB1-Normal66"/>
              <w:spacing w:after="200" w:line="276" w:lineRule="auto"/>
              <w:jc w:val="center"/>
              <w:rPr>
                <w:noProof/>
              </w:rPr>
            </w:pPr>
            <w:r>
              <w:rPr>
                <w:noProof/>
              </w:rPr>
              <w:t>Număr</w:t>
            </w:r>
          </w:p>
        </w:tc>
        <w:tc>
          <w:tcPr>
            <w:tcW w:w="1320" w:type="dxa"/>
            <w:shd w:val="clear" w:color="auto" w:fill="C6EFCE"/>
            <w:noWrap/>
          </w:tcPr>
          <w:p w14:paraId="15F6D0A5" w14:textId="77777777" w:rsidR="00FA7C11" w:rsidRDefault="00D84965">
            <w:pPr>
              <w:pStyle w:val="P68B1DB1-Normal66"/>
              <w:spacing w:after="200" w:line="276" w:lineRule="auto"/>
              <w:jc w:val="center"/>
              <w:rPr>
                <w:noProof/>
              </w:rPr>
            </w:pPr>
            <w:r>
              <w:rPr>
                <w:noProof/>
              </w:rPr>
              <w:t>0</w:t>
            </w:r>
          </w:p>
        </w:tc>
        <w:tc>
          <w:tcPr>
            <w:tcW w:w="1080" w:type="dxa"/>
            <w:shd w:val="clear" w:color="auto" w:fill="C6EFCE"/>
            <w:noWrap/>
          </w:tcPr>
          <w:p w14:paraId="38AF13F9" w14:textId="77777777" w:rsidR="00FA7C11" w:rsidRDefault="00D84965">
            <w:pPr>
              <w:pStyle w:val="P68B1DB1-Normal66"/>
              <w:spacing w:after="200" w:line="276" w:lineRule="auto"/>
              <w:jc w:val="center"/>
              <w:rPr>
                <w:noProof/>
              </w:rPr>
            </w:pPr>
            <w:r>
              <w:rPr>
                <w:noProof/>
              </w:rPr>
              <w:t>220</w:t>
            </w:r>
          </w:p>
        </w:tc>
        <w:tc>
          <w:tcPr>
            <w:tcW w:w="840" w:type="dxa"/>
            <w:shd w:val="clear" w:color="auto" w:fill="C6EFCE"/>
            <w:noWrap/>
          </w:tcPr>
          <w:p w14:paraId="2F9DFC9E" w14:textId="77777777" w:rsidR="00FA7C11" w:rsidRDefault="00D84965">
            <w:pPr>
              <w:pStyle w:val="P68B1DB1-Normal66"/>
              <w:spacing w:after="200" w:line="276" w:lineRule="auto"/>
              <w:jc w:val="center"/>
              <w:rPr>
                <w:noProof/>
              </w:rPr>
            </w:pPr>
            <w:r>
              <w:rPr>
                <w:noProof/>
              </w:rPr>
              <w:t>Î4</w:t>
            </w:r>
          </w:p>
        </w:tc>
        <w:tc>
          <w:tcPr>
            <w:tcW w:w="688" w:type="dxa"/>
            <w:shd w:val="clear" w:color="auto" w:fill="C6EFCE"/>
            <w:noWrap/>
          </w:tcPr>
          <w:p w14:paraId="5AF105F9" w14:textId="77777777" w:rsidR="00FA7C11" w:rsidRDefault="00D84965">
            <w:pPr>
              <w:pStyle w:val="P68B1DB1-Normal66"/>
              <w:spacing w:after="200" w:line="276" w:lineRule="auto"/>
              <w:jc w:val="center"/>
              <w:rPr>
                <w:noProof/>
              </w:rPr>
            </w:pPr>
            <w:r>
              <w:rPr>
                <w:noProof/>
              </w:rPr>
              <w:t>2025</w:t>
            </w:r>
          </w:p>
        </w:tc>
        <w:tc>
          <w:tcPr>
            <w:tcW w:w="2840" w:type="dxa"/>
            <w:shd w:val="clear" w:color="auto" w:fill="C6EFCE"/>
            <w:noWrap/>
          </w:tcPr>
          <w:p w14:paraId="6B7F13B8" w14:textId="77777777" w:rsidR="00FA7C11" w:rsidRDefault="00D84965">
            <w:pPr>
              <w:pStyle w:val="P68B1DB1-Normal66"/>
              <w:spacing w:after="200" w:line="276" w:lineRule="auto"/>
              <w:rPr>
                <w:noProof/>
              </w:rPr>
            </w:pPr>
            <w:r>
              <w:rPr>
                <w:noProof/>
              </w:rPr>
              <w:t xml:space="preserve">Angajarea a 220 de profesioniști în domeniul mentoratului social în toate cele 21 servicii regionale ale Institutului Croat de Asistență Socială. </w:t>
            </w:r>
          </w:p>
        </w:tc>
      </w:tr>
      <w:tr w:rsidR="00FA7C11" w14:paraId="151FE50F" w14:textId="77777777">
        <w:trPr>
          <w:trHeight w:val="282"/>
          <w:jc w:val="center"/>
        </w:trPr>
        <w:tc>
          <w:tcPr>
            <w:tcW w:w="1006" w:type="dxa"/>
            <w:shd w:val="clear" w:color="auto" w:fill="C6EFCE"/>
            <w:noWrap/>
          </w:tcPr>
          <w:p w14:paraId="636DCFE6" w14:textId="77777777" w:rsidR="00FA7C11" w:rsidRDefault="00D84965">
            <w:pPr>
              <w:pStyle w:val="P68B1DB1-Normal66"/>
              <w:spacing w:after="200" w:line="276" w:lineRule="auto"/>
              <w:jc w:val="center"/>
              <w:rPr>
                <w:noProof/>
              </w:rPr>
            </w:pPr>
            <w:r>
              <w:rPr>
                <w:noProof/>
              </w:rPr>
              <w:t>312</w:t>
            </w:r>
          </w:p>
        </w:tc>
        <w:tc>
          <w:tcPr>
            <w:tcW w:w="1272" w:type="dxa"/>
            <w:shd w:val="clear" w:color="auto" w:fill="C6EFCE"/>
            <w:noWrap/>
          </w:tcPr>
          <w:p w14:paraId="06CDA631" w14:textId="77777777" w:rsidR="00FA7C11" w:rsidRDefault="00D84965">
            <w:pPr>
              <w:pStyle w:val="P68B1DB1-Normal66"/>
              <w:spacing w:after="200" w:line="276" w:lineRule="auto"/>
              <w:jc w:val="center"/>
              <w:rPr>
                <w:noProof/>
              </w:rPr>
            </w:pPr>
            <w:r>
              <w:rPr>
                <w:noProof/>
              </w:rPr>
              <w:t>C4.3. R3</w:t>
            </w:r>
          </w:p>
        </w:tc>
        <w:tc>
          <w:tcPr>
            <w:tcW w:w="1080" w:type="dxa"/>
            <w:shd w:val="clear" w:color="auto" w:fill="C6EFCE"/>
            <w:noWrap/>
          </w:tcPr>
          <w:p w14:paraId="1A6D4E0A" w14:textId="77777777" w:rsidR="00FA7C11" w:rsidRDefault="00D84965">
            <w:pPr>
              <w:pStyle w:val="P68B1DB1-Normal66"/>
              <w:spacing w:after="200" w:line="276" w:lineRule="auto"/>
              <w:jc w:val="center"/>
              <w:rPr>
                <w:noProof/>
              </w:rPr>
            </w:pPr>
            <w:r>
              <w:rPr>
                <w:noProof/>
              </w:rPr>
              <w:t>M</w:t>
            </w:r>
          </w:p>
        </w:tc>
        <w:tc>
          <w:tcPr>
            <w:tcW w:w="1680" w:type="dxa"/>
            <w:shd w:val="clear" w:color="auto" w:fill="C6EFCE"/>
            <w:noWrap/>
          </w:tcPr>
          <w:p w14:paraId="6E579DDC" w14:textId="77777777" w:rsidR="00FA7C11" w:rsidRDefault="00D84965">
            <w:pPr>
              <w:pStyle w:val="P68B1DB1-Normal66"/>
              <w:spacing w:after="200" w:line="276" w:lineRule="auto"/>
              <w:rPr>
                <w:noProof/>
              </w:rPr>
            </w:pPr>
            <w:r>
              <w:rPr>
                <w:noProof/>
              </w:rPr>
              <w:t>Adoptarea Planului național de dezvoltare a serviciilor sociale 2021-2027</w:t>
            </w:r>
          </w:p>
        </w:tc>
        <w:tc>
          <w:tcPr>
            <w:tcW w:w="2040" w:type="dxa"/>
            <w:shd w:val="clear" w:color="auto" w:fill="C6EFCE"/>
            <w:noWrap/>
          </w:tcPr>
          <w:p w14:paraId="32500506" w14:textId="77777777" w:rsidR="00FA7C11" w:rsidRDefault="00D84965">
            <w:pPr>
              <w:pStyle w:val="P68B1DB1-Normal66"/>
              <w:spacing w:after="200" w:line="276" w:lineRule="auto"/>
              <w:rPr>
                <w:noProof/>
              </w:rPr>
            </w:pPr>
            <w:r>
              <w:rPr>
                <w:noProof/>
              </w:rPr>
              <w:t>Adoptarea Planului național de dezvoltare a serviciilor sociale 2021-2027</w:t>
            </w:r>
          </w:p>
        </w:tc>
        <w:tc>
          <w:tcPr>
            <w:tcW w:w="960" w:type="dxa"/>
            <w:shd w:val="clear" w:color="auto" w:fill="C6EFCE"/>
            <w:noWrap/>
          </w:tcPr>
          <w:p w14:paraId="42DD73A6" w14:textId="77777777" w:rsidR="00FA7C11" w:rsidRDefault="00D84965">
            <w:pPr>
              <w:pStyle w:val="P68B1DB1-Normal66"/>
              <w:spacing w:after="200" w:line="276" w:lineRule="auto"/>
              <w:jc w:val="center"/>
              <w:rPr>
                <w:noProof/>
              </w:rPr>
            </w:pPr>
            <w:r>
              <w:rPr>
                <w:noProof/>
              </w:rPr>
              <w:t> </w:t>
            </w:r>
          </w:p>
        </w:tc>
        <w:tc>
          <w:tcPr>
            <w:tcW w:w="1320" w:type="dxa"/>
            <w:shd w:val="clear" w:color="auto" w:fill="C6EFCE"/>
            <w:noWrap/>
          </w:tcPr>
          <w:p w14:paraId="44AA712F" w14:textId="77777777" w:rsidR="00FA7C11" w:rsidRDefault="00D84965">
            <w:pPr>
              <w:pStyle w:val="P68B1DB1-Normal66"/>
              <w:spacing w:after="200" w:line="276" w:lineRule="auto"/>
              <w:jc w:val="center"/>
              <w:rPr>
                <w:noProof/>
              </w:rPr>
            </w:pPr>
            <w:r>
              <w:rPr>
                <w:noProof/>
              </w:rPr>
              <w:t> </w:t>
            </w:r>
          </w:p>
        </w:tc>
        <w:tc>
          <w:tcPr>
            <w:tcW w:w="1080" w:type="dxa"/>
            <w:shd w:val="clear" w:color="auto" w:fill="C6EFCE"/>
            <w:noWrap/>
          </w:tcPr>
          <w:p w14:paraId="59C4F5A9" w14:textId="77777777" w:rsidR="00FA7C11" w:rsidRDefault="00D84965">
            <w:pPr>
              <w:pStyle w:val="P68B1DB1-Normal66"/>
              <w:spacing w:after="200" w:line="276" w:lineRule="auto"/>
              <w:jc w:val="center"/>
              <w:rPr>
                <w:noProof/>
              </w:rPr>
            </w:pPr>
            <w:r>
              <w:rPr>
                <w:noProof/>
              </w:rPr>
              <w:t> </w:t>
            </w:r>
          </w:p>
        </w:tc>
        <w:tc>
          <w:tcPr>
            <w:tcW w:w="840" w:type="dxa"/>
            <w:shd w:val="clear" w:color="auto" w:fill="C6EFCE"/>
            <w:noWrap/>
          </w:tcPr>
          <w:p w14:paraId="74112936" w14:textId="77777777" w:rsidR="00FA7C11" w:rsidRDefault="00D84965">
            <w:pPr>
              <w:pStyle w:val="P68B1DB1-Normal66"/>
              <w:spacing w:after="200" w:line="276" w:lineRule="auto"/>
              <w:jc w:val="center"/>
              <w:rPr>
                <w:noProof/>
              </w:rPr>
            </w:pPr>
            <w:r>
              <w:rPr>
                <w:noProof/>
              </w:rPr>
              <w:t>Î3</w:t>
            </w:r>
          </w:p>
        </w:tc>
        <w:tc>
          <w:tcPr>
            <w:tcW w:w="688" w:type="dxa"/>
            <w:shd w:val="clear" w:color="auto" w:fill="C6EFCE"/>
            <w:noWrap/>
          </w:tcPr>
          <w:p w14:paraId="5166EE22" w14:textId="77777777" w:rsidR="00FA7C11" w:rsidRDefault="00D84965">
            <w:pPr>
              <w:pStyle w:val="P68B1DB1-Normal66"/>
              <w:spacing w:after="200" w:line="276" w:lineRule="auto"/>
              <w:jc w:val="center"/>
              <w:rPr>
                <w:noProof/>
              </w:rPr>
            </w:pPr>
            <w:r>
              <w:rPr>
                <w:noProof/>
              </w:rPr>
              <w:t>2021</w:t>
            </w:r>
          </w:p>
        </w:tc>
        <w:tc>
          <w:tcPr>
            <w:tcW w:w="2840" w:type="dxa"/>
            <w:shd w:val="clear" w:color="auto" w:fill="C6EFCE"/>
            <w:noWrap/>
          </w:tcPr>
          <w:p w14:paraId="74CA6F61" w14:textId="77777777" w:rsidR="00FA7C11" w:rsidRDefault="00D84965">
            <w:pPr>
              <w:pStyle w:val="P68B1DB1-Normal59"/>
              <w:spacing w:after="200" w:line="276" w:lineRule="auto"/>
              <w:contextualSpacing/>
              <w:rPr>
                <w:rFonts w:ascii="Times New Roman" w:eastAsia="Calibri" w:hAnsi="Times New Roman" w:cs="Times New Roman"/>
                <w:noProof/>
              </w:rPr>
            </w:pPr>
            <w:r>
              <w:rPr>
                <w:rFonts w:ascii="Times New Roman" w:eastAsia="Calibri" w:hAnsi="Times New Roman" w:cs="Times New Roman"/>
                <w:noProof/>
                <w:color w:val="000000" w:themeColor="text1"/>
              </w:rPr>
              <w:t>Planul național pentru dezvoltarea serviciilor sociale 2021-2027 va identifica prioritățile pentru dezvoltarea serviciilor sociale și va evidenția nevoile tuturor grupurilor de utilizatori pentru diferite forme de îngrijire, atât neinstituționale, cât și instituționale, în vederea realizării unui plan de îngrijire sistematic și holistic, care să fie adaptat nevoilor utilizatorilor. Planul definește și stabilește, de asemenea, criteriile necesare pentru dezvoltarea serviciilor de reședință, a serviciilor la domiciliu și a serviciilor comunitare, precum și a altor servicii care îmbunătățesc calitatea vieții și permit utilizatorilor să rămână mai mult timp în casele și în comunitatea lor. Planul prezintă, de asemenea, introducerea unui serviciu de mentorat social, precum și tranziția de la serviciile instituționale la cele la domiciliu și la nivelul comunității în ceea ce privește îngrijirea persoanelor în vârstă, care:</w:t>
            </w:r>
            <w:r>
              <w:rPr>
                <w:rFonts w:ascii="Times New Roman" w:hAnsi="Times New Roman" w:cs="Times New Roman"/>
                <w:noProof/>
              </w:rPr>
              <w:br/>
            </w:r>
            <w:r>
              <w:rPr>
                <w:rFonts w:ascii="Times New Roman" w:eastAsia="Calibri" w:hAnsi="Times New Roman" w:cs="Times New Roman"/>
                <w:noProof/>
                <w:color w:val="000000" w:themeColor="text1"/>
              </w:rPr>
              <w:t xml:space="preserve">— Sprijinirea dezvoltării serviciilor la domiciliu și a serviciilor comunitare de îngrijire pe termen lung; </w:t>
            </w:r>
            <w:r>
              <w:rPr>
                <w:rFonts w:ascii="Times New Roman" w:hAnsi="Times New Roman" w:cs="Times New Roman"/>
                <w:noProof/>
              </w:rPr>
              <w:br/>
            </w:r>
            <w:r>
              <w:rPr>
                <w:rFonts w:ascii="Times New Roman" w:eastAsia="Calibri" w:hAnsi="Times New Roman" w:cs="Times New Roman"/>
                <w:noProof/>
                <w:color w:val="000000" w:themeColor="text1"/>
              </w:rPr>
              <w:t>— Să asigure disponibilitatea serviciilor instituționale numai pentru persoanele în vârstă care depind în totalitate, din punct de vedere funcțional, de îngrijirea instituționalizată și ale căror nevoi nu pot fi satisfăcute prin servicii neinstituționalizate;</w:t>
            </w:r>
            <w:r>
              <w:rPr>
                <w:rFonts w:ascii="Times New Roman" w:hAnsi="Times New Roman" w:cs="Times New Roman"/>
                <w:noProof/>
              </w:rPr>
              <w:br/>
            </w:r>
            <w:r>
              <w:rPr>
                <w:rFonts w:ascii="Times New Roman" w:eastAsia="Calibri" w:hAnsi="Times New Roman" w:cs="Times New Roman"/>
                <w:noProof/>
                <w:color w:val="000000" w:themeColor="text1"/>
              </w:rPr>
              <w:t>— Să introducă planificarea îngrijirii de tip semirezidențial sau rezidențial, cu o preferință puternică pentru serviciile de îngrijire la domiciliu, ținând seama de disponibilitatea serviciilor și de nevoile utilizatorilor.</w:t>
            </w:r>
          </w:p>
        </w:tc>
      </w:tr>
      <w:tr w:rsidR="00FA7C11" w14:paraId="03BCBFE9" w14:textId="77777777">
        <w:trPr>
          <w:trHeight w:val="282"/>
          <w:jc w:val="center"/>
        </w:trPr>
        <w:tc>
          <w:tcPr>
            <w:tcW w:w="1006" w:type="dxa"/>
            <w:shd w:val="clear" w:color="auto" w:fill="C6EFCE"/>
            <w:noWrap/>
          </w:tcPr>
          <w:p w14:paraId="03A33E01" w14:textId="77777777" w:rsidR="00FA7C11" w:rsidRDefault="00D84965">
            <w:pPr>
              <w:pStyle w:val="P68B1DB1-Normal66"/>
              <w:spacing w:after="200" w:line="276" w:lineRule="auto"/>
              <w:jc w:val="center"/>
              <w:rPr>
                <w:noProof/>
              </w:rPr>
            </w:pPr>
            <w:r>
              <w:rPr>
                <w:noProof/>
              </w:rPr>
              <w:t>313</w:t>
            </w:r>
          </w:p>
        </w:tc>
        <w:tc>
          <w:tcPr>
            <w:tcW w:w="1272" w:type="dxa"/>
            <w:shd w:val="clear" w:color="auto" w:fill="C6EFCE"/>
            <w:noWrap/>
          </w:tcPr>
          <w:p w14:paraId="288E5FC4" w14:textId="77777777" w:rsidR="00FA7C11" w:rsidRDefault="00D84965">
            <w:pPr>
              <w:pStyle w:val="P68B1DB1-Normal66"/>
              <w:spacing w:after="200" w:line="276" w:lineRule="auto"/>
              <w:jc w:val="center"/>
              <w:rPr>
                <w:noProof/>
              </w:rPr>
            </w:pPr>
            <w:r>
              <w:rPr>
                <w:noProof/>
              </w:rPr>
              <w:t>C4.3. R3</w:t>
            </w:r>
          </w:p>
        </w:tc>
        <w:tc>
          <w:tcPr>
            <w:tcW w:w="1080" w:type="dxa"/>
            <w:shd w:val="clear" w:color="auto" w:fill="C6EFCE"/>
            <w:noWrap/>
          </w:tcPr>
          <w:p w14:paraId="78FCACE7" w14:textId="77777777" w:rsidR="00FA7C11" w:rsidRDefault="00D84965">
            <w:pPr>
              <w:pStyle w:val="P68B1DB1-Normal66"/>
              <w:spacing w:after="200" w:line="276" w:lineRule="auto"/>
              <w:jc w:val="center"/>
              <w:rPr>
                <w:noProof/>
              </w:rPr>
            </w:pPr>
            <w:r>
              <w:rPr>
                <w:noProof/>
              </w:rPr>
              <w:t>M</w:t>
            </w:r>
          </w:p>
        </w:tc>
        <w:tc>
          <w:tcPr>
            <w:tcW w:w="1680" w:type="dxa"/>
            <w:shd w:val="clear" w:color="auto" w:fill="C6EFCE"/>
            <w:noWrap/>
          </w:tcPr>
          <w:p w14:paraId="10821DCC" w14:textId="77777777" w:rsidR="00FA7C11" w:rsidRDefault="00D84965">
            <w:pPr>
              <w:pStyle w:val="P68B1DB1-Normal66"/>
              <w:spacing w:after="200" w:line="276" w:lineRule="auto"/>
              <w:rPr>
                <w:noProof/>
              </w:rPr>
            </w:pPr>
            <w:r>
              <w:rPr>
                <w:noProof/>
              </w:rPr>
              <w:t xml:space="preserve">Adoptarea standardelor de tratament pentru asistenții familiali </w:t>
            </w:r>
          </w:p>
        </w:tc>
        <w:tc>
          <w:tcPr>
            <w:tcW w:w="2040" w:type="dxa"/>
            <w:shd w:val="clear" w:color="auto" w:fill="C6EFCE"/>
            <w:noWrap/>
          </w:tcPr>
          <w:p w14:paraId="6ABDC298" w14:textId="31C9A511" w:rsidR="00FA7C11" w:rsidRDefault="00D84965">
            <w:pPr>
              <w:pStyle w:val="P68B1DB1-Normal66"/>
              <w:spacing w:after="200" w:line="276" w:lineRule="auto"/>
              <w:rPr>
                <w:noProof/>
              </w:rPr>
            </w:pPr>
            <w:r>
              <w:rPr>
                <w:noProof/>
              </w:rPr>
              <w:t xml:space="preserve">Adoptarea standardelor de tratament pentru asistenții familiali  </w:t>
            </w:r>
          </w:p>
        </w:tc>
        <w:tc>
          <w:tcPr>
            <w:tcW w:w="960" w:type="dxa"/>
            <w:shd w:val="clear" w:color="auto" w:fill="C6EFCE"/>
            <w:noWrap/>
          </w:tcPr>
          <w:p w14:paraId="0CDF36DC" w14:textId="77777777" w:rsidR="00FA7C11" w:rsidRDefault="00D84965">
            <w:pPr>
              <w:pStyle w:val="P68B1DB1-Normal66"/>
              <w:spacing w:after="200" w:line="276" w:lineRule="auto"/>
              <w:jc w:val="center"/>
              <w:rPr>
                <w:noProof/>
              </w:rPr>
            </w:pPr>
            <w:r>
              <w:rPr>
                <w:noProof/>
              </w:rPr>
              <w:t> </w:t>
            </w:r>
          </w:p>
        </w:tc>
        <w:tc>
          <w:tcPr>
            <w:tcW w:w="1320" w:type="dxa"/>
            <w:shd w:val="clear" w:color="auto" w:fill="C6EFCE"/>
            <w:noWrap/>
          </w:tcPr>
          <w:p w14:paraId="6A485024" w14:textId="77777777" w:rsidR="00FA7C11" w:rsidRDefault="00D84965">
            <w:pPr>
              <w:pStyle w:val="P68B1DB1-Normal66"/>
              <w:spacing w:after="200" w:line="276" w:lineRule="auto"/>
              <w:jc w:val="center"/>
              <w:rPr>
                <w:noProof/>
              </w:rPr>
            </w:pPr>
            <w:r>
              <w:rPr>
                <w:noProof/>
              </w:rPr>
              <w:t> </w:t>
            </w:r>
          </w:p>
        </w:tc>
        <w:tc>
          <w:tcPr>
            <w:tcW w:w="1080" w:type="dxa"/>
            <w:shd w:val="clear" w:color="auto" w:fill="C6EFCE"/>
            <w:noWrap/>
          </w:tcPr>
          <w:p w14:paraId="73375416" w14:textId="77777777" w:rsidR="00FA7C11" w:rsidRDefault="00D84965">
            <w:pPr>
              <w:pStyle w:val="P68B1DB1-Normal66"/>
              <w:spacing w:after="200" w:line="276" w:lineRule="auto"/>
              <w:jc w:val="center"/>
              <w:rPr>
                <w:noProof/>
              </w:rPr>
            </w:pPr>
            <w:r>
              <w:rPr>
                <w:noProof/>
              </w:rPr>
              <w:t> </w:t>
            </w:r>
          </w:p>
        </w:tc>
        <w:tc>
          <w:tcPr>
            <w:tcW w:w="840" w:type="dxa"/>
            <w:shd w:val="clear" w:color="auto" w:fill="C6EFCE"/>
            <w:noWrap/>
          </w:tcPr>
          <w:p w14:paraId="2CA1B61F" w14:textId="77777777" w:rsidR="00FA7C11" w:rsidRDefault="00D84965">
            <w:pPr>
              <w:pStyle w:val="P68B1DB1-Normal66"/>
              <w:spacing w:after="200" w:line="276" w:lineRule="auto"/>
              <w:jc w:val="center"/>
              <w:rPr>
                <w:noProof/>
              </w:rPr>
            </w:pPr>
            <w:r>
              <w:rPr>
                <w:noProof/>
              </w:rPr>
              <w:t>Î4</w:t>
            </w:r>
          </w:p>
        </w:tc>
        <w:tc>
          <w:tcPr>
            <w:tcW w:w="688" w:type="dxa"/>
            <w:shd w:val="clear" w:color="auto" w:fill="C6EFCE"/>
            <w:noWrap/>
          </w:tcPr>
          <w:p w14:paraId="52D48CEA" w14:textId="77777777" w:rsidR="00FA7C11" w:rsidRDefault="00D84965">
            <w:pPr>
              <w:pStyle w:val="P68B1DB1-Normal66"/>
              <w:spacing w:after="200" w:line="276" w:lineRule="auto"/>
              <w:jc w:val="center"/>
              <w:rPr>
                <w:noProof/>
              </w:rPr>
            </w:pPr>
            <w:r>
              <w:rPr>
                <w:noProof/>
              </w:rPr>
              <w:t>2022</w:t>
            </w:r>
          </w:p>
        </w:tc>
        <w:tc>
          <w:tcPr>
            <w:tcW w:w="2840" w:type="dxa"/>
            <w:shd w:val="clear" w:color="auto" w:fill="C6EFCE"/>
            <w:noWrap/>
          </w:tcPr>
          <w:p w14:paraId="3F2EDC0D" w14:textId="77777777" w:rsidR="00FA7C11" w:rsidRDefault="00D84965">
            <w:pPr>
              <w:pStyle w:val="P68B1DB1-Normal66"/>
              <w:spacing w:after="200" w:line="276" w:lineRule="auto"/>
              <w:rPr>
                <w:noProof/>
              </w:rPr>
            </w:pPr>
            <w:r>
              <w:rPr>
                <w:noProof/>
              </w:rPr>
              <w:t>Standardele elaborate pentru reglementarea activităților asistenților familiali permit furnizarea armonizată de servicii la fața locului la domiciliul beneficiarului, în cooperare cu alte părți interesate de la nivelul comunității locale.</w:t>
            </w:r>
          </w:p>
        </w:tc>
      </w:tr>
      <w:tr w:rsidR="00FA7C11" w14:paraId="67647A83" w14:textId="77777777">
        <w:trPr>
          <w:trHeight w:val="282"/>
          <w:jc w:val="center"/>
        </w:trPr>
        <w:tc>
          <w:tcPr>
            <w:tcW w:w="1006" w:type="dxa"/>
            <w:shd w:val="clear" w:color="auto" w:fill="C6EFCE"/>
            <w:noWrap/>
          </w:tcPr>
          <w:p w14:paraId="7B1AF14F" w14:textId="77777777" w:rsidR="00FA7C11" w:rsidRDefault="00D84965">
            <w:pPr>
              <w:pStyle w:val="P68B1DB1-Normal66"/>
              <w:spacing w:after="200" w:line="276" w:lineRule="auto"/>
              <w:jc w:val="center"/>
              <w:rPr>
                <w:noProof/>
              </w:rPr>
            </w:pPr>
            <w:r>
              <w:rPr>
                <w:noProof/>
              </w:rPr>
              <w:t>314</w:t>
            </w:r>
          </w:p>
        </w:tc>
        <w:tc>
          <w:tcPr>
            <w:tcW w:w="1272" w:type="dxa"/>
            <w:shd w:val="clear" w:color="auto" w:fill="C6EFCE"/>
            <w:noWrap/>
          </w:tcPr>
          <w:p w14:paraId="53A84F38" w14:textId="77777777" w:rsidR="00FA7C11" w:rsidRDefault="00D84965">
            <w:pPr>
              <w:pStyle w:val="P68B1DB1-Normal66"/>
              <w:spacing w:after="200" w:line="276" w:lineRule="auto"/>
              <w:jc w:val="center"/>
              <w:rPr>
                <w:noProof/>
              </w:rPr>
            </w:pPr>
            <w:r>
              <w:rPr>
                <w:noProof/>
              </w:rPr>
              <w:t>C4.3. R3-I1</w:t>
            </w:r>
          </w:p>
        </w:tc>
        <w:tc>
          <w:tcPr>
            <w:tcW w:w="1080" w:type="dxa"/>
            <w:shd w:val="clear" w:color="auto" w:fill="C6EFCE"/>
            <w:noWrap/>
          </w:tcPr>
          <w:p w14:paraId="7AF40A5B" w14:textId="77777777" w:rsidR="00FA7C11" w:rsidRDefault="00D84965">
            <w:pPr>
              <w:pStyle w:val="P68B1DB1-Normal66"/>
              <w:spacing w:after="200" w:line="276" w:lineRule="auto"/>
              <w:jc w:val="center"/>
              <w:rPr>
                <w:noProof/>
              </w:rPr>
            </w:pPr>
            <w:r>
              <w:rPr>
                <w:noProof/>
              </w:rPr>
              <w:t>T</w:t>
            </w:r>
          </w:p>
        </w:tc>
        <w:tc>
          <w:tcPr>
            <w:tcW w:w="1680" w:type="dxa"/>
            <w:shd w:val="clear" w:color="auto" w:fill="C6EFCE"/>
            <w:noWrap/>
          </w:tcPr>
          <w:p w14:paraId="7F3E3E4A" w14:textId="77777777" w:rsidR="00FA7C11" w:rsidRDefault="00D84965">
            <w:pPr>
              <w:pStyle w:val="P68B1DB1-Normal66"/>
              <w:spacing w:after="200" w:line="276" w:lineRule="auto"/>
              <w:rPr>
                <w:noProof/>
              </w:rPr>
            </w:pPr>
            <w:r>
              <w:rPr>
                <w:noProof/>
              </w:rPr>
              <w:t>Consolidarea capacității umane de a furniza servicii comunitare</w:t>
            </w:r>
          </w:p>
        </w:tc>
        <w:tc>
          <w:tcPr>
            <w:tcW w:w="2040" w:type="dxa"/>
            <w:shd w:val="clear" w:color="auto" w:fill="C6EFCE"/>
            <w:noWrap/>
          </w:tcPr>
          <w:p w14:paraId="11E89931" w14:textId="77777777" w:rsidR="00FA7C11" w:rsidRDefault="00D84965">
            <w:pPr>
              <w:pStyle w:val="P68B1DB1-Normal66"/>
              <w:spacing w:after="200" w:line="276" w:lineRule="auto"/>
              <w:rPr>
                <w:noProof/>
              </w:rPr>
            </w:pPr>
            <w:r>
              <w:rPr>
                <w:noProof/>
              </w:rPr>
              <w:t> </w:t>
            </w:r>
          </w:p>
        </w:tc>
        <w:tc>
          <w:tcPr>
            <w:tcW w:w="960" w:type="dxa"/>
            <w:shd w:val="clear" w:color="auto" w:fill="C6EFCE"/>
            <w:noWrap/>
          </w:tcPr>
          <w:p w14:paraId="2349AD77" w14:textId="77777777" w:rsidR="00FA7C11" w:rsidRDefault="00D84965">
            <w:pPr>
              <w:pStyle w:val="P68B1DB1-Normal66"/>
              <w:spacing w:after="200" w:line="276" w:lineRule="auto"/>
              <w:jc w:val="center"/>
              <w:rPr>
                <w:noProof/>
              </w:rPr>
            </w:pPr>
            <w:r>
              <w:rPr>
                <w:noProof/>
              </w:rPr>
              <w:t>Număr</w:t>
            </w:r>
          </w:p>
        </w:tc>
        <w:tc>
          <w:tcPr>
            <w:tcW w:w="1320" w:type="dxa"/>
            <w:shd w:val="clear" w:color="auto" w:fill="C6EFCE"/>
            <w:noWrap/>
          </w:tcPr>
          <w:p w14:paraId="5C907EB4" w14:textId="77777777" w:rsidR="00FA7C11" w:rsidRDefault="00D84965">
            <w:pPr>
              <w:pStyle w:val="P68B1DB1-Normal66"/>
              <w:spacing w:after="200" w:line="276" w:lineRule="auto"/>
              <w:ind w:right="638"/>
              <w:jc w:val="center"/>
              <w:rPr>
                <w:noProof/>
              </w:rPr>
            </w:pPr>
            <w:r>
              <w:rPr>
                <w:noProof/>
              </w:rPr>
              <w:t>0</w:t>
            </w:r>
          </w:p>
        </w:tc>
        <w:tc>
          <w:tcPr>
            <w:tcW w:w="1080" w:type="dxa"/>
            <w:shd w:val="clear" w:color="auto" w:fill="C6EFCE"/>
            <w:noWrap/>
          </w:tcPr>
          <w:p w14:paraId="2E599C61" w14:textId="77777777" w:rsidR="00FA7C11" w:rsidRDefault="00D84965">
            <w:pPr>
              <w:pStyle w:val="P68B1DB1-Normal66"/>
              <w:spacing w:after="200" w:line="276" w:lineRule="auto"/>
              <w:jc w:val="center"/>
              <w:rPr>
                <w:noProof/>
              </w:rPr>
            </w:pPr>
            <w:r>
              <w:rPr>
                <w:noProof/>
              </w:rPr>
              <w:t>400</w:t>
            </w:r>
          </w:p>
        </w:tc>
        <w:tc>
          <w:tcPr>
            <w:tcW w:w="840" w:type="dxa"/>
            <w:shd w:val="clear" w:color="auto" w:fill="C6EFCE"/>
            <w:noWrap/>
          </w:tcPr>
          <w:p w14:paraId="3ED0F8AD" w14:textId="77777777" w:rsidR="00FA7C11" w:rsidRDefault="00D84965">
            <w:pPr>
              <w:pStyle w:val="P68B1DB1-Normal66"/>
              <w:spacing w:after="200" w:line="276" w:lineRule="auto"/>
              <w:jc w:val="center"/>
              <w:rPr>
                <w:noProof/>
              </w:rPr>
            </w:pPr>
            <w:r>
              <w:rPr>
                <w:noProof/>
              </w:rPr>
              <w:t>Î4</w:t>
            </w:r>
          </w:p>
        </w:tc>
        <w:tc>
          <w:tcPr>
            <w:tcW w:w="688" w:type="dxa"/>
            <w:shd w:val="clear" w:color="auto" w:fill="C6EFCE"/>
            <w:noWrap/>
          </w:tcPr>
          <w:p w14:paraId="71E0CA9A" w14:textId="77777777" w:rsidR="00FA7C11" w:rsidRDefault="00D84965">
            <w:pPr>
              <w:pStyle w:val="P68B1DB1-Normal66"/>
              <w:spacing w:after="200" w:line="276" w:lineRule="auto"/>
              <w:jc w:val="center"/>
              <w:rPr>
                <w:noProof/>
              </w:rPr>
            </w:pPr>
            <w:r>
              <w:rPr>
                <w:noProof/>
              </w:rPr>
              <w:t>2024</w:t>
            </w:r>
          </w:p>
        </w:tc>
        <w:tc>
          <w:tcPr>
            <w:tcW w:w="2840" w:type="dxa"/>
            <w:shd w:val="clear" w:color="auto" w:fill="C6EFCE"/>
            <w:noWrap/>
          </w:tcPr>
          <w:p w14:paraId="57C97A44" w14:textId="77777777" w:rsidR="00FA7C11" w:rsidRDefault="00D84965">
            <w:pPr>
              <w:pStyle w:val="P68B1DB1-Normal66"/>
              <w:spacing w:after="200" w:line="276" w:lineRule="auto"/>
              <w:rPr>
                <w:noProof/>
              </w:rPr>
            </w:pPr>
            <w:r>
              <w:rPr>
                <w:noProof/>
              </w:rPr>
              <w:t>Prevenirea instituționalizării se realizează prin recrutarea de noi profesioniști în serviciile sociale pentru a furniza servicii neinstituționale și prin formarea și autorizarea consilierilor cu privire la măsurile legale de protecție a familiei. În special, se efectuează formarea continuă și specifică și acordarea de licențe profesioniștilor din instituțiile de asistență socială pentru punerea în aplicare a măsurilor legale de protecție a familiei pentru copii (educație și acordarea de licențe pentru un total de 750 de profesioniști din domeniul serviciilor sociale – consilieri privind măsurile legale de protecție a familiei și formarea a 30 asistenți familiali). Numărul de 400 de lucrători profesioniști va fi recrutat în instituțiile de asistență socială și în furnizorii de servicii sociale.</w:t>
            </w:r>
          </w:p>
        </w:tc>
      </w:tr>
      <w:tr w:rsidR="00FA7C11" w14:paraId="3820A945" w14:textId="77777777">
        <w:trPr>
          <w:trHeight w:val="282"/>
          <w:jc w:val="center"/>
        </w:trPr>
        <w:tc>
          <w:tcPr>
            <w:tcW w:w="1006" w:type="dxa"/>
            <w:shd w:val="clear" w:color="auto" w:fill="C6EFCE"/>
            <w:noWrap/>
          </w:tcPr>
          <w:p w14:paraId="14BCDE71" w14:textId="77777777" w:rsidR="00FA7C11" w:rsidRDefault="00D84965">
            <w:pPr>
              <w:pStyle w:val="P68B1DB1-Normal66"/>
              <w:spacing w:after="200" w:line="276" w:lineRule="auto"/>
              <w:jc w:val="center"/>
              <w:rPr>
                <w:noProof/>
              </w:rPr>
            </w:pPr>
            <w:r>
              <w:rPr>
                <w:noProof/>
              </w:rPr>
              <w:t>316</w:t>
            </w:r>
          </w:p>
        </w:tc>
        <w:tc>
          <w:tcPr>
            <w:tcW w:w="1272" w:type="dxa"/>
            <w:shd w:val="clear" w:color="auto" w:fill="C6EFCE"/>
            <w:noWrap/>
          </w:tcPr>
          <w:p w14:paraId="2CAE4947" w14:textId="77777777" w:rsidR="00FA7C11" w:rsidRDefault="00D84965">
            <w:pPr>
              <w:pStyle w:val="P68B1DB1-Normal66"/>
              <w:spacing w:after="200" w:line="276" w:lineRule="auto"/>
              <w:jc w:val="center"/>
              <w:rPr>
                <w:noProof/>
              </w:rPr>
            </w:pPr>
            <w:r>
              <w:rPr>
                <w:noProof/>
              </w:rPr>
              <w:t>C4.3. R3-I3</w:t>
            </w:r>
          </w:p>
        </w:tc>
        <w:tc>
          <w:tcPr>
            <w:tcW w:w="1080" w:type="dxa"/>
            <w:shd w:val="clear" w:color="auto" w:fill="C6EFCE"/>
            <w:noWrap/>
          </w:tcPr>
          <w:p w14:paraId="353DF36C" w14:textId="77777777" w:rsidR="00FA7C11" w:rsidRDefault="00D84965">
            <w:pPr>
              <w:pStyle w:val="P68B1DB1-Normal66"/>
              <w:spacing w:after="200" w:line="276" w:lineRule="auto"/>
              <w:jc w:val="center"/>
              <w:rPr>
                <w:noProof/>
              </w:rPr>
            </w:pPr>
            <w:r>
              <w:rPr>
                <w:noProof/>
              </w:rPr>
              <w:t>M</w:t>
            </w:r>
          </w:p>
        </w:tc>
        <w:tc>
          <w:tcPr>
            <w:tcW w:w="1680" w:type="dxa"/>
            <w:shd w:val="clear" w:color="auto" w:fill="C6EFCE"/>
            <w:noWrap/>
          </w:tcPr>
          <w:p w14:paraId="24B04CC7" w14:textId="77777777" w:rsidR="00FA7C11" w:rsidRDefault="00D84965">
            <w:pPr>
              <w:pStyle w:val="P68B1DB1-Normal66"/>
              <w:spacing w:after="200" w:line="276" w:lineRule="auto"/>
              <w:rPr>
                <w:noProof/>
              </w:rPr>
            </w:pPr>
            <w:r>
              <w:rPr>
                <w:noProof/>
              </w:rPr>
              <w:t xml:space="preserve">Calcularea prin sistemul informatic a prețurilor pentru serviciile sociale și furnizorii de servicii din rețea </w:t>
            </w:r>
          </w:p>
        </w:tc>
        <w:tc>
          <w:tcPr>
            <w:tcW w:w="2040" w:type="dxa"/>
            <w:shd w:val="clear" w:color="auto" w:fill="C6EFCE"/>
            <w:noWrap/>
          </w:tcPr>
          <w:p w14:paraId="1A7E4044" w14:textId="77777777" w:rsidR="00FA7C11" w:rsidRDefault="00D84965">
            <w:pPr>
              <w:pStyle w:val="P68B1DB1-Normal66"/>
              <w:spacing w:after="200" w:line="276" w:lineRule="auto"/>
              <w:rPr>
                <w:noProof/>
              </w:rPr>
            </w:pPr>
            <w:r>
              <w:rPr>
                <w:noProof/>
              </w:rPr>
              <w:t xml:space="preserve">Sistem informatic dezvoltat și funcțional pentru calcularea prețurilor pentru toate serviciile sociale și pentru toți furnizorii de servicii din rețea </w:t>
            </w:r>
          </w:p>
        </w:tc>
        <w:tc>
          <w:tcPr>
            <w:tcW w:w="960" w:type="dxa"/>
            <w:shd w:val="clear" w:color="auto" w:fill="C6EFCE"/>
            <w:noWrap/>
          </w:tcPr>
          <w:p w14:paraId="78743F99" w14:textId="77777777" w:rsidR="00FA7C11" w:rsidRDefault="00D84965">
            <w:pPr>
              <w:pStyle w:val="P68B1DB1-Normal66"/>
              <w:spacing w:after="200" w:line="276" w:lineRule="auto"/>
              <w:jc w:val="center"/>
              <w:rPr>
                <w:noProof/>
              </w:rPr>
            </w:pPr>
            <w:r>
              <w:rPr>
                <w:noProof/>
              </w:rPr>
              <w:t>Număr</w:t>
            </w:r>
          </w:p>
        </w:tc>
        <w:tc>
          <w:tcPr>
            <w:tcW w:w="1320" w:type="dxa"/>
            <w:shd w:val="clear" w:color="auto" w:fill="C6EFCE"/>
            <w:noWrap/>
          </w:tcPr>
          <w:p w14:paraId="1EB8DB0D" w14:textId="77777777" w:rsidR="00FA7C11" w:rsidRDefault="00D84965">
            <w:pPr>
              <w:pStyle w:val="P68B1DB1-Normal66"/>
              <w:spacing w:after="200" w:line="276" w:lineRule="auto"/>
              <w:jc w:val="center"/>
              <w:rPr>
                <w:noProof/>
              </w:rPr>
            </w:pPr>
            <w:r>
              <w:rPr>
                <w:noProof/>
              </w:rPr>
              <w:t>0</w:t>
            </w:r>
          </w:p>
        </w:tc>
        <w:tc>
          <w:tcPr>
            <w:tcW w:w="1080" w:type="dxa"/>
            <w:shd w:val="clear" w:color="auto" w:fill="C6EFCE"/>
            <w:noWrap/>
          </w:tcPr>
          <w:p w14:paraId="34B84EFA" w14:textId="77777777" w:rsidR="00FA7C11" w:rsidRDefault="00D84965">
            <w:pPr>
              <w:pStyle w:val="P68B1DB1-Normal66"/>
              <w:spacing w:after="200" w:line="276" w:lineRule="auto"/>
              <w:jc w:val="center"/>
              <w:rPr>
                <w:noProof/>
              </w:rPr>
            </w:pPr>
            <w:r>
              <w:rPr>
                <w:noProof/>
              </w:rPr>
              <w:t>1</w:t>
            </w:r>
          </w:p>
        </w:tc>
        <w:tc>
          <w:tcPr>
            <w:tcW w:w="840" w:type="dxa"/>
            <w:shd w:val="clear" w:color="auto" w:fill="C6EFCE"/>
            <w:noWrap/>
          </w:tcPr>
          <w:p w14:paraId="1DBA8AB7" w14:textId="77777777" w:rsidR="00FA7C11" w:rsidRDefault="00D84965">
            <w:pPr>
              <w:pStyle w:val="P68B1DB1-Normal66"/>
              <w:spacing w:after="200" w:line="276" w:lineRule="auto"/>
              <w:jc w:val="center"/>
              <w:rPr>
                <w:noProof/>
              </w:rPr>
            </w:pPr>
            <w:r>
              <w:rPr>
                <w:noProof/>
              </w:rPr>
              <w:t>Î2</w:t>
            </w:r>
          </w:p>
        </w:tc>
        <w:tc>
          <w:tcPr>
            <w:tcW w:w="688" w:type="dxa"/>
            <w:shd w:val="clear" w:color="auto" w:fill="C6EFCE"/>
            <w:noWrap/>
          </w:tcPr>
          <w:p w14:paraId="1868434F" w14:textId="77777777" w:rsidR="00FA7C11" w:rsidRDefault="00D84965">
            <w:pPr>
              <w:pStyle w:val="P68B1DB1-Normal66"/>
              <w:spacing w:after="200" w:line="276" w:lineRule="auto"/>
              <w:jc w:val="center"/>
              <w:rPr>
                <w:noProof/>
              </w:rPr>
            </w:pPr>
            <w:r>
              <w:rPr>
                <w:noProof/>
              </w:rPr>
              <w:t>2023</w:t>
            </w:r>
          </w:p>
        </w:tc>
        <w:tc>
          <w:tcPr>
            <w:tcW w:w="2840" w:type="dxa"/>
            <w:shd w:val="clear" w:color="auto" w:fill="C6EFCE"/>
            <w:noWrap/>
          </w:tcPr>
          <w:p w14:paraId="72EAE358" w14:textId="77777777" w:rsidR="00FA7C11" w:rsidRDefault="00D84965">
            <w:pPr>
              <w:pStyle w:val="P68B1DB1-Normal66"/>
              <w:spacing w:after="200" w:line="276" w:lineRule="auto"/>
              <w:rPr>
                <w:noProof/>
              </w:rPr>
            </w:pPr>
            <w:r>
              <w:rPr>
                <w:noProof/>
              </w:rPr>
              <w:t>Sistemul informatic de gestionare a datelor a fost dezvoltat pentru a colecta și a analiza automat datele și pentru a calcula prețurile pentru toate tipurile de servicii sociale furnizate și pentru toți furnizorii de servicii sociale din rețea. Investiția finanțează cerințe în materie de software, hardware și educație pentru a permite funcționalitatea deplină a soluției.</w:t>
            </w:r>
          </w:p>
        </w:tc>
      </w:tr>
      <w:tr w:rsidR="00FA7C11" w14:paraId="47C4A1BB" w14:textId="77777777">
        <w:trPr>
          <w:trHeight w:val="282"/>
          <w:jc w:val="center"/>
        </w:trPr>
        <w:tc>
          <w:tcPr>
            <w:tcW w:w="1006" w:type="dxa"/>
            <w:shd w:val="clear" w:color="auto" w:fill="C6EFCE"/>
            <w:noWrap/>
          </w:tcPr>
          <w:p w14:paraId="580A911C" w14:textId="77777777" w:rsidR="00FA7C11" w:rsidRDefault="00D84965">
            <w:pPr>
              <w:pStyle w:val="P68B1DB1-Normal66"/>
              <w:spacing w:after="200" w:line="276" w:lineRule="auto"/>
              <w:jc w:val="center"/>
              <w:rPr>
                <w:noProof/>
              </w:rPr>
            </w:pPr>
            <w:r>
              <w:rPr>
                <w:noProof/>
              </w:rPr>
              <w:t>317</w:t>
            </w:r>
          </w:p>
        </w:tc>
        <w:tc>
          <w:tcPr>
            <w:tcW w:w="1272" w:type="dxa"/>
            <w:shd w:val="clear" w:color="auto" w:fill="C6EFCE"/>
            <w:noWrap/>
          </w:tcPr>
          <w:p w14:paraId="286DBF3B" w14:textId="77777777" w:rsidR="00FA7C11" w:rsidRDefault="00D84965">
            <w:pPr>
              <w:pStyle w:val="P68B1DB1-Normal66"/>
              <w:spacing w:after="200" w:line="276" w:lineRule="auto"/>
              <w:jc w:val="center"/>
              <w:rPr>
                <w:noProof/>
              </w:rPr>
            </w:pPr>
            <w:r>
              <w:rPr>
                <w:noProof/>
              </w:rPr>
              <w:t>C4.3. R3-I4</w:t>
            </w:r>
          </w:p>
        </w:tc>
        <w:tc>
          <w:tcPr>
            <w:tcW w:w="1080" w:type="dxa"/>
            <w:shd w:val="clear" w:color="auto" w:fill="C6EFCE"/>
            <w:noWrap/>
          </w:tcPr>
          <w:p w14:paraId="154E0F08" w14:textId="77777777" w:rsidR="00FA7C11" w:rsidRDefault="00D84965">
            <w:pPr>
              <w:pStyle w:val="P68B1DB1-Normal66"/>
              <w:spacing w:after="200" w:line="276" w:lineRule="auto"/>
              <w:jc w:val="center"/>
              <w:rPr>
                <w:noProof/>
              </w:rPr>
            </w:pPr>
            <w:r>
              <w:rPr>
                <w:noProof/>
              </w:rPr>
              <w:t>T</w:t>
            </w:r>
          </w:p>
        </w:tc>
        <w:tc>
          <w:tcPr>
            <w:tcW w:w="1680" w:type="dxa"/>
            <w:shd w:val="clear" w:color="auto" w:fill="C6EFCE"/>
            <w:noWrap/>
          </w:tcPr>
          <w:p w14:paraId="6EA35C27" w14:textId="77777777" w:rsidR="00FA7C11" w:rsidRDefault="00D84965">
            <w:pPr>
              <w:pStyle w:val="P68B1DB1-Normal66"/>
              <w:spacing w:after="200" w:line="276" w:lineRule="auto"/>
              <w:rPr>
                <w:noProof/>
              </w:rPr>
            </w:pPr>
            <w:r>
              <w:rPr>
                <w:noProof/>
              </w:rPr>
              <w:t xml:space="preserve">Construirea de centre pentru îngrijirea instituționalizată, la domiciliu și comunitară a persoanelor în vârstă </w:t>
            </w:r>
          </w:p>
        </w:tc>
        <w:tc>
          <w:tcPr>
            <w:tcW w:w="2040" w:type="dxa"/>
            <w:shd w:val="clear" w:color="auto" w:fill="C6EFCE"/>
            <w:noWrap/>
          </w:tcPr>
          <w:p w14:paraId="0C13317E" w14:textId="77777777" w:rsidR="00FA7C11" w:rsidRDefault="00D84965">
            <w:pPr>
              <w:pStyle w:val="P68B1DB1-Normal66"/>
              <w:spacing w:after="200" w:line="276" w:lineRule="auto"/>
              <w:rPr>
                <w:noProof/>
              </w:rPr>
            </w:pPr>
            <w:r>
              <w:rPr>
                <w:noProof/>
              </w:rPr>
              <w:t xml:space="preserve"> </w:t>
            </w:r>
          </w:p>
        </w:tc>
        <w:tc>
          <w:tcPr>
            <w:tcW w:w="960" w:type="dxa"/>
            <w:shd w:val="clear" w:color="auto" w:fill="C6EFCE"/>
            <w:noWrap/>
          </w:tcPr>
          <w:p w14:paraId="575E62D9" w14:textId="77777777" w:rsidR="00FA7C11" w:rsidRDefault="00D84965">
            <w:pPr>
              <w:pStyle w:val="P68B1DB1-Normal66"/>
              <w:spacing w:after="200" w:line="276" w:lineRule="auto"/>
              <w:jc w:val="center"/>
              <w:rPr>
                <w:noProof/>
              </w:rPr>
            </w:pPr>
            <w:r>
              <w:rPr>
                <w:noProof/>
              </w:rPr>
              <w:t>Număr</w:t>
            </w:r>
          </w:p>
        </w:tc>
        <w:tc>
          <w:tcPr>
            <w:tcW w:w="1320" w:type="dxa"/>
            <w:shd w:val="clear" w:color="auto" w:fill="C6EFCE"/>
            <w:noWrap/>
          </w:tcPr>
          <w:p w14:paraId="5B0301E3" w14:textId="77777777" w:rsidR="00FA7C11" w:rsidRDefault="00D84965">
            <w:pPr>
              <w:pStyle w:val="P68B1DB1-Normal66"/>
              <w:spacing w:after="200" w:line="276" w:lineRule="auto"/>
              <w:jc w:val="center"/>
              <w:rPr>
                <w:noProof/>
              </w:rPr>
            </w:pPr>
            <w:r>
              <w:rPr>
                <w:noProof/>
              </w:rPr>
              <w:t>0</w:t>
            </w:r>
          </w:p>
        </w:tc>
        <w:tc>
          <w:tcPr>
            <w:tcW w:w="1080" w:type="dxa"/>
            <w:shd w:val="clear" w:color="auto" w:fill="C6EFCE"/>
            <w:noWrap/>
          </w:tcPr>
          <w:p w14:paraId="1D6C4040" w14:textId="0B826F45" w:rsidR="00FA7C11" w:rsidRDefault="00D84965">
            <w:pPr>
              <w:pStyle w:val="P68B1DB1-Normal66"/>
              <w:spacing w:after="200" w:line="276" w:lineRule="auto"/>
              <w:jc w:val="center"/>
              <w:rPr>
                <w:noProof/>
              </w:rPr>
            </w:pPr>
            <w:r>
              <w:rPr>
                <w:noProof/>
              </w:rPr>
              <w:t>9</w:t>
            </w:r>
          </w:p>
        </w:tc>
        <w:tc>
          <w:tcPr>
            <w:tcW w:w="840" w:type="dxa"/>
            <w:shd w:val="clear" w:color="auto" w:fill="C6EFCE"/>
            <w:noWrap/>
          </w:tcPr>
          <w:p w14:paraId="5CE9A879" w14:textId="77777777" w:rsidR="00FA7C11" w:rsidRDefault="00D84965">
            <w:pPr>
              <w:pStyle w:val="P68B1DB1-Normal66"/>
              <w:spacing w:after="200" w:line="276" w:lineRule="auto"/>
              <w:jc w:val="center"/>
              <w:rPr>
                <w:noProof/>
              </w:rPr>
            </w:pPr>
            <w:r>
              <w:rPr>
                <w:noProof/>
              </w:rPr>
              <w:t>Î2</w:t>
            </w:r>
          </w:p>
        </w:tc>
        <w:tc>
          <w:tcPr>
            <w:tcW w:w="688" w:type="dxa"/>
            <w:shd w:val="clear" w:color="auto" w:fill="C6EFCE"/>
            <w:noWrap/>
          </w:tcPr>
          <w:p w14:paraId="0AF0FFE7" w14:textId="77777777" w:rsidR="00FA7C11" w:rsidRDefault="00D84965">
            <w:pPr>
              <w:pStyle w:val="P68B1DB1-Normal66"/>
              <w:spacing w:after="200" w:line="276" w:lineRule="auto"/>
              <w:jc w:val="center"/>
              <w:rPr>
                <w:noProof/>
              </w:rPr>
            </w:pPr>
            <w:r>
              <w:rPr>
                <w:noProof/>
              </w:rPr>
              <w:t>2026</w:t>
            </w:r>
          </w:p>
        </w:tc>
        <w:tc>
          <w:tcPr>
            <w:tcW w:w="2840" w:type="dxa"/>
            <w:shd w:val="clear" w:color="auto" w:fill="C6EFCE"/>
            <w:noWrap/>
          </w:tcPr>
          <w:p w14:paraId="5A960181" w14:textId="02B54211" w:rsidR="00FA7C11" w:rsidRDefault="00D84965">
            <w:pPr>
              <w:pStyle w:val="P68B1DB1-Normal66"/>
              <w:spacing w:after="200" w:line="276" w:lineRule="auto"/>
              <w:rPr>
                <w:noProof/>
              </w:rPr>
            </w:pPr>
            <w:r>
              <w:rPr>
                <w:noProof/>
              </w:rPr>
              <w:t>Construirea a nouă centre pentru persoanele în vârstă, cu o capacitate de 900 de beneficiari, exclusiv pentru persoanele care, din punct de vedere funcțional, depind în întregime de îngrijirea instituționalizată și ale căror nevoi nu pot fi asigurate la domiciliu sau la nivel de comunitate. În plus, centrele pentru persoanele în vârstă creează condiții pentru a oferi îngrijire comunitară și servicii neinstituționale persoanelor în vârstă care locuiesc acasă.</w:t>
            </w:r>
          </w:p>
        </w:tc>
      </w:tr>
    </w:tbl>
    <w:p w14:paraId="4FEC3C76" w14:textId="77777777" w:rsidR="00FA7C11" w:rsidRDefault="00FA7C11">
      <w:pPr>
        <w:rPr>
          <w:noProof/>
        </w:rPr>
      </w:pPr>
    </w:p>
    <w:p w14:paraId="21796245" w14:textId="77777777" w:rsidR="00FA7C11" w:rsidRDefault="00FA7C11">
      <w:pPr>
        <w:rPr>
          <w:noProof/>
        </w:rPr>
        <w:sectPr w:rsidR="00FA7C11" w:rsidSect="00FA29B2">
          <w:headerReference w:type="even" r:id="rId344"/>
          <w:headerReference w:type="default" r:id="rId345"/>
          <w:footerReference w:type="even" r:id="rId346"/>
          <w:footerReference w:type="default" r:id="rId347"/>
          <w:headerReference w:type="first" r:id="rId348"/>
          <w:footerReference w:type="first" r:id="rId349"/>
          <w:pgSz w:w="16839" w:h="11907" w:orient="landscape"/>
          <w:pgMar w:top="1134" w:right="1134" w:bottom="1134" w:left="1134" w:header="567" w:footer="567" w:gutter="0"/>
          <w:cols w:space="708"/>
          <w:docGrid w:linePitch="360"/>
        </w:sectPr>
      </w:pPr>
    </w:p>
    <w:p w14:paraId="2E73BD0F" w14:textId="49B0A8D7" w:rsidR="00FA7C11" w:rsidRDefault="00D84965">
      <w:pPr>
        <w:pStyle w:val="paragraph"/>
        <w:spacing w:before="0" w:beforeAutospacing="0" w:after="0" w:afterAutospacing="0"/>
        <w:ind w:left="840"/>
        <w:jc w:val="both"/>
        <w:textAlignment w:val="baseline"/>
        <w:rPr>
          <w:noProof/>
          <w:szCs w:val="24"/>
          <w:u w:val="single"/>
        </w:rPr>
      </w:pPr>
      <w:r>
        <w:rPr>
          <w:rStyle w:val="normaltextrun"/>
          <w:b/>
          <w:noProof/>
          <w:szCs w:val="24"/>
          <w:u w:val="single"/>
        </w:rPr>
        <w:t xml:space="preserve">T.3. </w:t>
      </w:r>
      <w:r>
        <w:rPr>
          <w:noProof/>
          <w:szCs w:val="24"/>
          <w:u w:val="single"/>
        </w:rPr>
        <w:t xml:space="preserve"> </w:t>
      </w:r>
      <w:r>
        <w:rPr>
          <w:rStyle w:val="normaltextrun"/>
          <w:b/>
          <w:noProof/>
          <w:szCs w:val="24"/>
          <w:u w:val="single"/>
        </w:rPr>
        <w:t xml:space="preserve">Descrierea reformelor și a investițiilor pentru împrumut </w:t>
      </w:r>
    </w:p>
    <w:p w14:paraId="2928B1BB" w14:textId="4C397A6B" w:rsidR="00FA7C11" w:rsidRDefault="00D84965">
      <w:pPr>
        <w:pStyle w:val="paragraph"/>
        <w:spacing w:before="0" w:beforeAutospacing="0" w:after="0" w:afterAutospacing="0"/>
        <w:ind w:left="840"/>
        <w:jc w:val="both"/>
        <w:textAlignment w:val="baseline"/>
        <w:rPr>
          <w:rStyle w:val="eop"/>
          <w:noProof/>
          <w:szCs w:val="24"/>
        </w:rPr>
      </w:pPr>
      <w:r>
        <w:rPr>
          <w:rStyle w:val="normaltextrun"/>
          <w:noProof/>
          <w:szCs w:val="24"/>
        </w:rPr>
        <w:t xml:space="preserve"> </w:t>
      </w:r>
    </w:p>
    <w:p w14:paraId="19371F23" w14:textId="77777777" w:rsidR="00FA7C11" w:rsidRDefault="00D84965">
      <w:pPr>
        <w:pStyle w:val="P68B1DB1-Normal42"/>
        <w:keepNext/>
        <w:spacing w:line="240" w:lineRule="auto"/>
        <w:ind w:left="851"/>
        <w:jc w:val="both"/>
        <w:rPr>
          <w:noProof/>
        </w:rPr>
      </w:pPr>
      <w:r>
        <w:rPr>
          <w:noProof/>
        </w:rPr>
        <w:t>Investiția C4.3 R3-I2 – Îmbunătățirea digitalizării sistemului de protecție socială și conectarea centrelor de protecție socială cu furnizorii de servicii sociale</w:t>
      </w:r>
    </w:p>
    <w:p w14:paraId="72B25123" w14:textId="77777777" w:rsidR="00FA7C11" w:rsidRDefault="00D84965">
      <w:pPr>
        <w:pStyle w:val="P68B1DB1-Normal133"/>
        <w:spacing w:line="240" w:lineRule="auto"/>
        <w:jc w:val="both"/>
        <w:rPr>
          <w:noProof/>
        </w:rPr>
      </w:pPr>
      <w:r>
        <w:rPr>
          <w:noProof/>
        </w:rPr>
        <w:t xml:space="preserve">Obiectivul acestei investiții este de a moderniza aplicația pentru centrele de asistență socială, care gestionează și înregistrează procedurile legate de recunoașterea drepturilor la servicii sociale de către furnizorii individuali de servicii. Investiția include integrarea aplicației în sistemul informatic unic de protecție socială, oferind o platformă digitală unică pentru monitorizarea și analizarea datelor privind utilizatorii și serviciile de protecție socială. </w:t>
      </w:r>
    </w:p>
    <w:p w14:paraId="3DDF9A3C" w14:textId="77777777" w:rsidR="00FA7C11" w:rsidRDefault="00D84965">
      <w:pPr>
        <w:pStyle w:val="P68B1DB1-Normal132"/>
        <w:spacing w:line="240" w:lineRule="auto"/>
        <w:jc w:val="both"/>
        <w:rPr>
          <w:noProof/>
          <w:u w:val="single"/>
        </w:rPr>
      </w:pPr>
      <w:r>
        <w:rPr>
          <w:noProof/>
        </w:rPr>
        <w:t>Investiția se finalizează până la 31 decembrie 2024. </w:t>
      </w:r>
    </w:p>
    <w:p w14:paraId="462CC6A4" w14:textId="77777777" w:rsidR="00FA7C11" w:rsidRDefault="00FA7C11">
      <w:pPr>
        <w:rPr>
          <w:noProof/>
        </w:rPr>
        <w:sectPr w:rsidR="00FA7C11" w:rsidSect="00FA29B2">
          <w:headerReference w:type="even" r:id="rId350"/>
          <w:headerReference w:type="default" r:id="rId351"/>
          <w:footerReference w:type="even" r:id="rId352"/>
          <w:footerReference w:type="default" r:id="rId353"/>
          <w:headerReference w:type="first" r:id="rId354"/>
          <w:footerReference w:type="first" r:id="rId355"/>
          <w:pgSz w:w="11907" w:h="16839"/>
          <w:pgMar w:top="1134" w:right="1134" w:bottom="1134" w:left="1134" w:header="567" w:footer="567" w:gutter="0"/>
          <w:cols w:space="708"/>
          <w:docGrid w:linePitch="360"/>
        </w:sectPr>
      </w:pPr>
    </w:p>
    <w:p w14:paraId="3ECD490F" w14:textId="0F9DF6AD" w:rsidR="00FA7C11" w:rsidRDefault="00D84965">
      <w:pPr>
        <w:pStyle w:val="paragraph"/>
        <w:spacing w:before="0" w:beforeAutospacing="0" w:after="0" w:afterAutospacing="0"/>
        <w:ind w:left="839"/>
        <w:jc w:val="both"/>
        <w:textAlignment w:val="baseline"/>
        <w:rPr>
          <w:rStyle w:val="eop"/>
          <w:noProof/>
          <w:u w:val="single"/>
        </w:rPr>
      </w:pPr>
      <w:r>
        <w:rPr>
          <w:rStyle w:val="normaltextrun"/>
          <w:b/>
          <w:noProof/>
          <w:u w:val="single"/>
        </w:rPr>
        <w:t xml:space="preserve">T.4. Jaloane, ținte, indicatori și calendarul de monitorizare și implementare aplicabile împrumutului </w:t>
      </w:r>
    </w:p>
    <w:p w14:paraId="6478A93A" w14:textId="77777777" w:rsidR="00FA7C11" w:rsidRDefault="00FA7C11">
      <w:pPr>
        <w:pStyle w:val="paragraph"/>
        <w:spacing w:before="0" w:beforeAutospacing="0" w:after="0" w:afterAutospacing="0"/>
        <w:ind w:left="839"/>
        <w:jc w:val="both"/>
        <w:textAlignment w:val="baseline"/>
        <w:rPr>
          <w:rFonts w:ascii="Segoe UI" w:hAnsi="Segoe UI" w:cs="Segoe UI"/>
          <w:noProof/>
          <w:sz w:val="18"/>
          <w:szCs w:val="18"/>
          <w:u w:val="single"/>
        </w:rPr>
      </w:pPr>
    </w:p>
    <w:tbl>
      <w:tblPr>
        <w:tblW w:w="15727" w:type="dxa"/>
        <w:jc w:val="center"/>
        <w:tblCellMar>
          <w:top w:w="28" w:type="dxa"/>
          <w:left w:w="28" w:type="dxa"/>
          <w:bottom w:w="28" w:type="dxa"/>
          <w:right w:w="28" w:type="dxa"/>
        </w:tblCellMar>
        <w:tblLook w:val="04A0" w:firstRow="1" w:lastRow="0" w:firstColumn="1" w:lastColumn="0" w:noHBand="0" w:noVBand="1"/>
      </w:tblPr>
      <w:tblGrid>
        <w:gridCol w:w="846"/>
        <w:gridCol w:w="1178"/>
        <w:gridCol w:w="1345"/>
        <w:gridCol w:w="1838"/>
        <w:gridCol w:w="2010"/>
        <w:gridCol w:w="975"/>
        <w:gridCol w:w="808"/>
        <w:gridCol w:w="826"/>
        <w:gridCol w:w="919"/>
        <w:gridCol w:w="942"/>
        <w:gridCol w:w="4470"/>
      </w:tblGrid>
      <w:tr w:rsidR="00FA7C11" w14:paraId="4D082C38" w14:textId="77777777">
        <w:trPr>
          <w:trHeight w:val="634"/>
          <w:tblHeader/>
          <w:jc w:val="center"/>
        </w:trPr>
        <w:tc>
          <w:tcPr>
            <w:tcW w:w="84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400FBAD" w14:textId="77777777" w:rsidR="00FA7C11" w:rsidRDefault="00D84965">
            <w:pPr>
              <w:pStyle w:val="P68B1DB1-Normal58"/>
              <w:spacing w:after="0" w:line="276" w:lineRule="auto"/>
              <w:jc w:val="center"/>
              <w:rPr>
                <w:bCs/>
                <w:noProof/>
              </w:rPr>
            </w:pPr>
            <w:r>
              <w:rPr>
                <w:noProof/>
              </w:rPr>
              <w:t>Număr</w:t>
            </w:r>
          </w:p>
        </w:tc>
        <w:tc>
          <w:tcPr>
            <w:tcW w:w="1178"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4C3DB03" w14:textId="77777777" w:rsidR="00FA7C11" w:rsidRDefault="00D84965">
            <w:pPr>
              <w:pStyle w:val="P68B1DB1-Normal58"/>
              <w:spacing w:after="0" w:line="276" w:lineRule="auto"/>
              <w:jc w:val="center"/>
              <w:rPr>
                <w:bCs/>
                <w:noProof/>
              </w:rPr>
            </w:pPr>
            <w:r>
              <w:rPr>
                <w:noProof/>
              </w:rPr>
              <w:t>Măsură</w:t>
            </w:r>
          </w:p>
        </w:tc>
        <w:tc>
          <w:tcPr>
            <w:tcW w:w="109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8B5E0A6" w14:textId="77777777" w:rsidR="00FA7C11" w:rsidRDefault="00D84965">
            <w:pPr>
              <w:pStyle w:val="P68B1DB1-Normal58"/>
              <w:spacing w:after="0" w:line="276" w:lineRule="auto"/>
              <w:jc w:val="center"/>
              <w:rPr>
                <w:bCs/>
                <w:noProof/>
              </w:rPr>
            </w:pPr>
            <w:r>
              <w:rPr>
                <w:noProof/>
              </w:rPr>
              <w:t>Etapă/Obiectiv</w:t>
            </w:r>
          </w:p>
        </w:tc>
        <w:tc>
          <w:tcPr>
            <w:tcW w:w="1838" w:type="dxa"/>
            <w:vMerge w:val="restart"/>
            <w:tcBorders>
              <w:top w:val="single" w:sz="4" w:space="0" w:color="auto"/>
              <w:left w:val="nil"/>
              <w:bottom w:val="single" w:sz="4" w:space="0" w:color="000000"/>
              <w:right w:val="single" w:sz="4" w:space="0" w:color="auto"/>
            </w:tcBorders>
            <w:shd w:val="clear" w:color="auto" w:fill="BDD7EE"/>
            <w:vAlign w:val="center"/>
            <w:hideMark/>
          </w:tcPr>
          <w:p w14:paraId="547822FC" w14:textId="77777777" w:rsidR="00FA7C11" w:rsidRDefault="00D84965">
            <w:pPr>
              <w:pStyle w:val="P68B1DB1-Normal58"/>
              <w:spacing w:after="0" w:line="276" w:lineRule="auto"/>
              <w:jc w:val="center"/>
              <w:rPr>
                <w:bCs/>
                <w:noProof/>
              </w:rPr>
            </w:pPr>
            <w:r>
              <w:rPr>
                <w:noProof/>
              </w:rPr>
              <w:t>Nume</w:t>
            </w:r>
          </w:p>
        </w:tc>
        <w:tc>
          <w:tcPr>
            <w:tcW w:w="20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FE2FFDB"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603" w:type="dxa"/>
            <w:gridSpan w:val="3"/>
            <w:tcBorders>
              <w:top w:val="single" w:sz="4" w:space="0" w:color="auto"/>
              <w:left w:val="nil"/>
              <w:bottom w:val="single" w:sz="4" w:space="0" w:color="auto"/>
              <w:right w:val="single" w:sz="4" w:space="0" w:color="auto"/>
            </w:tcBorders>
            <w:shd w:val="clear" w:color="auto" w:fill="BDD7EE"/>
            <w:vAlign w:val="center"/>
            <w:hideMark/>
          </w:tcPr>
          <w:p w14:paraId="627E3405"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691" w:type="dxa"/>
            <w:gridSpan w:val="2"/>
            <w:tcBorders>
              <w:top w:val="single" w:sz="4" w:space="0" w:color="auto"/>
              <w:left w:val="nil"/>
              <w:bottom w:val="single" w:sz="4" w:space="0" w:color="auto"/>
              <w:right w:val="single" w:sz="4" w:space="0" w:color="auto"/>
            </w:tcBorders>
            <w:shd w:val="clear" w:color="auto" w:fill="BDD7EE"/>
            <w:vAlign w:val="center"/>
            <w:hideMark/>
          </w:tcPr>
          <w:p w14:paraId="1E9E9E40" w14:textId="77777777" w:rsidR="00FA7C11" w:rsidRDefault="00D84965">
            <w:pPr>
              <w:pStyle w:val="P68B1DB1-Normal58"/>
              <w:spacing w:after="0" w:line="276" w:lineRule="auto"/>
              <w:jc w:val="center"/>
              <w:rPr>
                <w:bCs/>
                <w:noProof/>
              </w:rPr>
            </w:pPr>
            <w:r>
              <w:rPr>
                <w:noProof/>
              </w:rPr>
              <w:t>Timp</w:t>
            </w:r>
          </w:p>
        </w:tc>
        <w:tc>
          <w:tcPr>
            <w:tcW w:w="44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29CF72"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1489CA10" w14:textId="77777777">
        <w:trPr>
          <w:trHeight w:val="502"/>
          <w:tblHeader/>
          <w:jc w:val="center"/>
        </w:trPr>
        <w:tc>
          <w:tcPr>
            <w:tcW w:w="846" w:type="dxa"/>
            <w:vMerge/>
            <w:tcBorders>
              <w:top w:val="single" w:sz="4" w:space="0" w:color="auto"/>
              <w:left w:val="single" w:sz="4" w:space="0" w:color="auto"/>
              <w:bottom w:val="single" w:sz="4" w:space="0" w:color="000000"/>
              <w:right w:val="single" w:sz="4" w:space="0" w:color="auto"/>
            </w:tcBorders>
            <w:hideMark/>
          </w:tcPr>
          <w:p w14:paraId="4D95381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78" w:type="dxa"/>
            <w:vMerge/>
            <w:tcBorders>
              <w:top w:val="single" w:sz="4" w:space="0" w:color="auto"/>
              <w:left w:val="single" w:sz="4" w:space="0" w:color="auto"/>
              <w:bottom w:val="single" w:sz="4" w:space="0" w:color="000000"/>
              <w:right w:val="single" w:sz="4" w:space="0" w:color="auto"/>
            </w:tcBorders>
            <w:hideMark/>
          </w:tcPr>
          <w:p w14:paraId="7095725D"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91" w:type="dxa"/>
            <w:vMerge/>
            <w:tcBorders>
              <w:top w:val="single" w:sz="4" w:space="0" w:color="auto"/>
              <w:left w:val="single" w:sz="4" w:space="0" w:color="auto"/>
              <w:bottom w:val="single" w:sz="4" w:space="0" w:color="000000"/>
              <w:right w:val="single" w:sz="4" w:space="0" w:color="auto"/>
            </w:tcBorders>
            <w:hideMark/>
          </w:tcPr>
          <w:p w14:paraId="305159D7"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838" w:type="dxa"/>
            <w:vMerge/>
            <w:tcBorders>
              <w:top w:val="single" w:sz="4" w:space="0" w:color="auto"/>
              <w:left w:val="nil"/>
              <w:bottom w:val="single" w:sz="4" w:space="0" w:color="000000"/>
              <w:right w:val="single" w:sz="4" w:space="0" w:color="auto"/>
            </w:tcBorders>
            <w:hideMark/>
          </w:tcPr>
          <w:p w14:paraId="3BF050EB" w14:textId="77777777" w:rsidR="00FA7C11" w:rsidRDefault="00FA7C11">
            <w:pPr>
              <w:spacing w:after="0" w:line="276" w:lineRule="auto"/>
              <w:rPr>
                <w:rFonts w:ascii="Times New Roman" w:eastAsia="Times New Roman" w:hAnsi="Times New Roman" w:cs="Times New Roman"/>
                <w:b/>
                <w:noProof/>
                <w:sz w:val="20"/>
                <w:szCs w:val="20"/>
              </w:rPr>
            </w:pPr>
          </w:p>
        </w:tc>
        <w:tc>
          <w:tcPr>
            <w:tcW w:w="2010" w:type="dxa"/>
            <w:vMerge/>
            <w:tcBorders>
              <w:top w:val="single" w:sz="4" w:space="0" w:color="auto"/>
              <w:left w:val="single" w:sz="4" w:space="0" w:color="auto"/>
              <w:bottom w:val="single" w:sz="4" w:space="0" w:color="000000"/>
              <w:right w:val="single" w:sz="4" w:space="0" w:color="auto"/>
            </w:tcBorders>
            <w:hideMark/>
          </w:tcPr>
          <w:p w14:paraId="0D5D099C" w14:textId="77777777" w:rsidR="00FA7C11" w:rsidRDefault="00FA7C11">
            <w:pPr>
              <w:spacing w:after="0" w:line="276" w:lineRule="auto"/>
              <w:rPr>
                <w:rFonts w:ascii="Times New Roman" w:eastAsia="Times New Roman" w:hAnsi="Times New Roman" w:cs="Times New Roman"/>
                <w:b/>
                <w:noProof/>
                <w:sz w:val="20"/>
                <w:szCs w:val="20"/>
              </w:rPr>
            </w:pPr>
          </w:p>
        </w:tc>
        <w:tc>
          <w:tcPr>
            <w:tcW w:w="975" w:type="dxa"/>
            <w:tcBorders>
              <w:top w:val="nil"/>
              <w:left w:val="nil"/>
              <w:bottom w:val="single" w:sz="4" w:space="0" w:color="auto"/>
              <w:right w:val="single" w:sz="4" w:space="0" w:color="auto"/>
            </w:tcBorders>
            <w:shd w:val="clear" w:color="auto" w:fill="BDD7EE"/>
            <w:vAlign w:val="center"/>
            <w:hideMark/>
          </w:tcPr>
          <w:p w14:paraId="45466F07" w14:textId="77777777" w:rsidR="00FA7C11" w:rsidRDefault="00D84965">
            <w:pPr>
              <w:pStyle w:val="P68B1DB1-Normal58"/>
              <w:spacing w:after="0" w:line="276" w:lineRule="auto"/>
              <w:jc w:val="center"/>
              <w:rPr>
                <w:bCs/>
                <w:noProof/>
              </w:rPr>
            </w:pPr>
            <w:r>
              <w:rPr>
                <w:noProof/>
              </w:rPr>
              <w:t>Unitate</w:t>
            </w:r>
          </w:p>
        </w:tc>
        <w:tc>
          <w:tcPr>
            <w:tcW w:w="802" w:type="dxa"/>
            <w:tcBorders>
              <w:top w:val="nil"/>
              <w:left w:val="nil"/>
              <w:bottom w:val="single" w:sz="4" w:space="0" w:color="auto"/>
              <w:right w:val="single" w:sz="4" w:space="0" w:color="auto"/>
            </w:tcBorders>
            <w:shd w:val="clear" w:color="auto" w:fill="BDD7EE"/>
            <w:vAlign w:val="center"/>
            <w:hideMark/>
          </w:tcPr>
          <w:p w14:paraId="3A1E32B7" w14:textId="77777777" w:rsidR="00FA7C11" w:rsidRDefault="00D84965">
            <w:pPr>
              <w:pStyle w:val="P68B1DB1-Normal58"/>
              <w:spacing w:after="0" w:line="276" w:lineRule="auto"/>
              <w:jc w:val="center"/>
              <w:rPr>
                <w:bCs/>
                <w:noProof/>
              </w:rPr>
            </w:pPr>
            <w:r>
              <w:rPr>
                <w:noProof/>
              </w:rPr>
              <w:t>Situația de referință</w:t>
            </w:r>
          </w:p>
        </w:tc>
        <w:tc>
          <w:tcPr>
            <w:tcW w:w="826" w:type="dxa"/>
            <w:tcBorders>
              <w:top w:val="nil"/>
              <w:left w:val="nil"/>
              <w:bottom w:val="single" w:sz="4" w:space="0" w:color="auto"/>
              <w:right w:val="single" w:sz="4" w:space="0" w:color="auto"/>
            </w:tcBorders>
            <w:shd w:val="clear" w:color="auto" w:fill="BDD7EE"/>
            <w:vAlign w:val="center"/>
            <w:hideMark/>
          </w:tcPr>
          <w:p w14:paraId="338C61C9" w14:textId="77777777" w:rsidR="00FA7C11" w:rsidRDefault="00D84965">
            <w:pPr>
              <w:pStyle w:val="P68B1DB1-Normal58"/>
              <w:spacing w:after="0" w:line="276" w:lineRule="auto"/>
              <w:jc w:val="center"/>
              <w:rPr>
                <w:bCs/>
                <w:noProof/>
              </w:rPr>
            </w:pPr>
            <w:r>
              <w:rPr>
                <w:noProof/>
              </w:rPr>
              <w:t>Obiectiv</w:t>
            </w:r>
          </w:p>
        </w:tc>
        <w:tc>
          <w:tcPr>
            <w:tcW w:w="749" w:type="dxa"/>
            <w:tcBorders>
              <w:top w:val="nil"/>
              <w:left w:val="nil"/>
              <w:bottom w:val="single" w:sz="4" w:space="0" w:color="auto"/>
              <w:right w:val="single" w:sz="4" w:space="0" w:color="auto"/>
            </w:tcBorders>
            <w:shd w:val="clear" w:color="auto" w:fill="BDD7EE"/>
            <w:vAlign w:val="center"/>
            <w:hideMark/>
          </w:tcPr>
          <w:p w14:paraId="2B90248D" w14:textId="77777777" w:rsidR="00FA7C11" w:rsidRDefault="00D84965">
            <w:pPr>
              <w:pStyle w:val="P68B1DB1-Normal58"/>
              <w:spacing w:after="0" w:line="276" w:lineRule="auto"/>
              <w:jc w:val="center"/>
              <w:rPr>
                <w:bCs/>
                <w:noProof/>
              </w:rPr>
            </w:pPr>
            <w:r>
              <w:rPr>
                <w:noProof/>
              </w:rPr>
              <w:t>Trimestru</w:t>
            </w:r>
          </w:p>
        </w:tc>
        <w:tc>
          <w:tcPr>
            <w:tcW w:w="942" w:type="dxa"/>
            <w:tcBorders>
              <w:top w:val="nil"/>
              <w:left w:val="nil"/>
              <w:bottom w:val="single" w:sz="4" w:space="0" w:color="auto"/>
              <w:right w:val="single" w:sz="4" w:space="0" w:color="auto"/>
            </w:tcBorders>
            <w:shd w:val="clear" w:color="auto" w:fill="BDD7EE"/>
            <w:vAlign w:val="center"/>
            <w:hideMark/>
          </w:tcPr>
          <w:p w14:paraId="53D70878" w14:textId="77777777" w:rsidR="00FA7C11" w:rsidRDefault="00D84965">
            <w:pPr>
              <w:pStyle w:val="P68B1DB1-Normal58"/>
              <w:spacing w:after="0" w:line="276" w:lineRule="auto"/>
              <w:jc w:val="center"/>
              <w:rPr>
                <w:bCs/>
                <w:noProof/>
              </w:rPr>
            </w:pPr>
            <w:r>
              <w:rPr>
                <w:noProof/>
              </w:rPr>
              <w:t>Anul</w:t>
            </w:r>
          </w:p>
        </w:tc>
        <w:tc>
          <w:tcPr>
            <w:tcW w:w="4470" w:type="dxa"/>
            <w:vMerge/>
            <w:tcBorders>
              <w:top w:val="single" w:sz="4" w:space="0" w:color="auto"/>
              <w:left w:val="single" w:sz="4" w:space="0" w:color="auto"/>
              <w:bottom w:val="single" w:sz="4" w:space="0" w:color="auto"/>
              <w:right w:val="single" w:sz="4" w:space="0" w:color="auto"/>
            </w:tcBorders>
            <w:hideMark/>
          </w:tcPr>
          <w:p w14:paraId="7B6CB5DD"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05AF9770" w14:textId="77777777">
        <w:trPr>
          <w:trHeight w:val="282"/>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5197526" w14:textId="77777777" w:rsidR="00FA7C11" w:rsidRDefault="00D84965">
            <w:pPr>
              <w:pStyle w:val="P68B1DB1-Normal66"/>
              <w:spacing w:after="200" w:line="276" w:lineRule="auto"/>
              <w:jc w:val="center"/>
              <w:rPr>
                <w:noProof/>
              </w:rPr>
            </w:pPr>
            <w:r>
              <w:rPr>
                <w:noProof/>
              </w:rPr>
              <w:t>315</w:t>
            </w:r>
          </w:p>
        </w:tc>
        <w:tc>
          <w:tcPr>
            <w:tcW w:w="1178" w:type="dxa"/>
            <w:tcBorders>
              <w:top w:val="single" w:sz="4" w:space="0" w:color="auto"/>
              <w:left w:val="nil"/>
              <w:bottom w:val="single" w:sz="4" w:space="0" w:color="auto"/>
              <w:right w:val="single" w:sz="4" w:space="0" w:color="auto"/>
            </w:tcBorders>
            <w:shd w:val="clear" w:color="auto" w:fill="C6EFCE"/>
            <w:noWrap/>
          </w:tcPr>
          <w:p w14:paraId="3CAFE229" w14:textId="77777777" w:rsidR="00FA7C11" w:rsidRDefault="00D84965">
            <w:pPr>
              <w:pStyle w:val="P68B1DB1-Normal66"/>
              <w:spacing w:after="200" w:line="276" w:lineRule="auto"/>
              <w:jc w:val="center"/>
              <w:rPr>
                <w:noProof/>
              </w:rPr>
            </w:pPr>
            <w:r>
              <w:rPr>
                <w:noProof/>
              </w:rPr>
              <w:t>C4.3. R3-I2</w:t>
            </w:r>
          </w:p>
        </w:tc>
        <w:tc>
          <w:tcPr>
            <w:tcW w:w="1091" w:type="dxa"/>
            <w:tcBorders>
              <w:top w:val="single" w:sz="4" w:space="0" w:color="auto"/>
              <w:left w:val="nil"/>
              <w:bottom w:val="single" w:sz="4" w:space="0" w:color="auto"/>
              <w:right w:val="single" w:sz="4" w:space="0" w:color="auto"/>
            </w:tcBorders>
            <w:shd w:val="clear" w:color="auto" w:fill="C6EFCE"/>
            <w:noWrap/>
          </w:tcPr>
          <w:p w14:paraId="428410F1" w14:textId="77777777" w:rsidR="00FA7C11" w:rsidRDefault="00D84965">
            <w:pPr>
              <w:pStyle w:val="P68B1DB1-Normal66"/>
              <w:spacing w:after="200" w:line="276" w:lineRule="auto"/>
              <w:jc w:val="center"/>
              <w:rPr>
                <w:noProof/>
              </w:rPr>
            </w:pPr>
            <w:r>
              <w:rPr>
                <w:noProof/>
              </w:rPr>
              <w:t>T</w:t>
            </w:r>
          </w:p>
        </w:tc>
        <w:tc>
          <w:tcPr>
            <w:tcW w:w="1838" w:type="dxa"/>
            <w:tcBorders>
              <w:top w:val="single" w:sz="4" w:space="0" w:color="auto"/>
              <w:left w:val="nil"/>
              <w:bottom w:val="single" w:sz="4" w:space="0" w:color="auto"/>
              <w:right w:val="single" w:sz="4" w:space="0" w:color="auto"/>
            </w:tcBorders>
            <w:shd w:val="clear" w:color="auto" w:fill="C6EFCE"/>
            <w:noWrap/>
          </w:tcPr>
          <w:p w14:paraId="5F8AC36B" w14:textId="77777777" w:rsidR="00FA7C11" w:rsidRDefault="00D84965">
            <w:pPr>
              <w:pStyle w:val="P68B1DB1-Normal66"/>
              <w:spacing w:after="200" w:line="276" w:lineRule="auto"/>
              <w:rPr>
                <w:noProof/>
                <w:u w:val="single"/>
              </w:rPr>
            </w:pPr>
            <w:r>
              <w:rPr>
                <w:noProof/>
              </w:rPr>
              <w:t>Sistemul de informații unic (sistemul de informații</w:t>
            </w:r>
            <w:r>
              <w:rPr>
                <w:noProof/>
                <w:u w:val="single"/>
              </w:rPr>
              <w:t xml:space="preserve"> </w:t>
            </w:r>
            <w:r>
              <w:rPr>
                <w:noProof/>
              </w:rPr>
              <w:t>SocSkrb)</w:t>
            </w:r>
          </w:p>
        </w:tc>
        <w:tc>
          <w:tcPr>
            <w:tcW w:w="2010" w:type="dxa"/>
            <w:tcBorders>
              <w:top w:val="single" w:sz="4" w:space="0" w:color="auto"/>
              <w:left w:val="nil"/>
              <w:bottom w:val="single" w:sz="4" w:space="0" w:color="auto"/>
              <w:right w:val="single" w:sz="4" w:space="0" w:color="auto"/>
            </w:tcBorders>
            <w:shd w:val="clear" w:color="auto" w:fill="C6EFCE"/>
            <w:noWrap/>
          </w:tcPr>
          <w:p w14:paraId="6977BFDA" w14:textId="77777777" w:rsidR="00FA7C11" w:rsidRDefault="00D84965">
            <w:pPr>
              <w:pStyle w:val="P68B1DB1-Normal110"/>
              <w:spacing w:after="200" w:line="276" w:lineRule="auto"/>
              <w:rPr>
                <w:noProof/>
              </w:rPr>
            </w:pPr>
            <w:r>
              <w:rPr>
                <w:noProof/>
              </w:rPr>
              <w:t xml:space="preserve"> </w:t>
            </w:r>
          </w:p>
        </w:tc>
        <w:tc>
          <w:tcPr>
            <w:tcW w:w="975" w:type="dxa"/>
            <w:tcBorders>
              <w:top w:val="single" w:sz="4" w:space="0" w:color="auto"/>
              <w:left w:val="nil"/>
              <w:bottom w:val="single" w:sz="4" w:space="0" w:color="auto"/>
              <w:right w:val="single" w:sz="4" w:space="0" w:color="auto"/>
            </w:tcBorders>
            <w:shd w:val="clear" w:color="auto" w:fill="C6EFCE"/>
            <w:noWrap/>
          </w:tcPr>
          <w:p w14:paraId="3208022F" w14:textId="77777777" w:rsidR="00FA7C11" w:rsidRDefault="00D84965">
            <w:pPr>
              <w:pStyle w:val="P68B1DB1-Normal66"/>
              <w:spacing w:after="200" w:line="276" w:lineRule="auto"/>
              <w:jc w:val="center"/>
              <w:rPr>
                <w:noProof/>
              </w:rPr>
            </w:pPr>
            <w:r>
              <w:rPr>
                <w:noProof/>
              </w:rPr>
              <w:t>Număr</w:t>
            </w:r>
          </w:p>
        </w:tc>
        <w:tc>
          <w:tcPr>
            <w:tcW w:w="802" w:type="dxa"/>
            <w:tcBorders>
              <w:top w:val="single" w:sz="4" w:space="0" w:color="auto"/>
              <w:left w:val="nil"/>
              <w:bottom w:val="single" w:sz="4" w:space="0" w:color="auto"/>
              <w:right w:val="single" w:sz="4" w:space="0" w:color="auto"/>
            </w:tcBorders>
            <w:shd w:val="clear" w:color="auto" w:fill="C6EFCE"/>
            <w:noWrap/>
          </w:tcPr>
          <w:p w14:paraId="7848A5CE" w14:textId="77777777" w:rsidR="00FA7C11" w:rsidRDefault="00D84965">
            <w:pPr>
              <w:pStyle w:val="P68B1DB1-Normal66"/>
              <w:spacing w:after="200" w:line="276" w:lineRule="auto"/>
              <w:jc w:val="center"/>
              <w:rPr>
                <w:noProof/>
              </w:rPr>
            </w:pPr>
            <w:r>
              <w:rPr>
                <w:noProof/>
              </w:rPr>
              <w:t>0</w:t>
            </w:r>
          </w:p>
        </w:tc>
        <w:tc>
          <w:tcPr>
            <w:tcW w:w="826" w:type="dxa"/>
            <w:tcBorders>
              <w:top w:val="single" w:sz="4" w:space="0" w:color="auto"/>
              <w:left w:val="nil"/>
              <w:bottom w:val="single" w:sz="4" w:space="0" w:color="auto"/>
              <w:right w:val="single" w:sz="4" w:space="0" w:color="auto"/>
            </w:tcBorders>
            <w:shd w:val="clear" w:color="auto" w:fill="C6EFCE"/>
            <w:noWrap/>
          </w:tcPr>
          <w:p w14:paraId="160DBCC9" w14:textId="77777777" w:rsidR="00FA7C11" w:rsidRDefault="00D84965">
            <w:pPr>
              <w:pStyle w:val="P68B1DB1-Normal66"/>
              <w:spacing w:after="200" w:line="276" w:lineRule="auto"/>
              <w:jc w:val="center"/>
              <w:rPr>
                <w:noProof/>
              </w:rPr>
            </w:pPr>
            <w:r>
              <w:rPr>
                <w:noProof/>
              </w:rPr>
              <w:t>1</w:t>
            </w:r>
          </w:p>
        </w:tc>
        <w:tc>
          <w:tcPr>
            <w:tcW w:w="749" w:type="dxa"/>
            <w:tcBorders>
              <w:top w:val="single" w:sz="4" w:space="0" w:color="auto"/>
              <w:left w:val="nil"/>
              <w:bottom w:val="single" w:sz="4" w:space="0" w:color="auto"/>
              <w:right w:val="single" w:sz="4" w:space="0" w:color="auto"/>
            </w:tcBorders>
            <w:shd w:val="clear" w:color="auto" w:fill="C6EFCE"/>
            <w:noWrap/>
          </w:tcPr>
          <w:p w14:paraId="281022B1" w14:textId="77777777" w:rsidR="00FA7C11" w:rsidRDefault="00D84965">
            <w:pPr>
              <w:pStyle w:val="P68B1DB1-Normal66"/>
              <w:spacing w:after="200" w:line="276" w:lineRule="auto"/>
              <w:jc w:val="center"/>
              <w:rPr>
                <w:noProof/>
              </w:rPr>
            </w:pPr>
            <w:r>
              <w:rPr>
                <w:noProof/>
              </w:rPr>
              <w:t>Î4</w:t>
            </w:r>
          </w:p>
        </w:tc>
        <w:tc>
          <w:tcPr>
            <w:tcW w:w="942" w:type="dxa"/>
            <w:tcBorders>
              <w:top w:val="single" w:sz="4" w:space="0" w:color="auto"/>
              <w:left w:val="nil"/>
              <w:bottom w:val="single" w:sz="4" w:space="0" w:color="auto"/>
              <w:right w:val="single" w:sz="4" w:space="0" w:color="auto"/>
            </w:tcBorders>
            <w:shd w:val="clear" w:color="auto" w:fill="C6EFCE"/>
            <w:noWrap/>
          </w:tcPr>
          <w:p w14:paraId="0E0FB892" w14:textId="77777777" w:rsidR="00FA7C11" w:rsidRDefault="00D84965">
            <w:pPr>
              <w:pStyle w:val="P68B1DB1-Normal66"/>
              <w:spacing w:after="200" w:line="276" w:lineRule="auto"/>
              <w:jc w:val="center"/>
              <w:rPr>
                <w:noProof/>
              </w:rPr>
            </w:pPr>
            <w:r>
              <w:rPr>
                <w:noProof/>
              </w:rPr>
              <w:t>2024</w:t>
            </w:r>
          </w:p>
        </w:tc>
        <w:tc>
          <w:tcPr>
            <w:tcW w:w="4470" w:type="dxa"/>
            <w:tcBorders>
              <w:top w:val="single" w:sz="4" w:space="0" w:color="auto"/>
              <w:left w:val="nil"/>
              <w:bottom w:val="single" w:sz="4" w:space="0" w:color="auto"/>
              <w:right w:val="single" w:sz="4" w:space="0" w:color="auto"/>
            </w:tcBorders>
            <w:shd w:val="clear" w:color="auto" w:fill="C6EFCE"/>
            <w:noWrap/>
          </w:tcPr>
          <w:p w14:paraId="0C286B78" w14:textId="77777777" w:rsidR="00FA7C11" w:rsidRDefault="00D84965">
            <w:pPr>
              <w:pStyle w:val="P68B1DB1-Normal66"/>
              <w:spacing w:after="200" w:line="276" w:lineRule="auto"/>
              <w:rPr>
                <w:noProof/>
              </w:rPr>
            </w:pPr>
            <w:r>
              <w:rPr>
                <w:noProof/>
              </w:rPr>
              <w:t>Obiectivul acestei investiții este de a moderniza aplicația de asistență socială care gestionează și înregistrează procedurile legate de recunoașterea drepturilor la servicii sociale într-un singur sistem informatic funcțional, care va implica toate părțile interesate în procesul de recunoaștere a drepturilor și de furnizare a serviciilor către utilizator, permițând astfel monitorizarea și analiza datelor privind utilizatorii și serviciile din sistemul de protecție socială, cum ar fi informațiile privind locurile disponibile pentru furnizorii de servicii și prețurile serviciilor acestora. Soluția software dezvoltată va fi integrată în sistemul informatic existent SocSkrb utilizat de centrele de asistență socială. În cele din urmă, acest lucru va permite conectarea informatică a tuturor centrelor de asistență socială cu furnizorii de servicii sociale finanțați de la bugetul de stat.</w:t>
            </w:r>
          </w:p>
        </w:tc>
      </w:tr>
    </w:tbl>
    <w:p w14:paraId="3C516A0C" w14:textId="77777777" w:rsidR="00FA7C11" w:rsidRDefault="00FA7C11">
      <w:pPr>
        <w:pStyle w:val="paragraph"/>
        <w:spacing w:before="0" w:beforeAutospacing="0" w:after="0" w:afterAutospacing="0"/>
        <w:ind w:left="840"/>
        <w:jc w:val="both"/>
        <w:textAlignment w:val="baseline"/>
        <w:rPr>
          <w:rStyle w:val="eop"/>
          <w:noProof/>
          <w:color w:val="4F81BD"/>
        </w:rPr>
      </w:pPr>
    </w:p>
    <w:p w14:paraId="09625EFA" w14:textId="77777777" w:rsidR="00FA7C11" w:rsidRDefault="00FA7C11">
      <w:pPr>
        <w:rPr>
          <w:noProof/>
        </w:rPr>
      </w:pPr>
    </w:p>
    <w:p w14:paraId="1DE25B50" w14:textId="77777777" w:rsidR="00FA7C11" w:rsidRDefault="00FA7C11">
      <w:pPr>
        <w:keepNext/>
        <w:tabs>
          <w:tab w:val="left" w:pos="850"/>
        </w:tabs>
        <w:spacing w:before="360" w:line="240" w:lineRule="auto"/>
        <w:ind w:left="850" w:hanging="850"/>
        <w:jc w:val="both"/>
        <w:outlineLvl w:val="0"/>
        <w:rPr>
          <w:rFonts w:ascii="Times New Roman" w:eastAsia="Calibri" w:hAnsi="Times New Roman" w:cs="Times New Roman"/>
          <w:b/>
          <w:smallCaps/>
          <w:noProof/>
          <w:sz w:val="24"/>
          <w:szCs w:val="24"/>
        </w:rPr>
        <w:sectPr w:rsidR="00FA7C11" w:rsidSect="00FA29B2">
          <w:headerReference w:type="even" r:id="rId356"/>
          <w:headerReference w:type="default" r:id="rId357"/>
          <w:footerReference w:type="even" r:id="rId358"/>
          <w:footerReference w:type="default" r:id="rId359"/>
          <w:headerReference w:type="first" r:id="rId360"/>
          <w:footerReference w:type="first" r:id="rId361"/>
          <w:pgSz w:w="16838" w:h="11906" w:orient="landscape"/>
          <w:pgMar w:top="1134" w:right="1134" w:bottom="1134" w:left="1134" w:header="567" w:footer="567" w:gutter="0"/>
          <w:cols w:space="708"/>
          <w:docGrid w:linePitch="360"/>
        </w:sectPr>
      </w:pPr>
    </w:p>
    <w:p w14:paraId="0FD5D246" w14:textId="77777777" w:rsidR="00FA7C11" w:rsidRDefault="00D84965">
      <w:pPr>
        <w:pStyle w:val="P68B1DB1-Normal32"/>
        <w:keepNext/>
        <w:tabs>
          <w:tab w:val="left" w:pos="850"/>
        </w:tabs>
        <w:spacing w:before="360" w:line="240" w:lineRule="auto"/>
        <w:ind w:left="850" w:hanging="850"/>
        <w:jc w:val="both"/>
        <w:outlineLvl w:val="0"/>
        <w:rPr>
          <w:noProof/>
        </w:rPr>
      </w:pPr>
      <w:r>
        <w:rPr>
          <w:noProof/>
        </w:rPr>
        <w:t>U. COMPONENTĂ 5.1: CONSOLIDAREA REZILIENȚEI SISTEMULUI DE SĂNĂTATE</w:t>
      </w:r>
    </w:p>
    <w:p w14:paraId="18F0827A" w14:textId="77777777" w:rsidR="00FA7C11" w:rsidRDefault="00D84965">
      <w:pPr>
        <w:pStyle w:val="P68B1DB1-Normal33"/>
        <w:spacing w:line="240" w:lineRule="auto"/>
        <w:jc w:val="both"/>
        <w:rPr>
          <w:noProof/>
        </w:rPr>
      </w:pPr>
      <w:r>
        <w:rPr>
          <w:noProof/>
        </w:rPr>
        <w:t xml:space="preserve">Această componentă a planului croat de redresare și reziliență urmărește să abordeze provocările, agravate de pandemia de COVID-19, în ceea ce privește reziliența și sustenabilitatea sistemului de sănătate în legătură cu speranța de viață sub media UE, îngrijirea preventivă, cronică și pe termen lung deficitară. Obiectivul general al reformelor și al investițiilor în această componentă este de a îmbunătăți eficiența, calitatea, accesibilitatea și sustenabilitatea financiară a sistemului de sănătate. </w:t>
      </w:r>
    </w:p>
    <w:p w14:paraId="5DCA3AE4" w14:textId="77777777" w:rsidR="00FA7C11" w:rsidRDefault="00D84965">
      <w:pPr>
        <w:pStyle w:val="P68B1DB1-Normal33"/>
        <w:spacing w:line="240" w:lineRule="auto"/>
        <w:jc w:val="both"/>
        <w:rPr>
          <w:noProof/>
        </w:rPr>
      </w:pPr>
      <w:r>
        <w:rPr>
          <w:noProof/>
        </w:rPr>
        <w:t>Componenta include următoarele măsuri:</w:t>
      </w:r>
    </w:p>
    <w:p w14:paraId="32421BFD" w14:textId="77777777" w:rsidR="00FA7C11" w:rsidRDefault="00D84965">
      <w:pPr>
        <w:pStyle w:val="P68B1DB1-Normal33"/>
        <w:numPr>
          <w:ilvl w:val="0"/>
          <w:numId w:val="76"/>
        </w:numPr>
        <w:spacing w:before="120" w:after="120" w:line="240" w:lineRule="auto"/>
        <w:jc w:val="both"/>
        <w:rPr>
          <w:noProof/>
        </w:rPr>
      </w:pPr>
      <w:r>
        <w:rPr>
          <w:noProof/>
        </w:rPr>
        <w:t>Introducerea unor noi modele de îngrijire pentru pacienți, cu un accent deosebit pe îngrijirea preventivă și cronică a pacienților bolnavi de cancer;</w:t>
      </w:r>
    </w:p>
    <w:p w14:paraId="2D38869D" w14:textId="77777777" w:rsidR="00FA7C11" w:rsidRDefault="00D84965">
      <w:pPr>
        <w:pStyle w:val="P68B1DB1-Normal33"/>
        <w:numPr>
          <w:ilvl w:val="0"/>
          <w:numId w:val="76"/>
        </w:numPr>
        <w:spacing w:before="120" w:after="120" w:line="240" w:lineRule="auto"/>
        <w:jc w:val="both"/>
        <w:rPr>
          <w:noProof/>
        </w:rPr>
      </w:pPr>
      <w:r>
        <w:rPr>
          <w:noProof/>
        </w:rPr>
        <w:t>Integrarea funcțională a spitalelor și consolidarea spitalelor de zi la nivel secundar și terțiar (orizontal și vertical);</w:t>
      </w:r>
    </w:p>
    <w:p w14:paraId="6C90F65F" w14:textId="77777777" w:rsidR="00FA7C11" w:rsidRDefault="00D84965">
      <w:pPr>
        <w:pStyle w:val="P68B1DB1-Normal33"/>
        <w:numPr>
          <w:ilvl w:val="0"/>
          <w:numId w:val="76"/>
        </w:numPr>
        <w:spacing w:before="120" w:after="120" w:line="240" w:lineRule="auto"/>
        <w:jc w:val="both"/>
        <w:rPr>
          <w:noProof/>
        </w:rPr>
      </w:pPr>
      <w:r>
        <w:rPr>
          <w:noProof/>
        </w:rPr>
        <w:t>Creșterea ponderii specialiștilor în domeniul familiei în numărul total de medici contractați în general și în echipele familiale;</w:t>
      </w:r>
    </w:p>
    <w:p w14:paraId="10488357" w14:textId="77777777" w:rsidR="00FA7C11" w:rsidRDefault="00D84965">
      <w:pPr>
        <w:pStyle w:val="P68B1DB1-Normal33"/>
        <w:numPr>
          <w:ilvl w:val="0"/>
          <w:numId w:val="76"/>
        </w:numPr>
        <w:spacing w:before="120" w:after="120" w:line="240" w:lineRule="auto"/>
        <w:jc w:val="both"/>
        <w:rPr>
          <w:noProof/>
        </w:rPr>
      </w:pPr>
      <w:r>
        <w:rPr>
          <w:noProof/>
        </w:rPr>
        <w:t>Îmbunătățirea sistemului digitalizat de achiziții publice comune pentru a include spitalele deținute de județe, cu scopul de a aduce economii semnificative în sistem și de a îmbunătăți calitatea;</w:t>
      </w:r>
    </w:p>
    <w:p w14:paraId="48E35894" w14:textId="77777777" w:rsidR="00FA7C11" w:rsidRDefault="00D84965">
      <w:pPr>
        <w:pStyle w:val="P68B1DB1-Normal33"/>
        <w:numPr>
          <w:ilvl w:val="0"/>
          <w:numId w:val="76"/>
        </w:numPr>
        <w:spacing w:before="120" w:after="120" w:line="240" w:lineRule="auto"/>
        <w:jc w:val="both"/>
        <w:rPr>
          <w:noProof/>
        </w:rPr>
      </w:pPr>
      <w:r>
        <w:rPr>
          <w:noProof/>
        </w:rPr>
        <w:t>Utilizarea pe scară largă a unui sistem central de preparare în 8 spitale și introducerea unui sistem unitar de distribuție a terapiei în 40 spitale.</w:t>
      </w:r>
    </w:p>
    <w:p w14:paraId="54C9F38A" w14:textId="77777777" w:rsidR="00FA7C11" w:rsidRDefault="00D84965">
      <w:pPr>
        <w:pStyle w:val="P68B1DB1-Normal33"/>
        <w:spacing w:line="240" w:lineRule="auto"/>
        <w:jc w:val="both"/>
        <w:rPr>
          <w:noProof/>
        </w:rPr>
      </w:pPr>
      <w:r>
        <w:rPr>
          <w:noProof/>
        </w:rPr>
        <w:t>Componenta contribuie la punerea în aplicare a recomandării specifice fiecărei țări privind sporirea rezilienței sistemului de sănătate, distribuția geografică echilibrată a lucrătorilor din domeniul sănătății și a unităților medicale, o cooperare mai strânsă între toate nivelurile administrației și investițiile în e-sănătate (recomandările specifice fiecărei țări 1.2 și 2020), precum și la creșterea accesului la infrastructura și serviciile digitale (recomandările specifice fiecărei țări 2.3 și 2020) și la promovarea dobândirii de competențe (recomandările specifice fiecărei țări 2.4 și 2020).</w:t>
      </w:r>
    </w:p>
    <w:p w14:paraId="6290E3CD" w14:textId="77777777" w:rsidR="00FA7C11" w:rsidRDefault="00D84965">
      <w:pPr>
        <w:pStyle w:val="P68B1DB1-Normal33"/>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B80142D" w14:textId="77777777" w:rsidR="00FA7C11" w:rsidRDefault="00FA7C11">
      <w:pPr>
        <w:spacing w:line="240" w:lineRule="auto"/>
        <w:jc w:val="both"/>
        <w:rPr>
          <w:rFonts w:ascii="Times New Roman" w:eastAsia="Calibri" w:hAnsi="Times New Roman" w:cs="Times New Roman"/>
          <w:noProof/>
          <w:sz w:val="24"/>
          <w:szCs w:val="24"/>
        </w:rPr>
      </w:pPr>
    </w:p>
    <w:p w14:paraId="2B92E0FC" w14:textId="77777777" w:rsidR="00FA7C11" w:rsidRDefault="00D84965">
      <w:pPr>
        <w:pStyle w:val="P68B1DB1-Normal57"/>
        <w:keepNext/>
        <w:spacing w:before="40" w:after="0" w:line="240" w:lineRule="auto"/>
        <w:ind w:left="851"/>
        <w:jc w:val="both"/>
        <w:outlineLvl w:val="1"/>
        <w:rPr>
          <w:noProof/>
        </w:rPr>
      </w:pPr>
      <w:r>
        <w:rPr>
          <w:noProof/>
        </w:rPr>
        <w:t xml:space="preserve">U.1. </w:t>
      </w:r>
      <w:r>
        <w:rPr>
          <w:noProof/>
        </w:rPr>
        <w:tab/>
        <w:t>Descrierea reformelor și a investițiilor pentru sprijinul financiar nerambursabil</w:t>
      </w:r>
    </w:p>
    <w:p w14:paraId="3CCDE6E8" w14:textId="77777777" w:rsidR="00FA7C11" w:rsidRDefault="00FA7C11">
      <w:pPr>
        <w:spacing w:line="240" w:lineRule="auto"/>
        <w:ind w:left="850"/>
        <w:jc w:val="both"/>
        <w:rPr>
          <w:rFonts w:ascii="Times New Roman" w:eastAsia="Calibri" w:hAnsi="Times New Roman" w:cs="Times New Roman"/>
          <w:noProof/>
          <w:sz w:val="24"/>
          <w:szCs w:val="24"/>
          <w:u w:val="single"/>
        </w:rPr>
      </w:pPr>
    </w:p>
    <w:p w14:paraId="4220376F" w14:textId="77777777" w:rsidR="00FA7C11" w:rsidRDefault="00D84965">
      <w:pPr>
        <w:pStyle w:val="P68B1DB1-Normal42"/>
        <w:spacing w:line="240" w:lineRule="auto"/>
        <w:ind w:left="850"/>
        <w:jc w:val="both"/>
        <w:rPr>
          <w:noProof/>
        </w:rPr>
      </w:pPr>
      <w:r>
        <w:rPr>
          <w:noProof/>
        </w:rPr>
        <w:t>Reforma C5.1 R1 – Îmbunătățirea eficienței, a calității și a accesibilității sistemului de sănătate</w:t>
      </w:r>
    </w:p>
    <w:p w14:paraId="68FB7F67" w14:textId="77777777" w:rsidR="00FA7C11" w:rsidRDefault="00D84965">
      <w:pPr>
        <w:pStyle w:val="P68B1DB1-Normal33"/>
        <w:spacing w:line="240" w:lineRule="auto"/>
        <w:jc w:val="both"/>
        <w:rPr>
          <w:iCs/>
          <w:noProof/>
        </w:rPr>
      </w:pPr>
      <w:r>
        <w:rPr>
          <w:noProof/>
        </w:rPr>
        <w:t xml:space="preserve">Obiectivul acestei măsuri este de a spori accesul egal la asistența medicală primară, în special în zonele rurale, îndepărtate și insulare, prin îmbunătățirea gamei și a calității serviciilor la nivelul medicilor de familie (medici generaliști), reducând astfel sarcina asupra spitalelor. Pentru a urmări mai bine rezultatele în materie de sănătate, se instituie cadrul de evaluare a performanței sistemului de sănătate (HSPA) pentru a contribui la crearea de indicatori-cheie de performanță în conformitate cu o metodologie definită, cu intenția de a corela măsurile cu obiectivele stabilite în documentele de strategie și reformele naționale, îmbunătățind actualitatea datelor privind sănătatea disponibile pentru analiza strategică și politică. </w:t>
      </w:r>
    </w:p>
    <w:p w14:paraId="135389B5" w14:textId="77777777" w:rsidR="00FA7C11" w:rsidRDefault="00D84965">
      <w:pPr>
        <w:pStyle w:val="P68B1DB1-Normal33"/>
        <w:spacing w:line="240" w:lineRule="auto"/>
        <w:jc w:val="both"/>
        <w:rPr>
          <w:noProof/>
        </w:rPr>
      </w:pPr>
      <w:r>
        <w:rPr>
          <w:noProof/>
        </w:rPr>
        <w:t>Reforma se finalizează până la 31 decembrie 2023.</w:t>
      </w:r>
    </w:p>
    <w:p w14:paraId="06D69ED4" w14:textId="77777777" w:rsidR="00FA7C11" w:rsidRDefault="00FA7C11">
      <w:pPr>
        <w:spacing w:line="240" w:lineRule="auto"/>
        <w:ind w:left="850"/>
        <w:jc w:val="both"/>
        <w:rPr>
          <w:rFonts w:ascii="Times New Roman" w:eastAsia="Calibri" w:hAnsi="Times New Roman" w:cs="Times New Roman"/>
          <w:noProof/>
          <w:sz w:val="24"/>
          <w:szCs w:val="24"/>
          <w:u w:val="single"/>
        </w:rPr>
      </w:pPr>
    </w:p>
    <w:p w14:paraId="63FA1F44" w14:textId="77777777" w:rsidR="00FA7C11" w:rsidRDefault="00FA7C11">
      <w:pPr>
        <w:spacing w:line="240" w:lineRule="auto"/>
        <w:ind w:left="850"/>
        <w:jc w:val="both"/>
        <w:rPr>
          <w:rFonts w:ascii="Times New Roman" w:eastAsia="Calibri" w:hAnsi="Times New Roman" w:cs="Times New Roman"/>
          <w:noProof/>
          <w:sz w:val="24"/>
          <w:szCs w:val="24"/>
          <w:u w:val="single"/>
        </w:rPr>
      </w:pPr>
    </w:p>
    <w:p w14:paraId="7297D5B9" w14:textId="77777777" w:rsidR="00FA7C11" w:rsidRDefault="00D84965">
      <w:pPr>
        <w:pStyle w:val="P68B1DB1-Normal42"/>
        <w:spacing w:line="240" w:lineRule="auto"/>
        <w:ind w:left="850"/>
        <w:jc w:val="both"/>
        <w:rPr>
          <w:iCs/>
          <w:noProof/>
        </w:rPr>
      </w:pPr>
      <w:r>
        <w:rPr>
          <w:noProof/>
        </w:rPr>
        <w:t>Investiția C5.1 R1-I4 – Diagnosticarea digitală a imaginilor Centrului spitalicesc clinic „KBC Split”</w:t>
      </w:r>
    </w:p>
    <w:p w14:paraId="45EF0894" w14:textId="77777777" w:rsidR="00FA7C11" w:rsidRDefault="00D84965">
      <w:pPr>
        <w:pStyle w:val="P68B1DB1-Normal33"/>
        <w:spacing w:line="240" w:lineRule="auto"/>
        <w:jc w:val="both"/>
        <w:rPr>
          <w:noProof/>
        </w:rPr>
      </w:pPr>
      <w:r>
        <w:rPr>
          <w:noProof/>
        </w:rPr>
        <w:t>Obiectivul acestei măsuri este de a actualiza diagnosticarea digitală a imaginii KBC Split, îmbunătățind astfel asistența medicală în domeniul prevenirii, tratamentului și diagnosticării bolilor. Investiția urmărește să sporească calitatea și accesibilitatea asistenței medicale pentru toate categoriile de pacienți, să îmbunătățească rezultatele clinice și să ofere diagnostice mai timpurii și de mai bună calitate, în special la pacienții pediatrici și oncologici. În special, aceasta digitalizează serviciile și procesele de sănătate, asigură transparența în furnizarea serviciilor de sănătate, optimizează utilizarea resurselor sistemului spitalicesc și asigură stabilitatea financiară viitoare. Investiția adaptează spațiul pentru găzduirea echipamentelor medicale nou achiziționate, inclusiv a rezonanței magnetice 3T, a angiocamerei digitale Neurointervention DSA, a aparatului digital diascopic RTG și a camerei gastroenterologice endoscopice.</w:t>
      </w:r>
    </w:p>
    <w:p w14:paraId="7E28DEAB" w14:textId="77777777" w:rsidR="00FA7C11" w:rsidRDefault="00D84965">
      <w:pPr>
        <w:pStyle w:val="P68B1DB1-Normal33"/>
        <w:spacing w:line="240" w:lineRule="auto"/>
        <w:jc w:val="both"/>
        <w:rPr>
          <w:iCs/>
          <w:noProof/>
        </w:rPr>
      </w:pPr>
      <w:r>
        <w:rPr>
          <w:noProof/>
        </w:rPr>
        <w:t>Măsura se finalizează până la 31 decembrie 2022.</w:t>
      </w:r>
    </w:p>
    <w:p w14:paraId="00F33C36" w14:textId="77777777" w:rsidR="00FA7C11" w:rsidRDefault="00D84965">
      <w:pPr>
        <w:pStyle w:val="P68B1DB1-Normal42"/>
        <w:spacing w:line="240" w:lineRule="auto"/>
        <w:ind w:left="850"/>
        <w:jc w:val="both"/>
        <w:rPr>
          <w:noProof/>
        </w:rPr>
      </w:pPr>
      <w:r>
        <w:rPr>
          <w:noProof/>
        </w:rPr>
        <w:t>Investiția C5.1 R1-I5 – Construirea și amenajarea blocului operațional central al spitalului general „OB Varaždin”</w:t>
      </w:r>
    </w:p>
    <w:p w14:paraId="0E59A149" w14:textId="2CAD6BA6" w:rsidR="00FA7C11" w:rsidRDefault="00D84965">
      <w:pPr>
        <w:pStyle w:val="P68B1DB1-Normal33"/>
        <w:spacing w:line="240" w:lineRule="auto"/>
        <w:jc w:val="both"/>
        <w:rPr>
          <w:iCs/>
          <w:noProof/>
        </w:rPr>
      </w:pPr>
      <w:r>
        <w:rPr>
          <w:noProof/>
        </w:rPr>
        <w:t xml:space="preserve">Scopul investiției este de a optimiza resursele sistemului de sănătate spitalicesc, de a spori siguranța pacienților și de a oferi condiții adecvate pentru activitatea personalului medical. Această măsură constă în construirea și echiparea unui bloc de operare central și în construirea de coridoare de legătură cu unitățile medicale existente. </w:t>
      </w:r>
    </w:p>
    <w:p w14:paraId="1F8D33CE" w14:textId="77777777" w:rsidR="00FA7C11" w:rsidRDefault="00D84965">
      <w:pPr>
        <w:pStyle w:val="P68B1DB1-Normal42"/>
        <w:spacing w:line="240" w:lineRule="auto"/>
        <w:ind w:left="850"/>
        <w:jc w:val="both"/>
        <w:rPr>
          <w:noProof/>
        </w:rPr>
      </w:pPr>
      <w:r>
        <w:rPr>
          <w:noProof/>
        </w:rPr>
        <w:t>Investiția C5.1 R1-I6 – Spitalul clinic de diagnosticare digitală a imaginilor „KB Dubrava”</w:t>
      </w:r>
    </w:p>
    <w:p w14:paraId="0709335A" w14:textId="7DED8743" w:rsidR="00FA7C11" w:rsidRDefault="00D84965">
      <w:pPr>
        <w:pStyle w:val="P68B1DB1-Normal33"/>
        <w:spacing w:line="240" w:lineRule="auto"/>
        <w:jc w:val="both"/>
        <w:rPr>
          <w:noProof/>
        </w:rPr>
      </w:pPr>
      <w:r>
        <w:rPr>
          <w:noProof/>
        </w:rPr>
        <w:t xml:space="preserve">Obiectivul acestei măsuri este achiziționarea de echipamente radiologice digitale pentru Institutul Clinic de Radiologie de Diagnostic și Intervenție KB Dubrava, care oferă servicii unui număr de peste 350 000 de pacienți. În general, se preconizează că această investiție va îmbunătăți în mod semnificativ calitatea și accesibilitatea asistenței medicale pentru toate categoriile de pacienți, va îmbunătăți diagnosticarea, tratamentul și monitorizarea ulterioară tratamentului și, prin urmare, rezultatele clinice pentru toate grupurile de pacienți, inclusiv pentru pacienții care necesită cel mai complex tratament în clinici și în unitățile organizaționale ale spitalului. Prin urmare, se preconizează că durata spitalizării, complicațiile, spitalizarea în unitățile de terapie intensivă, costurile tratamentului și listele de așteptare vor fi reduse. Investiția include achiziționarea de echipamente de ultimă generație. </w:t>
      </w:r>
    </w:p>
    <w:p w14:paraId="0703C6CC" w14:textId="77777777" w:rsidR="00FA7C11" w:rsidRDefault="00D84965">
      <w:pPr>
        <w:pStyle w:val="P68B1DB1-Normal33"/>
        <w:spacing w:line="240" w:lineRule="auto"/>
        <w:jc w:val="both"/>
        <w:rPr>
          <w:iCs/>
          <w:noProof/>
        </w:rPr>
      </w:pPr>
      <w:r>
        <w:rPr>
          <w:noProof/>
        </w:rPr>
        <w:t>Măsura se finalizează până la 30 iunie 2023.</w:t>
      </w:r>
    </w:p>
    <w:p w14:paraId="36EE39B1" w14:textId="77777777" w:rsidR="00FA7C11" w:rsidRDefault="00D84965">
      <w:pPr>
        <w:pStyle w:val="P68B1DB1-Normal42"/>
        <w:spacing w:line="240" w:lineRule="auto"/>
        <w:ind w:left="850"/>
        <w:jc w:val="both"/>
        <w:rPr>
          <w:noProof/>
        </w:rPr>
      </w:pPr>
      <w:r>
        <w:rPr>
          <w:noProof/>
        </w:rPr>
        <w:t xml:space="preserve">Investiția C5.1 R1-I7 – Echiparea de noi unități pentru spitalul de zi și chirurgia de o zi și internarea integrată în spitalele de urgență și adaptarea clinicii de neurochirurgie la Centrul spitalicesc clinic „KBC Sestre Milosrdnice” </w:t>
      </w:r>
    </w:p>
    <w:p w14:paraId="6C28189F" w14:textId="77777777" w:rsidR="00FA7C11" w:rsidRDefault="00D84965">
      <w:pPr>
        <w:pStyle w:val="P68B1DB1-Normal33"/>
        <w:spacing w:line="240" w:lineRule="auto"/>
        <w:jc w:val="both"/>
        <w:rPr>
          <w:noProof/>
        </w:rPr>
      </w:pPr>
      <w:r>
        <w:rPr>
          <w:noProof/>
        </w:rPr>
        <w:t xml:space="preserve">Obiectivul acestei măsuri este de a crește capacitatea de tratare a pacienților cu cel puțin 22 % față de numărul de pacienți tratați în prezent. Se preconizează că investiția va îmbunătăți considerabil calitatea asistenței medicale pentru aproximativ 700 000 de pacienți tratați de KBC, dintre care aproximativ 300 000 reprezintă urgențe și aproximativ 40 000 de pacienți sunt tratați în spitale și operații de zi. Măsura va dota noi unități pentru spitalul de zi și chirurgia de o zi și spitalizarea integrată de urgență și va adapta clinica neurochirurgicală din Centrul spitalicesc clinic (KBC) Sestre Milosrdnice. </w:t>
      </w:r>
    </w:p>
    <w:p w14:paraId="594581B3" w14:textId="77777777" w:rsidR="00FA7C11" w:rsidRDefault="00D84965">
      <w:pPr>
        <w:pStyle w:val="P68B1DB1-Normal33"/>
        <w:spacing w:line="240" w:lineRule="auto"/>
        <w:jc w:val="both"/>
        <w:rPr>
          <w:iCs/>
          <w:noProof/>
        </w:rPr>
      </w:pPr>
      <w:r>
        <w:rPr>
          <w:noProof/>
        </w:rPr>
        <w:t>Măsura se finalizează până la 31 martie 2024.</w:t>
      </w:r>
    </w:p>
    <w:p w14:paraId="5A8D8645" w14:textId="77777777" w:rsidR="00FA7C11" w:rsidRDefault="00D84965">
      <w:pPr>
        <w:pStyle w:val="P68B1DB1-Normal42"/>
        <w:spacing w:line="240" w:lineRule="auto"/>
        <w:ind w:left="850"/>
        <w:jc w:val="both"/>
        <w:rPr>
          <w:noProof/>
        </w:rPr>
      </w:pPr>
      <w:r>
        <w:rPr>
          <w:noProof/>
        </w:rPr>
        <w:t>Investiția C5.1 R1-I8 – Tratamentul preoperațional și tratamentul pacienților cu epilepsie farmacoresistă în Spitalul General „KB Dubrava”</w:t>
      </w:r>
    </w:p>
    <w:p w14:paraId="0264E188" w14:textId="77777777" w:rsidR="00FA7C11" w:rsidRDefault="00D84965">
      <w:pPr>
        <w:pStyle w:val="P68B1DB1-Normal33"/>
        <w:spacing w:line="240" w:lineRule="auto"/>
        <w:jc w:val="both"/>
        <w:rPr>
          <w:noProof/>
        </w:rPr>
      </w:pPr>
      <w:r>
        <w:rPr>
          <w:noProof/>
        </w:rPr>
        <w:t xml:space="preserve">Obiectivul acestei măsuri este dezvoltarea în continuare a Institutului de Neurologie KB Dubrava, precum și a metodelor și tratamentelor preoperaționale ale epilepsiei la pacienții farmacorezistenți. Investiția include achiziționarea de echipamente de ultimă generație și adaptarea capacității spațiale. </w:t>
      </w:r>
    </w:p>
    <w:p w14:paraId="732CD76D" w14:textId="77777777" w:rsidR="00FA7C11" w:rsidRDefault="00D84965">
      <w:pPr>
        <w:pStyle w:val="P68B1DB1-Normal33"/>
        <w:spacing w:line="240" w:lineRule="auto"/>
        <w:jc w:val="both"/>
        <w:rPr>
          <w:noProof/>
        </w:rPr>
      </w:pPr>
      <w:r>
        <w:rPr>
          <w:noProof/>
        </w:rPr>
        <w:t>Măsura se finalizează până la 30 iunie 2023.</w:t>
      </w:r>
    </w:p>
    <w:p w14:paraId="1A515335" w14:textId="77777777" w:rsidR="00FA7C11" w:rsidRDefault="00D84965">
      <w:pPr>
        <w:pStyle w:val="P68B1DB1-Normal42"/>
        <w:spacing w:line="240" w:lineRule="auto"/>
        <w:ind w:left="850"/>
        <w:jc w:val="both"/>
        <w:rPr>
          <w:noProof/>
        </w:rPr>
      </w:pPr>
      <w:r>
        <w:rPr>
          <w:noProof/>
        </w:rPr>
        <w:t>Investiția C5.1 R1-I9 – Dezvoltarea centrului spitalicesc clinic „KBC Zagreb”, Etapa III – echiparea cu echipamente medicale și nemedicale</w:t>
      </w:r>
    </w:p>
    <w:p w14:paraId="3CF1E44E" w14:textId="77777777" w:rsidR="00FA7C11" w:rsidRDefault="00D84965">
      <w:pPr>
        <w:pStyle w:val="P68B1DB1-Normal33"/>
        <w:spacing w:line="240" w:lineRule="auto"/>
        <w:jc w:val="both"/>
        <w:rPr>
          <w:noProof/>
        </w:rPr>
      </w:pPr>
      <w:r>
        <w:rPr>
          <w:noProof/>
        </w:rPr>
        <w:t xml:space="preserve">Obiectivul acestei măsuri este de a permite aplicarea tehnologiilor moderne și de a spori accesul la asistență medicală la nivel terțiar și cuaternar. Această măsură constă în achiziționarea de echipamente medicale și nemedicale în Centrul Spital Clinic (KBC) din Zagreb. </w:t>
      </w:r>
    </w:p>
    <w:p w14:paraId="26D06C30" w14:textId="77777777" w:rsidR="00FA7C11" w:rsidRDefault="00D84965">
      <w:pPr>
        <w:pStyle w:val="P68B1DB1-Normal42"/>
        <w:spacing w:line="240" w:lineRule="auto"/>
        <w:ind w:left="850"/>
        <w:jc w:val="both"/>
        <w:rPr>
          <w:noProof/>
        </w:rPr>
      </w:pPr>
      <w:r>
        <w:rPr>
          <w:noProof/>
        </w:rPr>
        <w:t>Reforma C5.1 R2 – Introducerea unui nou model de îngrijire pentru principalele provocări în materie de sănătate</w:t>
      </w:r>
    </w:p>
    <w:p w14:paraId="24D33DD6" w14:textId="77777777" w:rsidR="00FA7C11" w:rsidRDefault="00D84965">
      <w:pPr>
        <w:pStyle w:val="P68B1DB1-Normal33"/>
        <w:spacing w:line="240" w:lineRule="auto"/>
        <w:jc w:val="both"/>
        <w:rPr>
          <w:noProof/>
        </w:rPr>
      </w:pPr>
      <w:r>
        <w:rPr>
          <w:noProof/>
        </w:rPr>
        <w:t xml:space="preserve">Obiectivul acestei măsuri este de a îmbunătăți și de a armoniza calitatea serviciilor de asistență medicală. Această măsură constă în elaborarea unor orientări electronice clinice integrate. </w:t>
      </w:r>
    </w:p>
    <w:p w14:paraId="56F810C2" w14:textId="77777777" w:rsidR="00FA7C11" w:rsidRDefault="00D84965">
      <w:pPr>
        <w:pStyle w:val="P68B1DB1-Normal42"/>
        <w:spacing w:line="240" w:lineRule="auto"/>
        <w:ind w:left="850"/>
        <w:jc w:val="both"/>
        <w:rPr>
          <w:noProof/>
        </w:rPr>
      </w:pPr>
      <w:r>
        <w:rPr>
          <w:noProof/>
        </w:rPr>
        <w:t>Investiția C5.1 R2-I1 – Achiziționarea de echipamente pentru prevenirea, diagnosticarea și tratarea pacienților bolnavi de cancer</w:t>
      </w:r>
    </w:p>
    <w:p w14:paraId="05A7D066" w14:textId="77777777" w:rsidR="00FA7C11" w:rsidRDefault="00D84965">
      <w:pPr>
        <w:pStyle w:val="P68B1DB1-Normal33"/>
        <w:spacing w:line="240" w:lineRule="auto"/>
        <w:jc w:val="both"/>
        <w:rPr>
          <w:iCs/>
          <w:noProof/>
        </w:rPr>
      </w:pPr>
      <w:r>
        <w:rPr>
          <w:noProof/>
        </w:rPr>
        <w:t xml:space="preserve">Obiectivul acestei măsuri este de a asigura un tratament optim pentru toți pacienții oncologici din Croația, fără întârziere, utilizând tehnici moderne de radioterapie. Această măsură constă în achiziționarea de echipamente medicale. </w:t>
      </w:r>
    </w:p>
    <w:p w14:paraId="11F29E71" w14:textId="77777777" w:rsidR="00FA7C11" w:rsidRDefault="00D84965">
      <w:pPr>
        <w:pStyle w:val="P68B1DB1-Normal42"/>
        <w:spacing w:line="240" w:lineRule="auto"/>
        <w:ind w:left="850"/>
        <w:jc w:val="both"/>
        <w:rPr>
          <w:noProof/>
        </w:rPr>
      </w:pPr>
      <w:r>
        <w:rPr>
          <w:noProof/>
        </w:rPr>
        <w:t>Investiția C5.1 R2-I2 – Achiziționarea și implementarea echipamentelor pentru crearea rețelei oncologice naționale și a bazei de date oncologice naționale</w:t>
      </w:r>
    </w:p>
    <w:p w14:paraId="23B5102C" w14:textId="53F25E22" w:rsidR="00FA7C11" w:rsidRDefault="00D84965">
      <w:pPr>
        <w:pStyle w:val="P68B1DB1-Normal33"/>
        <w:spacing w:line="240" w:lineRule="auto"/>
        <w:jc w:val="both"/>
        <w:rPr>
          <w:noProof/>
        </w:rPr>
      </w:pPr>
      <w:r>
        <w:rPr>
          <w:noProof/>
        </w:rPr>
        <w:t xml:space="preserve">Obiectivul acestei măsuri este de a crea o rețea națională pentru baza de date oncologică națională, care să conecteze și să înregistreze datele din sistemele informatice ale spitalelor și din alte sisteme prin automatism. Această măsură constă în crearea unei platforme informatice pentru monitorizarea pacienților oncologici și a unei </w:t>
      </w:r>
      <w:r>
        <w:rPr>
          <w:noProof/>
          <w:color w:val="000000" w:themeColor="text1"/>
        </w:rPr>
        <w:t>rețele oncologice naționale</w:t>
      </w:r>
      <w:r>
        <w:rPr>
          <w:noProof/>
        </w:rPr>
        <w:t xml:space="preserve">. </w:t>
      </w:r>
    </w:p>
    <w:p w14:paraId="743A2785" w14:textId="77777777" w:rsidR="00FA7C11" w:rsidRDefault="00D84965">
      <w:pPr>
        <w:pStyle w:val="P68B1DB1-Normal42"/>
        <w:spacing w:line="240" w:lineRule="auto"/>
        <w:ind w:left="850"/>
        <w:jc w:val="both"/>
        <w:rPr>
          <w:noProof/>
        </w:rPr>
      </w:pPr>
      <w:r>
        <w:rPr>
          <w:noProof/>
        </w:rPr>
        <w:t>Reforma C5.1 R3 – Introducerea unui sistem de gestionare strategică a resurselor umane în domeniul sănătății</w:t>
      </w:r>
    </w:p>
    <w:p w14:paraId="760B1AB7" w14:textId="77777777" w:rsidR="00FA7C11" w:rsidRDefault="00D84965">
      <w:pPr>
        <w:pStyle w:val="P68B1DB1-Normal33"/>
        <w:spacing w:line="240" w:lineRule="auto"/>
        <w:jc w:val="both"/>
        <w:rPr>
          <w:noProof/>
        </w:rPr>
      </w:pPr>
      <w:r>
        <w:rPr>
          <w:noProof/>
        </w:rPr>
        <w:t xml:space="preserve">Această reformă vizează creșterea accesului la asistență medicală pentru cetățeni, în special pentru cei din zonele rurale și mai puțin populate, îmbunătățind în același timp eficacitatea medicinei de urgență și asigurând un sistem de sănătate eficient și de înaltă calitate. Pentru a atinge acest obiectiv, se asigură formare specializată pentru profesioniștii din domeniul sănătății, în special pentru medicii de la nivelul asistenței medicale primare, precum și pentru asistenții medicali și tehnicienii din domeniul medicinei de urgență, realizându-se astfel o distribuție geografică echilibrată a profesioniștilor din domeniul sănătății și o ocupare suficientă a rețelei de servicii de sănătate publică. În plus, reforma prevede adoptarea Planului național de dezvoltare în domeniul sănătății pentru perioada 2021-2027, care: </w:t>
      </w:r>
    </w:p>
    <w:p w14:paraId="230CD2FF" w14:textId="77777777" w:rsidR="00FA7C11" w:rsidRDefault="00D84965">
      <w:pPr>
        <w:pStyle w:val="P68B1DB1-Normal33"/>
        <w:spacing w:line="240" w:lineRule="auto"/>
        <w:ind w:left="850"/>
        <w:jc w:val="both"/>
        <w:rPr>
          <w:noProof/>
        </w:rPr>
      </w:pPr>
      <w:r>
        <w:rPr>
          <w:noProof/>
        </w:rPr>
        <w:t>— Definirea nevoilor de dezvoltare pentru realizarea unui sistem de sănătate flexibil, eficient și gestionat în mod global;</w:t>
      </w:r>
    </w:p>
    <w:p w14:paraId="3E07457F" w14:textId="77777777" w:rsidR="00FA7C11" w:rsidRDefault="00D84965">
      <w:pPr>
        <w:pStyle w:val="P68B1DB1-Normal33"/>
        <w:spacing w:line="240" w:lineRule="auto"/>
        <w:ind w:left="850"/>
        <w:jc w:val="both"/>
        <w:rPr>
          <w:noProof/>
        </w:rPr>
      </w:pPr>
      <w:r>
        <w:rPr>
          <w:noProof/>
        </w:rPr>
        <w:t>— Să indice măsuri de promovare cu succes a sănătății și de prevenire a bolilor;</w:t>
      </w:r>
    </w:p>
    <w:p w14:paraId="3801F034" w14:textId="77777777" w:rsidR="00FA7C11" w:rsidRDefault="00D84965">
      <w:pPr>
        <w:pStyle w:val="P68B1DB1-Normal33"/>
        <w:spacing w:line="240" w:lineRule="auto"/>
        <w:ind w:left="850"/>
        <w:jc w:val="both"/>
        <w:rPr>
          <w:noProof/>
        </w:rPr>
      </w:pPr>
      <w:r>
        <w:rPr>
          <w:noProof/>
        </w:rPr>
        <w:t>— Introducerea coordonării furnizorilor de servicii medicale și transformarea modelelor de tratament și reabilitare în direcția gestionării procesului de îngrijire activă în toate etapele și la toate nivelurile;</w:t>
      </w:r>
    </w:p>
    <w:p w14:paraId="3D68D747" w14:textId="77777777" w:rsidR="00FA7C11" w:rsidRDefault="00D84965">
      <w:pPr>
        <w:pStyle w:val="P68B1DB1-Normal33"/>
        <w:spacing w:line="240" w:lineRule="auto"/>
        <w:ind w:left="850"/>
        <w:jc w:val="both"/>
        <w:rPr>
          <w:noProof/>
        </w:rPr>
      </w:pPr>
      <w:r>
        <w:rPr>
          <w:noProof/>
        </w:rPr>
        <w:t>— Definirea integrării serviciilor de sănătate și de asistență socială și dezvoltarea unor modele integrate de îngrijire pe termen lung;</w:t>
      </w:r>
    </w:p>
    <w:p w14:paraId="7A179735" w14:textId="77777777" w:rsidR="00FA7C11" w:rsidRDefault="00D84965">
      <w:pPr>
        <w:pStyle w:val="P68B1DB1-Normal33"/>
        <w:spacing w:line="240" w:lineRule="auto"/>
        <w:ind w:left="850"/>
        <w:jc w:val="both"/>
        <w:rPr>
          <w:noProof/>
        </w:rPr>
      </w:pPr>
      <w:r>
        <w:rPr>
          <w:noProof/>
        </w:rPr>
        <w:t>— Să introducă măsuri de control și de îmbunătățire a calității asistenței medicale și a siguranței pacienților;</w:t>
      </w:r>
    </w:p>
    <w:p w14:paraId="7610B2FA" w14:textId="77777777" w:rsidR="00FA7C11" w:rsidRDefault="00D84965">
      <w:pPr>
        <w:pStyle w:val="P68B1DB1-Normal33"/>
        <w:spacing w:line="240" w:lineRule="auto"/>
        <w:ind w:left="850"/>
        <w:jc w:val="both"/>
        <w:rPr>
          <w:noProof/>
        </w:rPr>
      </w:pPr>
      <w:r>
        <w:rPr>
          <w:noProof/>
        </w:rPr>
        <w:t xml:space="preserve">— Îmbunătățirea dispozițiilor privind gestionarea personalului; </w:t>
      </w:r>
    </w:p>
    <w:p w14:paraId="79AF2238" w14:textId="77777777" w:rsidR="00FA7C11" w:rsidRDefault="00D84965">
      <w:pPr>
        <w:pStyle w:val="P68B1DB1-Normal33"/>
        <w:spacing w:line="240" w:lineRule="auto"/>
        <w:ind w:left="850"/>
        <w:jc w:val="both"/>
        <w:rPr>
          <w:noProof/>
        </w:rPr>
      </w:pPr>
      <w:r>
        <w:rPr>
          <w:noProof/>
        </w:rPr>
        <w:t xml:space="preserve">— Să introducă obiective specifice care să contribuie indirect la realizarea obiectivului strategic stabilit în Strategia națională de reformă (SNR) până în 2030. </w:t>
      </w:r>
    </w:p>
    <w:p w14:paraId="4EC0B2DB" w14:textId="77777777" w:rsidR="00FA7C11" w:rsidRDefault="00D84965">
      <w:pPr>
        <w:pStyle w:val="P68B1DB1-Normal33"/>
        <w:spacing w:line="240" w:lineRule="auto"/>
        <w:jc w:val="both"/>
        <w:rPr>
          <w:noProof/>
        </w:rPr>
      </w:pPr>
      <w:r>
        <w:rPr>
          <w:noProof/>
        </w:rPr>
        <w:t xml:space="preserve">Creșterea speranței de viață sănătoasă este favorizată de: </w:t>
      </w:r>
    </w:p>
    <w:p w14:paraId="519A66C8" w14:textId="77777777" w:rsidR="00FA7C11" w:rsidRDefault="00D84965">
      <w:pPr>
        <w:pStyle w:val="P68B1DB1-Normal33"/>
        <w:spacing w:line="240" w:lineRule="auto"/>
        <w:ind w:left="850"/>
        <w:jc w:val="both"/>
        <w:rPr>
          <w:noProof/>
        </w:rPr>
      </w:pPr>
      <w:r>
        <w:rPr>
          <w:noProof/>
        </w:rPr>
        <w:t>— Promovarea unui stil de viață sănătos și prevenirea bolilor care reprezintă o problemă majoră de sănătate publică;</w:t>
      </w:r>
    </w:p>
    <w:p w14:paraId="2B65DDB9" w14:textId="77777777" w:rsidR="00FA7C11" w:rsidRDefault="00D84965">
      <w:pPr>
        <w:pStyle w:val="P68B1DB1-Normal33"/>
        <w:spacing w:line="240" w:lineRule="auto"/>
        <w:ind w:left="850"/>
        <w:jc w:val="both"/>
        <w:rPr>
          <w:noProof/>
        </w:rPr>
      </w:pPr>
      <w:r>
        <w:rPr>
          <w:noProof/>
        </w:rPr>
        <w:t xml:space="preserve">— Îmbunătățirea calității asistenței medicale prin îmbunătățirea eficacității, a siguranței, a accesibilității și a integrării funcționale a tuturor nivelurilor și componentelor asistenței medicale; </w:t>
      </w:r>
    </w:p>
    <w:p w14:paraId="7DF7DE97" w14:textId="77777777" w:rsidR="00FA7C11" w:rsidRDefault="00D84965">
      <w:pPr>
        <w:pStyle w:val="P68B1DB1-Normal33"/>
        <w:spacing w:line="240" w:lineRule="auto"/>
        <w:ind w:left="850"/>
        <w:jc w:val="both"/>
        <w:rPr>
          <w:noProof/>
        </w:rPr>
      </w:pPr>
      <w:r>
        <w:rPr>
          <w:noProof/>
        </w:rPr>
        <w:t>— Introducerea noului model de îngrijire pentru principalele provocări în materie de sănătate, cum ar fi bolile cardiovasculare, oncologice și rare și diabetul, pentru a prelungi durata și a îmbunătăți calitatea vieții</w:t>
      </w:r>
    </w:p>
    <w:p w14:paraId="292345A3" w14:textId="77777777" w:rsidR="00FA7C11" w:rsidRDefault="00D84965">
      <w:pPr>
        <w:pStyle w:val="P68B1DB1-Normal33"/>
        <w:spacing w:line="240" w:lineRule="auto"/>
        <w:ind w:left="850"/>
        <w:jc w:val="both"/>
        <w:rPr>
          <w:noProof/>
        </w:rPr>
      </w:pPr>
      <w:r>
        <w:rPr>
          <w:noProof/>
        </w:rPr>
        <w:t>— Să facă din sistemul de sănătate un loc de muncă dezirabil prin guvernanță strategică, asigurând astfel numărul și distribuția optimă a angajaților în sistemul de sănătate;</w:t>
      </w:r>
    </w:p>
    <w:p w14:paraId="49333E94" w14:textId="77777777" w:rsidR="00FA7C11" w:rsidRDefault="00D84965">
      <w:pPr>
        <w:pStyle w:val="P68B1DB1-Normal33"/>
        <w:spacing w:after="240" w:line="240" w:lineRule="auto"/>
        <w:ind w:left="851"/>
        <w:jc w:val="both"/>
        <w:rPr>
          <w:noProof/>
        </w:rPr>
      </w:pPr>
      <w:r>
        <w:rPr>
          <w:noProof/>
        </w:rPr>
        <w:t>— Îmbunătățirea modelului de finanțare și gestionare a sistemului de sănătate.</w:t>
      </w:r>
    </w:p>
    <w:p w14:paraId="4DF48EBA" w14:textId="77777777" w:rsidR="00FA7C11" w:rsidRDefault="00D84965">
      <w:pPr>
        <w:pStyle w:val="P68B1DB1-Normal33"/>
        <w:spacing w:line="240" w:lineRule="auto"/>
        <w:jc w:val="both"/>
        <w:rPr>
          <w:noProof/>
        </w:rPr>
      </w:pPr>
      <w:r>
        <w:rPr>
          <w:noProof/>
        </w:rPr>
        <w:t>Reforma se finalizează până la 30 septembrie 2021.</w:t>
      </w:r>
    </w:p>
    <w:p w14:paraId="3A14630B" w14:textId="77777777" w:rsidR="00FA7C11" w:rsidRDefault="00D84965">
      <w:pPr>
        <w:pStyle w:val="P68B1DB1-Normal42"/>
        <w:spacing w:line="240" w:lineRule="auto"/>
        <w:ind w:left="850"/>
        <w:jc w:val="both"/>
        <w:rPr>
          <w:noProof/>
        </w:rPr>
      </w:pPr>
      <w:r>
        <w:rPr>
          <w:noProof/>
        </w:rPr>
        <w:t>Investiția C5.1 R3-I1 – Finanțare centrală pentru specializări</w:t>
      </w:r>
    </w:p>
    <w:p w14:paraId="3B285EEF" w14:textId="77777777" w:rsidR="00FA7C11" w:rsidRDefault="00D84965">
      <w:pPr>
        <w:pStyle w:val="P68B1DB1-Normal33"/>
        <w:spacing w:line="240" w:lineRule="auto"/>
        <w:jc w:val="both"/>
        <w:rPr>
          <w:noProof/>
        </w:rPr>
      </w:pPr>
      <w:r>
        <w:rPr>
          <w:noProof/>
        </w:rPr>
        <w:t xml:space="preserve">Obiectivul acestei măsuri este de a se asigura că toate serviciile de sănătate sunt accesibile în mod adecvat publicului, având în vedere, de asemenea, deficitul de medici. Această măsură constă în furnizarea de formare de specialitate pentru profesioniștii din domeniul sănătății, medicii la nivelul primar de bază al asistenței medicale, precum și în domeniul sănătății publice. </w:t>
      </w:r>
    </w:p>
    <w:p w14:paraId="16CECAAC" w14:textId="77777777" w:rsidR="00FA7C11" w:rsidRDefault="00D84965">
      <w:pPr>
        <w:pStyle w:val="P68B1DB1-Normal42"/>
        <w:spacing w:line="240" w:lineRule="auto"/>
        <w:ind w:left="850"/>
        <w:jc w:val="both"/>
        <w:rPr>
          <w:noProof/>
        </w:rPr>
      </w:pPr>
      <w:r>
        <w:rPr>
          <w:noProof/>
        </w:rPr>
        <w:t>Investiția C5.1 R3-I2 – Formarea specializată a asistenților medicali și a tehnicienilor în medicina de urgență</w:t>
      </w:r>
    </w:p>
    <w:p w14:paraId="1641E5C7" w14:textId="77777777" w:rsidR="00FA7C11" w:rsidRDefault="00D84965">
      <w:pPr>
        <w:pStyle w:val="P68B1DB1-Normal33"/>
        <w:spacing w:line="240" w:lineRule="auto"/>
        <w:jc w:val="both"/>
        <w:rPr>
          <w:noProof/>
        </w:rPr>
      </w:pPr>
      <w:r>
        <w:rPr>
          <w:noProof/>
        </w:rPr>
        <w:t xml:space="preserve">Obiectivul acestei măsuri este de a permite asistenților medicali și tehnicienilor din domeniul medicinei de urgență să lucreze în mod independent în cadrul serviciilor medicale de urgență. Această măsură constă în furnizarea de formare de specialitate pentru asistenții medicali și tehnicienii din domeniul medicinei de urgență. </w:t>
      </w:r>
    </w:p>
    <w:p w14:paraId="7918CD18" w14:textId="77777777" w:rsidR="00FA7C11" w:rsidRDefault="00D84965">
      <w:pPr>
        <w:pStyle w:val="P68B1DB1-Normal42"/>
        <w:spacing w:line="240" w:lineRule="auto"/>
        <w:ind w:left="850"/>
        <w:jc w:val="both"/>
        <w:rPr>
          <w:noProof/>
        </w:rPr>
      </w:pPr>
      <w:r>
        <w:rPr>
          <w:noProof/>
        </w:rPr>
        <w:t>Reforma C5.1 R4 – Asigurarea sustenabilității financiare a sistemului de sănătate</w:t>
      </w:r>
    </w:p>
    <w:p w14:paraId="47810EB3" w14:textId="77777777" w:rsidR="00FA7C11" w:rsidRDefault="00D84965">
      <w:pPr>
        <w:pStyle w:val="P68B1DB1-Normal33"/>
        <w:spacing w:line="240" w:lineRule="auto"/>
        <w:jc w:val="both"/>
        <w:rPr>
          <w:iCs/>
          <w:noProof/>
        </w:rPr>
      </w:pPr>
      <w:r>
        <w:rPr>
          <w:noProof/>
        </w:rPr>
        <w:t>Obiectivul acestei măsuri este de a aborda creșterea nesustenabilă a arieratelor, procedurile inconsecvente și achiziționarea de medicamente costisitoare în sistemul de sănătate, cu scopul de a realiza un sistem de sănătate publică sustenabil din punct de vedere financiar, prin desfășurarea unui standard uniform de pregătire, contractare și punere în aplicare a procedurilor care influențează modalitățile și posibilitățile de furnizare a asistenței medicale. Reforma include revizuirea cadrului legislativ care constă în Legea privind asistența medicală și Legea privind asigurările obligatorii de sănătate, cu următoarele elemente:</w:t>
      </w:r>
    </w:p>
    <w:p w14:paraId="3D1DC1F8" w14:textId="77777777" w:rsidR="00FA7C11" w:rsidRDefault="00D84965">
      <w:pPr>
        <w:pStyle w:val="P68B1DB1-Normal33"/>
        <w:numPr>
          <w:ilvl w:val="0"/>
          <w:numId w:val="76"/>
        </w:numPr>
        <w:spacing w:before="120" w:after="120" w:line="240" w:lineRule="auto"/>
        <w:jc w:val="both"/>
        <w:rPr>
          <w:noProof/>
        </w:rPr>
      </w:pPr>
      <w:r>
        <w:rPr>
          <w:noProof/>
        </w:rPr>
        <w:t xml:space="preserve">Îmbunătățirea organizării activităților de medicină de urgență ale Institutului de Medicină de Urgență și îndeplinirea sarcinilor operaționale prin intermediul unor unități organizaționale definite; </w:t>
      </w:r>
    </w:p>
    <w:p w14:paraId="39A711DF" w14:textId="77777777" w:rsidR="00FA7C11" w:rsidRDefault="00D84965">
      <w:pPr>
        <w:pStyle w:val="P68B1DB1-Normal33"/>
        <w:numPr>
          <w:ilvl w:val="0"/>
          <w:numId w:val="76"/>
        </w:numPr>
        <w:spacing w:before="120" w:after="120" w:line="240" w:lineRule="auto"/>
        <w:jc w:val="both"/>
        <w:rPr>
          <w:noProof/>
        </w:rPr>
      </w:pPr>
      <w:r>
        <w:rPr>
          <w:noProof/>
        </w:rPr>
        <w:t xml:space="preserve">Reorganizarea serviciului de sănătate publică cu scopul de a spori eficiența acestuia, cu un accent deosebit pe prevenire și diagnosticare timpurie, pe îmbunătățirea răspunsului în situații de urgență și în circumstanțe speciale (pandemii); </w:t>
      </w:r>
    </w:p>
    <w:p w14:paraId="59657C7D" w14:textId="77777777" w:rsidR="00FA7C11" w:rsidRDefault="00D84965">
      <w:pPr>
        <w:pStyle w:val="P68B1DB1-Normal33"/>
        <w:numPr>
          <w:ilvl w:val="0"/>
          <w:numId w:val="76"/>
        </w:numPr>
        <w:spacing w:before="120" w:after="120" w:line="240" w:lineRule="auto"/>
        <w:jc w:val="both"/>
        <w:rPr>
          <w:noProof/>
        </w:rPr>
      </w:pPr>
      <w:r>
        <w:rPr>
          <w:noProof/>
        </w:rPr>
        <w:t>Transferul drepturilor de gestionare a spitalelor de la județe și orașul Zagreb către Republica Croația, în vederea utilizării eficiente și eficace a capacităților existente și a îmbunătățirii disponibilității și calității asistenței medicale prin reorganizarea modelului de gestionare a spitalelor;</w:t>
      </w:r>
    </w:p>
    <w:p w14:paraId="2565B781" w14:textId="77777777" w:rsidR="00FA7C11" w:rsidRDefault="00D84965">
      <w:pPr>
        <w:pStyle w:val="P68B1DB1-Normal33"/>
        <w:numPr>
          <w:ilvl w:val="0"/>
          <w:numId w:val="76"/>
        </w:numPr>
        <w:spacing w:before="120" w:after="120" w:line="240" w:lineRule="auto"/>
        <w:jc w:val="both"/>
        <w:rPr>
          <w:noProof/>
        </w:rPr>
      </w:pPr>
      <w:r>
        <w:rPr>
          <w:noProof/>
        </w:rPr>
        <w:t>Reducerea timpului petrecut pe listele de așteptare pentru servicii medicale individuale, optimizarea și o mai bună distribuire a resurselor disponibile în materie de asistență medicală din asigurarea obligatorie de sănătate pentru a obține servicii de sănătate mai accesibile pentru persoanele asigurate;</w:t>
      </w:r>
    </w:p>
    <w:p w14:paraId="4A3D9F83" w14:textId="77777777" w:rsidR="00FA7C11" w:rsidRDefault="00D84965">
      <w:pPr>
        <w:pStyle w:val="P68B1DB1-Normal33"/>
        <w:numPr>
          <w:ilvl w:val="0"/>
          <w:numId w:val="76"/>
        </w:numPr>
        <w:spacing w:before="120" w:after="120" w:line="240" w:lineRule="auto"/>
        <w:jc w:val="both"/>
        <w:rPr>
          <w:noProof/>
        </w:rPr>
      </w:pPr>
      <w:r>
        <w:rPr>
          <w:noProof/>
        </w:rPr>
        <w:t>Consolidarea dispozițiilor privind gestiunea financiară, garantând în același timp capitalul financiar în scopul realizării stabilității financiare a sistemului de sănătate publică;</w:t>
      </w:r>
    </w:p>
    <w:p w14:paraId="391D41A7" w14:textId="77777777" w:rsidR="00FA7C11" w:rsidRDefault="00D84965">
      <w:pPr>
        <w:pStyle w:val="P68B1DB1-Normal33"/>
        <w:numPr>
          <w:ilvl w:val="0"/>
          <w:numId w:val="76"/>
        </w:numPr>
        <w:spacing w:before="120" w:after="120" w:line="240" w:lineRule="auto"/>
        <w:jc w:val="both"/>
        <w:rPr>
          <w:noProof/>
        </w:rPr>
      </w:pPr>
      <w:r>
        <w:rPr>
          <w:noProof/>
        </w:rPr>
        <w:t xml:space="preserve">Modificări legislative pentru a asigura îndeplinirea la timp a obligațiilor de plată ale Fondului croat de asigurări de sănătate (HZZO). </w:t>
      </w:r>
    </w:p>
    <w:p w14:paraId="326C6E13" w14:textId="77777777" w:rsidR="00FA7C11" w:rsidRDefault="00D84965">
      <w:pPr>
        <w:pStyle w:val="P68B1DB1-Normal33"/>
        <w:spacing w:after="200" w:line="276" w:lineRule="auto"/>
        <w:rPr>
          <w:noProof/>
        </w:rPr>
      </w:pPr>
      <w:r>
        <w:rPr>
          <w:noProof/>
        </w:rPr>
        <w:t xml:space="preserve">Reforma trebuie să atingă următoarele obiective: </w:t>
      </w:r>
    </w:p>
    <w:p w14:paraId="04C7908B" w14:textId="77777777" w:rsidR="00FA7C11" w:rsidRDefault="00D84965">
      <w:pPr>
        <w:pStyle w:val="P68B1DB1-Normal33"/>
        <w:numPr>
          <w:ilvl w:val="0"/>
          <w:numId w:val="76"/>
        </w:numPr>
        <w:spacing w:after="200" w:line="276" w:lineRule="auto"/>
        <w:contextualSpacing/>
        <w:rPr>
          <w:noProof/>
        </w:rPr>
      </w:pPr>
      <w:r>
        <w:rPr>
          <w:noProof/>
        </w:rPr>
        <w:t>Se finalizează integrarea funcțională a cel puțin 8 spitale;</w:t>
      </w:r>
    </w:p>
    <w:p w14:paraId="7700DC77" w14:textId="1961517F" w:rsidR="00FA7C11" w:rsidRDefault="00D84965">
      <w:pPr>
        <w:pStyle w:val="P68B1DB1-Normal33"/>
        <w:numPr>
          <w:ilvl w:val="0"/>
          <w:numId w:val="76"/>
        </w:numPr>
        <w:spacing w:after="200" w:line="276" w:lineRule="auto"/>
        <w:contextualSpacing/>
        <w:rPr>
          <w:noProof/>
        </w:rPr>
      </w:pPr>
      <w:r>
        <w:rPr>
          <w:noProof/>
        </w:rPr>
        <w:t xml:space="preserve">Cel puțin 85 % din categoriile de achiziții, reprezentând cel puțin 80 % din totalul cheltuielilor spitalelor gestionate de guvern, au fost achiziționate prin intermediul unei proceduri comune de achiziții publice. </w:t>
      </w:r>
    </w:p>
    <w:p w14:paraId="7716B55E" w14:textId="77777777" w:rsidR="00FA7C11" w:rsidRDefault="00D84965">
      <w:pPr>
        <w:pStyle w:val="P68B1DB1-Normal33"/>
        <w:spacing w:line="240" w:lineRule="auto"/>
        <w:jc w:val="both"/>
        <w:rPr>
          <w:noProof/>
        </w:rPr>
      </w:pPr>
      <w:r>
        <w:rPr>
          <w:noProof/>
        </w:rPr>
        <w:t>Reforma se finalizează până la 31 decembrie 2023.</w:t>
      </w:r>
    </w:p>
    <w:p w14:paraId="3D38C5F8" w14:textId="77777777" w:rsidR="00FA7C11" w:rsidRDefault="00D84965">
      <w:pPr>
        <w:pStyle w:val="P68B1DB1-Normal42"/>
        <w:spacing w:line="240" w:lineRule="auto"/>
        <w:ind w:left="850"/>
        <w:jc w:val="both"/>
        <w:rPr>
          <w:noProof/>
        </w:rPr>
      </w:pPr>
      <w:r>
        <w:rPr>
          <w:noProof/>
        </w:rPr>
        <w:t>Investiția C5.1 R4-I1 – Pregătirea centrală a preparatelor parenterale în 8 spitale croate</w:t>
      </w:r>
    </w:p>
    <w:p w14:paraId="460F8772" w14:textId="616937C8" w:rsidR="00FA7C11" w:rsidRDefault="00D84965">
      <w:pPr>
        <w:pStyle w:val="P68B1DB1-Normal33"/>
        <w:spacing w:line="240" w:lineRule="auto"/>
        <w:jc w:val="both"/>
        <w:rPr>
          <w:noProof/>
        </w:rPr>
      </w:pPr>
      <w:r>
        <w:rPr>
          <w:noProof/>
        </w:rPr>
        <w:t xml:space="preserve">Obiectivul acestei măsuri este de a reduce costurile și de a oferi cel mai înalt nivel de siguranță în ceea ce privește utilizarea medicamentelor parenterale, de a preveni erorile de medicație, zilele suplimentare de spitalizare și de a reduce sarcina medicilor și a asistenților medicali din departamentul spitalicesc. Această măsură constă în punerea în aplicare a unui sistem central de pregătire a preparatelor parenterale în spitale. </w:t>
      </w:r>
    </w:p>
    <w:p w14:paraId="5CCBFDC6" w14:textId="77777777" w:rsidR="00FA7C11" w:rsidRDefault="00D84965">
      <w:pPr>
        <w:pStyle w:val="P68B1DB1-Normal42"/>
        <w:spacing w:line="240" w:lineRule="auto"/>
        <w:ind w:left="850"/>
        <w:jc w:val="both"/>
        <w:rPr>
          <w:noProof/>
        </w:rPr>
      </w:pPr>
      <w:r>
        <w:rPr>
          <w:noProof/>
        </w:rPr>
        <w:t>Investiția C5.1 R4-I2 – Introducerea unui sistem unitar de distribuție a terapiei în 40 spitale croate</w:t>
      </w:r>
    </w:p>
    <w:p w14:paraId="18D37B36" w14:textId="77777777" w:rsidR="00FA7C11" w:rsidRDefault="00D84965">
      <w:pPr>
        <w:pStyle w:val="P68B1DB1-Normal33"/>
        <w:spacing w:line="240" w:lineRule="auto"/>
        <w:jc w:val="both"/>
        <w:rPr>
          <w:noProof/>
          <w:u w:val="single"/>
        </w:rPr>
      </w:pPr>
      <w:r>
        <w:rPr>
          <w:noProof/>
        </w:rPr>
        <w:t>Obiectivul acestei măsuri este de a contribui la creșterea siguranței pacienților, la prevenirea erorilor de medicație, la controlul stocurilor de medicamente și la creșterea sensibilizării pacienților, cu scopul de a îmbunătăți rezultatele generale ale tratamentului. Această măsură constă în introducerea unui sistem unitar de distribuție a terapiei în spitale.</w:t>
      </w:r>
    </w:p>
    <w:p w14:paraId="042A77C6" w14:textId="77777777" w:rsidR="00FA7C11" w:rsidRDefault="00D84965">
      <w:pPr>
        <w:pStyle w:val="P68B1DB1-Normal42"/>
        <w:spacing w:line="240" w:lineRule="auto"/>
        <w:ind w:left="850"/>
        <w:jc w:val="both"/>
        <w:rPr>
          <w:noProof/>
        </w:rPr>
      </w:pPr>
      <w:r>
        <w:rPr>
          <w:noProof/>
        </w:rPr>
        <w:t>Investiția C5.1 R4-I3 – Digitalizarea urmăririi medicamentelor prin intermediul instituțiilor de asistență medicală la nivelurile secundar și terțiar ale asistenței medicale</w:t>
      </w:r>
    </w:p>
    <w:p w14:paraId="6C41A066" w14:textId="77777777" w:rsidR="00FA7C11" w:rsidRDefault="00D84965">
      <w:pPr>
        <w:pStyle w:val="P68B1DB1-Normal33"/>
        <w:spacing w:after="240" w:line="240" w:lineRule="auto"/>
        <w:jc w:val="both"/>
        <w:rPr>
          <w:noProof/>
        </w:rPr>
      </w:pPr>
      <w:r>
        <w:rPr>
          <w:noProof/>
        </w:rPr>
        <w:t>Obiectivul acestei măsuri este digitalizarea parcursului drogurilor pentru a permite sistemului de sănătate croat să monitorizeze consumul de medicamente. Această măsură constă în furnizarea unei soluții informatice integrate funcționale pentru monitorizarea completă a medicamentelor din sistemul spitalicesc, de la farmacie la pacient.</w:t>
      </w:r>
    </w:p>
    <w:p w14:paraId="2CB34F1C" w14:textId="77777777" w:rsidR="00FA7C11" w:rsidRDefault="00D84965">
      <w:pPr>
        <w:pStyle w:val="P68B1DB1-Normal42"/>
        <w:spacing w:line="240" w:lineRule="auto"/>
        <w:ind w:left="850"/>
        <w:jc w:val="both"/>
        <w:rPr>
          <w:noProof/>
        </w:rPr>
      </w:pPr>
      <w:r>
        <w:rPr>
          <w:noProof/>
        </w:rPr>
        <w:t>Investiția C5.1 R4-I4 – Dezvoltarea unui sistem de monitorizare și prevenire a penuriei de medicamente în Croația</w:t>
      </w:r>
    </w:p>
    <w:p w14:paraId="75EEA7EE" w14:textId="77777777" w:rsidR="00FA7C11" w:rsidRDefault="00D84965">
      <w:pPr>
        <w:pStyle w:val="P68B1DB1-Normal33"/>
        <w:spacing w:line="240" w:lineRule="auto"/>
        <w:jc w:val="both"/>
        <w:rPr>
          <w:noProof/>
        </w:rPr>
      </w:pPr>
      <w:r>
        <w:rPr>
          <w:noProof/>
        </w:rPr>
        <w:t xml:space="preserve">Obiectivul acestei măsuri este de a introduce o gestionare specifică a datelor privind stocurile de medicamente, care urmărește să permită o mai mare eficiență în achiziționarea medicamentelor. Măsura instituie un sistem operațional precis de monitorizare și analiză a cifrei de afaceri a anumitor medicamente. </w:t>
      </w:r>
    </w:p>
    <w:p w14:paraId="5FAD4F98" w14:textId="77777777" w:rsidR="00FA7C11" w:rsidRDefault="00D84965">
      <w:pPr>
        <w:pStyle w:val="P68B1DB1-Normal42"/>
        <w:spacing w:line="240" w:lineRule="auto"/>
        <w:ind w:left="850"/>
        <w:jc w:val="both"/>
        <w:rPr>
          <w:noProof/>
        </w:rPr>
      </w:pPr>
      <w:r>
        <w:rPr>
          <w:noProof/>
        </w:rPr>
        <w:t xml:space="preserve">Investiția C5.1 R4-I5 – Introducerea unui sistem de monitorizare a rezultatelor tratamentului pentru asistența medicală ambulatorie, cu accent pe pacienții cronici din farmaciile publice </w:t>
      </w:r>
    </w:p>
    <w:p w14:paraId="16D3570F" w14:textId="60B328C2" w:rsidR="00FA7C11" w:rsidRDefault="00D84965">
      <w:pPr>
        <w:pStyle w:val="P68B1DB1-Normal33"/>
        <w:spacing w:line="240" w:lineRule="auto"/>
        <w:jc w:val="both"/>
        <w:rPr>
          <w:noProof/>
        </w:rPr>
      </w:pPr>
      <w:r>
        <w:rPr>
          <w:noProof/>
        </w:rPr>
        <w:t>Obiectivul acestei măsuri este de a realiza o planificare, monitorizare și evaluare mai sistematică a raportului cost-eficacitate al investițiilor în farmacoterapia pacienților din afara mediului spitalicesc. Măsura constă în crearea unui program de monitorizare a rezultatelor pacienților în farmaciile publice.</w:t>
      </w:r>
    </w:p>
    <w:p w14:paraId="44BF8FF3" w14:textId="77777777" w:rsidR="00FA7C11" w:rsidRDefault="00D84965">
      <w:pPr>
        <w:pStyle w:val="P68B1DB1-Normal42"/>
        <w:spacing w:line="240" w:lineRule="auto"/>
        <w:ind w:left="850"/>
        <w:jc w:val="both"/>
        <w:rPr>
          <w:noProof/>
        </w:rPr>
      </w:pPr>
      <w:r>
        <w:rPr>
          <w:noProof/>
        </w:rPr>
        <w:t>Reforma C5.1 R5 – e-sănătate</w:t>
      </w:r>
    </w:p>
    <w:p w14:paraId="04022B48" w14:textId="77777777" w:rsidR="00FA7C11" w:rsidRDefault="00D84965">
      <w:pPr>
        <w:pStyle w:val="P68B1DB1-Normal33"/>
        <w:spacing w:line="240" w:lineRule="auto"/>
        <w:jc w:val="both"/>
        <w:rPr>
          <w:iCs/>
          <w:noProof/>
        </w:rPr>
      </w:pPr>
      <w:r>
        <w:rPr>
          <w:noProof/>
        </w:rPr>
        <w:t>Obiectivul acestei măsuri este de a îmbunătăți capacitatea de gestionare printr-o utilizare mai eficientă a datelor și de a încuraja soluțiile inovatoare în materie de sănătate pentru a îmbunătăți gestionarea sistemului de sănătate. Reforma e-sănătății sprijină eforturile de a se asigura că toate persoanele au acces la serviciile de sănătate necesare (inclusiv prevenire, tratament, reabilitare și îngrijire paliativă) de o calitate suficientă. Reforma include adoptarea cadrului național de telemedicină în vederea:</w:t>
      </w:r>
    </w:p>
    <w:p w14:paraId="62432001" w14:textId="77777777" w:rsidR="00FA7C11" w:rsidRDefault="00D84965">
      <w:pPr>
        <w:pStyle w:val="P68B1DB1-Normal33"/>
        <w:numPr>
          <w:ilvl w:val="0"/>
          <w:numId w:val="76"/>
        </w:numPr>
        <w:spacing w:before="120" w:after="120" w:line="240" w:lineRule="auto"/>
        <w:jc w:val="both"/>
        <w:rPr>
          <w:noProof/>
        </w:rPr>
      </w:pPr>
      <w:r>
        <w:rPr>
          <w:noProof/>
        </w:rPr>
        <w:t>Extinderea domeniului de aplicare al serviciilor de telemedicină și asigurarea interoperabilității cu sistemul național de informații privind sănătatea și a adecvării pentru viitoarele schimburi transfrontaliere;</w:t>
      </w:r>
    </w:p>
    <w:p w14:paraId="442F9EB4" w14:textId="77777777" w:rsidR="00FA7C11" w:rsidRDefault="00D84965">
      <w:pPr>
        <w:pStyle w:val="P68B1DB1-Normal33"/>
        <w:numPr>
          <w:ilvl w:val="0"/>
          <w:numId w:val="76"/>
        </w:numPr>
        <w:spacing w:before="120" w:after="120" w:line="240" w:lineRule="auto"/>
        <w:jc w:val="both"/>
        <w:rPr>
          <w:noProof/>
        </w:rPr>
      </w:pPr>
      <w:r>
        <w:rPr>
          <w:noProof/>
        </w:rPr>
        <w:t>Transmiterea parametrilor vitali ai pacienților de la serviciul medical de urgență (SMS) la serviciul spitalicesc comun de urgență (OHBP) și monitorizarea ambulatorie la distanță.</w:t>
      </w:r>
    </w:p>
    <w:p w14:paraId="71E83F25" w14:textId="77777777" w:rsidR="00FA7C11" w:rsidRDefault="00D84965">
      <w:pPr>
        <w:pStyle w:val="P68B1DB1-Normal33"/>
        <w:numPr>
          <w:ilvl w:val="0"/>
          <w:numId w:val="76"/>
        </w:numPr>
        <w:spacing w:before="120" w:after="120" w:line="240" w:lineRule="auto"/>
        <w:jc w:val="both"/>
        <w:rPr>
          <w:noProof/>
        </w:rPr>
      </w:pPr>
      <w:r>
        <w:rPr>
          <w:noProof/>
        </w:rPr>
        <w:t>Instituirea supravegherii de către Serviciul de asistență medicală de urgență la distanță (HMS) și a unui plan de acțiune pentru introducerea supravegherii și a unui cadru de monitorizare a punerii în aplicare, pe baza documentelor „Analiza situației”, a cadrului național și a planului de acțiune furnizate în cadrul Instrumentului de sprijin tehnic asociat.</w:t>
      </w:r>
    </w:p>
    <w:p w14:paraId="75CB73E3" w14:textId="77777777" w:rsidR="00FA7C11" w:rsidRDefault="00D84965">
      <w:pPr>
        <w:pStyle w:val="P68B1DB1-Normal33"/>
        <w:spacing w:line="240" w:lineRule="auto"/>
        <w:jc w:val="both"/>
        <w:rPr>
          <w:iCs/>
          <w:noProof/>
        </w:rPr>
      </w:pPr>
      <w:r>
        <w:rPr>
          <w:noProof/>
        </w:rPr>
        <w:t>Sistemul național de gestionare a informațiilor privind e-sănătatea include următoarele funcționalități:</w:t>
      </w:r>
    </w:p>
    <w:p w14:paraId="1929B8A3" w14:textId="77777777" w:rsidR="00FA7C11" w:rsidRDefault="00D84965">
      <w:pPr>
        <w:pStyle w:val="P68B1DB1-Normal33"/>
        <w:numPr>
          <w:ilvl w:val="0"/>
          <w:numId w:val="76"/>
        </w:numPr>
        <w:spacing w:before="120" w:after="120" w:line="240" w:lineRule="auto"/>
        <w:jc w:val="both"/>
        <w:rPr>
          <w:noProof/>
        </w:rPr>
      </w:pPr>
      <w:r>
        <w:rPr>
          <w:noProof/>
        </w:rPr>
        <w:t>Raportarea periodică cu privire la sănătatea populației ca bază pentru activitățile specifice de prevenire și gestionare a bolilor;</w:t>
      </w:r>
    </w:p>
    <w:p w14:paraId="709D11B7" w14:textId="77777777" w:rsidR="00FA7C11" w:rsidRDefault="00D84965">
      <w:pPr>
        <w:pStyle w:val="P68B1DB1-Normal33"/>
        <w:numPr>
          <w:ilvl w:val="0"/>
          <w:numId w:val="76"/>
        </w:numPr>
        <w:spacing w:before="120" w:after="120" w:line="240" w:lineRule="auto"/>
        <w:jc w:val="both"/>
        <w:rPr>
          <w:noProof/>
        </w:rPr>
      </w:pPr>
      <w:r>
        <w:rPr>
          <w:noProof/>
        </w:rPr>
        <w:t>Consolidarea capacităților naționale de analiză a datelor, inclusiv integrarea furnizorilor de servicii medicale și a interfețelor pacienților cu infrastructurile și practicile existente;</w:t>
      </w:r>
    </w:p>
    <w:p w14:paraId="54BD84C7" w14:textId="77777777" w:rsidR="00FA7C11" w:rsidRDefault="00D84965">
      <w:pPr>
        <w:pStyle w:val="P68B1DB1-Normal33"/>
        <w:numPr>
          <w:ilvl w:val="0"/>
          <w:numId w:val="76"/>
        </w:numPr>
        <w:spacing w:before="120" w:after="120" w:line="240" w:lineRule="auto"/>
        <w:jc w:val="both"/>
        <w:rPr>
          <w:noProof/>
        </w:rPr>
      </w:pPr>
      <w:r>
        <w:rPr>
          <w:noProof/>
        </w:rPr>
        <w:t>Consolidarea capacităților naționale de implementare a inteligenței artificiale și a calculului de înaltă performanță, sporind nivelul de securitate cibernetică în domeniul e-sănătății și competențele digitale avansate pentru profesioniștii din domeniul sănătății, precum și pentru pacienți prin intermediul tehnologiilor avansate, în special al inteligenței artificiale;</w:t>
      </w:r>
    </w:p>
    <w:p w14:paraId="059BA455" w14:textId="77777777" w:rsidR="00FA7C11" w:rsidRDefault="00D84965">
      <w:pPr>
        <w:pStyle w:val="P68B1DB1-Normal33"/>
        <w:numPr>
          <w:ilvl w:val="0"/>
          <w:numId w:val="76"/>
        </w:numPr>
        <w:spacing w:before="120" w:after="120" w:line="240" w:lineRule="auto"/>
        <w:jc w:val="both"/>
        <w:rPr>
          <w:noProof/>
        </w:rPr>
      </w:pPr>
      <w:r>
        <w:rPr>
          <w:noProof/>
        </w:rPr>
        <w:t>Să permită dezvoltarea de noi servicii de sănătate pe baza datelor colectate în mod anonim disponibile în sistemul de sănătate.</w:t>
      </w:r>
    </w:p>
    <w:p w14:paraId="3EFC02C8" w14:textId="77777777" w:rsidR="00FA7C11" w:rsidRDefault="00D84965">
      <w:pPr>
        <w:pStyle w:val="P68B1DB1-Normal33"/>
        <w:spacing w:line="240" w:lineRule="auto"/>
        <w:jc w:val="both"/>
        <w:rPr>
          <w:noProof/>
        </w:rPr>
      </w:pPr>
      <w:r>
        <w:rPr>
          <w:noProof/>
        </w:rPr>
        <w:t xml:space="preserve">Reforma va fi sprijinită de cinci investiții conexe (C5.1 R5-I1-I5). </w:t>
      </w:r>
    </w:p>
    <w:p w14:paraId="65038B72" w14:textId="77777777" w:rsidR="00FA7C11" w:rsidRDefault="00D84965">
      <w:pPr>
        <w:pStyle w:val="P68B1DB1-Normal33"/>
        <w:spacing w:line="240" w:lineRule="auto"/>
        <w:jc w:val="both"/>
        <w:rPr>
          <w:noProof/>
        </w:rPr>
      </w:pPr>
      <w:r>
        <w:rPr>
          <w:noProof/>
        </w:rPr>
        <w:t>Reforma se finalizează până la 31 decembrie 2022.</w:t>
      </w:r>
    </w:p>
    <w:p w14:paraId="5409779E" w14:textId="77777777" w:rsidR="00FA7C11" w:rsidRDefault="00D84965">
      <w:pPr>
        <w:pStyle w:val="P68B1DB1-Normal42"/>
        <w:spacing w:line="240" w:lineRule="auto"/>
        <w:ind w:left="850"/>
        <w:jc w:val="both"/>
        <w:rPr>
          <w:noProof/>
        </w:rPr>
      </w:pPr>
      <w:r>
        <w:rPr>
          <w:noProof/>
        </w:rPr>
        <w:t>Investiția C5.1 R5-I1 – Integrarea digitală a sălilor de operație și a chirurgiei robotice la KBC Split</w:t>
      </w:r>
    </w:p>
    <w:p w14:paraId="0A3ED51F" w14:textId="77777777" w:rsidR="00FA7C11" w:rsidRDefault="00D84965">
      <w:pPr>
        <w:pStyle w:val="P68B1DB1-Normal33"/>
        <w:spacing w:line="240" w:lineRule="auto"/>
        <w:jc w:val="both"/>
        <w:rPr>
          <w:noProof/>
        </w:rPr>
      </w:pPr>
      <w:r>
        <w:rPr>
          <w:noProof/>
        </w:rPr>
        <w:t xml:space="preserve">Obiectivul acestei măsuri este de a permite tratarea cuprinzătoare a pacienților cu boli maligne și de a integra măsuri de optimizare a asistenței medicale. În acest mod, se preconizează că investiția va îmbunătăți rezultatele în materie de sănătate datorită introducerii unui nou model de îngrijire pentru pacienți, în special a unor noi tratamente chirurgicale de ultimă generație. Investiția abordează digitalizarea sălilor de operație și achiziționarea de echipamente pentru tratamentul avansat al cancerului în </w:t>
      </w:r>
      <w:r>
        <w:rPr>
          <w:noProof/>
          <w:u w:val="single"/>
        </w:rPr>
        <w:t>KBC Split.</w:t>
      </w:r>
    </w:p>
    <w:p w14:paraId="2782CF3E" w14:textId="77777777" w:rsidR="00FA7C11" w:rsidRDefault="00D84965">
      <w:pPr>
        <w:pStyle w:val="P68B1DB1-Normal33"/>
        <w:spacing w:line="240" w:lineRule="auto"/>
        <w:jc w:val="both"/>
        <w:rPr>
          <w:noProof/>
        </w:rPr>
      </w:pPr>
      <w:r>
        <w:rPr>
          <w:noProof/>
        </w:rPr>
        <w:t>Măsura se finalizează până la 30 iunie 2024.</w:t>
      </w:r>
    </w:p>
    <w:p w14:paraId="60555437" w14:textId="77777777" w:rsidR="00FA7C11" w:rsidRDefault="00D84965">
      <w:pPr>
        <w:pStyle w:val="P68B1DB1-Normal42"/>
        <w:spacing w:line="240" w:lineRule="auto"/>
        <w:ind w:left="850"/>
        <w:jc w:val="both"/>
        <w:rPr>
          <w:noProof/>
        </w:rPr>
      </w:pPr>
      <w:r>
        <w:rPr>
          <w:noProof/>
        </w:rPr>
        <w:t>Investiția C5.1 R5-I2 – TELECORDIS</w:t>
      </w:r>
    </w:p>
    <w:p w14:paraId="448CA1E4" w14:textId="77777777" w:rsidR="00FA7C11" w:rsidRDefault="00D84965">
      <w:pPr>
        <w:pStyle w:val="P68B1DB1-Normal33"/>
        <w:spacing w:line="240" w:lineRule="auto"/>
        <w:jc w:val="both"/>
        <w:rPr>
          <w:noProof/>
          <w:u w:val="single"/>
        </w:rPr>
      </w:pPr>
      <w:r>
        <w:rPr>
          <w:noProof/>
        </w:rPr>
        <w:t xml:space="preserve">Obiectivul acestei măsuri este digitalizarea serviciilor de cardiologie care să permită monitorizarea continuă a stării pacienților, în special a celor cu boli cardiace cronice. Se preconizează că serviciile de diagnosticare cardiologică rapide și accesibile la nivelul asistenței medicale primare vor contribui la detectarea în timp util a problemelor de sănătate cardiacă ale pacienților, la tratamentul adecvat și în timp util și la monitorizarea continuă a stării lor de sănătate. În plus, serviciul de telemedicină ECG Holter oferă pacienților din zonele îndepărtate și rurale acces la asistență medicală specializată, sporind astfel în mod semnificativ disponibilitatea serviciilor de sănătate specializate în centrele ambulatorii locale, îmbunătățind performanța specialiștilor, îmbunătățind rezultatele pacienților, reducând listele de așteptare și costul furnizării de servicii medicale. Investiția include digitalizarea proceselor de diagnosticare și permite schimbul de date cu centrele specializate dispersate. </w:t>
      </w:r>
    </w:p>
    <w:p w14:paraId="622B6E7C" w14:textId="77777777" w:rsidR="00FA7C11" w:rsidRDefault="00D84965">
      <w:pPr>
        <w:pStyle w:val="P68B1DB1-Normal33"/>
        <w:spacing w:line="240" w:lineRule="auto"/>
        <w:jc w:val="both"/>
        <w:rPr>
          <w:noProof/>
          <w:u w:val="single"/>
        </w:rPr>
      </w:pPr>
      <w:r>
        <w:rPr>
          <w:noProof/>
        </w:rPr>
        <w:t>Măsura se finalizează până la 31 martie 2023.</w:t>
      </w:r>
    </w:p>
    <w:p w14:paraId="373A6FE7" w14:textId="77777777" w:rsidR="00FA7C11" w:rsidRDefault="00D84965">
      <w:pPr>
        <w:pStyle w:val="P68B1DB1-Normal42"/>
        <w:spacing w:line="240" w:lineRule="auto"/>
        <w:ind w:left="850"/>
        <w:jc w:val="both"/>
        <w:rPr>
          <w:noProof/>
        </w:rPr>
      </w:pPr>
      <w:r>
        <w:rPr>
          <w:noProof/>
        </w:rPr>
        <w:t>Investiția C5.1 R5-I3 – Teletransfuzie</w:t>
      </w:r>
    </w:p>
    <w:p w14:paraId="57E3B720" w14:textId="77777777" w:rsidR="00FA7C11" w:rsidRDefault="00D84965">
      <w:pPr>
        <w:pStyle w:val="P68B1DB1-Normal33"/>
        <w:spacing w:line="240" w:lineRule="auto"/>
        <w:jc w:val="both"/>
        <w:rPr>
          <w:noProof/>
        </w:rPr>
      </w:pPr>
      <w:r>
        <w:rPr>
          <w:noProof/>
        </w:rPr>
        <w:t xml:space="preserve">Obiectivul acestei măsuri este digitalizarea serviciului de transfuzie și asigurarea disponibilității unui specialist în transfuzie la cerere pentru toate unitățile medicale spitalicești cu unități de transfuzie, contribuind la o dezvoltare puternică a serviciului de telemedicină prin transmiterea digitală a datelor medicale și consolidând interconectarea tuturor unităților spitalicești cu unitățile de transfuzie. </w:t>
      </w:r>
    </w:p>
    <w:p w14:paraId="55F52808" w14:textId="77777777" w:rsidR="00FA7C11" w:rsidRDefault="00D84965">
      <w:pPr>
        <w:pStyle w:val="P68B1DB1-Normal33"/>
        <w:spacing w:line="240" w:lineRule="auto"/>
        <w:jc w:val="both"/>
        <w:rPr>
          <w:noProof/>
          <w:u w:val="single"/>
        </w:rPr>
      </w:pPr>
      <w:r>
        <w:rPr>
          <w:noProof/>
        </w:rPr>
        <w:t>Măsura se finalizează până la 31 decembrie 2022.</w:t>
      </w:r>
    </w:p>
    <w:p w14:paraId="390D99D7" w14:textId="77777777" w:rsidR="00FA7C11" w:rsidRDefault="00D84965">
      <w:pPr>
        <w:pStyle w:val="P68B1DB1-Normal42"/>
        <w:spacing w:line="240" w:lineRule="auto"/>
        <w:ind w:left="850"/>
        <w:jc w:val="both"/>
        <w:rPr>
          <w:noProof/>
        </w:rPr>
      </w:pPr>
      <w:r>
        <w:rPr>
          <w:noProof/>
        </w:rPr>
        <w:t>Investiția C5.1 R5-I4 – Digitalizarea și integrarea sălilor de operație echipate cu chirurgie robotică în Centrul spitalicesc clinic „KBC Sestre Milosrdnice”</w:t>
      </w:r>
    </w:p>
    <w:p w14:paraId="59D3AC43" w14:textId="77777777" w:rsidR="00FA7C11" w:rsidRDefault="00D84965">
      <w:pPr>
        <w:pStyle w:val="P68B1DB1-Normal33"/>
        <w:spacing w:line="240" w:lineRule="auto"/>
        <w:jc w:val="both"/>
        <w:rPr>
          <w:noProof/>
        </w:rPr>
      </w:pPr>
      <w:r>
        <w:rPr>
          <w:noProof/>
        </w:rPr>
        <w:t xml:space="preserve">Obiectivul acestei măsuri este digitalizarea sălilor de operație și achiziționarea de echipamente avansate de tratament pentru noi tratamente chirurgicale moderne. Digitalizarea și integrarea sălilor de operație modifică planificarea, documentarea, stocarea și schimbul de date privind pacienții și tipurile și metodele de tratament operațional. Intervențiile chirurgicale robotizate îmbunătățesc calitatea tratamentului chirurgical, sporesc siguranța pacienților, asigură o mai mare transparență a tratamentului, un control mai bun al costurilor și rezultate mai bune în materie de sănătate, consolidează și consolidează resursele esențiale ale infrastructurii de informații privind sănătatea, introduc un sistem de servicii de sănătate fără hârtie și contribuie la tranziția digitală. </w:t>
      </w:r>
    </w:p>
    <w:p w14:paraId="28847A68" w14:textId="77777777" w:rsidR="00FA7C11" w:rsidRDefault="00D84965">
      <w:pPr>
        <w:pStyle w:val="P68B1DB1-Normal33"/>
        <w:spacing w:line="240" w:lineRule="auto"/>
        <w:jc w:val="both"/>
        <w:rPr>
          <w:noProof/>
          <w:u w:val="single"/>
        </w:rPr>
      </w:pPr>
      <w:r>
        <w:rPr>
          <w:noProof/>
        </w:rPr>
        <w:t>Măsura se finalizează până la 31 martie 2024.</w:t>
      </w:r>
    </w:p>
    <w:p w14:paraId="7D58A91E" w14:textId="77777777" w:rsidR="00FA7C11" w:rsidRDefault="00D84965">
      <w:pPr>
        <w:pStyle w:val="P68B1DB1-Normal42"/>
        <w:spacing w:line="240" w:lineRule="auto"/>
        <w:ind w:left="850"/>
        <w:jc w:val="both"/>
        <w:rPr>
          <w:noProof/>
        </w:rPr>
      </w:pPr>
      <w:r>
        <w:rPr>
          <w:noProof/>
        </w:rPr>
        <w:t>Investiția C5.1 R5-I5 – Digitalizarea și echiparea unităților de diagnosticare ale spitalului clinic „KB Merkur”</w:t>
      </w:r>
    </w:p>
    <w:p w14:paraId="4D5CCCB9" w14:textId="77777777" w:rsidR="00FA7C11" w:rsidRDefault="00D84965">
      <w:pPr>
        <w:pStyle w:val="P68B1DB1-Normal33"/>
        <w:spacing w:line="240" w:lineRule="auto"/>
        <w:jc w:val="both"/>
        <w:rPr>
          <w:noProof/>
        </w:rPr>
      </w:pPr>
      <w:r>
        <w:rPr>
          <w:noProof/>
        </w:rPr>
        <w:t>Obiectivul acestei măsuri este de a digitaliza și dota unitățile de diagnosticare, de a facilita monitorizarea procedurilor de dezvoltare a diagnosticului și de a oferi pacienților servicii de calitate îmbunătățită. Investiția include achiziționarea de dispozitive de ultimă generație.</w:t>
      </w:r>
    </w:p>
    <w:p w14:paraId="7C26B38A" w14:textId="77777777" w:rsidR="00FA7C11" w:rsidRDefault="00D84965">
      <w:pPr>
        <w:pStyle w:val="P68B1DB1-Normal33"/>
        <w:spacing w:line="240" w:lineRule="auto"/>
        <w:jc w:val="both"/>
        <w:rPr>
          <w:noProof/>
        </w:rPr>
      </w:pPr>
      <w:r>
        <w:rPr>
          <w:noProof/>
        </w:rPr>
        <w:t>Măsura se finalizează până la 31 martie 2023.</w:t>
      </w:r>
    </w:p>
    <w:p w14:paraId="73C2A945" w14:textId="77777777" w:rsidR="00FA7C11" w:rsidRDefault="00FA7C11">
      <w:pPr>
        <w:spacing w:line="240" w:lineRule="auto"/>
        <w:ind w:left="850"/>
        <w:jc w:val="both"/>
        <w:rPr>
          <w:rFonts w:eastAsia="Calibri"/>
          <w:noProof/>
          <w:u w:val="single"/>
        </w:rPr>
      </w:pPr>
    </w:p>
    <w:p w14:paraId="0DE4AAE4" w14:textId="77777777" w:rsidR="00FA7C11" w:rsidRDefault="00FA7C11">
      <w:pPr>
        <w:rPr>
          <w:noProof/>
        </w:rPr>
        <w:sectPr w:rsidR="00FA7C11" w:rsidSect="00FA29B2">
          <w:headerReference w:type="even" r:id="rId362"/>
          <w:headerReference w:type="default" r:id="rId363"/>
          <w:footerReference w:type="even" r:id="rId364"/>
          <w:footerReference w:type="default" r:id="rId365"/>
          <w:headerReference w:type="first" r:id="rId366"/>
          <w:footerReference w:type="first" r:id="rId367"/>
          <w:pgSz w:w="11906" w:h="16838"/>
          <w:pgMar w:top="1134" w:right="1134" w:bottom="1134" w:left="1134" w:header="567" w:footer="567" w:gutter="0"/>
          <w:cols w:space="708"/>
          <w:docGrid w:linePitch="360"/>
        </w:sectPr>
      </w:pPr>
    </w:p>
    <w:p w14:paraId="187C92D2" w14:textId="77777777" w:rsidR="00FA7C11" w:rsidRDefault="00D84965">
      <w:pPr>
        <w:pStyle w:val="P68B1DB1-Normal57"/>
        <w:keepNext/>
        <w:tabs>
          <w:tab w:val="num" w:pos="0"/>
        </w:tabs>
        <w:spacing w:before="40" w:after="0"/>
        <w:jc w:val="both"/>
        <w:outlineLvl w:val="1"/>
        <w:rPr>
          <w:noProof/>
        </w:rPr>
      </w:pPr>
      <w:r>
        <w:rPr>
          <w:noProof/>
        </w:rPr>
        <w:t xml:space="preserve">U.2. </w:t>
      </w:r>
      <w:r>
        <w:rPr>
          <w:noProof/>
        </w:rPr>
        <w:tab/>
        <w:t>Jaloane, ținte, indicatori și calendarul de monitorizare și implementare aplicabile sprijinului financiar nerambursabil</w:t>
      </w:r>
    </w:p>
    <w:p w14:paraId="7E193948" w14:textId="77777777" w:rsidR="00FA7C11" w:rsidRDefault="00FA7C11">
      <w:pPr>
        <w:keepNext/>
        <w:tabs>
          <w:tab w:val="num" w:pos="0"/>
        </w:tabs>
        <w:spacing w:before="40" w:after="0"/>
        <w:jc w:val="both"/>
        <w:outlineLvl w:val="1"/>
        <w:rPr>
          <w:rFonts w:eastAsia="SimSun"/>
          <w:b/>
          <w:noProof/>
          <w:szCs w:val="24"/>
          <w:u w:val="single"/>
        </w:rPr>
      </w:pPr>
    </w:p>
    <w:tbl>
      <w:tblPr>
        <w:tblW w:w="15705" w:type="dxa"/>
        <w:jc w:val="center"/>
        <w:tblCellMar>
          <w:top w:w="28" w:type="dxa"/>
          <w:left w:w="28" w:type="dxa"/>
          <w:bottom w:w="28" w:type="dxa"/>
          <w:right w:w="28" w:type="dxa"/>
        </w:tblCellMar>
        <w:tblLook w:val="04A0" w:firstRow="1" w:lastRow="0" w:firstColumn="1" w:lastColumn="0" w:noHBand="0" w:noVBand="1"/>
      </w:tblPr>
      <w:tblGrid>
        <w:gridCol w:w="768"/>
        <w:gridCol w:w="1208"/>
        <w:gridCol w:w="1345"/>
        <w:gridCol w:w="1888"/>
        <w:gridCol w:w="1985"/>
        <w:gridCol w:w="1296"/>
        <w:gridCol w:w="1087"/>
        <w:gridCol w:w="976"/>
        <w:gridCol w:w="919"/>
        <w:gridCol w:w="895"/>
        <w:gridCol w:w="3827"/>
      </w:tblGrid>
      <w:tr w:rsidR="00FA7C11" w14:paraId="5F302CA5" w14:textId="77777777">
        <w:trPr>
          <w:trHeight w:val="636"/>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B78BCC" w14:textId="77777777" w:rsidR="00FA7C11" w:rsidRDefault="00D84965">
            <w:pPr>
              <w:pStyle w:val="P68B1DB1-Normal58"/>
              <w:spacing w:after="0" w:line="276" w:lineRule="auto"/>
              <w:jc w:val="center"/>
              <w:rPr>
                <w:bCs/>
                <w:noProof/>
              </w:rPr>
            </w:pPr>
            <w:r>
              <w:rPr>
                <w:noProof/>
              </w:rPr>
              <w:t>Număr</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7AE8B4" w14:textId="77777777" w:rsidR="00FA7C11" w:rsidRDefault="00D84965">
            <w:pPr>
              <w:pStyle w:val="P68B1DB1-Normal58"/>
              <w:spacing w:after="0" w:line="276" w:lineRule="auto"/>
              <w:jc w:val="center"/>
              <w:rPr>
                <w:bCs/>
                <w:noProof/>
              </w:rPr>
            </w:pPr>
            <w:r>
              <w:rPr>
                <w:noProof/>
              </w:rPr>
              <w:t>Măsură</w:t>
            </w:r>
          </w:p>
        </w:tc>
        <w:tc>
          <w:tcPr>
            <w:tcW w:w="10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3E01D5" w14:textId="77777777" w:rsidR="00FA7C11" w:rsidRDefault="00D84965">
            <w:pPr>
              <w:pStyle w:val="P68B1DB1-Normal58"/>
              <w:spacing w:after="0" w:line="276" w:lineRule="auto"/>
              <w:jc w:val="center"/>
              <w:rPr>
                <w:bCs/>
                <w:noProof/>
              </w:rPr>
            </w:pPr>
            <w:r>
              <w:rPr>
                <w:noProof/>
              </w:rPr>
              <w:t>Etapă/Obiectiv</w:t>
            </w:r>
          </w:p>
        </w:tc>
        <w:tc>
          <w:tcPr>
            <w:tcW w:w="18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D903F2" w14:textId="77777777" w:rsidR="00FA7C11" w:rsidRDefault="00D84965">
            <w:pPr>
              <w:pStyle w:val="P68B1DB1-Normal58"/>
              <w:spacing w:after="0" w:line="276" w:lineRule="auto"/>
              <w:jc w:val="center"/>
              <w:rPr>
                <w:bCs/>
                <w:noProof/>
              </w:rPr>
            </w:pPr>
            <w:r>
              <w:rPr>
                <w:noProof/>
              </w:rPr>
              <w:t>Nume</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794444"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335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63CA704"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651" w:type="dxa"/>
            <w:gridSpan w:val="2"/>
            <w:tcBorders>
              <w:top w:val="single" w:sz="4" w:space="0" w:color="auto"/>
              <w:left w:val="nil"/>
              <w:bottom w:val="single" w:sz="4" w:space="0" w:color="auto"/>
              <w:right w:val="single" w:sz="4" w:space="0" w:color="auto"/>
            </w:tcBorders>
            <w:shd w:val="clear" w:color="auto" w:fill="BDD7EE"/>
            <w:vAlign w:val="center"/>
            <w:hideMark/>
          </w:tcPr>
          <w:p w14:paraId="4FE014C7" w14:textId="77777777" w:rsidR="00FA7C11" w:rsidRDefault="00D84965">
            <w:pPr>
              <w:pStyle w:val="P68B1DB1-Normal58"/>
              <w:spacing w:after="0" w:line="276" w:lineRule="auto"/>
              <w:jc w:val="center"/>
              <w:rPr>
                <w:bCs/>
                <w:noProof/>
              </w:rPr>
            </w:pPr>
            <w:r>
              <w:rPr>
                <w:noProof/>
              </w:rPr>
              <w:t>Timp</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89E557"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235F46AF" w14:textId="77777777">
        <w:trPr>
          <w:trHeight w:val="362"/>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562DA150"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208" w:type="dxa"/>
            <w:vMerge/>
            <w:tcBorders>
              <w:top w:val="single" w:sz="4" w:space="0" w:color="auto"/>
              <w:left w:val="single" w:sz="4" w:space="0" w:color="auto"/>
              <w:bottom w:val="single" w:sz="4" w:space="0" w:color="auto"/>
              <w:right w:val="single" w:sz="4" w:space="0" w:color="auto"/>
            </w:tcBorders>
            <w:hideMark/>
          </w:tcPr>
          <w:p w14:paraId="2F925F11"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19" w:type="dxa"/>
            <w:vMerge/>
            <w:tcBorders>
              <w:top w:val="single" w:sz="4" w:space="0" w:color="auto"/>
              <w:left w:val="single" w:sz="4" w:space="0" w:color="auto"/>
              <w:bottom w:val="single" w:sz="4" w:space="0" w:color="auto"/>
              <w:right w:val="single" w:sz="4" w:space="0" w:color="auto"/>
            </w:tcBorders>
            <w:hideMark/>
          </w:tcPr>
          <w:p w14:paraId="1D55E353"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888" w:type="dxa"/>
            <w:vMerge/>
            <w:tcBorders>
              <w:top w:val="single" w:sz="4" w:space="0" w:color="auto"/>
              <w:left w:val="single" w:sz="4" w:space="0" w:color="auto"/>
              <w:bottom w:val="single" w:sz="4" w:space="0" w:color="auto"/>
              <w:right w:val="single" w:sz="4" w:space="0" w:color="auto"/>
            </w:tcBorders>
            <w:hideMark/>
          </w:tcPr>
          <w:p w14:paraId="02FE99F5" w14:textId="77777777" w:rsidR="00FA7C11" w:rsidRDefault="00FA7C11">
            <w:pPr>
              <w:spacing w:after="0" w:line="276" w:lineRule="auto"/>
              <w:rPr>
                <w:rFonts w:ascii="Times New Roman" w:eastAsia="Times New Roman" w:hAnsi="Times New Roman" w:cs="Times New Roman"/>
                <w:b/>
                <w:noProof/>
                <w:sz w:val="20"/>
                <w:szCs w:val="20"/>
              </w:rPr>
            </w:pPr>
          </w:p>
        </w:tc>
        <w:tc>
          <w:tcPr>
            <w:tcW w:w="1985" w:type="dxa"/>
            <w:vMerge/>
            <w:tcBorders>
              <w:top w:val="single" w:sz="4" w:space="0" w:color="auto"/>
              <w:left w:val="single" w:sz="4" w:space="0" w:color="auto"/>
              <w:bottom w:val="single" w:sz="4" w:space="0" w:color="auto"/>
              <w:right w:val="single" w:sz="4" w:space="0" w:color="auto"/>
            </w:tcBorders>
            <w:hideMark/>
          </w:tcPr>
          <w:p w14:paraId="7C650552" w14:textId="77777777" w:rsidR="00FA7C11" w:rsidRDefault="00FA7C11">
            <w:pPr>
              <w:spacing w:after="0" w:line="276" w:lineRule="auto"/>
              <w:rPr>
                <w:rFonts w:ascii="Times New Roman" w:eastAsia="Times New Roman" w:hAnsi="Times New Roman" w:cs="Times New Roman"/>
                <w:b/>
                <w:noProof/>
                <w:sz w:val="20"/>
                <w:szCs w:val="20"/>
              </w:rPr>
            </w:pPr>
          </w:p>
        </w:tc>
        <w:tc>
          <w:tcPr>
            <w:tcW w:w="129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A8A1945" w14:textId="77777777" w:rsidR="00FA7C11" w:rsidRDefault="00D84965">
            <w:pPr>
              <w:pStyle w:val="P68B1DB1-Normal58"/>
              <w:spacing w:after="0" w:line="276" w:lineRule="auto"/>
              <w:jc w:val="center"/>
              <w:rPr>
                <w:bCs/>
                <w:noProof/>
              </w:rPr>
            </w:pPr>
            <w:r>
              <w:rPr>
                <w:noProof/>
              </w:rPr>
              <w:t>Unitate</w:t>
            </w:r>
          </w:p>
        </w:tc>
        <w:tc>
          <w:tcPr>
            <w:tcW w:w="10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F84E00" w14:textId="77777777" w:rsidR="00FA7C11" w:rsidRDefault="00D84965">
            <w:pPr>
              <w:pStyle w:val="P68B1DB1-Normal58"/>
              <w:spacing w:after="0" w:line="276" w:lineRule="auto"/>
              <w:jc w:val="center"/>
              <w:rPr>
                <w:bCs/>
                <w:noProof/>
              </w:rPr>
            </w:pPr>
            <w:r>
              <w:rPr>
                <w:noProof/>
              </w:rPr>
              <w:t>Situația de referință</w:t>
            </w:r>
          </w:p>
        </w:tc>
        <w:tc>
          <w:tcPr>
            <w:tcW w:w="9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D518FD" w14:textId="77777777" w:rsidR="00FA7C11" w:rsidRDefault="00D84965">
            <w:pPr>
              <w:pStyle w:val="P68B1DB1-Normal58"/>
              <w:spacing w:after="0" w:line="276" w:lineRule="auto"/>
              <w:jc w:val="center"/>
              <w:rPr>
                <w:bCs/>
                <w:noProof/>
              </w:rPr>
            </w:pPr>
            <w:r>
              <w:rPr>
                <w:noProof/>
              </w:rPr>
              <w:t>Obiectiv</w:t>
            </w:r>
          </w:p>
        </w:tc>
        <w:tc>
          <w:tcPr>
            <w:tcW w:w="7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82C6439" w14:textId="77777777" w:rsidR="00FA7C11" w:rsidRDefault="00D84965">
            <w:pPr>
              <w:pStyle w:val="P68B1DB1-Normal58"/>
              <w:spacing w:after="0" w:line="276" w:lineRule="auto"/>
              <w:jc w:val="center"/>
              <w:rPr>
                <w:bCs/>
                <w:noProof/>
              </w:rPr>
            </w:pPr>
            <w:r>
              <w:rPr>
                <w:noProof/>
              </w:rPr>
              <w:t>Trimestru</w:t>
            </w:r>
          </w:p>
        </w:tc>
        <w:tc>
          <w:tcPr>
            <w:tcW w:w="89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0DAF08" w14:textId="77777777" w:rsidR="00FA7C11" w:rsidRDefault="00D84965">
            <w:pPr>
              <w:pStyle w:val="P68B1DB1-Normal58"/>
              <w:spacing w:after="0" w:line="276" w:lineRule="auto"/>
              <w:jc w:val="center"/>
              <w:rPr>
                <w:bCs/>
                <w:noProof/>
              </w:rPr>
            </w:pPr>
            <w:r>
              <w:rPr>
                <w:noProof/>
              </w:rPr>
              <w:t>Anul</w:t>
            </w:r>
          </w:p>
        </w:tc>
        <w:tc>
          <w:tcPr>
            <w:tcW w:w="3827" w:type="dxa"/>
            <w:vMerge/>
            <w:tcBorders>
              <w:top w:val="single" w:sz="4" w:space="0" w:color="auto"/>
              <w:bottom w:val="single" w:sz="4" w:space="0" w:color="auto"/>
              <w:right w:val="single" w:sz="4" w:space="0" w:color="auto"/>
            </w:tcBorders>
            <w:hideMark/>
          </w:tcPr>
          <w:p w14:paraId="1A0094F5"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7E70AEB5"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9276C96" w14:textId="77777777" w:rsidR="00FA7C11" w:rsidRDefault="00D84965">
            <w:pPr>
              <w:pStyle w:val="P68B1DB1-Normal66"/>
              <w:spacing w:after="0" w:line="276" w:lineRule="auto"/>
              <w:jc w:val="center"/>
              <w:rPr>
                <w:noProof/>
              </w:rPr>
            </w:pPr>
            <w:r>
              <w:rPr>
                <w:noProof/>
              </w:rPr>
              <w:t>318</w:t>
            </w:r>
          </w:p>
        </w:tc>
        <w:tc>
          <w:tcPr>
            <w:tcW w:w="1208" w:type="dxa"/>
            <w:tcBorders>
              <w:top w:val="single" w:sz="4" w:space="0" w:color="auto"/>
              <w:left w:val="nil"/>
              <w:bottom w:val="single" w:sz="4" w:space="0" w:color="auto"/>
              <w:right w:val="single" w:sz="4" w:space="0" w:color="auto"/>
            </w:tcBorders>
            <w:shd w:val="clear" w:color="auto" w:fill="C6EFCE"/>
            <w:noWrap/>
          </w:tcPr>
          <w:p w14:paraId="187D7523" w14:textId="77777777" w:rsidR="00FA7C11" w:rsidRDefault="00D84965">
            <w:pPr>
              <w:pStyle w:val="P68B1DB1-Normal66"/>
              <w:spacing w:after="200" w:line="276" w:lineRule="auto"/>
              <w:jc w:val="center"/>
              <w:rPr>
                <w:noProof/>
              </w:rPr>
            </w:pPr>
            <w:r>
              <w:rPr>
                <w:noProof/>
              </w:rPr>
              <w:t>C5.1. R1</w:t>
            </w:r>
          </w:p>
        </w:tc>
        <w:tc>
          <w:tcPr>
            <w:tcW w:w="1019" w:type="dxa"/>
            <w:tcBorders>
              <w:top w:val="single" w:sz="4" w:space="0" w:color="auto"/>
              <w:left w:val="nil"/>
              <w:bottom w:val="single" w:sz="4" w:space="0" w:color="auto"/>
              <w:right w:val="single" w:sz="4" w:space="0" w:color="auto"/>
            </w:tcBorders>
            <w:shd w:val="clear" w:color="auto" w:fill="C6EFCE"/>
            <w:noWrap/>
          </w:tcPr>
          <w:p w14:paraId="20036D80" w14:textId="77777777" w:rsidR="00FA7C11" w:rsidRDefault="00D84965">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3E8C7A4D" w14:textId="77777777" w:rsidR="00FA7C11" w:rsidRDefault="00D84965">
            <w:pPr>
              <w:pStyle w:val="P68B1DB1-Normal66"/>
              <w:spacing w:after="200" w:line="276" w:lineRule="auto"/>
              <w:rPr>
                <w:noProof/>
              </w:rPr>
            </w:pPr>
            <w:r>
              <w:rPr>
                <w:noProof/>
              </w:rPr>
              <w:t xml:space="preserve">Adoptarea cadrului de evaluare a performanței sistemului de sănătate (HSPA) </w:t>
            </w:r>
          </w:p>
        </w:tc>
        <w:tc>
          <w:tcPr>
            <w:tcW w:w="1985" w:type="dxa"/>
            <w:tcBorders>
              <w:top w:val="single" w:sz="4" w:space="0" w:color="auto"/>
              <w:left w:val="nil"/>
              <w:bottom w:val="single" w:sz="4" w:space="0" w:color="auto"/>
              <w:right w:val="single" w:sz="4" w:space="0" w:color="auto"/>
            </w:tcBorders>
            <w:shd w:val="clear" w:color="auto" w:fill="C6EFCE"/>
            <w:noWrap/>
          </w:tcPr>
          <w:p w14:paraId="2E3CBBA8" w14:textId="77777777" w:rsidR="00FA7C11" w:rsidRDefault="00D84965">
            <w:pPr>
              <w:pStyle w:val="P68B1DB1-Normal66"/>
              <w:spacing w:after="200" w:line="276" w:lineRule="auto"/>
              <w:rPr>
                <w:noProof/>
              </w:rPr>
            </w:pPr>
            <w:r>
              <w:rPr>
                <w:noProof/>
              </w:rPr>
              <w:t>Intrarea în vigoare a cadrului de evaluare a performanței sistemului de sănătate</w:t>
            </w:r>
          </w:p>
        </w:tc>
        <w:tc>
          <w:tcPr>
            <w:tcW w:w="1296" w:type="dxa"/>
            <w:tcBorders>
              <w:top w:val="single" w:sz="4" w:space="0" w:color="auto"/>
              <w:left w:val="nil"/>
              <w:bottom w:val="single" w:sz="4" w:space="0" w:color="auto"/>
              <w:right w:val="single" w:sz="4" w:space="0" w:color="auto"/>
            </w:tcBorders>
            <w:shd w:val="clear" w:color="auto" w:fill="C6EFCE"/>
            <w:noWrap/>
          </w:tcPr>
          <w:p w14:paraId="6AF7F425" w14:textId="77777777" w:rsidR="00FA7C11" w:rsidRDefault="00D84965">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455E20A8" w14:textId="77777777" w:rsidR="00FA7C11" w:rsidRDefault="00D84965">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4717B88E"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740FEC29" w14:textId="77777777" w:rsidR="00FA7C11" w:rsidRDefault="00D84965">
            <w:pPr>
              <w:pStyle w:val="P68B1DB1-Normal66"/>
              <w:spacing w:after="200" w:line="276" w:lineRule="auto"/>
              <w:jc w:val="center"/>
              <w:rPr>
                <w:noProof/>
              </w:rPr>
            </w:pPr>
            <w:r>
              <w:rPr>
                <w:noProof/>
              </w:rPr>
              <w:t>Î3</w:t>
            </w:r>
          </w:p>
        </w:tc>
        <w:tc>
          <w:tcPr>
            <w:tcW w:w="895" w:type="dxa"/>
            <w:tcBorders>
              <w:top w:val="single" w:sz="4" w:space="0" w:color="auto"/>
              <w:left w:val="nil"/>
              <w:bottom w:val="single" w:sz="4" w:space="0" w:color="auto"/>
              <w:right w:val="single" w:sz="4" w:space="0" w:color="auto"/>
            </w:tcBorders>
            <w:shd w:val="clear" w:color="auto" w:fill="C6EFCE"/>
            <w:noWrap/>
          </w:tcPr>
          <w:p w14:paraId="21E3D32A" w14:textId="77777777" w:rsidR="00FA7C11" w:rsidRDefault="00D84965">
            <w:pPr>
              <w:pStyle w:val="P68B1DB1-Normal66"/>
              <w:spacing w:after="200" w:line="276" w:lineRule="auto"/>
              <w:jc w:val="center"/>
              <w:rPr>
                <w:noProof/>
              </w:rPr>
            </w:pPr>
            <w:r>
              <w:rPr>
                <w:noProof/>
              </w:rPr>
              <w:t>2022</w:t>
            </w:r>
          </w:p>
        </w:tc>
        <w:tc>
          <w:tcPr>
            <w:tcW w:w="3827" w:type="dxa"/>
            <w:tcBorders>
              <w:top w:val="single" w:sz="4" w:space="0" w:color="auto"/>
              <w:left w:val="nil"/>
              <w:bottom w:val="single" w:sz="4" w:space="0" w:color="auto"/>
              <w:right w:val="single" w:sz="4" w:space="0" w:color="auto"/>
            </w:tcBorders>
            <w:shd w:val="clear" w:color="auto" w:fill="C6EFCE"/>
            <w:noWrap/>
          </w:tcPr>
          <w:p w14:paraId="3C28A5E2" w14:textId="77777777" w:rsidR="00FA7C11" w:rsidRDefault="00D84965">
            <w:pPr>
              <w:pStyle w:val="P68B1DB1-Normal66"/>
              <w:spacing w:after="200" w:line="276" w:lineRule="auto"/>
              <w:rPr>
                <w:noProof/>
              </w:rPr>
            </w:pPr>
            <w:r>
              <w:rPr>
                <w:noProof/>
              </w:rPr>
              <w:t xml:space="preserve">Evaluarea performanței sistemului de sănătate (HSPA) stabilește un cadru de măsurare a performanței în materie de sănătate, stabilit pe baza unor indicatori-cheie de performanță în conformitate cu o metodologie de evaluare definită, legat de procesul de corelare a măsurilor cu obiectivele stabilite în documentele de strategie și reformele naționale, de actualitatea datelor și de îmbunătățirea monitorizării rezultatelor în materie de sănătate. </w:t>
            </w:r>
          </w:p>
        </w:tc>
      </w:tr>
      <w:tr w:rsidR="00FA7C11" w14:paraId="5A00C92F"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43EB4D44" w14:textId="77777777" w:rsidR="00FA7C11" w:rsidRDefault="00D84965">
            <w:pPr>
              <w:pStyle w:val="P68B1DB1-Normal66"/>
              <w:spacing w:after="0" w:line="276" w:lineRule="auto"/>
              <w:jc w:val="center"/>
              <w:rPr>
                <w:noProof/>
              </w:rPr>
            </w:pPr>
            <w:r>
              <w:rPr>
                <w:noProof/>
              </w:rPr>
              <w:t>319</w:t>
            </w:r>
          </w:p>
        </w:tc>
        <w:tc>
          <w:tcPr>
            <w:tcW w:w="1208" w:type="dxa"/>
            <w:tcBorders>
              <w:top w:val="nil"/>
              <w:left w:val="nil"/>
              <w:bottom w:val="single" w:sz="4" w:space="0" w:color="auto"/>
              <w:right w:val="single" w:sz="4" w:space="0" w:color="auto"/>
            </w:tcBorders>
            <w:shd w:val="clear" w:color="auto" w:fill="C6EFCE"/>
            <w:noWrap/>
          </w:tcPr>
          <w:p w14:paraId="34FFF8C1" w14:textId="77777777" w:rsidR="00FA7C11" w:rsidRDefault="00D84965">
            <w:pPr>
              <w:pStyle w:val="P68B1DB1-Normal66"/>
              <w:spacing w:after="200" w:line="276" w:lineRule="auto"/>
              <w:jc w:val="center"/>
              <w:rPr>
                <w:noProof/>
              </w:rPr>
            </w:pPr>
            <w:r>
              <w:rPr>
                <w:noProof/>
              </w:rPr>
              <w:t>C5.1. R1</w:t>
            </w:r>
          </w:p>
        </w:tc>
        <w:tc>
          <w:tcPr>
            <w:tcW w:w="1019" w:type="dxa"/>
            <w:tcBorders>
              <w:top w:val="nil"/>
              <w:left w:val="nil"/>
              <w:bottom w:val="single" w:sz="4" w:space="0" w:color="auto"/>
              <w:right w:val="single" w:sz="4" w:space="0" w:color="auto"/>
            </w:tcBorders>
            <w:shd w:val="clear" w:color="auto" w:fill="C6EFCE"/>
            <w:noWrap/>
          </w:tcPr>
          <w:p w14:paraId="5AF6CFCA" w14:textId="77777777" w:rsidR="00FA7C11" w:rsidRDefault="00D84965">
            <w:pPr>
              <w:pStyle w:val="P68B1DB1-Normal66"/>
              <w:spacing w:after="200" w:line="276" w:lineRule="auto"/>
              <w:jc w:val="center"/>
              <w:rPr>
                <w:noProof/>
              </w:rPr>
            </w:pPr>
            <w:r>
              <w:rPr>
                <w:noProof/>
              </w:rPr>
              <w:t>T</w:t>
            </w:r>
          </w:p>
        </w:tc>
        <w:tc>
          <w:tcPr>
            <w:tcW w:w="1888" w:type="dxa"/>
            <w:tcBorders>
              <w:top w:val="nil"/>
              <w:left w:val="nil"/>
              <w:bottom w:val="single" w:sz="4" w:space="0" w:color="auto"/>
              <w:right w:val="single" w:sz="4" w:space="0" w:color="auto"/>
            </w:tcBorders>
            <w:shd w:val="clear" w:color="auto" w:fill="C6EFCE"/>
            <w:noWrap/>
          </w:tcPr>
          <w:p w14:paraId="498E63C1" w14:textId="77777777" w:rsidR="00FA7C11" w:rsidRDefault="00D84965">
            <w:pPr>
              <w:pStyle w:val="P68B1DB1-Normal66"/>
              <w:spacing w:after="200" w:line="276" w:lineRule="auto"/>
              <w:rPr>
                <w:noProof/>
              </w:rPr>
            </w:pPr>
            <w:r>
              <w:rPr>
                <w:noProof/>
              </w:rPr>
              <w:t>Optimizarea timpului alocat tratamentului de diagnosticare – liste de așteptare</w:t>
            </w:r>
          </w:p>
        </w:tc>
        <w:tc>
          <w:tcPr>
            <w:tcW w:w="1985" w:type="dxa"/>
            <w:tcBorders>
              <w:top w:val="nil"/>
              <w:left w:val="nil"/>
              <w:bottom w:val="single" w:sz="4" w:space="0" w:color="auto"/>
              <w:right w:val="single" w:sz="4" w:space="0" w:color="auto"/>
            </w:tcBorders>
            <w:shd w:val="clear" w:color="auto" w:fill="C6EFCE"/>
            <w:noWrap/>
          </w:tcPr>
          <w:p w14:paraId="7695C81D" w14:textId="77777777" w:rsidR="00FA7C11" w:rsidRDefault="00D84965">
            <w:pPr>
              <w:pStyle w:val="P68B1DB1-Normal66"/>
              <w:spacing w:after="200" w:line="276" w:lineRule="auto"/>
              <w:rPr>
                <w:noProof/>
              </w:rPr>
            </w:pPr>
            <w:r>
              <w:rPr>
                <w:noProof/>
              </w:rPr>
              <w:t> </w:t>
            </w:r>
          </w:p>
        </w:tc>
        <w:tc>
          <w:tcPr>
            <w:tcW w:w="1296" w:type="dxa"/>
            <w:tcBorders>
              <w:top w:val="nil"/>
              <w:left w:val="nil"/>
              <w:bottom w:val="single" w:sz="4" w:space="0" w:color="auto"/>
              <w:right w:val="single" w:sz="4" w:space="0" w:color="auto"/>
            </w:tcBorders>
            <w:shd w:val="clear" w:color="auto" w:fill="C6EFCE"/>
            <w:noWrap/>
          </w:tcPr>
          <w:p w14:paraId="6B2AFB0A" w14:textId="77777777" w:rsidR="00FA7C11" w:rsidRDefault="00D84965">
            <w:pPr>
              <w:pStyle w:val="P68B1DB1-Normal66"/>
              <w:spacing w:after="200" w:line="276" w:lineRule="auto"/>
              <w:jc w:val="center"/>
              <w:rPr>
                <w:noProof/>
              </w:rPr>
            </w:pPr>
            <w:r>
              <w:rPr>
                <w:noProof/>
              </w:rPr>
              <w:t>Număr de zile</w:t>
            </w:r>
          </w:p>
        </w:tc>
        <w:tc>
          <w:tcPr>
            <w:tcW w:w="1087" w:type="dxa"/>
            <w:tcBorders>
              <w:top w:val="nil"/>
              <w:left w:val="nil"/>
              <w:bottom w:val="single" w:sz="4" w:space="0" w:color="auto"/>
              <w:right w:val="single" w:sz="4" w:space="0" w:color="auto"/>
            </w:tcBorders>
            <w:shd w:val="clear" w:color="auto" w:fill="C6EFCE"/>
            <w:noWrap/>
          </w:tcPr>
          <w:p w14:paraId="6AEDAE3C" w14:textId="77777777" w:rsidR="00FA7C11" w:rsidRDefault="00D84965">
            <w:pPr>
              <w:pStyle w:val="P68B1DB1-Normal66"/>
              <w:spacing w:after="200" w:line="276" w:lineRule="auto"/>
              <w:jc w:val="center"/>
              <w:rPr>
                <w:noProof/>
              </w:rPr>
            </w:pPr>
            <w:r>
              <w:rPr>
                <w:noProof/>
              </w:rPr>
              <w:t>400</w:t>
            </w:r>
          </w:p>
        </w:tc>
        <w:tc>
          <w:tcPr>
            <w:tcW w:w="976" w:type="dxa"/>
            <w:tcBorders>
              <w:top w:val="nil"/>
              <w:left w:val="nil"/>
              <w:bottom w:val="single" w:sz="4" w:space="0" w:color="auto"/>
              <w:right w:val="single" w:sz="4" w:space="0" w:color="auto"/>
            </w:tcBorders>
            <w:shd w:val="clear" w:color="auto" w:fill="C6EFCE"/>
            <w:noWrap/>
          </w:tcPr>
          <w:p w14:paraId="3B421A86" w14:textId="77777777" w:rsidR="00FA7C11" w:rsidRDefault="00D84965">
            <w:pPr>
              <w:pStyle w:val="P68B1DB1-Normal66"/>
              <w:spacing w:after="200" w:line="276" w:lineRule="auto"/>
              <w:jc w:val="center"/>
              <w:rPr>
                <w:noProof/>
              </w:rPr>
            </w:pPr>
            <w:r>
              <w:rPr>
                <w:noProof/>
              </w:rPr>
              <w:t>270</w:t>
            </w:r>
          </w:p>
        </w:tc>
        <w:tc>
          <w:tcPr>
            <w:tcW w:w="756" w:type="dxa"/>
            <w:tcBorders>
              <w:top w:val="nil"/>
              <w:left w:val="nil"/>
              <w:bottom w:val="single" w:sz="4" w:space="0" w:color="auto"/>
              <w:right w:val="single" w:sz="4" w:space="0" w:color="auto"/>
            </w:tcBorders>
            <w:shd w:val="clear" w:color="auto" w:fill="C6EFCE"/>
            <w:noWrap/>
          </w:tcPr>
          <w:p w14:paraId="720061B7" w14:textId="77777777" w:rsidR="00FA7C11" w:rsidRDefault="00D84965">
            <w:pPr>
              <w:pStyle w:val="P68B1DB1-Normal66"/>
              <w:spacing w:after="200" w:line="276" w:lineRule="auto"/>
              <w:jc w:val="center"/>
              <w:rPr>
                <w:noProof/>
              </w:rPr>
            </w:pPr>
            <w:r>
              <w:rPr>
                <w:noProof/>
              </w:rPr>
              <w:t>Î4</w:t>
            </w:r>
          </w:p>
        </w:tc>
        <w:tc>
          <w:tcPr>
            <w:tcW w:w="895" w:type="dxa"/>
            <w:tcBorders>
              <w:top w:val="nil"/>
              <w:left w:val="nil"/>
              <w:bottom w:val="single" w:sz="4" w:space="0" w:color="auto"/>
              <w:right w:val="single" w:sz="4" w:space="0" w:color="auto"/>
            </w:tcBorders>
            <w:shd w:val="clear" w:color="auto" w:fill="C6EFCE"/>
            <w:noWrap/>
          </w:tcPr>
          <w:p w14:paraId="13B19DEC" w14:textId="77777777" w:rsidR="00FA7C11" w:rsidRDefault="00D84965">
            <w:pPr>
              <w:pStyle w:val="P68B1DB1-Normal66"/>
              <w:spacing w:after="200" w:line="276" w:lineRule="auto"/>
              <w:jc w:val="center"/>
              <w:rPr>
                <w:noProof/>
              </w:rPr>
            </w:pPr>
            <w:r>
              <w:rPr>
                <w:noProof/>
              </w:rPr>
              <w:t>2023</w:t>
            </w:r>
          </w:p>
        </w:tc>
        <w:tc>
          <w:tcPr>
            <w:tcW w:w="3827" w:type="dxa"/>
            <w:tcBorders>
              <w:top w:val="nil"/>
              <w:left w:val="nil"/>
              <w:bottom w:val="single" w:sz="4" w:space="0" w:color="auto"/>
              <w:right w:val="single" w:sz="4" w:space="0" w:color="auto"/>
            </w:tcBorders>
            <w:shd w:val="clear" w:color="auto" w:fill="C6EFCE"/>
            <w:noWrap/>
          </w:tcPr>
          <w:p w14:paraId="200424B4" w14:textId="77777777" w:rsidR="00FA7C11" w:rsidRDefault="00D84965">
            <w:pPr>
              <w:pStyle w:val="P68B1DB1-Normal66"/>
              <w:spacing w:after="200" w:line="276" w:lineRule="auto"/>
              <w:rPr>
                <w:noProof/>
              </w:rPr>
            </w:pPr>
            <w:r>
              <w:rPr>
                <w:noProof/>
              </w:rPr>
              <w:t>Perioada de așteptare pentru pacienții aflați în tratament de diagnosticare se reduce la 270 zile față de intervalul de timp actual de 400 zile prevăzut în lista de așteptare.</w:t>
            </w:r>
          </w:p>
        </w:tc>
      </w:tr>
      <w:tr w:rsidR="00FA7C11" w14:paraId="1EE6F7C5" w14:textId="77777777">
        <w:trPr>
          <w:trHeight w:val="283"/>
          <w:jc w:val="center"/>
        </w:trPr>
        <w:tc>
          <w:tcPr>
            <w:tcW w:w="768" w:type="dxa"/>
            <w:tcBorders>
              <w:top w:val="nil"/>
              <w:left w:val="single" w:sz="4" w:space="0" w:color="auto"/>
              <w:bottom w:val="single" w:sz="4" w:space="0" w:color="auto"/>
              <w:right w:val="single" w:sz="4" w:space="0" w:color="auto"/>
            </w:tcBorders>
            <w:shd w:val="clear" w:color="auto" w:fill="C6EFCE"/>
            <w:noWrap/>
          </w:tcPr>
          <w:p w14:paraId="6B32E7F6" w14:textId="77777777" w:rsidR="00FA7C11" w:rsidRDefault="00D84965">
            <w:pPr>
              <w:pStyle w:val="P68B1DB1-Normal66"/>
              <w:spacing w:after="0" w:line="276" w:lineRule="auto"/>
              <w:jc w:val="center"/>
              <w:rPr>
                <w:noProof/>
              </w:rPr>
            </w:pPr>
            <w:r>
              <w:rPr>
                <w:noProof/>
              </w:rPr>
              <w:t>323</w:t>
            </w:r>
          </w:p>
        </w:tc>
        <w:tc>
          <w:tcPr>
            <w:tcW w:w="1208" w:type="dxa"/>
            <w:tcBorders>
              <w:top w:val="nil"/>
              <w:left w:val="nil"/>
              <w:bottom w:val="single" w:sz="4" w:space="0" w:color="auto"/>
              <w:right w:val="single" w:sz="4" w:space="0" w:color="auto"/>
            </w:tcBorders>
            <w:shd w:val="clear" w:color="auto" w:fill="C6EFCE"/>
            <w:noWrap/>
          </w:tcPr>
          <w:p w14:paraId="1AF9CB0B" w14:textId="77777777" w:rsidR="00FA7C11" w:rsidRDefault="00D84965">
            <w:pPr>
              <w:pStyle w:val="P68B1DB1-Normal66"/>
              <w:spacing w:after="200" w:line="276" w:lineRule="auto"/>
              <w:jc w:val="center"/>
              <w:rPr>
                <w:noProof/>
              </w:rPr>
            </w:pPr>
            <w:r>
              <w:rPr>
                <w:noProof/>
              </w:rPr>
              <w:t>C5.1. R1-I4</w:t>
            </w:r>
          </w:p>
        </w:tc>
        <w:tc>
          <w:tcPr>
            <w:tcW w:w="1019" w:type="dxa"/>
            <w:tcBorders>
              <w:top w:val="nil"/>
              <w:left w:val="nil"/>
              <w:bottom w:val="single" w:sz="4" w:space="0" w:color="auto"/>
              <w:right w:val="single" w:sz="4" w:space="0" w:color="auto"/>
            </w:tcBorders>
            <w:shd w:val="clear" w:color="auto" w:fill="C6EFCE"/>
            <w:noWrap/>
          </w:tcPr>
          <w:p w14:paraId="7BEF3671" w14:textId="77777777" w:rsidR="00FA7C11" w:rsidRDefault="00D84965">
            <w:pPr>
              <w:pStyle w:val="P68B1DB1-Normal66"/>
              <w:spacing w:after="200" w:line="276" w:lineRule="auto"/>
              <w:jc w:val="center"/>
              <w:rPr>
                <w:noProof/>
              </w:rPr>
            </w:pPr>
            <w:r>
              <w:rPr>
                <w:noProof/>
              </w:rPr>
              <w:t>M</w:t>
            </w:r>
          </w:p>
        </w:tc>
        <w:tc>
          <w:tcPr>
            <w:tcW w:w="1888" w:type="dxa"/>
            <w:tcBorders>
              <w:top w:val="nil"/>
              <w:left w:val="nil"/>
              <w:bottom w:val="single" w:sz="4" w:space="0" w:color="auto"/>
              <w:right w:val="single" w:sz="4" w:space="0" w:color="auto"/>
            </w:tcBorders>
            <w:shd w:val="clear" w:color="auto" w:fill="C6EFCE"/>
            <w:noWrap/>
          </w:tcPr>
          <w:p w14:paraId="230877E7" w14:textId="77777777" w:rsidR="00FA7C11" w:rsidRDefault="00D84965">
            <w:pPr>
              <w:pStyle w:val="P68B1DB1-Normal66"/>
              <w:spacing w:after="200" w:line="276" w:lineRule="auto"/>
              <w:rPr>
                <w:noProof/>
              </w:rPr>
            </w:pPr>
            <w:r>
              <w:rPr>
                <w:noProof/>
              </w:rPr>
              <w:t xml:space="preserve">Modernizarea serviciilor de sănătate în centrul spitalicesc clinic KBC Split </w:t>
            </w:r>
          </w:p>
        </w:tc>
        <w:tc>
          <w:tcPr>
            <w:tcW w:w="1985" w:type="dxa"/>
            <w:tcBorders>
              <w:top w:val="nil"/>
              <w:left w:val="nil"/>
              <w:bottom w:val="single" w:sz="4" w:space="0" w:color="auto"/>
              <w:right w:val="single" w:sz="4" w:space="0" w:color="auto"/>
            </w:tcBorders>
            <w:shd w:val="clear" w:color="auto" w:fill="C6EFCE"/>
            <w:noWrap/>
          </w:tcPr>
          <w:p w14:paraId="16EC8D4C" w14:textId="77777777" w:rsidR="00FA7C11" w:rsidRDefault="00D84965">
            <w:pPr>
              <w:pStyle w:val="P68B1DB1-Normal66"/>
              <w:spacing w:after="200" w:line="276" w:lineRule="auto"/>
              <w:rPr>
                <w:noProof/>
              </w:rPr>
            </w:pPr>
            <w:r>
              <w:rPr>
                <w:noProof/>
              </w:rPr>
              <w:t>Echipamente achiziționate pentru Institutul Clinic de Radiologie de Diagnostic și Intervenție KBC Split</w:t>
            </w:r>
          </w:p>
        </w:tc>
        <w:tc>
          <w:tcPr>
            <w:tcW w:w="1296" w:type="dxa"/>
            <w:tcBorders>
              <w:top w:val="nil"/>
              <w:left w:val="nil"/>
              <w:bottom w:val="single" w:sz="4" w:space="0" w:color="auto"/>
              <w:right w:val="single" w:sz="4" w:space="0" w:color="auto"/>
            </w:tcBorders>
            <w:shd w:val="clear" w:color="auto" w:fill="C6EFCE"/>
            <w:noWrap/>
          </w:tcPr>
          <w:p w14:paraId="0BF54ED1" w14:textId="77777777" w:rsidR="00FA7C11" w:rsidRDefault="00D84965">
            <w:pPr>
              <w:pStyle w:val="P68B1DB1-Normal66"/>
              <w:spacing w:after="200" w:line="276" w:lineRule="auto"/>
              <w:jc w:val="center"/>
              <w:rPr>
                <w:noProof/>
              </w:rPr>
            </w:pPr>
            <w:r>
              <w:rPr>
                <w:noProof/>
              </w:rPr>
              <w:t> </w:t>
            </w:r>
          </w:p>
        </w:tc>
        <w:tc>
          <w:tcPr>
            <w:tcW w:w="1087" w:type="dxa"/>
            <w:tcBorders>
              <w:top w:val="nil"/>
              <w:left w:val="nil"/>
              <w:bottom w:val="single" w:sz="4" w:space="0" w:color="auto"/>
              <w:right w:val="single" w:sz="4" w:space="0" w:color="auto"/>
            </w:tcBorders>
            <w:shd w:val="clear" w:color="auto" w:fill="C6EFCE"/>
            <w:noWrap/>
          </w:tcPr>
          <w:p w14:paraId="5CDD4FDC" w14:textId="77777777" w:rsidR="00FA7C11" w:rsidRDefault="00D84965">
            <w:pPr>
              <w:pStyle w:val="P68B1DB1-Normal66"/>
              <w:spacing w:after="200" w:line="276" w:lineRule="auto"/>
              <w:jc w:val="center"/>
              <w:rPr>
                <w:noProof/>
              </w:rPr>
            </w:pPr>
            <w:r>
              <w:rPr>
                <w:noProof/>
              </w:rPr>
              <w:t> </w:t>
            </w:r>
          </w:p>
        </w:tc>
        <w:tc>
          <w:tcPr>
            <w:tcW w:w="976" w:type="dxa"/>
            <w:tcBorders>
              <w:top w:val="nil"/>
              <w:left w:val="nil"/>
              <w:bottom w:val="single" w:sz="4" w:space="0" w:color="auto"/>
              <w:right w:val="single" w:sz="4" w:space="0" w:color="auto"/>
            </w:tcBorders>
            <w:shd w:val="clear" w:color="auto" w:fill="C6EFCE"/>
            <w:noWrap/>
          </w:tcPr>
          <w:p w14:paraId="314DA402" w14:textId="77777777" w:rsidR="00FA7C11" w:rsidRDefault="00D84965">
            <w:pPr>
              <w:pStyle w:val="P68B1DB1-Normal66"/>
              <w:spacing w:after="200" w:line="276" w:lineRule="auto"/>
              <w:jc w:val="center"/>
              <w:rPr>
                <w:noProof/>
              </w:rPr>
            </w:pPr>
            <w:r>
              <w:rPr>
                <w:noProof/>
              </w:rPr>
              <w:t> </w:t>
            </w:r>
          </w:p>
        </w:tc>
        <w:tc>
          <w:tcPr>
            <w:tcW w:w="756" w:type="dxa"/>
            <w:tcBorders>
              <w:top w:val="nil"/>
              <w:left w:val="nil"/>
              <w:bottom w:val="single" w:sz="4" w:space="0" w:color="auto"/>
              <w:right w:val="single" w:sz="4" w:space="0" w:color="auto"/>
            </w:tcBorders>
            <w:shd w:val="clear" w:color="auto" w:fill="C6EFCE"/>
            <w:noWrap/>
          </w:tcPr>
          <w:p w14:paraId="0A99A896" w14:textId="77777777" w:rsidR="00FA7C11" w:rsidRDefault="00D84965">
            <w:pPr>
              <w:pStyle w:val="P68B1DB1-Normal66"/>
              <w:spacing w:after="200" w:line="276" w:lineRule="auto"/>
              <w:jc w:val="center"/>
              <w:rPr>
                <w:noProof/>
              </w:rPr>
            </w:pPr>
            <w:r>
              <w:rPr>
                <w:noProof/>
              </w:rPr>
              <w:t>Î4</w:t>
            </w:r>
          </w:p>
        </w:tc>
        <w:tc>
          <w:tcPr>
            <w:tcW w:w="895" w:type="dxa"/>
            <w:tcBorders>
              <w:top w:val="nil"/>
              <w:left w:val="nil"/>
              <w:bottom w:val="single" w:sz="4" w:space="0" w:color="auto"/>
              <w:right w:val="single" w:sz="4" w:space="0" w:color="auto"/>
            </w:tcBorders>
            <w:shd w:val="clear" w:color="auto" w:fill="C6EFCE"/>
            <w:noWrap/>
          </w:tcPr>
          <w:p w14:paraId="43E53D63" w14:textId="77777777" w:rsidR="00FA7C11" w:rsidRDefault="00D84965">
            <w:pPr>
              <w:pStyle w:val="P68B1DB1-Normal66"/>
              <w:spacing w:after="200" w:line="276" w:lineRule="auto"/>
              <w:jc w:val="center"/>
              <w:rPr>
                <w:noProof/>
              </w:rPr>
            </w:pPr>
            <w:r>
              <w:rPr>
                <w:noProof/>
              </w:rPr>
              <w:t>2022</w:t>
            </w:r>
          </w:p>
        </w:tc>
        <w:tc>
          <w:tcPr>
            <w:tcW w:w="3827" w:type="dxa"/>
            <w:tcBorders>
              <w:top w:val="nil"/>
              <w:left w:val="nil"/>
              <w:bottom w:val="single" w:sz="4" w:space="0" w:color="auto"/>
              <w:right w:val="single" w:sz="4" w:space="0" w:color="auto"/>
            </w:tcBorders>
            <w:shd w:val="clear" w:color="auto" w:fill="C6EFCE"/>
            <w:noWrap/>
          </w:tcPr>
          <w:p w14:paraId="4C70CFF6" w14:textId="77777777" w:rsidR="00FA7C11" w:rsidRDefault="00D84965">
            <w:pPr>
              <w:pStyle w:val="P68B1DB1-Normal66"/>
              <w:spacing w:after="200" w:line="276" w:lineRule="auto"/>
              <w:rPr>
                <w:noProof/>
              </w:rPr>
            </w:pPr>
            <w:r>
              <w:rPr>
                <w:noProof/>
              </w:rPr>
              <w:t xml:space="preserve">Instalarea de echipamente pentru Institutul clinic de radiologie pentru diagnostic și intervenție și pentru Institutul de medicină nucleară clinică, precum și construirea și echiparea unei săli endoscopice hibride în cadrul Institutului de gastroenterologie, pentru a permite introducerea de noi proceduri terapeutice și de diagnosticare în Centrul spitalicesc clinic KBC Split. Echipamentele instalate trebuie să fie cel puțin rezonanță magnetică 3T, sală digitală de neurointervenție DSA angio, mașină digitală diascopică cu raze X, cameră gastroenterologică endoscopică. </w:t>
            </w:r>
          </w:p>
        </w:tc>
      </w:tr>
      <w:tr w:rsidR="00FA7C11" w14:paraId="676C39CF"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DBC0D85" w14:textId="77777777" w:rsidR="00FA7C11" w:rsidRDefault="00D84965">
            <w:pPr>
              <w:pStyle w:val="P68B1DB1-Normal66"/>
              <w:spacing w:after="200" w:line="276" w:lineRule="auto"/>
              <w:jc w:val="center"/>
              <w:rPr>
                <w:noProof/>
              </w:rPr>
            </w:pPr>
            <w:r>
              <w:rPr>
                <w:noProof/>
              </w:rPr>
              <w:t>324</w:t>
            </w:r>
          </w:p>
        </w:tc>
        <w:tc>
          <w:tcPr>
            <w:tcW w:w="1208" w:type="dxa"/>
            <w:tcBorders>
              <w:top w:val="single" w:sz="4" w:space="0" w:color="auto"/>
              <w:left w:val="nil"/>
              <w:bottom w:val="single" w:sz="4" w:space="0" w:color="auto"/>
              <w:right w:val="single" w:sz="4" w:space="0" w:color="auto"/>
            </w:tcBorders>
            <w:shd w:val="clear" w:color="auto" w:fill="C6EFCE"/>
            <w:noWrap/>
          </w:tcPr>
          <w:p w14:paraId="525F6FB2" w14:textId="77777777" w:rsidR="00FA7C11" w:rsidRDefault="00D84965">
            <w:pPr>
              <w:pStyle w:val="P68B1DB1-Normal66"/>
              <w:spacing w:after="200" w:line="276" w:lineRule="auto"/>
              <w:jc w:val="center"/>
              <w:rPr>
                <w:noProof/>
              </w:rPr>
            </w:pPr>
            <w:r>
              <w:rPr>
                <w:noProof/>
              </w:rPr>
              <w:t>C5.1. R1-I5</w:t>
            </w:r>
          </w:p>
        </w:tc>
        <w:tc>
          <w:tcPr>
            <w:tcW w:w="1019" w:type="dxa"/>
            <w:tcBorders>
              <w:top w:val="single" w:sz="4" w:space="0" w:color="auto"/>
              <w:left w:val="nil"/>
              <w:bottom w:val="single" w:sz="4" w:space="0" w:color="auto"/>
              <w:right w:val="single" w:sz="4" w:space="0" w:color="auto"/>
            </w:tcBorders>
            <w:shd w:val="clear" w:color="auto" w:fill="C6EFCE"/>
            <w:noWrap/>
          </w:tcPr>
          <w:p w14:paraId="324CEB56" w14:textId="77777777" w:rsidR="00FA7C11" w:rsidRDefault="00D84965">
            <w:pPr>
              <w:pStyle w:val="P68B1DB1-Normal66"/>
              <w:spacing w:after="200" w:line="276" w:lineRule="auto"/>
              <w:jc w:val="center"/>
              <w:rPr>
                <w:noProof/>
                <w:color w:val="000000" w:themeColor="text1"/>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4BED1CC1" w14:textId="77777777" w:rsidR="00FA7C11" w:rsidRDefault="00D84965">
            <w:pPr>
              <w:pStyle w:val="P68B1DB1-Normal66"/>
              <w:spacing w:after="200" w:line="276" w:lineRule="auto"/>
              <w:rPr>
                <w:noProof/>
              </w:rPr>
            </w:pPr>
            <w:r>
              <w:rPr>
                <w:noProof/>
              </w:rPr>
              <w:t xml:space="preserve">Construcția blocului operațional central, cu conținutul însoțitor al Spitalului General Varaždin </w:t>
            </w:r>
          </w:p>
        </w:tc>
        <w:tc>
          <w:tcPr>
            <w:tcW w:w="1985" w:type="dxa"/>
            <w:tcBorders>
              <w:top w:val="single" w:sz="4" w:space="0" w:color="auto"/>
              <w:left w:val="nil"/>
              <w:bottom w:val="single" w:sz="4" w:space="0" w:color="auto"/>
              <w:right w:val="single" w:sz="4" w:space="0" w:color="auto"/>
            </w:tcBorders>
            <w:shd w:val="clear" w:color="auto" w:fill="C6EFCE"/>
            <w:noWrap/>
          </w:tcPr>
          <w:p w14:paraId="62750223" w14:textId="77777777" w:rsidR="00FA7C11" w:rsidRDefault="00D84965">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3DDFD361"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4EBD01D6"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43FC412A" w14:textId="77777777" w:rsidR="00FA7C11" w:rsidRDefault="00D84965">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3F5CBA9B"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636F97AF" w14:textId="77777777" w:rsidR="00FA7C11" w:rsidRDefault="00D84965">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4B1B0A70" w14:textId="0A614CA9" w:rsidR="00FA7C11" w:rsidRDefault="00D84965">
            <w:pPr>
              <w:pStyle w:val="P68B1DB1-Normal66"/>
              <w:spacing w:after="200" w:line="276" w:lineRule="auto"/>
              <w:rPr>
                <w:noProof/>
              </w:rPr>
            </w:pPr>
            <w:r>
              <w:rPr>
                <w:noProof/>
              </w:rPr>
              <w:t xml:space="preserve">Construirea și echiparea blocului operațional central (COB) cu unități de terapie intensivă (JIL), sterilizare centrală, diagnosticare RTG, transfuzii și laboratoare medico-biochimice, precum și construirea de coridoare de legătură cu unitățile medicale existente. </w:t>
            </w:r>
          </w:p>
        </w:tc>
      </w:tr>
      <w:tr w:rsidR="00FA7C11" w14:paraId="1E467AC8"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DF2B335" w14:textId="77777777" w:rsidR="00FA7C11" w:rsidRDefault="00D84965">
            <w:pPr>
              <w:pStyle w:val="P68B1DB1-Normal66"/>
              <w:spacing w:after="200" w:line="276" w:lineRule="auto"/>
              <w:jc w:val="center"/>
              <w:rPr>
                <w:noProof/>
              </w:rPr>
            </w:pPr>
            <w:r>
              <w:rPr>
                <w:noProof/>
              </w:rPr>
              <w:t>325</w:t>
            </w:r>
          </w:p>
        </w:tc>
        <w:tc>
          <w:tcPr>
            <w:tcW w:w="1208" w:type="dxa"/>
            <w:tcBorders>
              <w:top w:val="single" w:sz="4" w:space="0" w:color="auto"/>
              <w:left w:val="nil"/>
              <w:bottom w:val="single" w:sz="4" w:space="0" w:color="auto"/>
              <w:right w:val="single" w:sz="4" w:space="0" w:color="auto"/>
            </w:tcBorders>
            <w:shd w:val="clear" w:color="auto" w:fill="C6EFCE"/>
            <w:noWrap/>
          </w:tcPr>
          <w:p w14:paraId="22D1DF82" w14:textId="77777777" w:rsidR="00FA7C11" w:rsidRDefault="00D84965">
            <w:pPr>
              <w:pStyle w:val="P68B1DB1-Normal66"/>
              <w:spacing w:after="200" w:line="276" w:lineRule="auto"/>
              <w:jc w:val="center"/>
              <w:rPr>
                <w:noProof/>
              </w:rPr>
            </w:pPr>
            <w:r>
              <w:rPr>
                <w:noProof/>
              </w:rPr>
              <w:t>C5.1. R1-I6</w:t>
            </w:r>
          </w:p>
        </w:tc>
        <w:tc>
          <w:tcPr>
            <w:tcW w:w="1019" w:type="dxa"/>
            <w:tcBorders>
              <w:top w:val="single" w:sz="4" w:space="0" w:color="auto"/>
              <w:left w:val="nil"/>
              <w:bottom w:val="single" w:sz="4" w:space="0" w:color="auto"/>
              <w:right w:val="single" w:sz="4" w:space="0" w:color="auto"/>
            </w:tcBorders>
            <w:shd w:val="clear" w:color="auto" w:fill="C6EFCE"/>
            <w:noWrap/>
          </w:tcPr>
          <w:p w14:paraId="68783D3D"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7D24425" w14:textId="77777777" w:rsidR="00FA7C11" w:rsidRDefault="00D84965">
            <w:pPr>
              <w:pStyle w:val="P68B1DB1-Normal66"/>
              <w:spacing w:after="200" w:line="276" w:lineRule="auto"/>
              <w:rPr>
                <w:noProof/>
              </w:rPr>
            </w:pPr>
            <w:r>
              <w:rPr>
                <w:noProof/>
              </w:rPr>
              <w:t xml:space="preserve">Dispozitive medicale de diagnosticare în spitalul clinic (KB) Dubrava </w:t>
            </w:r>
          </w:p>
        </w:tc>
        <w:tc>
          <w:tcPr>
            <w:tcW w:w="1985" w:type="dxa"/>
            <w:tcBorders>
              <w:top w:val="single" w:sz="4" w:space="0" w:color="auto"/>
              <w:left w:val="nil"/>
              <w:bottom w:val="single" w:sz="4" w:space="0" w:color="auto"/>
              <w:right w:val="single" w:sz="4" w:space="0" w:color="auto"/>
            </w:tcBorders>
            <w:shd w:val="clear" w:color="auto" w:fill="C6EFCE"/>
            <w:noWrap/>
          </w:tcPr>
          <w:p w14:paraId="088D2A5E"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2A9F1358"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33B5DD7A"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2FE683C" w14:textId="77777777" w:rsidR="00FA7C11" w:rsidRDefault="00D84965">
            <w:pPr>
              <w:pStyle w:val="P68B1DB1-Normal66"/>
              <w:spacing w:after="200" w:line="276" w:lineRule="auto"/>
              <w:jc w:val="center"/>
              <w:rPr>
                <w:noProof/>
              </w:rPr>
            </w:pPr>
            <w:r>
              <w:rPr>
                <w:noProof/>
              </w:rPr>
              <w:t>8</w:t>
            </w:r>
          </w:p>
        </w:tc>
        <w:tc>
          <w:tcPr>
            <w:tcW w:w="756" w:type="dxa"/>
            <w:tcBorders>
              <w:top w:val="single" w:sz="4" w:space="0" w:color="auto"/>
              <w:left w:val="nil"/>
              <w:bottom w:val="single" w:sz="4" w:space="0" w:color="auto"/>
              <w:right w:val="single" w:sz="4" w:space="0" w:color="auto"/>
            </w:tcBorders>
            <w:shd w:val="clear" w:color="auto" w:fill="C6EFCE"/>
            <w:noWrap/>
          </w:tcPr>
          <w:p w14:paraId="54F1BA9C" w14:textId="77777777" w:rsidR="00FA7C11" w:rsidRDefault="00D84965">
            <w:pPr>
              <w:pStyle w:val="P68B1DB1-Normal66"/>
              <w:spacing w:after="200" w:line="276" w:lineRule="auto"/>
              <w:jc w:val="center"/>
              <w:rPr>
                <w:noProof/>
              </w:rPr>
            </w:pPr>
            <w:r>
              <w:rPr>
                <w:noProof/>
              </w:rPr>
              <w:t>Î2</w:t>
            </w:r>
          </w:p>
        </w:tc>
        <w:tc>
          <w:tcPr>
            <w:tcW w:w="895" w:type="dxa"/>
            <w:tcBorders>
              <w:top w:val="single" w:sz="4" w:space="0" w:color="auto"/>
              <w:left w:val="nil"/>
              <w:bottom w:val="single" w:sz="4" w:space="0" w:color="auto"/>
              <w:right w:val="single" w:sz="4" w:space="0" w:color="auto"/>
            </w:tcBorders>
            <w:shd w:val="clear" w:color="auto" w:fill="C6EFCE"/>
            <w:noWrap/>
          </w:tcPr>
          <w:p w14:paraId="5890D354" w14:textId="77777777" w:rsidR="00FA7C11" w:rsidRDefault="00D84965">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4708237E" w14:textId="77777777" w:rsidR="00FA7C11" w:rsidRDefault="00D84965">
            <w:pPr>
              <w:pStyle w:val="P68B1DB1-Normal66"/>
              <w:spacing w:after="200" w:line="276" w:lineRule="auto"/>
              <w:rPr>
                <w:noProof/>
              </w:rPr>
            </w:pPr>
            <w:r>
              <w:rPr>
                <w:noProof/>
              </w:rPr>
              <w:t xml:space="preserve">Achiziționarea și instalarea a opt dispozitive medicale de diagnosticare și a echipamentelor radiologice digitale pentru Institutul Clinic de Radiologie de Diagnostic și Intervenție. Se preconizează că toate dispozitivele vor fi instalate treptat, în timp ce toate vor fi operaționale cel târziu până la 30 iunie 2023. </w:t>
            </w:r>
          </w:p>
        </w:tc>
      </w:tr>
      <w:tr w:rsidR="00FA7C11" w14:paraId="30316705"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0E1149D" w14:textId="77777777" w:rsidR="00FA7C11" w:rsidRDefault="00D84965">
            <w:pPr>
              <w:pStyle w:val="P68B1DB1-Normal66"/>
              <w:spacing w:after="200" w:line="276" w:lineRule="auto"/>
              <w:jc w:val="center"/>
              <w:rPr>
                <w:noProof/>
              </w:rPr>
            </w:pPr>
            <w:r>
              <w:rPr>
                <w:noProof/>
              </w:rPr>
              <w:t>326</w:t>
            </w:r>
          </w:p>
        </w:tc>
        <w:tc>
          <w:tcPr>
            <w:tcW w:w="1208" w:type="dxa"/>
            <w:tcBorders>
              <w:top w:val="single" w:sz="4" w:space="0" w:color="auto"/>
              <w:left w:val="nil"/>
              <w:bottom w:val="single" w:sz="4" w:space="0" w:color="auto"/>
              <w:right w:val="single" w:sz="4" w:space="0" w:color="auto"/>
            </w:tcBorders>
            <w:shd w:val="clear" w:color="auto" w:fill="C6EFCE"/>
            <w:noWrap/>
          </w:tcPr>
          <w:p w14:paraId="25E0893A" w14:textId="77777777" w:rsidR="00FA7C11" w:rsidRDefault="00D84965">
            <w:pPr>
              <w:pStyle w:val="P68B1DB1-Normal66"/>
              <w:spacing w:after="200" w:line="276" w:lineRule="auto"/>
              <w:jc w:val="center"/>
              <w:rPr>
                <w:noProof/>
              </w:rPr>
            </w:pPr>
            <w:r>
              <w:rPr>
                <w:noProof/>
              </w:rPr>
              <w:t>C5.1. R1-I7</w:t>
            </w:r>
          </w:p>
        </w:tc>
        <w:tc>
          <w:tcPr>
            <w:tcW w:w="1019" w:type="dxa"/>
            <w:tcBorders>
              <w:top w:val="single" w:sz="4" w:space="0" w:color="auto"/>
              <w:left w:val="nil"/>
              <w:bottom w:val="single" w:sz="4" w:space="0" w:color="auto"/>
              <w:right w:val="single" w:sz="4" w:space="0" w:color="auto"/>
            </w:tcBorders>
            <w:shd w:val="clear" w:color="auto" w:fill="C6EFCE"/>
            <w:noWrap/>
          </w:tcPr>
          <w:p w14:paraId="31FD46C5"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5C90BF18" w14:textId="77777777" w:rsidR="00FA7C11" w:rsidRDefault="00D84965">
            <w:pPr>
              <w:pStyle w:val="P68B1DB1-Normal66"/>
              <w:spacing w:after="200" w:line="276" w:lineRule="auto"/>
              <w:rPr>
                <w:noProof/>
              </w:rPr>
            </w:pPr>
            <w:r>
              <w:rPr>
                <w:noProof/>
              </w:rPr>
              <w:t xml:space="preserve">Noi facilități la Centrul Spital Clinic (KBC) Sestre Milosrdnice </w:t>
            </w:r>
          </w:p>
        </w:tc>
        <w:tc>
          <w:tcPr>
            <w:tcW w:w="1985" w:type="dxa"/>
            <w:tcBorders>
              <w:top w:val="single" w:sz="4" w:space="0" w:color="auto"/>
              <w:left w:val="nil"/>
              <w:bottom w:val="single" w:sz="4" w:space="0" w:color="auto"/>
              <w:right w:val="single" w:sz="4" w:space="0" w:color="auto"/>
            </w:tcBorders>
            <w:shd w:val="clear" w:color="auto" w:fill="C6EFCE"/>
            <w:noWrap/>
          </w:tcPr>
          <w:p w14:paraId="37FFD928"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6D3A9A69"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7C42A7E6"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24302934" w14:textId="77777777" w:rsidR="00FA7C11" w:rsidRDefault="00D84965">
            <w:pPr>
              <w:pStyle w:val="P68B1DB1-Normal66"/>
              <w:spacing w:after="200" w:line="276" w:lineRule="auto"/>
              <w:jc w:val="center"/>
              <w:rPr>
                <w:noProof/>
              </w:rPr>
            </w:pPr>
            <w:r>
              <w:rPr>
                <w:noProof/>
              </w:rPr>
              <w:t>2</w:t>
            </w:r>
          </w:p>
        </w:tc>
        <w:tc>
          <w:tcPr>
            <w:tcW w:w="756" w:type="dxa"/>
            <w:tcBorders>
              <w:top w:val="single" w:sz="4" w:space="0" w:color="auto"/>
              <w:left w:val="nil"/>
              <w:bottom w:val="single" w:sz="4" w:space="0" w:color="auto"/>
              <w:right w:val="single" w:sz="4" w:space="0" w:color="auto"/>
            </w:tcBorders>
            <w:shd w:val="clear" w:color="auto" w:fill="C6EFCE"/>
            <w:noWrap/>
          </w:tcPr>
          <w:p w14:paraId="66A97319" w14:textId="77777777" w:rsidR="00FA7C11" w:rsidRDefault="00D84965">
            <w:pPr>
              <w:pStyle w:val="P68B1DB1-Normal66"/>
              <w:spacing w:after="200" w:line="276" w:lineRule="auto"/>
              <w:jc w:val="center"/>
              <w:rPr>
                <w:noProof/>
              </w:rPr>
            </w:pPr>
            <w:r>
              <w:rPr>
                <w:noProof/>
              </w:rPr>
              <w:t>Î1</w:t>
            </w:r>
          </w:p>
        </w:tc>
        <w:tc>
          <w:tcPr>
            <w:tcW w:w="895" w:type="dxa"/>
            <w:tcBorders>
              <w:top w:val="single" w:sz="4" w:space="0" w:color="auto"/>
              <w:left w:val="nil"/>
              <w:bottom w:val="single" w:sz="4" w:space="0" w:color="auto"/>
              <w:right w:val="single" w:sz="4" w:space="0" w:color="auto"/>
            </w:tcBorders>
            <w:shd w:val="clear" w:color="auto" w:fill="C6EFCE"/>
            <w:noWrap/>
          </w:tcPr>
          <w:p w14:paraId="0DB183AA" w14:textId="77777777" w:rsidR="00FA7C11" w:rsidRDefault="00D84965">
            <w:pPr>
              <w:pStyle w:val="P68B1DB1-Normal66"/>
              <w:spacing w:after="200" w:line="276" w:lineRule="auto"/>
              <w:jc w:val="center"/>
              <w:rPr>
                <w:noProof/>
              </w:rPr>
            </w:pPr>
            <w:r>
              <w:rPr>
                <w:noProof/>
              </w:rPr>
              <w:t>2024</w:t>
            </w:r>
          </w:p>
        </w:tc>
        <w:tc>
          <w:tcPr>
            <w:tcW w:w="3827" w:type="dxa"/>
            <w:tcBorders>
              <w:top w:val="single" w:sz="4" w:space="0" w:color="auto"/>
              <w:left w:val="nil"/>
              <w:bottom w:val="single" w:sz="4" w:space="0" w:color="auto"/>
              <w:right w:val="single" w:sz="4" w:space="0" w:color="auto"/>
            </w:tcBorders>
            <w:shd w:val="clear" w:color="auto" w:fill="C6EFCE"/>
            <w:noWrap/>
          </w:tcPr>
          <w:p w14:paraId="6E14D4B7" w14:textId="77777777" w:rsidR="00FA7C11" w:rsidRDefault="00D84965">
            <w:pPr>
              <w:pStyle w:val="P68B1DB1-Normal66"/>
              <w:spacing w:after="200" w:line="276" w:lineRule="auto"/>
              <w:rPr>
                <w:noProof/>
              </w:rPr>
            </w:pPr>
            <w:r>
              <w:rPr>
                <w:noProof/>
              </w:rPr>
              <w:t xml:space="preserve">Centrul Spital Clinic (KBC) Sestre Milosrdnice va fi dotat cu facilități integrate de spitalizare de urgență, spital de zi și facilități de chirurgie de o zi cu echipamente medicale, nemedicale și mobilier. </w:t>
            </w:r>
          </w:p>
        </w:tc>
      </w:tr>
      <w:tr w:rsidR="00FA7C11" w14:paraId="5AE0E084"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7249EC14" w14:textId="77777777" w:rsidR="00FA7C11" w:rsidRDefault="00D84965">
            <w:pPr>
              <w:pStyle w:val="P68B1DB1-Normal66"/>
              <w:spacing w:after="200" w:line="276" w:lineRule="auto"/>
              <w:jc w:val="center"/>
              <w:rPr>
                <w:noProof/>
              </w:rPr>
            </w:pPr>
            <w:r>
              <w:rPr>
                <w:noProof/>
              </w:rPr>
              <w:t>327</w:t>
            </w:r>
          </w:p>
        </w:tc>
        <w:tc>
          <w:tcPr>
            <w:tcW w:w="1208" w:type="dxa"/>
            <w:tcBorders>
              <w:top w:val="single" w:sz="4" w:space="0" w:color="auto"/>
              <w:left w:val="nil"/>
              <w:bottom w:val="single" w:sz="4" w:space="0" w:color="auto"/>
              <w:right w:val="single" w:sz="4" w:space="0" w:color="auto"/>
            </w:tcBorders>
            <w:shd w:val="clear" w:color="auto" w:fill="C6EFCE"/>
            <w:noWrap/>
          </w:tcPr>
          <w:p w14:paraId="18F29D20" w14:textId="77777777" w:rsidR="00FA7C11" w:rsidRDefault="00D84965">
            <w:pPr>
              <w:pStyle w:val="P68B1DB1-Normal66"/>
              <w:spacing w:after="200" w:line="276" w:lineRule="auto"/>
              <w:jc w:val="center"/>
              <w:rPr>
                <w:noProof/>
              </w:rPr>
            </w:pPr>
            <w:r>
              <w:rPr>
                <w:noProof/>
              </w:rPr>
              <w:t>C5.1. R1-I8</w:t>
            </w:r>
          </w:p>
        </w:tc>
        <w:tc>
          <w:tcPr>
            <w:tcW w:w="1019" w:type="dxa"/>
            <w:tcBorders>
              <w:top w:val="single" w:sz="4" w:space="0" w:color="auto"/>
              <w:left w:val="nil"/>
              <w:bottom w:val="single" w:sz="4" w:space="0" w:color="auto"/>
              <w:right w:val="single" w:sz="4" w:space="0" w:color="auto"/>
            </w:tcBorders>
            <w:shd w:val="clear" w:color="auto" w:fill="C6EFCE"/>
            <w:noWrap/>
          </w:tcPr>
          <w:p w14:paraId="2E8290CB"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1F9901D" w14:textId="77777777" w:rsidR="00FA7C11" w:rsidRDefault="00D84965">
            <w:pPr>
              <w:pStyle w:val="P68B1DB1-Normal66"/>
              <w:spacing w:after="200" w:line="276" w:lineRule="auto"/>
              <w:rPr>
                <w:noProof/>
              </w:rPr>
            </w:pPr>
            <w:r>
              <w:rPr>
                <w:noProof/>
              </w:rPr>
              <w:t>Dispozitive medicale pentru tratamentul operațional și tratarea pacienților cu epilepsie farmacorezistentă în Spitalul Clinic (KB) Dubrava</w:t>
            </w:r>
          </w:p>
        </w:tc>
        <w:tc>
          <w:tcPr>
            <w:tcW w:w="1985" w:type="dxa"/>
            <w:tcBorders>
              <w:top w:val="single" w:sz="4" w:space="0" w:color="auto"/>
              <w:left w:val="nil"/>
              <w:bottom w:val="single" w:sz="4" w:space="0" w:color="auto"/>
              <w:right w:val="single" w:sz="4" w:space="0" w:color="auto"/>
            </w:tcBorders>
            <w:shd w:val="clear" w:color="auto" w:fill="C6EFCE"/>
            <w:noWrap/>
          </w:tcPr>
          <w:p w14:paraId="3E1A969B" w14:textId="77777777" w:rsidR="00FA7C11" w:rsidRDefault="00D84965">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1D108BA2"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1EC978BB"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32295E39" w14:textId="77777777" w:rsidR="00FA7C11" w:rsidRDefault="00D84965">
            <w:pPr>
              <w:pStyle w:val="P68B1DB1-Normal66"/>
              <w:spacing w:after="200" w:line="276" w:lineRule="auto"/>
              <w:jc w:val="center"/>
              <w:rPr>
                <w:noProof/>
              </w:rPr>
            </w:pPr>
            <w:r>
              <w:rPr>
                <w:noProof/>
              </w:rPr>
              <w:t>10</w:t>
            </w:r>
          </w:p>
        </w:tc>
        <w:tc>
          <w:tcPr>
            <w:tcW w:w="756" w:type="dxa"/>
            <w:tcBorders>
              <w:top w:val="single" w:sz="4" w:space="0" w:color="auto"/>
              <w:left w:val="nil"/>
              <w:bottom w:val="single" w:sz="4" w:space="0" w:color="auto"/>
              <w:right w:val="single" w:sz="4" w:space="0" w:color="auto"/>
            </w:tcBorders>
            <w:shd w:val="clear" w:color="auto" w:fill="C6EFCE"/>
            <w:noWrap/>
          </w:tcPr>
          <w:p w14:paraId="781084B3" w14:textId="77777777" w:rsidR="00FA7C11" w:rsidRDefault="00D84965">
            <w:pPr>
              <w:pStyle w:val="P68B1DB1-Normal66"/>
              <w:spacing w:after="200" w:line="276" w:lineRule="auto"/>
              <w:jc w:val="center"/>
              <w:rPr>
                <w:noProof/>
              </w:rPr>
            </w:pPr>
            <w:r>
              <w:rPr>
                <w:noProof/>
              </w:rPr>
              <w:t>Î2</w:t>
            </w:r>
          </w:p>
        </w:tc>
        <w:tc>
          <w:tcPr>
            <w:tcW w:w="895" w:type="dxa"/>
            <w:tcBorders>
              <w:top w:val="single" w:sz="4" w:space="0" w:color="auto"/>
              <w:left w:val="nil"/>
              <w:bottom w:val="single" w:sz="4" w:space="0" w:color="auto"/>
              <w:right w:val="single" w:sz="4" w:space="0" w:color="auto"/>
            </w:tcBorders>
            <w:shd w:val="clear" w:color="auto" w:fill="C6EFCE"/>
            <w:noWrap/>
          </w:tcPr>
          <w:p w14:paraId="2CBFB89F" w14:textId="77777777" w:rsidR="00FA7C11" w:rsidRDefault="00D84965">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521A6D53" w14:textId="77777777" w:rsidR="00FA7C11" w:rsidRDefault="00D84965">
            <w:pPr>
              <w:pStyle w:val="P68B1DB1-Normal66"/>
              <w:spacing w:after="200" w:line="276" w:lineRule="auto"/>
              <w:rPr>
                <w:noProof/>
              </w:rPr>
            </w:pPr>
            <w:r>
              <w:rPr>
                <w:noProof/>
              </w:rPr>
              <w:t>În scopul dezvoltării în continuare a Institutului de Neurologie din cadrul Spitalului Clinic (KB) Dubrava, se instalează și se pun în funcțiune zece echipamente (dispozitive) medicale până cel târziu la 30 iunie 2023. Investiția include achiziționarea de echipamente precum dispozitivele de înregistrare a canalelor SEEG 256, EMNG digital și dispozitivul de imagistică a canalelor EP 12. Dispozitiv de termocoagulare prin radiofrecvență (RF) și adaptarea capacității spațiale adecvate.</w:t>
            </w:r>
          </w:p>
        </w:tc>
      </w:tr>
      <w:tr w:rsidR="00FA7C11" w14:paraId="72B60C72"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0122038" w14:textId="77777777" w:rsidR="00FA7C11" w:rsidRDefault="00D84965">
            <w:pPr>
              <w:pStyle w:val="P68B1DB1-Normal66"/>
              <w:spacing w:after="200" w:line="276" w:lineRule="auto"/>
              <w:jc w:val="center"/>
              <w:rPr>
                <w:noProof/>
              </w:rPr>
            </w:pPr>
            <w:r>
              <w:rPr>
                <w:noProof/>
              </w:rPr>
              <w:t>328</w:t>
            </w:r>
          </w:p>
        </w:tc>
        <w:tc>
          <w:tcPr>
            <w:tcW w:w="1208" w:type="dxa"/>
            <w:tcBorders>
              <w:top w:val="single" w:sz="4" w:space="0" w:color="auto"/>
              <w:left w:val="nil"/>
              <w:bottom w:val="single" w:sz="4" w:space="0" w:color="auto"/>
              <w:right w:val="single" w:sz="4" w:space="0" w:color="auto"/>
            </w:tcBorders>
            <w:shd w:val="clear" w:color="auto" w:fill="C6EFCE"/>
            <w:noWrap/>
          </w:tcPr>
          <w:p w14:paraId="526AA5E9" w14:textId="77777777" w:rsidR="00FA7C11" w:rsidRDefault="00D84965">
            <w:pPr>
              <w:pStyle w:val="P68B1DB1-Normal66"/>
              <w:spacing w:after="200" w:line="276" w:lineRule="auto"/>
              <w:jc w:val="center"/>
              <w:rPr>
                <w:noProof/>
              </w:rPr>
            </w:pPr>
            <w:r>
              <w:rPr>
                <w:noProof/>
              </w:rPr>
              <w:t>C5.1. R1-I9</w:t>
            </w:r>
          </w:p>
        </w:tc>
        <w:tc>
          <w:tcPr>
            <w:tcW w:w="1019" w:type="dxa"/>
            <w:tcBorders>
              <w:top w:val="single" w:sz="4" w:space="0" w:color="auto"/>
              <w:left w:val="nil"/>
              <w:bottom w:val="single" w:sz="4" w:space="0" w:color="auto"/>
              <w:right w:val="single" w:sz="4" w:space="0" w:color="auto"/>
            </w:tcBorders>
            <w:shd w:val="clear" w:color="auto" w:fill="C6EFCE"/>
            <w:noWrap/>
          </w:tcPr>
          <w:p w14:paraId="606BC3DF" w14:textId="77777777" w:rsidR="00FA7C11" w:rsidRDefault="00D84965">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21461C87" w14:textId="77777777" w:rsidR="00FA7C11" w:rsidRDefault="00D84965">
            <w:pPr>
              <w:pStyle w:val="P68B1DB1-Normal66"/>
              <w:spacing w:after="200" w:line="276" w:lineRule="auto"/>
              <w:rPr>
                <w:noProof/>
              </w:rPr>
            </w:pPr>
            <w:r>
              <w:rPr>
                <w:noProof/>
              </w:rPr>
              <w:t xml:space="preserve">Proiectul de dezvoltare a Centrului spitalicesc clinic (KBC) din Zagreb </w:t>
            </w:r>
          </w:p>
        </w:tc>
        <w:tc>
          <w:tcPr>
            <w:tcW w:w="1985" w:type="dxa"/>
            <w:tcBorders>
              <w:top w:val="single" w:sz="4" w:space="0" w:color="auto"/>
              <w:left w:val="nil"/>
              <w:bottom w:val="single" w:sz="4" w:space="0" w:color="auto"/>
              <w:right w:val="single" w:sz="4" w:space="0" w:color="auto"/>
            </w:tcBorders>
            <w:shd w:val="clear" w:color="auto" w:fill="C6EFCE"/>
            <w:noWrap/>
          </w:tcPr>
          <w:p w14:paraId="19C12AB5" w14:textId="77777777" w:rsidR="00FA7C11" w:rsidRDefault="00D84965">
            <w:pPr>
              <w:pStyle w:val="P68B1DB1-Normal66"/>
              <w:spacing w:after="200" w:line="276" w:lineRule="auto"/>
              <w:rPr>
                <w:noProof/>
              </w:rPr>
            </w:pPr>
            <w:r>
              <w:rPr>
                <w:noProof/>
              </w:rPr>
              <w:t>Echipamente achiziționate pentru Centrul spitalicesc clinic (KBC) Zagreb </w:t>
            </w:r>
          </w:p>
        </w:tc>
        <w:tc>
          <w:tcPr>
            <w:tcW w:w="1296" w:type="dxa"/>
            <w:tcBorders>
              <w:top w:val="single" w:sz="4" w:space="0" w:color="auto"/>
              <w:left w:val="nil"/>
              <w:bottom w:val="single" w:sz="4" w:space="0" w:color="auto"/>
              <w:right w:val="single" w:sz="4" w:space="0" w:color="auto"/>
            </w:tcBorders>
            <w:shd w:val="clear" w:color="auto" w:fill="C6EFCE"/>
            <w:noWrap/>
          </w:tcPr>
          <w:p w14:paraId="2290160E" w14:textId="77777777" w:rsidR="00FA7C11" w:rsidRDefault="00FA7C11">
            <w:pPr>
              <w:spacing w:after="200" w:line="276" w:lineRule="auto"/>
              <w:jc w:val="center"/>
              <w:rPr>
                <w:rFonts w:ascii="Times New Roman" w:eastAsia="Calibri" w:hAnsi="Times New Roman" w:cs="Times New Roman"/>
                <w:noProof/>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tcPr>
          <w:p w14:paraId="0CAAE8B0" w14:textId="77777777" w:rsidR="00FA7C11" w:rsidRDefault="00FA7C11">
            <w:pPr>
              <w:spacing w:after="200" w:line="276" w:lineRule="auto"/>
              <w:jc w:val="center"/>
              <w:rPr>
                <w:rFonts w:ascii="Times New Roman" w:eastAsia="Calibri" w:hAnsi="Times New Roman" w:cs="Times New Roman"/>
                <w:noProof/>
                <w:sz w:val="20"/>
                <w:szCs w:val="20"/>
              </w:rPr>
            </w:pPr>
          </w:p>
        </w:tc>
        <w:tc>
          <w:tcPr>
            <w:tcW w:w="976" w:type="dxa"/>
            <w:tcBorders>
              <w:top w:val="single" w:sz="4" w:space="0" w:color="auto"/>
              <w:left w:val="nil"/>
              <w:bottom w:val="single" w:sz="4" w:space="0" w:color="auto"/>
              <w:right w:val="single" w:sz="4" w:space="0" w:color="auto"/>
            </w:tcBorders>
            <w:shd w:val="clear" w:color="auto" w:fill="C6EFCE"/>
            <w:noWrap/>
          </w:tcPr>
          <w:p w14:paraId="13AD5400" w14:textId="77777777" w:rsidR="00FA7C11" w:rsidRDefault="00FA7C11">
            <w:pPr>
              <w:spacing w:after="200" w:line="276" w:lineRule="auto"/>
              <w:jc w:val="center"/>
              <w:rPr>
                <w:rFonts w:ascii="Times New Roman" w:eastAsia="Calibri" w:hAnsi="Times New Roman" w:cs="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7B7C2FFB" w14:textId="77777777" w:rsidR="00FA7C11" w:rsidRDefault="00D84965">
            <w:pPr>
              <w:pStyle w:val="P68B1DB1-Normal66"/>
              <w:spacing w:after="200" w:line="276" w:lineRule="auto"/>
              <w:jc w:val="center"/>
              <w:rPr>
                <w:noProof/>
              </w:rPr>
            </w:pPr>
            <w:r>
              <w:rPr>
                <w:noProof/>
              </w:rPr>
              <w:t>Î1</w:t>
            </w:r>
          </w:p>
        </w:tc>
        <w:tc>
          <w:tcPr>
            <w:tcW w:w="895" w:type="dxa"/>
            <w:tcBorders>
              <w:top w:val="single" w:sz="4" w:space="0" w:color="auto"/>
              <w:left w:val="nil"/>
              <w:bottom w:val="single" w:sz="4" w:space="0" w:color="auto"/>
              <w:right w:val="single" w:sz="4" w:space="0" w:color="auto"/>
            </w:tcBorders>
            <w:shd w:val="clear" w:color="auto" w:fill="C6EFCE"/>
            <w:noWrap/>
          </w:tcPr>
          <w:p w14:paraId="6649A1EC" w14:textId="77777777" w:rsidR="00FA7C11" w:rsidRDefault="00D84965">
            <w:pPr>
              <w:pStyle w:val="P68B1DB1-Normal66"/>
              <w:spacing w:after="200" w:line="276" w:lineRule="auto"/>
              <w:jc w:val="center"/>
              <w:rPr>
                <w:noProof/>
              </w:rPr>
            </w:pPr>
            <w:r>
              <w:rPr>
                <w:noProof/>
              </w:rPr>
              <w:t>2026</w:t>
            </w:r>
          </w:p>
        </w:tc>
        <w:tc>
          <w:tcPr>
            <w:tcW w:w="3827" w:type="dxa"/>
            <w:tcBorders>
              <w:top w:val="single" w:sz="4" w:space="0" w:color="auto"/>
              <w:left w:val="nil"/>
              <w:bottom w:val="single" w:sz="4" w:space="0" w:color="auto"/>
              <w:right w:val="single" w:sz="4" w:space="0" w:color="auto"/>
            </w:tcBorders>
            <w:shd w:val="clear" w:color="auto" w:fill="C6EFCE"/>
            <w:noWrap/>
          </w:tcPr>
          <w:p w14:paraId="31D5D0BF" w14:textId="4E1AE2E5" w:rsidR="00FA7C11" w:rsidRDefault="00D84965">
            <w:pPr>
              <w:pStyle w:val="P68B1DB1-Normal66"/>
              <w:spacing w:after="200" w:line="276" w:lineRule="auto"/>
              <w:rPr>
                <w:noProof/>
              </w:rPr>
            </w:pPr>
            <w:r>
              <w:rPr>
                <w:noProof/>
              </w:rPr>
              <w:t>Achiziționarea de echipamente medicale și nemedicale noi pentru Centrul spitalicesc clinic (KBC) Zagreb. .</w:t>
            </w:r>
          </w:p>
        </w:tc>
      </w:tr>
      <w:tr w:rsidR="00FA7C11" w14:paraId="7859569D"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D08622E" w14:textId="77777777" w:rsidR="00FA7C11" w:rsidRDefault="00D84965">
            <w:pPr>
              <w:pStyle w:val="P68B1DB1-Normal66"/>
              <w:spacing w:after="200" w:line="276" w:lineRule="auto"/>
              <w:jc w:val="center"/>
              <w:rPr>
                <w:noProof/>
              </w:rPr>
            </w:pPr>
            <w:r>
              <w:rPr>
                <w:noProof/>
              </w:rPr>
              <w:t>329</w:t>
            </w:r>
          </w:p>
        </w:tc>
        <w:tc>
          <w:tcPr>
            <w:tcW w:w="1208" w:type="dxa"/>
            <w:tcBorders>
              <w:top w:val="single" w:sz="4" w:space="0" w:color="auto"/>
              <w:left w:val="nil"/>
              <w:bottom w:val="single" w:sz="4" w:space="0" w:color="auto"/>
              <w:right w:val="single" w:sz="4" w:space="0" w:color="auto"/>
            </w:tcBorders>
            <w:shd w:val="clear" w:color="auto" w:fill="C6EFCE"/>
            <w:noWrap/>
          </w:tcPr>
          <w:p w14:paraId="55AB66C9" w14:textId="77777777" w:rsidR="00FA7C11" w:rsidRDefault="00D84965">
            <w:pPr>
              <w:pStyle w:val="P68B1DB1-Normal66"/>
              <w:spacing w:after="200" w:line="276" w:lineRule="auto"/>
              <w:jc w:val="center"/>
              <w:rPr>
                <w:noProof/>
              </w:rPr>
            </w:pPr>
            <w:r>
              <w:rPr>
                <w:noProof/>
              </w:rPr>
              <w:t>C5.1. R2</w:t>
            </w:r>
          </w:p>
        </w:tc>
        <w:tc>
          <w:tcPr>
            <w:tcW w:w="1019" w:type="dxa"/>
            <w:tcBorders>
              <w:top w:val="single" w:sz="4" w:space="0" w:color="auto"/>
              <w:left w:val="nil"/>
              <w:bottom w:val="single" w:sz="4" w:space="0" w:color="auto"/>
              <w:right w:val="single" w:sz="4" w:space="0" w:color="auto"/>
            </w:tcBorders>
            <w:shd w:val="clear" w:color="auto" w:fill="C6EFCE"/>
            <w:noWrap/>
          </w:tcPr>
          <w:p w14:paraId="2B931253" w14:textId="77777777" w:rsidR="00FA7C11" w:rsidRDefault="00D84965">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4432C3CF" w14:textId="77777777" w:rsidR="00FA7C11" w:rsidRDefault="00D84965">
            <w:pPr>
              <w:pStyle w:val="P68B1DB1-Normal66"/>
              <w:spacing w:after="200" w:line="276" w:lineRule="auto"/>
              <w:rPr>
                <w:noProof/>
              </w:rPr>
            </w:pPr>
            <w:r>
              <w:rPr>
                <w:noProof/>
              </w:rPr>
              <w:t>Îmbunătățirea și armonizarea calității asistenței medicale prin elaborarea de orientări clinice electronice</w:t>
            </w:r>
          </w:p>
        </w:tc>
        <w:tc>
          <w:tcPr>
            <w:tcW w:w="1985" w:type="dxa"/>
            <w:tcBorders>
              <w:top w:val="single" w:sz="4" w:space="0" w:color="auto"/>
              <w:left w:val="nil"/>
              <w:bottom w:val="single" w:sz="4" w:space="0" w:color="auto"/>
              <w:right w:val="single" w:sz="4" w:space="0" w:color="auto"/>
            </w:tcBorders>
            <w:shd w:val="clear" w:color="auto" w:fill="C6EFCE"/>
            <w:noWrap/>
          </w:tcPr>
          <w:p w14:paraId="6A8EA4E1" w14:textId="77777777" w:rsidR="00FA7C11" w:rsidRDefault="00D84965">
            <w:pPr>
              <w:pStyle w:val="P68B1DB1-Normal66"/>
              <w:spacing w:after="200" w:line="276" w:lineRule="auto"/>
              <w:rPr>
                <w:noProof/>
              </w:rPr>
            </w:pPr>
            <w:r>
              <w:rPr>
                <w:noProof/>
              </w:rPr>
              <w:t xml:space="preserve">Orientări clinice elaborate și integrate în orientările electronice în sistemul de sănătate croat de către Ministerul Sănătății (MIZ). </w:t>
            </w:r>
          </w:p>
        </w:tc>
        <w:tc>
          <w:tcPr>
            <w:tcW w:w="1296" w:type="dxa"/>
            <w:tcBorders>
              <w:top w:val="single" w:sz="4" w:space="0" w:color="auto"/>
              <w:left w:val="nil"/>
              <w:bottom w:val="single" w:sz="4" w:space="0" w:color="auto"/>
              <w:right w:val="single" w:sz="4" w:space="0" w:color="auto"/>
            </w:tcBorders>
            <w:shd w:val="clear" w:color="auto" w:fill="C6EFCE"/>
            <w:noWrap/>
          </w:tcPr>
          <w:p w14:paraId="7D582CEB" w14:textId="77777777" w:rsidR="00FA7C11" w:rsidRDefault="00D84965">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3AC023C4" w14:textId="77777777" w:rsidR="00FA7C11" w:rsidRDefault="00D84965">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7828DB5C"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52744B5C" w14:textId="77777777" w:rsidR="00FA7C11" w:rsidRDefault="00D84965">
            <w:pPr>
              <w:pStyle w:val="P68B1DB1-Normal66"/>
              <w:spacing w:after="200" w:line="276" w:lineRule="auto"/>
              <w:jc w:val="center"/>
              <w:rPr>
                <w:noProof/>
              </w:rPr>
            </w:pPr>
            <w:r>
              <w:rPr>
                <w:noProof/>
              </w:rPr>
              <w:t>Î3</w:t>
            </w:r>
          </w:p>
        </w:tc>
        <w:tc>
          <w:tcPr>
            <w:tcW w:w="895" w:type="dxa"/>
            <w:tcBorders>
              <w:top w:val="single" w:sz="4" w:space="0" w:color="auto"/>
              <w:left w:val="nil"/>
              <w:bottom w:val="single" w:sz="4" w:space="0" w:color="auto"/>
              <w:right w:val="single" w:sz="4" w:space="0" w:color="auto"/>
            </w:tcBorders>
            <w:shd w:val="clear" w:color="auto" w:fill="C6EFCE"/>
            <w:noWrap/>
          </w:tcPr>
          <w:p w14:paraId="527BFAD6" w14:textId="77777777" w:rsidR="00FA7C11" w:rsidRDefault="00D84965">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7952CB97" w14:textId="77777777" w:rsidR="00FA7C11" w:rsidRDefault="00D84965">
            <w:pPr>
              <w:pStyle w:val="P68B1DB1-Normal66"/>
              <w:spacing w:after="200" w:line="276" w:lineRule="auto"/>
              <w:rPr>
                <w:noProof/>
              </w:rPr>
            </w:pPr>
            <w:r>
              <w:rPr>
                <w:noProof/>
              </w:rPr>
              <w:t xml:space="preserve">Ministerul Sănătății (MIZ) elaborează și integrează în sistemul de sănătate croat orientări clinice, precum și orientări electronice care armonizează calitatea asistenței medicale. </w:t>
            </w:r>
          </w:p>
        </w:tc>
      </w:tr>
      <w:tr w:rsidR="00FA7C11" w14:paraId="0619C687"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65CC17E" w14:textId="77777777" w:rsidR="00FA7C11" w:rsidRDefault="00D84965">
            <w:pPr>
              <w:pStyle w:val="P68B1DB1-Normal66"/>
              <w:spacing w:after="200" w:line="276" w:lineRule="auto"/>
              <w:jc w:val="center"/>
              <w:rPr>
                <w:noProof/>
              </w:rPr>
            </w:pPr>
            <w:r>
              <w:rPr>
                <w:noProof/>
              </w:rPr>
              <w:t>331</w:t>
            </w:r>
          </w:p>
        </w:tc>
        <w:tc>
          <w:tcPr>
            <w:tcW w:w="1208" w:type="dxa"/>
            <w:tcBorders>
              <w:top w:val="single" w:sz="4" w:space="0" w:color="auto"/>
              <w:left w:val="nil"/>
              <w:bottom w:val="single" w:sz="4" w:space="0" w:color="auto"/>
              <w:right w:val="single" w:sz="4" w:space="0" w:color="auto"/>
            </w:tcBorders>
            <w:shd w:val="clear" w:color="auto" w:fill="C6EFCE"/>
            <w:noWrap/>
          </w:tcPr>
          <w:p w14:paraId="7F77CD5F" w14:textId="77777777" w:rsidR="00FA7C11" w:rsidRDefault="00D84965">
            <w:pPr>
              <w:pStyle w:val="P68B1DB1-Normal66"/>
              <w:spacing w:after="200" w:line="276" w:lineRule="auto"/>
              <w:jc w:val="center"/>
              <w:rPr>
                <w:noProof/>
              </w:rPr>
            </w:pPr>
            <w:r>
              <w:rPr>
                <w:noProof/>
              </w:rPr>
              <w:t>C5.1. R2-I1</w:t>
            </w:r>
          </w:p>
        </w:tc>
        <w:tc>
          <w:tcPr>
            <w:tcW w:w="1019" w:type="dxa"/>
            <w:tcBorders>
              <w:top w:val="single" w:sz="4" w:space="0" w:color="auto"/>
              <w:left w:val="nil"/>
              <w:bottom w:val="single" w:sz="4" w:space="0" w:color="auto"/>
              <w:right w:val="single" w:sz="4" w:space="0" w:color="auto"/>
            </w:tcBorders>
            <w:shd w:val="clear" w:color="auto" w:fill="C6EFCE"/>
            <w:noWrap/>
          </w:tcPr>
          <w:p w14:paraId="320EA41B"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76BA7D8A" w14:textId="77777777" w:rsidR="00FA7C11" w:rsidRDefault="00D84965">
            <w:pPr>
              <w:pStyle w:val="P68B1DB1-Normal66"/>
              <w:spacing w:after="200" w:line="276" w:lineRule="auto"/>
              <w:rPr>
                <w:noProof/>
              </w:rPr>
            </w:pPr>
            <w:r>
              <w:rPr>
                <w:noProof/>
              </w:rPr>
              <w:t xml:space="preserve">Îmbunătățirea calității radioterapiei oncologice </w:t>
            </w:r>
          </w:p>
        </w:tc>
        <w:tc>
          <w:tcPr>
            <w:tcW w:w="1985" w:type="dxa"/>
            <w:tcBorders>
              <w:top w:val="single" w:sz="4" w:space="0" w:color="auto"/>
              <w:left w:val="nil"/>
              <w:bottom w:val="single" w:sz="4" w:space="0" w:color="auto"/>
              <w:right w:val="single" w:sz="4" w:space="0" w:color="auto"/>
            </w:tcBorders>
            <w:shd w:val="clear" w:color="auto" w:fill="C6EFCE"/>
            <w:noWrap/>
          </w:tcPr>
          <w:p w14:paraId="6B6F2040" w14:textId="77777777" w:rsidR="00FA7C11" w:rsidRDefault="00D84965">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213520AD"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0E335635"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27EDC0F" w14:textId="77777777" w:rsidR="00FA7C11" w:rsidRDefault="00D84965">
            <w:pPr>
              <w:pStyle w:val="P68B1DB1-Normal66"/>
              <w:spacing w:after="200" w:line="276" w:lineRule="auto"/>
              <w:jc w:val="center"/>
              <w:rPr>
                <w:noProof/>
              </w:rPr>
            </w:pPr>
            <w:r>
              <w:rPr>
                <w:noProof/>
              </w:rPr>
              <w:t>6</w:t>
            </w:r>
          </w:p>
        </w:tc>
        <w:tc>
          <w:tcPr>
            <w:tcW w:w="756" w:type="dxa"/>
            <w:tcBorders>
              <w:top w:val="single" w:sz="4" w:space="0" w:color="auto"/>
              <w:left w:val="nil"/>
              <w:bottom w:val="single" w:sz="4" w:space="0" w:color="auto"/>
              <w:right w:val="single" w:sz="4" w:space="0" w:color="auto"/>
            </w:tcBorders>
            <w:shd w:val="clear" w:color="auto" w:fill="C6EFCE"/>
            <w:noWrap/>
          </w:tcPr>
          <w:p w14:paraId="37CD1D1E"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52E2D06E" w14:textId="77777777" w:rsidR="00FA7C11" w:rsidRDefault="00D84965">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6262DF34" w14:textId="3DA4C10B"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Șase spitale sunt echipate cu dispozitive medicale pentru prevenirea, diagnosticarea și tratamentul cancerului. Investiția implică construirea a opt buncăre pentru acceleratoare liniare de amplasare, 17 acceleratoare liniare VMAT, patru acceleratoare SBRT liniare, patru brahiterapie HDR, nouă simulatoare CT, echipamente de rețea pentru radioterapie, echipamente dozimetrice, echipamente de fixare.</w:t>
            </w:r>
            <w:r>
              <w:rPr>
                <w:rFonts w:ascii="Times New Roman" w:eastAsia="Times New Roman" w:hAnsi="Times New Roman" w:cs="Times New Roman"/>
                <w:noProof/>
              </w:rPr>
              <w:t xml:space="preserve"> </w:t>
            </w:r>
          </w:p>
        </w:tc>
      </w:tr>
      <w:tr w:rsidR="00FA7C11" w14:paraId="67DE4B6E"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5E1ED74" w14:textId="77777777" w:rsidR="00FA7C11" w:rsidRDefault="00D84965">
            <w:pPr>
              <w:pStyle w:val="P68B1DB1-Normal66"/>
              <w:spacing w:after="200" w:line="276" w:lineRule="auto"/>
              <w:jc w:val="center"/>
              <w:rPr>
                <w:noProof/>
              </w:rPr>
            </w:pPr>
            <w:r>
              <w:rPr>
                <w:noProof/>
              </w:rPr>
              <w:t>332</w:t>
            </w:r>
          </w:p>
        </w:tc>
        <w:tc>
          <w:tcPr>
            <w:tcW w:w="1208" w:type="dxa"/>
            <w:tcBorders>
              <w:top w:val="single" w:sz="4" w:space="0" w:color="auto"/>
              <w:left w:val="nil"/>
              <w:bottom w:val="single" w:sz="4" w:space="0" w:color="auto"/>
              <w:right w:val="single" w:sz="4" w:space="0" w:color="auto"/>
            </w:tcBorders>
            <w:shd w:val="clear" w:color="auto" w:fill="C6EFCE"/>
            <w:noWrap/>
          </w:tcPr>
          <w:p w14:paraId="675F4EC2" w14:textId="77777777" w:rsidR="00FA7C11" w:rsidRDefault="00D84965">
            <w:pPr>
              <w:pStyle w:val="P68B1DB1-Normal66"/>
              <w:spacing w:after="200" w:line="276" w:lineRule="auto"/>
              <w:jc w:val="center"/>
              <w:rPr>
                <w:noProof/>
              </w:rPr>
            </w:pPr>
            <w:r>
              <w:rPr>
                <w:noProof/>
              </w:rPr>
              <w:t>C5.1. R2-I2</w:t>
            </w:r>
          </w:p>
        </w:tc>
        <w:tc>
          <w:tcPr>
            <w:tcW w:w="1019" w:type="dxa"/>
            <w:tcBorders>
              <w:top w:val="single" w:sz="4" w:space="0" w:color="auto"/>
              <w:left w:val="nil"/>
              <w:bottom w:val="single" w:sz="4" w:space="0" w:color="auto"/>
              <w:right w:val="single" w:sz="4" w:space="0" w:color="auto"/>
            </w:tcBorders>
            <w:shd w:val="clear" w:color="auto" w:fill="C6EFCE"/>
            <w:noWrap/>
          </w:tcPr>
          <w:p w14:paraId="4E5D5D97"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EDC4005" w14:textId="7CEA29F2" w:rsidR="00FA7C11" w:rsidRDefault="00D84965">
            <w:pPr>
              <w:pStyle w:val="P68B1DB1-Normal66"/>
              <w:spacing w:after="200" w:line="276" w:lineRule="auto"/>
              <w:rPr>
                <w:noProof/>
              </w:rPr>
            </w:pPr>
            <w:r>
              <w:rPr>
                <w:noProof/>
              </w:rPr>
              <w:t xml:space="preserve">Platforma IT unică pentru monitorizarea pacienților oncologici </w:t>
            </w:r>
          </w:p>
        </w:tc>
        <w:tc>
          <w:tcPr>
            <w:tcW w:w="1985" w:type="dxa"/>
            <w:tcBorders>
              <w:top w:val="single" w:sz="4" w:space="0" w:color="auto"/>
              <w:left w:val="nil"/>
              <w:bottom w:val="single" w:sz="4" w:space="0" w:color="auto"/>
              <w:right w:val="single" w:sz="4" w:space="0" w:color="auto"/>
            </w:tcBorders>
            <w:shd w:val="clear" w:color="auto" w:fill="C6EFCE"/>
            <w:noWrap/>
          </w:tcPr>
          <w:p w14:paraId="1290FBAD" w14:textId="77777777" w:rsidR="00FA7C11" w:rsidRDefault="00D84965">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5F13D910"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177B2404"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A2161D3" w14:textId="77777777" w:rsidR="00FA7C11" w:rsidRDefault="00D84965">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1DB2DA95"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7178546D" w14:textId="77777777" w:rsidR="00FA7C11" w:rsidRDefault="00D84965">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304BD2AF" w14:textId="77777777" w:rsidR="00FA7C11" w:rsidRDefault="00D84965">
            <w:pPr>
              <w:pStyle w:val="P68B1DB1-Normal66"/>
              <w:spacing w:after="200" w:line="276" w:lineRule="auto"/>
              <w:rPr>
                <w:noProof/>
              </w:rPr>
            </w:pPr>
            <w:r>
              <w:rPr>
                <w:noProof/>
              </w:rPr>
              <w:t xml:space="preserve">Platforma informatică uniformă permite colectarea datelor privind sănătatea, planificarea schimbărilor organizaționale și structurale, identificarea riscurilor. Toate instituțiile oncologice din Croația sunt incluse în rețeaua oncologică națională. </w:t>
            </w:r>
          </w:p>
        </w:tc>
      </w:tr>
      <w:tr w:rsidR="00FA7C11" w14:paraId="43AC5B78"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6009C38" w14:textId="77777777" w:rsidR="00FA7C11" w:rsidRDefault="00D84965">
            <w:pPr>
              <w:pStyle w:val="P68B1DB1-Normal66"/>
              <w:spacing w:after="200" w:line="276" w:lineRule="auto"/>
              <w:jc w:val="center"/>
              <w:rPr>
                <w:noProof/>
              </w:rPr>
            </w:pPr>
            <w:r>
              <w:rPr>
                <w:noProof/>
              </w:rPr>
              <w:t>333</w:t>
            </w:r>
          </w:p>
        </w:tc>
        <w:tc>
          <w:tcPr>
            <w:tcW w:w="1208" w:type="dxa"/>
            <w:tcBorders>
              <w:top w:val="single" w:sz="4" w:space="0" w:color="auto"/>
              <w:left w:val="nil"/>
              <w:bottom w:val="single" w:sz="4" w:space="0" w:color="auto"/>
              <w:right w:val="single" w:sz="4" w:space="0" w:color="auto"/>
            </w:tcBorders>
            <w:shd w:val="clear" w:color="auto" w:fill="C6EFCE"/>
            <w:noWrap/>
          </w:tcPr>
          <w:p w14:paraId="7075E157" w14:textId="77777777" w:rsidR="00FA7C11" w:rsidRDefault="00D84965">
            <w:pPr>
              <w:pStyle w:val="P68B1DB1-Normal66"/>
              <w:spacing w:after="200" w:line="276" w:lineRule="auto"/>
              <w:jc w:val="center"/>
              <w:rPr>
                <w:noProof/>
              </w:rPr>
            </w:pPr>
            <w:r>
              <w:rPr>
                <w:noProof/>
              </w:rPr>
              <w:t>C5.1. R3</w:t>
            </w:r>
          </w:p>
        </w:tc>
        <w:tc>
          <w:tcPr>
            <w:tcW w:w="1019" w:type="dxa"/>
            <w:tcBorders>
              <w:top w:val="single" w:sz="4" w:space="0" w:color="auto"/>
              <w:left w:val="nil"/>
              <w:bottom w:val="single" w:sz="4" w:space="0" w:color="auto"/>
              <w:right w:val="single" w:sz="4" w:space="0" w:color="auto"/>
            </w:tcBorders>
            <w:shd w:val="clear" w:color="auto" w:fill="C6EFCE"/>
            <w:noWrap/>
          </w:tcPr>
          <w:p w14:paraId="7552AE01" w14:textId="77777777" w:rsidR="00FA7C11" w:rsidRDefault="00D84965">
            <w:pPr>
              <w:pStyle w:val="P68B1DB1-Normal66"/>
              <w:spacing w:after="200" w:line="276" w:lineRule="auto"/>
              <w:jc w:val="center"/>
              <w:rPr>
                <w:noProof/>
              </w:rPr>
            </w:pPr>
            <w:r>
              <w:rPr>
                <w:noProof/>
              </w:rPr>
              <w:t>M </w:t>
            </w:r>
          </w:p>
        </w:tc>
        <w:tc>
          <w:tcPr>
            <w:tcW w:w="1888" w:type="dxa"/>
            <w:tcBorders>
              <w:top w:val="single" w:sz="4" w:space="0" w:color="auto"/>
              <w:left w:val="nil"/>
              <w:bottom w:val="single" w:sz="4" w:space="0" w:color="auto"/>
              <w:right w:val="single" w:sz="4" w:space="0" w:color="auto"/>
            </w:tcBorders>
            <w:shd w:val="clear" w:color="auto" w:fill="C6EFCE"/>
            <w:noWrap/>
          </w:tcPr>
          <w:p w14:paraId="7FEA4FAD" w14:textId="77777777" w:rsidR="00FA7C11" w:rsidRDefault="00D84965">
            <w:pPr>
              <w:pStyle w:val="P68B1DB1-Normal66"/>
              <w:spacing w:after="200" w:line="276" w:lineRule="auto"/>
              <w:rPr>
                <w:noProof/>
              </w:rPr>
            </w:pPr>
            <w:r>
              <w:rPr>
                <w:noProof/>
              </w:rPr>
              <w:t>Planul național de dezvoltare a sănătății 2021-2027</w:t>
            </w:r>
          </w:p>
        </w:tc>
        <w:tc>
          <w:tcPr>
            <w:tcW w:w="1985" w:type="dxa"/>
            <w:tcBorders>
              <w:top w:val="single" w:sz="4" w:space="0" w:color="auto"/>
              <w:left w:val="nil"/>
              <w:bottom w:val="single" w:sz="4" w:space="0" w:color="auto"/>
              <w:right w:val="single" w:sz="4" w:space="0" w:color="auto"/>
            </w:tcBorders>
            <w:shd w:val="clear" w:color="auto" w:fill="C6EFCE"/>
            <w:noWrap/>
          </w:tcPr>
          <w:p w14:paraId="5AFF8EAA" w14:textId="77777777" w:rsidR="00FA7C11" w:rsidRDefault="00D84965">
            <w:pPr>
              <w:pStyle w:val="P68B1DB1-Normal66"/>
              <w:spacing w:after="200" w:line="276" w:lineRule="auto"/>
              <w:rPr>
                <w:noProof/>
              </w:rPr>
            </w:pPr>
            <w:r>
              <w:rPr>
                <w:noProof/>
              </w:rPr>
              <w:t>Adoptarea Planului național de dezvoltare în domeniul sănătății 2021-2027</w:t>
            </w:r>
          </w:p>
        </w:tc>
        <w:tc>
          <w:tcPr>
            <w:tcW w:w="1296" w:type="dxa"/>
            <w:tcBorders>
              <w:top w:val="single" w:sz="4" w:space="0" w:color="auto"/>
              <w:left w:val="nil"/>
              <w:bottom w:val="single" w:sz="4" w:space="0" w:color="auto"/>
              <w:right w:val="single" w:sz="4" w:space="0" w:color="auto"/>
            </w:tcBorders>
            <w:shd w:val="clear" w:color="auto" w:fill="C6EFCE"/>
            <w:noWrap/>
          </w:tcPr>
          <w:p w14:paraId="1911027A" w14:textId="77777777" w:rsidR="00FA7C11" w:rsidRDefault="00D84965">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3C98B951" w14:textId="77777777" w:rsidR="00FA7C11" w:rsidRDefault="00D84965">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4A0A3EB4"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061456E9" w14:textId="77777777" w:rsidR="00FA7C11" w:rsidRDefault="00D84965">
            <w:pPr>
              <w:pStyle w:val="P68B1DB1-Normal66"/>
              <w:spacing w:after="200" w:line="276" w:lineRule="auto"/>
              <w:jc w:val="center"/>
              <w:rPr>
                <w:noProof/>
              </w:rPr>
            </w:pPr>
            <w:r>
              <w:rPr>
                <w:noProof/>
              </w:rPr>
              <w:t>Î3</w:t>
            </w:r>
          </w:p>
        </w:tc>
        <w:tc>
          <w:tcPr>
            <w:tcW w:w="895" w:type="dxa"/>
            <w:tcBorders>
              <w:top w:val="single" w:sz="4" w:space="0" w:color="auto"/>
              <w:left w:val="nil"/>
              <w:bottom w:val="single" w:sz="4" w:space="0" w:color="auto"/>
              <w:right w:val="single" w:sz="4" w:space="0" w:color="auto"/>
            </w:tcBorders>
            <w:shd w:val="clear" w:color="auto" w:fill="C6EFCE"/>
            <w:noWrap/>
          </w:tcPr>
          <w:p w14:paraId="5556E21D" w14:textId="77777777" w:rsidR="00FA7C11" w:rsidRDefault="00D84965">
            <w:pPr>
              <w:pStyle w:val="P68B1DB1-Normal66"/>
              <w:spacing w:after="200" w:line="276" w:lineRule="auto"/>
              <w:jc w:val="center"/>
              <w:rPr>
                <w:noProof/>
              </w:rPr>
            </w:pPr>
            <w:r>
              <w:rPr>
                <w:noProof/>
              </w:rPr>
              <w:t>2021</w:t>
            </w:r>
          </w:p>
        </w:tc>
        <w:tc>
          <w:tcPr>
            <w:tcW w:w="3827" w:type="dxa"/>
            <w:tcBorders>
              <w:top w:val="single" w:sz="4" w:space="0" w:color="auto"/>
              <w:left w:val="nil"/>
              <w:bottom w:val="single" w:sz="4" w:space="0" w:color="auto"/>
              <w:right w:val="single" w:sz="4" w:space="0" w:color="auto"/>
            </w:tcBorders>
            <w:shd w:val="clear" w:color="auto" w:fill="C6EFCE"/>
            <w:noWrap/>
          </w:tcPr>
          <w:p w14:paraId="012D5897" w14:textId="77777777" w:rsidR="00FA7C11" w:rsidRDefault="00D84965">
            <w:pPr>
              <w:pStyle w:val="P68B1DB1-Normal66"/>
              <w:spacing w:after="200" w:line="276" w:lineRule="auto"/>
              <w:rPr>
                <w:noProof/>
              </w:rPr>
            </w:pPr>
            <w:r>
              <w:rPr>
                <w:noProof/>
              </w:rPr>
              <w:t xml:space="preserve">Planul național de dezvoltare a sănătății 2021-2027, ca act cadru de planificare sectorială, stabilește obiective, măsuri, proiecte și activități specifice care urmează să fie puse în aplicare sub auspiciile Ministerului Sănătății (MIZ), cu obiectivul principal de a îmbunătăți sistemul de sănătate și rezultatele în materie de sănătate. Planul național de dezvoltare în domeniul sănătății trebuie să fie în concordanță cu Programul de reformă al guvernului croat și cu Orientările Comisiei Europene privind politica de coeziune pentru perioada 2021-2027. Planul național de dezvoltare în domeniul sănătății definește nevoile de dezvoltare pe termen mediu prin: </w:t>
            </w:r>
            <w:r>
              <w:rPr>
                <w:noProof/>
              </w:rPr>
              <w:br/>
              <w:t>— Definirea nevoilor de dezvoltare pentru realizarea unui sistem de sănătate flexibil, eficient și gestionat în mod global;</w:t>
            </w:r>
            <w:r>
              <w:rPr>
                <w:noProof/>
              </w:rPr>
              <w:br/>
              <w:t>Indicarea măsurilor privind promovarea cu succes a sănătății și prevenirea bolilor;</w:t>
            </w:r>
            <w:r>
              <w:rPr>
                <w:noProof/>
              </w:rPr>
              <w:br/>
              <w:t>— Introducerea coordonării furnizorilor de servicii medicale și transformarea modelelor de tratament și reabilitare în direcția gestionării procesului de îngrijire activă în toate etapele și la toate nivelurile;</w:t>
            </w:r>
            <w:r>
              <w:rPr>
                <w:noProof/>
              </w:rPr>
              <w:br/>
              <w:t>— Definirea integrării serviciilor de sănătate și de asistență socială și dezvoltarea unor modele integrate de îngrijire pe termen lung;</w:t>
            </w:r>
            <w:r>
              <w:rPr>
                <w:noProof/>
              </w:rPr>
              <w:br/>
              <w:t>— Introducerea unor măsuri de control și îmbunătățire a calității asistenței medicale și a siguranței pacienților;</w:t>
            </w:r>
            <w:r>
              <w:rPr>
                <w:noProof/>
              </w:rPr>
              <w:br/>
              <w:t xml:space="preserve">— Îmbunătățirea dispozițiilor privind gestionarea personalului. </w:t>
            </w:r>
            <w:r>
              <w:rPr>
                <w:noProof/>
              </w:rPr>
              <w:br/>
              <w:t xml:space="preserve">— Introducerea unor obiective specifice care contribuie indirect la realizarea obiectivului strategic stabilit în Strategia națională de reformă (SNR) până în 2030. Creșterea speranței de viață sănătoasă este favorizată de: </w:t>
            </w:r>
            <w:r>
              <w:rPr>
                <w:noProof/>
              </w:rPr>
              <w:br/>
              <w:t>— Promovarea unui stil de viață sănătos și prevenirea bolilor care reprezintă o problemă majoră de sănătate publică;</w:t>
            </w:r>
            <w:r>
              <w:rPr>
                <w:noProof/>
              </w:rPr>
              <w:br/>
              <w:t xml:space="preserve">— Îmbunătățirea calității asistenței medicale prin îmbunătățirea eficacității, a siguranței, a accesibilității și a integrării funcționale a tuturor nivelurilor și componentelor asistenței medicale; </w:t>
            </w:r>
            <w:r>
              <w:rPr>
                <w:noProof/>
              </w:rPr>
              <w:br/>
              <w:t xml:space="preserve">— Introducerea noului model de îngrijire pentru principalele provocări în materie de sănătate, cum ar fi bolile cardiovasculare, oncologice și rare și diabetul, pentru a prelungi durata și a îmbunătăți calitatea vieții </w:t>
            </w:r>
            <w:r>
              <w:rPr>
                <w:noProof/>
              </w:rPr>
              <w:br/>
              <w:t>— Să facă din sistemul de sănătate un loc de muncă dezirabil prin guvernanță strategică, asigurând astfel numărul și distribuția optimă a angajaților în sistemul de sănătate;</w:t>
            </w:r>
            <w:r>
              <w:rPr>
                <w:noProof/>
              </w:rPr>
              <w:br/>
              <w:t>— Îmbunătățirea modelului de finanțare și gestionare a sistemului de sănătate.</w:t>
            </w:r>
            <w:r>
              <w:rPr>
                <w:noProof/>
              </w:rPr>
              <w:br/>
              <w:t>Pentru a atinge obiectivele specifice, se definesc măsurile și acțiunile care urmează să fie puse în aplicare. Indicatorii de rezultat pentru fiecare dintre obiectivele specifice și indicatorii de rezultat se definesc pentru fiecare dintre acțiuni. Planul național de dezvoltare în domeniul sănătății include rezultatele cartografierii nevoilor de asistență medicală și socială în domeniul îngrijirii pe termen lung. Documentul în sine utilizează contribuții din alte acte și programe naționale (Cadrul strategic național împotriva cancerului până în 2030, Planul național pentru dezvoltarea spitalelor clinice, a spitalelor clinice, a clinicilor și a spitalelor generale din Croația, cancerul național, diabetul, bolile rare) și recomandări (CSR) pentru Croația pentru 2019 și 2020.</w:t>
            </w:r>
          </w:p>
        </w:tc>
      </w:tr>
      <w:tr w:rsidR="00FA7C11" w14:paraId="67701A74"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63DD06E" w14:textId="77777777" w:rsidR="00FA7C11" w:rsidRDefault="00D84965">
            <w:pPr>
              <w:pStyle w:val="P68B1DB1-Normal66"/>
              <w:spacing w:after="200" w:line="276" w:lineRule="auto"/>
              <w:jc w:val="center"/>
              <w:rPr>
                <w:noProof/>
              </w:rPr>
            </w:pPr>
            <w:r>
              <w:rPr>
                <w:noProof/>
              </w:rPr>
              <w:t>399</w:t>
            </w:r>
          </w:p>
        </w:tc>
        <w:tc>
          <w:tcPr>
            <w:tcW w:w="1208" w:type="dxa"/>
            <w:tcBorders>
              <w:top w:val="single" w:sz="4" w:space="0" w:color="auto"/>
              <w:left w:val="nil"/>
              <w:bottom w:val="single" w:sz="4" w:space="0" w:color="auto"/>
              <w:right w:val="single" w:sz="4" w:space="0" w:color="auto"/>
            </w:tcBorders>
            <w:shd w:val="clear" w:color="auto" w:fill="C6EFCE"/>
            <w:noWrap/>
          </w:tcPr>
          <w:p w14:paraId="4C71D5FD" w14:textId="77777777" w:rsidR="00FA7C11" w:rsidRDefault="00D84965">
            <w:pPr>
              <w:pStyle w:val="P68B1DB1-Normal66"/>
              <w:spacing w:after="200" w:line="276" w:lineRule="auto"/>
              <w:jc w:val="center"/>
              <w:rPr>
                <w:noProof/>
              </w:rPr>
            </w:pPr>
            <w:r>
              <w:rPr>
                <w:noProof/>
              </w:rPr>
              <w:t>C5.1. R3-I1</w:t>
            </w:r>
          </w:p>
        </w:tc>
        <w:tc>
          <w:tcPr>
            <w:tcW w:w="1019" w:type="dxa"/>
            <w:tcBorders>
              <w:top w:val="single" w:sz="4" w:space="0" w:color="auto"/>
              <w:left w:val="nil"/>
              <w:bottom w:val="single" w:sz="4" w:space="0" w:color="auto"/>
              <w:right w:val="single" w:sz="4" w:space="0" w:color="auto"/>
            </w:tcBorders>
            <w:shd w:val="clear" w:color="auto" w:fill="C6EFCE"/>
            <w:noWrap/>
          </w:tcPr>
          <w:p w14:paraId="462B366F" w14:textId="77777777" w:rsidR="00FA7C11" w:rsidRDefault="00D84965">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02D40CE8" w14:textId="77777777" w:rsidR="00FA7C11" w:rsidRDefault="00D84965">
            <w:pPr>
              <w:pStyle w:val="P68B1DB1-Normal66"/>
              <w:spacing w:after="200" w:line="276" w:lineRule="auto"/>
              <w:rPr>
                <w:noProof/>
              </w:rPr>
            </w:pPr>
            <w:r>
              <w:rPr>
                <w:noProof/>
              </w:rPr>
              <w:t>Crearea unui sistem centralizat de finanțare dedicat formării medicale specializate</w:t>
            </w:r>
          </w:p>
        </w:tc>
        <w:tc>
          <w:tcPr>
            <w:tcW w:w="1985" w:type="dxa"/>
            <w:tcBorders>
              <w:top w:val="single" w:sz="4" w:space="0" w:color="auto"/>
              <w:left w:val="nil"/>
              <w:bottom w:val="single" w:sz="4" w:space="0" w:color="auto"/>
              <w:right w:val="single" w:sz="4" w:space="0" w:color="auto"/>
            </w:tcBorders>
            <w:shd w:val="clear" w:color="auto" w:fill="C6EFCE"/>
            <w:noWrap/>
          </w:tcPr>
          <w:p w14:paraId="1BFFC5D3" w14:textId="77777777" w:rsidR="00FA7C11" w:rsidRDefault="00D84965">
            <w:pPr>
              <w:pStyle w:val="P68B1DB1-Normal66"/>
              <w:spacing w:after="200" w:line="276" w:lineRule="auto"/>
              <w:rPr>
                <w:noProof/>
              </w:rPr>
            </w:pPr>
            <w:r>
              <w:rPr>
                <w:noProof/>
              </w:rPr>
              <w:t xml:space="preserve">Adoptarea deciziei de către guvern </w:t>
            </w:r>
          </w:p>
        </w:tc>
        <w:tc>
          <w:tcPr>
            <w:tcW w:w="1296" w:type="dxa"/>
            <w:tcBorders>
              <w:top w:val="single" w:sz="4" w:space="0" w:color="auto"/>
              <w:left w:val="nil"/>
              <w:bottom w:val="single" w:sz="4" w:space="0" w:color="auto"/>
              <w:right w:val="single" w:sz="4" w:space="0" w:color="auto"/>
            </w:tcBorders>
            <w:shd w:val="clear" w:color="auto" w:fill="C6EFCE"/>
            <w:noWrap/>
          </w:tcPr>
          <w:p w14:paraId="3E54E335"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tcPr>
          <w:p w14:paraId="599D3188"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976" w:type="dxa"/>
            <w:tcBorders>
              <w:top w:val="single" w:sz="4" w:space="0" w:color="auto"/>
              <w:left w:val="nil"/>
              <w:bottom w:val="single" w:sz="4" w:space="0" w:color="auto"/>
              <w:right w:val="single" w:sz="4" w:space="0" w:color="auto"/>
            </w:tcBorders>
            <w:shd w:val="clear" w:color="auto" w:fill="C6EFCE"/>
            <w:noWrap/>
          </w:tcPr>
          <w:p w14:paraId="7E8220F8"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6137BFE1"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32C90942" w14:textId="77777777" w:rsidR="00FA7C11" w:rsidRDefault="00D84965">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6574FFBE" w14:textId="77777777" w:rsidR="00FA7C11" w:rsidRDefault="00D84965">
            <w:pPr>
              <w:pStyle w:val="P68B1DB1-Normal66"/>
              <w:spacing w:after="0" w:line="276" w:lineRule="auto"/>
              <w:rPr>
                <w:noProof/>
              </w:rPr>
            </w:pPr>
            <w:r>
              <w:rPr>
                <w:noProof/>
              </w:rPr>
              <w:t>Instituționalizarea sprijinului financiar pentru specializările medicale se efectuează prin instituirea unui sistem centralizat de finanțare dedicat formării medicale specializate, care vizează în principal abordarea deficiențelor din specializările medicale specifice, inclusiv, dar fără a se limita la asistența medicală primară și sănătatea publică. Alocarea resurselor financiare în acest scop este destinată exclusiv satisfacerii cerințelor rețelei de servicii de sănătate publică.</w:t>
            </w:r>
          </w:p>
          <w:p w14:paraId="548402E6" w14:textId="77777777" w:rsidR="00FA7C11" w:rsidRDefault="00D84965">
            <w:pPr>
              <w:pStyle w:val="P68B1DB1-Normal66"/>
              <w:spacing w:after="200" w:line="276" w:lineRule="auto"/>
              <w:rPr>
                <w:noProof/>
              </w:rPr>
            </w:pPr>
            <w:r>
              <w:rPr>
                <w:noProof/>
              </w:rPr>
              <w:t>Acest sistem este conceput pentru a garanta recuperarea fondurilor din programele incomplete de formare medicală de specialitate, direcționându-le către obiectivele predefinite ale sistemului centralizat de finanțare a formării medicale de specialitate, cu un accent special pe remedierea deficitelor de specialiști medicali cu deficiențe.</w:t>
            </w:r>
          </w:p>
        </w:tc>
      </w:tr>
      <w:tr w:rsidR="00FA7C11" w14:paraId="27A5F202"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2B3B95E" w14:textId="77777777" w:rsidR="00FA7C11" w:rsidRDefault="00D84965">
            <w:pPr>
              <w:pStyle w:val="P68B1DB1-Normal66"/>
              <w:spacing w:after="200" w:line="276" w:lineRule="auto"/>
              <w:jc w:val="center"/>
              <w:rPr>
                <w:noProof/>
              </w:rPr>
            </w:pPr>
            <w:r>
              <w:rPr>
                <w:noProof/>
              </w:rPr>
              <w:t>334</w:t>
            </w:r>
          </w:p>
        </w:tc>
        <w:tc>
          <w:tcPr>
            <w:tcW w:w="1208" w:type="dxa"/>
            <w:tcBorders>
              <w:top w:val="single" w:sz="4" w:space="0" w:color="auto"/>
              <w:left w:val="nil"/>
              <w:bottom w:val="single" w:sz="4" w:space="0" w:color="auto"/>
              <w:right w:val="single" w:sz="4" w:space="0" w:color="auto"/>
            </w:tcBorders>
            <w:shd w:val="clear" w:color="auto" w:fill="C6EFCE"/>
            <w:noWrap/>
          </w:tcPr>
          <w:p w14:paraId="53DB3432" w14:textId="77777777" w:rsidR="00FA7C11" w:rsidRDefault="00D84965">
            <w:pPr>
              <w:pStyle w:val="P68B1DB1-Normal66"/>
              <w:spacing w:after="200" w:line="276" w:lineRule="auto"/>
              <w:jc w:val="center"/>
              <w:rPr>
                <w:noProof/>
              </w:rPr>
            </w:pPr>
            <w:r>
              <w:rPr>
                <w:noProof/>
              </w:rPr>
              <w:t>C5.1. R3-I1</w:t>
            </w:r>
          </w:p>
        </w:tc>
        <w:tc>
          <w:tcPr>
            <w:tcW w:w="1019" w:type="dxa"/>
            <w:tcBorders>
              <w:top w:val="single" w:sz="4" w:space="0" w:color="auto"/>
              <w:left w:val="nil"/>
              <w:bottom w:val="single" w:sz="4" w:space="0" w:color="auto"/>
              <w:right w:val="single" w:sz="4" w:space="0" w:color="auto"/>
            </w:tcBorders>
            <w:shd w:val="clear" w:color="auto" w:fill="C6EFCE"/>
            <w:noWrap/>
          </w:tcPr>
          <w:p w14:paraId="1B6E5555"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72CC5852" w14:textId="77777777" w:rsidR="00FA7C11" w:rsidRDefault="00D84965">
            <w:pPr>
              <w:pStyle w:val="P68B1DB1-Normal66"/>
              <w:spacing w:after="200" w:line="276" w:lineRule="auto"/>
              <w:rPr>
                <w:noProof/>
              </w:rPr>
            </w:pPr>
            <w:r>
              <w:rPr>
                <w:noProof/>
              </w:rPr>
              <w:t>Formare medicală specializată la nivelul primar de bază al asistenței medicale</w:t>
            </w:r>
          </w:p>
        </w:tc>
        <w:tc>
          <w:tcPr>
            <w:tcW w:w="1985" w:type="dxa"/>
            <w:tcBorders>
              <w:top w:val="single" w:sz="4" w:space="0" w:color="auto"/>
              <w:left w:val="nil"/>
              <w:bottom w:val="single" w:sz="4" w:space="0" w:color="auto"/>
              <w:right w:val="single" w:sz="4" w:space="0" w:color="auto"/>
            </w:tcBorders>
            <w:shd w:val="clear" w:color="auto" w:fill="C6EFCE"/>
            <w:noWrap/>
          </w:tcPr>
          <w:p w14:paraId="246535B5"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59CA143A"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3876ED1B"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4572FE33" w14:textId="77777777" w:rsidR="00FA7C11" w:rsidRDefault="00D84965">
            <w:pPr>
              <w:pStyle w:val="P68B1DB1-Normal66"/>
              <w:spacing w:after="200" w:line="276" w:lineRule="auto"/>
              <w:jc w:val="center"/>
              <w:rPr>
                <w:noProof/>
              </w:rPr>
            </w:pPr>
            <w:r>
              <w:rPr>
                <w:noProof/>
              </w:rPr>
              <w:t>467</w:t>
            </w:r>
          </w:p>
        </w:tc>
        <w:tc>
          <w:tcPr>
            <w:tcW w:w="756" w:type="dxa"/>
            <w:tcBorders>
              <w:top w:val="single" w:sz="4" w:space="0" w:color="auto"/>
              <w:left w:val="nil"/>
              <w:bottom w:val="single" w:sz="4" w:space="0" w:color="auto"/>
              <w:right w:val="single" w:sz="4" w:space="0" w:color="auto"/>
            </w:tcBorders>
            <w:shd w:val="clear" w:color="auto" w:fill="C6EFCE"/>
            <w:noWrap/>
          </w:tcPr>
          <w:p w14:paraId="678EB8C0" w14:textId="77777777" w:rsidR="00FA7C11" w:rsidRDefault="00D84965">
            <w:pPr>
              <w:pStyle w:val="P68B1DB1-Normal66"/>
              <w:spacing w:after="200" w:line="276" w:lineRule="auto"/>
              <w:jc w:val="center"/>
              <w:rPr>
                <w:noProof/>
              </w:rPr>
            </w:pPr>
            <w:r>
              <w:rPr>
                <w:noProof/>
              </w:rPr>
              <w:t>Î1</w:t>
            </w:r>
          </w:p>
        </w:tc>
        <w:tc>
          <w:tcPr>
            <w:tcW w:w="895" w:type="dxa"/>
            <w:tcBorders>
              <w:top w:val="single" w:sz="4" w:space="0" w:color="auto"/>
              <w:left w:val="nil"/>
              <w:bottom w:val="single" w:sz="4" w:space="0" w:color="auto"/>
              <w:right w:val="single" w:sz="4" w:space="0" w:color="auto"/>
            </w:tcBorders>
            <w:shd w:val="clear" w:color="auto" w:fill="C6EFCE"/>
            <w:noWrap/>
          </w:tcPr>
          <w:p w14:paraId="69528FDD" w14:textId="77777777" w:rsidR="00FA7C11" w:rsidRDefault="00D84965">
            <w:pPr>
              <w:pStyle w:val="P68B1DB1-Normal66"/>
              <w:spacing w:after="200" w:line="276" w:lineRule="auto"/>
              <w:jc w:val="center"/>
              <w:rPr>
                <w:noProof/>
              </w:rPr>
            </w:pPr>
            <w:r>
              <w:rPr>
                <w:noProof/>
              </w:rPr>
              <w:t>2026</w:t>
            </w:r>
          </w:p>
        </w:tc>
        <w:tc>
          <w:tcPr>
            <w:tcW w:w="3827" w:type="dxa"/>
            <w:tcBorders>
              <w:top w:val="single" w:sz="4" w:space="0" w:color="auto"/>
              <w:left w:val="nil"/>
              <w:bottom w:val="single" w:sz="4" w:space="0" w:color="auto"/>
              <w:right w:val="single" w:sz="4" w:space="0" w:color="auto"/>
            </w:tcBorders>
            <w:shd w:val="clear" w:color="auto" w:fill="C6EFCE"/>
            <w:noWrap/>
          </w:tcPr>
          <w:p w14:paraId="1F6603A1" w14:textId="48B590FB" w:rsidR="00FA7C11" w:rsidRDefault="00D84965">
            <w:pPr>
              <w:pStyle w:val="P68B1DB1-Normal66"/>
              <w:spacing w:after="200" w:line="276" w:lineRule="auto"/>
              <w:rPr>
                <w:noProof/>
              </w:rPr>
            </w:pPr>
            <w:r>
              <w:rPr>
                <w:noProof/>
              </w:rPr>
              <w:t xml:space="preserve">Se încheie contracte pentru acordarea de finanțare nerambursabilă, pentru formare medicală specializată, care vizează cel puțin 467 de lucrători din domeniul sănătății, inclusiv medici specializați în asistență medicală primară, medicină de urgență și sănătate publică. </w:t>
            </w:r>
          </w:p>
        </w:tc>
      </w:tr>
      <w:tr w:rsidR="00FA7C11" w14:paraId="5BA197ED"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4420B3F" w14:textId="77777777" w:rsidR="00FA7C11" w:rsidRDefault="00D84965">
            <w:pPr>
              <w:pStyle w:val="P68B1DB1-Normal66"/>
              <w:spacing w:after="200" w:line="276" w:lineRule="auto"/>
              <w:jc w:val="center"/>
              <w:rPr>
                <w:noProof/>
              </w:rPr>
            </w:pPr>
            <w:r>
              <w:rPr>
                <w:noProof/>
              </w:rPr>
              <w:t>335</w:t>
            </w:r>
          </w:p>
        </w:tc>
        <w:tc>
          <w:tcPr>
            <w:tcW w:w="1208" w:type="dxa"/>
            <w:tcBorders>
              <w:top w:val="single" w:sz="4" w:space="0" w:color="auto"/>
              <w:left w:val="nil"/>
              <w:bottom w:val="single" w:sz="4" w:space="0" w:color="auto"/>
              <w:right w:val="single" w:sz="4" w:space="0" w:color="auto"/>
            </w:tcBorders>
            <w:shd w:val="clear" w:color="auto" w:fill="C6EFCE"/>
            <w:noWrap/>
          </w:tcPr>
          <w:p w14:paraId="14B64588" w14:textId="77777777" w:rsidR="00FA7C11" w:rsidRDefault="00D84965">
            <w:pPr>
              <w:pStyle w:val="P68B1DB1-Normal66"/>
              <w:spacing w:after="200" w:line="276" w:lineRule="auto"/>
              <w:jc w:val="center"/>
              <w:rPr>
                <w:noProof/>
              </w:rPr>
            </w:pPr>
            <w:r>
              <w:rPr>
                <w:noProof/>
              </w:rPr>
              <w:t>C5.1. R3-I2</w:t>
            </w:r>
          </w:p>
        </w:tc>
        <w:tc>
          <w:tcPr>
            <w:tcW w:w="1019" w:type="dxa"/>
            <w:tcBorders>
              <w:top w:val="single" w:sz="4" w:space="0" w:color="auto"/>
              <w:left w:val="nil"/>
              <w:bottom w:val="single" w:sz="4" w:space="0" w:color="auto"/>
              <w:right w:val="single" w:sz="4" w:space="0" w:color="auto"/>
            </w:tcBorders>
            <w:shd w:val="clear" w:color="auto" w:fill="C6EFCE"/>
            <w:noWrap/>
          </w:tcPr>
          <w:p w14:paraId="2F963D7C"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31C19809" w14:textId="77777777" w:rsidR="00FA7C11" w:rsidRDefault="00D84965">
            <w:pPr>
              <w:pStyle w:val="P68B1DB1-Normal66"/>
              <w:spacing w:after="200" w:line="276" w:lineRule="auto"/>
              <w:rPr>
                <w:noProof/>
              </w:rPr>
            </w:pPr>
            <w:r>
              <w:rPr>
                <w:noProof/>
              </w:rPr>
              <w:t xml:space="preserve">Licențiat în asistență medicală specializată în medicină de urgență </w:t>
            </w:r>
          </w:p>
        </w:tc>
        <w:tc>
          <w:tcPr>
            <w:tcW w:w="1985" w:type="dxa"/>
            <w:tcBorders>
              <w:top w:val="single" w:sz="4" w:space="0" w:color="auto"/>
              <w:left w:val="nil"/>
              <w:bottom w:val="single" w:sz="4" w:space="0" w:color="auto"/>
              <w:right w:val="single" w:sz="4" w:space="0" w:color="auto"/>
            </w:tcBorders>
            <w:shd w:val="clear" w:color="auto" w:fill="C6EFCE"/>
            <w:noWrap/>
          </w:tcPr>
          <w:p w14:paraId="6AF270E0"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71E138E2"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68502B83"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6A232B4" w14:textId="77777777" w:rsidR="00FA7C11" w:rsidRDefault="00D84965">
            <w:pPr>
              <w:pStyle w:val="P68B1DB1-Normal66"/>
              <w:spacing w:after="200" w:line="276" w:lineRule="auto"/>
              <w:jc w:val="center"/>
              <w:rPr>
                <w:noProof/>
              </w:rPr>
            </w:pPr>
            <w:r>
              <w:rPr>
                <w:noProof/>
              </w:rPr>
              <w:t>375</w:t>
            </w:r>
          </w:p>
        </w:tc>
        <w:tc>
          <w:tcPr>
            <w:tcW w:w="756" w:type="dxa"/>
            <w:tcBorders>
              <w:top w:val="single" w:sz="4" w:space="0" w:color="auto"/>
              <w:left w:val="nil"/>
              <w:bottom w:val="single" w:sz="4" w:space="0" w:color="auto"/>
              <w:right w:val="single" w:sz="4" w:space="0" w:color="auto"/>
            </w:tcBorders>
            <w:shd w:val="clear" w:color="auto" w:fill="C6EFCE"/>
            <w:noWrap/>
          </w:tcPr>
          <w:p w14:paraId="778015BA" w14:textId="77777777" w:rsidR="00FA7C11" w:rsidRDefault="00D84965">
            <w:pPr>
              <w:pStyle w:val="P68B1DB1-Normal66"/>
              <w:spacing w:after="200" w:line="276" w:lineRule="auto"/>
              <w:jc w:val="center"/>
              <w:rPr>
                <w:noProof/>
              </w:rPr>
            </w:pPr>
            <w:r>
              <w:rPr>
                <w:noProof/>
              </w:rPr>
              <w:t>Î2</w:t>
            </w:r>
          </w:p>
        </w:tc>
        <w:tc>
          <w:tcPr>
            <w:tcW w:w="895" w:type="dxa"/>
            <w:tcBorders>
              <w:top w:val="single" w:sz="4" w:space="0" w:color="auto"/>
              <w:left w:val="nil"/>
              <w:bottom w:val="single" w:sz="4" w:space="0" w:color="auto"/>
              <w:right w:val="single" w:sz="4" w:space="0" w:color="auto"/>
            </w:tcBorders>
            <w:shd w:val="clear" w:color="auto" w:fill="C6EFCE"/>
            <w:noWrap/>
          </w:tcPr>
          <w:p w14:paraId="07CE87D2" w14:textId="77777777" w:rsidR="00FA7C11" w:rsidRDefault="00D84965">
            <w:pPr>
              <w:pStyle w:val="P68B1DB1-Normal66"/>
              <w:spacing w:after="200" w:line="276" w:lineRule="auto"/>
              <w:jc w:val="center"/>
              <w:rPr>
                <w:noProof/>
              </w:rPr>
            </w:pPr>
            <w:r>
              <w:rPr>
                <w:noProof/>
              </w:rPr>
              <w:t>2026</w:t>
            </w:r>
          </w:p>
        </w:tc>
        <w:tc>
          <w:tcPr>
            <w:tcW w:w="3827" w:type="dxa"/>
            <w:tcBorders>
              <w:top w:val="single" w:sz="4" w:space="0" w:color="auto"/>
              <w:left w:val="nil"/>
              <w:bottom w:val="single" w:sz="4" w:space="0" w:color="auto"/>
              <w:right w:val="single" w:sz="4" w:space="0" w:color="auto"/>
            </w:tcBorders>
            <w:shd w:val="clear" w:color="auto" w:fill="C6EFCE"/>
            <w:noWrap/>
          </w:tcPr>
          <w:p w14:paraId="193D3186" w14:textId="77777777" w:rsidR="00FA7C11" w:rsidRDefault="00D84965">
            <w:pPr>
              <w:pStyle w:val="P68B1DB1-Normal66"/>
              <w:spacing w:after="200" w:line="276" w:lineRule="auto"/>
              <w:rPr>
                <w:noProof/>
              </w:rPr>
            </w:pPr>
            <w:r>
              <w:rPr>
                <w:noProof/>
              </w:rPr>
              <w:t>Un număr total de 375 de șoferi de asistenți medicali/tehnicieni medicali trebuie să fie instruiți într-o formare de specialitate de un an în medicina de urgență.</w:t>
            </w:r>
          </w:p>
        </w:tc>
      </w:tr>
      <w:tr w:rsidR="00FA7C11" w14:paraId="025B7488"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14E4C6B" w14:textId="77777777" w:rsidR="00FA7C11" w:rsidRDefault="00D84965">
            <w:pPr>
              <w:pStyle w:val="P68B1DB1-Normal66"/>
              <w:spacing w:after="200" w:line="276" w:lineRule="auto"/>
              <w:jc w:val="center"/>
              <w:rPr>
                <w:noProof/>
              </w:rPr>
            </w:pPr>
            <w:r>
              <w:rPr>
                <w:noProof/>
              </w:rPr>
              <w:t>336</w:t>
            </w:r>
          </w:p>
        </w:tc>
        <w:tc>
          <w:tcPr>
            <w:tcW w:w="1208" w:type="dxa"/>
            <w:tcBorders>
              <w:top w:val="single" w:sz="4" w:space="0" w:color="auto"/>
              <w:left w:val="nil"/>
              <w:bottom w:val="single" w:sz="4" w:space="0" w:color="auto"/>
              <w:right w:val="single" w:sz="4" w:space="0" w:color="auto"/>
            </w:tcBorders>
            <w:shd w:val="clear" w:color="auto" w:fill="C6EFCE"/>
            <w:noWrap/>
          </w:tcPr>
          <w:p w14:paraId="13D67F3D" w14:textId="77777777" w:rsidR="00FA7C11" w:rsidRDefault="00D84965">
            <w:pPr>
              <w:pStyle w:val="P68B1DB1-Normal66"/>
              <w:spacing w:after="200" w:line="276" w:lineRule="auto"/>
              <w:jc w:val="center"/>
              <w:rPr>
                <w:noProof/>
              </w:rPr>
            </w:pPr>
            <w:r>
              <w:rPr>
                <w:noProof/>
              </w:rPr>
              <w:t>C5.1. R4</w:t>
            </w:r>
          </w:p>
        </w:tc>
        <w:tc>
          <w:tcPr>
            <w:tcW w:w="1019" w:type="dxa"/>
            <w:tcBorders>
              <w:top w:val="single" w:sz="4" w:space="0" w:color="auto"/>
              <w:left w:val="nil"/>
              <w:bottom w:val="single" w:sz="4" w:space="0" w:color="auto"/>
              <w:right w:val="single" w:sz="4" w:space="0" w:color="auto"/>
            </w:tcBorders>
            <w:shd w:val="clear" w:color="auto" w:fill="C6EFCE"/>
            <w:noWrap/>
          </w:tcPr>
          <w:p w14:paraId="26DBFCE3" w14:textId="77777777" w:rsidR="00FA7C11" w:rsidRDefault="00D84965">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60814D01" w14:textId="77777777" w:rsidR="00FA7C11" w:rsidRDefault="00D84965">
            <w:pPr>
              <w:pStyle w:val="P68B1DB1-Normal66"/>
              <w:spacing w:after="200" w:line="276" w:lineRule="auto"/>
              <w:rPr>
                <w:noProof/>
              </w:rPr>
            </w:pPr>
            <w:r>
              <w:rPr>
                <w:noProof/>
              </w:rPr>
              <w:t>Modificarea Legii privind asistența medicală și a Legii privind asigurările obligatorii de sănătate</w:t>
            </w:r>
          </w:p>
        </w:tc>
        <w:tc>
          <w:tcPr>
            <w:tcW w:w="1985" w:type="dxa"/>
            <w:tcBorders>
              <w:top w:val="single" w:sz="4" w:space="0" w:color="auto"/>
              <w:left w:val="nil"/>
              <w:bottom w:val="single" w:sz="4" w:space="0" w:color="auto"/>
              <w:right w:val="single" w:sz="4" w:space="0" w:color="auto"/>
            </w:tcBorders>
            <w:shd w:val="clear" w:color="auto" w:fill="C6EFCE"/>
            <w:noWrap/>
          </w:tcPr>
          <w:p w14:paraId="5B741693" w14:textId="77777777" w:rsidR="00FA7C11" w:rsidRDefault="00D84965">
            <w:pPr>
              <w:pStyle w:val="P68B1DB1-Normal66"/>
              <w:spacing w:after="200" w:line="276" w:lineRule="auto"/>
              <w:rPr>
                <w:noProof/>
              </w:rPr>
            </w:pPr>
            <w:r>
              <w:rPr>
                <w:noProof/>
              </w:rPr>
              <w:t>Intrarea în vigoare a actelor de modificare a Legii privind asistența medicală și a Legii privind asigurările obligatorii de sănătate</w:t>
            </w:r>
          </w:p>
        </w:tc>
        <w:tc>
          <w:tcPr>
            <w:tcW w:w="1296" w:type="dxa"/>
            <w:tcBorders>
              <w:top w:val="single" w:sz="4" w:space="0" w:color="auto"/>
              <w:left w:val="nil"/>
              <w:bottom w:val="single" w:sz="4" w:space="0" w:color="auto"/>
              <w:right w:val="single" w:sz="4" w:space="0" w:color="auto"/>
            </w:tcBorders>
            <w:shd w:val="clear" w:color="auto" w:fill="C6EFCE"/>
            <w:noWrap/>
          </w:tcPr>
          <w:p w14:paraId="0F92DEDF" w14:textId="77777777" w:rsidR="00FA7C11" w:rsidRDefault="00D84965">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107CBFD8" w14:textId="77777777" w:rsidR="00FA7C11" w:rsidRDefault="00D84965">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1CD8891A"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3A1076CC"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24AA4D79" w14:textId="77777777" w:rsidR="00FA7C11" w:rsidRDefault="00D84965">
            <w:pPr>
              <w:pStyle w:val="P68B1DB1-Normal66"/>
              <w:spacing w:after="200" w:line="276" w:lineRule="auto"/>
              <w:jc w:val="center"/>
              <w:rPr>
                <w:noProof/>
              </w:rPr>
            </w:pPr>
            <w:r>
              <w:rPr>
                <w:noProof/>
              </w:rPr>
              <w:t>2022</w:t>
            </w:r>
          </w:p>
        </w:tc>
        <w:tc>
          <w:tcPr>
            <w:tcW w:w="3827" w:type="dxa"/>
            <w:tcBorders>
              <w:top w:val="single" w:sz="4" w:space="0" w:color="auto"/>
              <w:left w:val="nil"/>
              <w:bottom w:val="single" w:sz="4" w:space="0" w:color="auto"/>
              <w:right w:val="single" w:sz="4" w:space="0" w:color="auto"/>
            </w:tcBorders>
            <w:shd w:val="clear" w:color="auto" w:fill="C6EFCE"/>
            <w:noWrap/>
          </w:tcPr>
          <w:p w14:paraId="346ADADF" w14:textId="77777777" w:rsidR="00FA7C11" w:rsidRDefault="00D84965">
            <w:pPr>
              <w:pStyle w:val="P68B1DB1-Normal66"/>
              <w:spacing w:after="200" w:line="276" w:lineRule="auto"/>
              <w:rPr>
                <w:noProof/>
              </w:rPr>
            </w:pPr>
            <w:r>
              <w:rPr>
                <w:noProof/>
              </w:rPr>
              <w:t>Modificările aduse Legii privind asistența medicală vor permite ca noua decizie privind achizițiile publice comune să fie obligatorie și pentru instituțiile sanitare a căror participare a fost până în prezent voluntară și, prin urmare, vor crește numărul părților interesate care fac obiectul achizițiilor publice comune.</w:t>
            </w:r>
            <w:r>
              <w:rPr>
                <w:noProof/>
              </w:rPr>
              <w:br/>
              <w:t xml:space="preserve">— Oficiul unic pentru medicina de urgență îmbunătățește organizarea activităților de medicină de urgență și îndeplinește sarcini operaționale pe întreg teritoriul Republicii Croația prin intermediul anumitor unități organizaționale; </w:t>
            </w:r>
            <w:r>
              <w:rPr>
                <w:noProof/>
              </w:rPr>
              <w:br/>
              <w:t xml:space="preserve">— Reorganizarea serviciului de sănătate publică contribuie la creșterea eficienței și la consolidarea sistemului de sănătate publică, cu un accent deosebit pe prevenire și diagnosticare timpurie, pe îmbunătățirea răspunsului în situații de urgență și în circumstanțe speciale (pandemii); </w:t>
            </w:r>
            <w:r>
              <w:rPr>
                <w:noProof/>
              </w:rPr>
              <w:br/>
              <w:t xml:space="preserve">— Transferul drepturilor de gestionare a spitalelor gestionate în prezent de județe și de orașul Zagreb către Republica Croația, în vederea utilizării raționale și de calitate a capacităților existente, a îmbunătățirii disponibilității și calității asistenței medicale prin reorganizarea modelului de gestionare a spitalelor. </w:t>
            </w:r>
            <w:r>
              <w:rPr>
                <w:noProof/>
              </w:rPr>
              <w:br/>
            </w:r>
            <w:r>
              <w:rPr>
                <w:noProof/>
              </w:rPr>
              <w:br/>
              <w:t>Modificările aduse Legii privind asigurarea obligatorie de sănătate stabilesc criterii clare și transparente pentru determinarea programului de măsuri de asistență medicală în cadrul asigurării obligatorii de sănătate, a organismelor care stabilesc și adoptă un program de măsuri și a domeniului de aplicare al asistenței medicale care urmează să fie acoperită de asigurarea obligatorie de sănătate, precum și pentru respectarea altor acte legislative. Legea urmărește:</w:t>
            </w:r>
            <w:r>
              <w:rPr>
                <w:noProof/>
              </w:rPr>
              <w:br/>
              <w:t xml:space="preserve">— Asigurarea unei asistențe medicale mai accesibile și mai prompte pentru persoanele asigurate atunci când au nevoie de aceasta; </w:t>
            </w:r>
            <w:r>
              <w:rPr>
                <w:noProof/>
              </w:rPr>
              <w:br/>
              <w:t xml:space="preserve">Reducerea listelor de așteptare pentru servicii medicale individuale, optimizarea și, în acest sens, o mai bună distribuire a resurselor medicale disponibile din asigurarea obligatorie de sănătate; </w:t>
            </w:r>
            <w:r>
              <w:rPr>
                <w:noProof/>
              </w:rPr>
              <w:br/>
              <w:t xml:space="preserve">— Furnizarea de finanțare în scopul realizării stabilității financiare, al sustenabilității acesteia și, în acest sens, al îmbunătățirii situației persoanelor asigurate în exercitarea asigurărilor obligatorii de sănătate; </w:t>
            </w:r>
            <w:r>
              <w:rPr>
                <w:noProof/>
              </w:rPr>
              <w:br/>
              <w:t>Introducerea unei dispoziții care să favorizeze entitățile contractante ale HZZO, în calitate de furnizori de servicii medicale, de la asigurarea obligatorie de sănătate, în ceea ce privește plata obligațiilor HZZO față de acestea în termenele prevăzute de lege, pentru a garanta dreptul la asistență medicală al persoanelor asigurate.</w:t>
            </w:r>
          </w:p>
        </w:tc>
      </w:tr>
      <w:tr w:rsidR="00FA7C11" w14:paraId="59A1019D"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9923EE1" w14:textId="77777777" w:rsidR="00FA7C11" w:rsidRDefault="00D84965">
            <w:pPr>
              <w:pStyle w:val="P68B1DB1-Normal66"/>
              <w:spacing w:after="200" w:line="276" w:lineRule="auto"/>
              <w:jc w:val="center"/>
              <w:rPr>
                <w:noProof/>
              </w:rPr>
            </w:pPr>
            <w:r>
              <w:rPr>
                <w:noProof/>
              </w:rPr>
              <w:t>337</w:t>
            </w:r>
          </w:p>
        </w:tc>
        <w:tc>
          <w:tcPr>
            <w:tcW w:w="1208" w:type="dxa"/>
            <w:tcBorders>
              <w:top w:val="single" w:sz="4" w:space="0" w:color="auto"/>
              <w:left w:val="nil"/>
              <w:bottom w:val="single" w:sz="4" w:space="0" w:color="auto"/>
              <w:right w:val="single" w:sz="4" w:space="0" w:color="auto"/>
            </w:tcBorders>
            <w:shd w:val="clear" w:color="auto" w:fill="C6EFCE"/>
            <w:noWrap/>
          </w:tcPr>
          <w:p w14:paraId="4A82FD6E" w14:textId="77777777" w:rsidR="00FA7C11" w:rsidRDefault="00D84965">
            <w:pPr>
              <w:pStyle w:val="P68B1DB1-Normal66"/>
              <w:spacing w:after="200" w:line="276" w:lineRule="auto"/>
              <w:jc w:val="center"/>
              <w:rPr>
                <w:noProof/>
              </w:rPr>
            </w:pPr>
            <w:r>
              <w:rPr>
                <w:noProof/>
              </w:rPr>
              <w:t>C5.1. R4</w:t>
            </w:r>
          </w:p>
        </w:tc>
        <w:tc>
          <w:tcPr>
            <w:tcW w:w="1019" w:type="dxa"/>
            <w:tcBorders>
              <w:top w:val="single" w:sz="4" w:space="0" w:color="auto"/>
              <w:left w:val="nil"/>
              <w:bottom w:val="single" w:sz="4" w:space="0" w:color="auto"/>
              <w:right w:val="single" w:sz="4" w:space="0" w:color="auto"/>
            </w:tcBorders>
            <w:shd w:val="clear" w:color="auto" w:fill="C6EFCE"/>
            <w:noWrap/>
          </w:tcPr>
          <w:p w14:paraId="1E413E91"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480A1485" w14:textId="77777777" w:rsidR="00FA7C11" w:rsidRDefault="00D84965">
            <w:pPr>
              <w:pStyle w:val="P68B1DB1-Normal66"/>
              <w:spacing w:after="200" w:line="276" w:lineRule="auto"/>
              <w:rPr>
                <w:noProof/>
              </w:rPr>
            </w:pPr>
            <w:r>
              <w:rPr>
                <w:noProof/>
              </w:rPr>
              <w:t xml:space="preserve">Integrarea funcțională a spitalelor </w:t>
            </w:r>
          </w:p>
        </w:tc>
        <w:tc>
          <w:tcPr>
            <w:tcW w:w="1985" w:type="dxa"/>
            <w:tcBorders>
              <w:top w:val="single" w:sz="4" w:space="0" w:color="auto"/>
              <w:left w:val="nil"/>
              <w:bottom w:val="single" w:sz="4" w:space="0" w:color="auto"/>
              <w:right w:val="single" w:sz="4" w:space="0" w:color="auto"/>
            </w:tcBorders>
            <w:shd w:val="clear" w:color="auto" w:fill="C6EFCE"/>
            <w:noWrap/>
          </w:tcPr>
          <w:p w14:paraId="45C215F9"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41D1BB43"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2609CFF5" w14:textId="77777777" w:rsidR="00FA7C11" w:rsidRDefault="00D84965">
            <w:pPr>
              <w:pStyle w:val="P68B1DB1-Normal66"/>
              <w:spacing w:after="200" w:line="276" w:lineRule="auto"/>
              <w:jc w:val="center"/>
              <w:rPr>
                <w:noProof/>
              </w:rPr>
            </w:pPr>
            <w:r>
              <w:rPr>
                <w:noProof/>
              </w:rPr>
              <w:t>12</w:t>
            </w:r>
          </w:p>
        </w:tc>
        <w:tc>
          <w:tcPr>
            <w:tcW w:w="976" w:type="dxa"/>
            <w:tcBorders>
              <w:top w:val="single" w:sz="4" w:space="0" w:color="auto"/>
              <w:left w:val="nil"/>
              <w:bottom w:val="single" w:sz="4" w:space="0" w:color="auto"/>
              <w:right w:val="single" w:sz="4" w:space="0" w:color="auto"/>
            </w:tcBorders>
            <w:shd w:val="clear" w:color="auto" w:fill="C6EFCE"/>
            <w:noWrap/>
          </w:tcPr>
          <w:p w14:paraId="617BC2F1" w14:textId="77777777" w:rsidR="00FA7C11" w:rsidRDefault="00D84965">
            <w:pPr>
              <w:pStyle w:val="P68B1DB1-Normal66"/>
              <w:spacing w:after="200" w:line="276" w:lineRule="auto"/>
              <w:jc w:val="center"/>
              <w:rPr>
                <w:noProof/>
              </w:rPr>
            </w:pPr>
            <w:r>
              <w:rPr>
                <w:noProof/>
              </w:rPr>
              <w:t>20</w:t>
            </w:r>
          </w:p>
        </w:tc>
        <w:tc>
          <w:tcPr>
            <w:tcW w:w="756" w:type="dxa"/>
            <w:tcBorders>
              <w:top w:val="single" w:sz="4" w:space="0" w:color="auto"/>
              <w:left w:val="nil"/>
              <w:bottom w:val="single" w:sz="4" w:space="0" w:color="auto"/>
              <w:right w:val="single" w:sz="4" w:space="0" w:color="auto"/>
            </w:tcBorders>
            <w:shd w:val="clear" w:color="auto" w:fill="C6EFCE"/>
            <w:noWrap/>
          </w:tcPr>
          <w:p w14:paraId="63F288B1"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6A72D2C7" w14:textId="77777777" w:rsidR="00FA7C11" w:rsidRDefault="00D84965">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520D0C63" w14:textId="77777777" w:rsidR="00FA7C11" w:rsidRDefault="00D84965">
            <w:pPr>
              <w:pStyle w:val="P68B1DB1-Normal66"/>
              <w:spacing w:after="200" w:line="276" w:lineRule="auto"/>
              <w:rPr>
                <w:noProof/>
              </w:rPr>
            </w:pPr>
            <w:r>
              <w:rPr>
                <w:noProof/>
              </w:rPr>
              <w:t>Se finalizează integrarea funcțională a cel puțin 8 spitale, pentru a raționaliza sistemul spitalicesc prin reducerea/redistribuirea activităților și reducerea capacității staționare acute, consolidând spitalele de zi cu zi ca tratamente mai eficiente din punctul de vedere al costurilor.</w:t>
            </w:r>
          </w:p>
        </w:tc>
      </w:tr>
      <w:tr w:rsidR="00FA7C11" w14:paraId="6AF09059"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0C7C119" w14:textId="77777777" w:rsidR="00FA7C11" w:rsidRDefault="00D84965">
            <w:pPr>
              <w:pStyle w:val="P68B1DB1-Normal66"/>
              <w:spacing w:after="200" w:line="276" w:lineRule="auto"/>
              <w:jc w:val="center"/>
              <w:rPr>
                <w:noProof/>
              </w:rPr>
            </w:pPr>
            <w:r>
              <w:rPr>
                <w:noProof/>
              </w:rPr>
              <w:t>338</w:t>
            </w:r>
          </w:p>
        </w:tc>
        <w:tc>
          <w:tcPr>
            <w:tcW w:w="1208" w:type="dxa"/>
            <w:tcBorders>
              <w:top w:val="single" w:sz="4" w:space="0" w:color="auto"/>
              <w:left w:val="nil"/>
              <w:bottom w:val="single" w:sz="4" w:space="0" w:color="auto"/>
              <w:right w:val="single" w:sz="4" w:space="0" w:color="auto"/>
            </w:tcBorders>
            <w:shd w:val="clear" w:color="auto" w:fill="C6EFCE"/>
            <w:noWrap/>
          </w:tcPr>
          <w:p w14:paraId="5A47A67C" w14:textId="77777777" w:rsidR="00FA7C11" w:rsidRDefault="00D84965">
            <w:pPr>
              <w:pStyle w:val="P68B1DB1-Normal66"/>
              <w:spacing w:after="200" w:line="276" w:lineRule="auto"/>
              <w:jc w:val="center"/>
              <w:rPr>
                <w:noProof/>
              </w:rPr>
            </w:pPr>
            <w:r>
              <w:rPr>
                <w:noProof/>
              </w:rPr>
              <w:t>C5.1. R4</w:t>
            </w:r>
          </w:p>
        </w:tc>
        <w:tc>
          <w:tcPr>
            <w:tcW w:w="1019" w:type="dxa"/>
            <w:tcBorders>
              <w:top w:val="single" w:sz="4" w:space="0" w:color="auto"/>
              <w:left w:val="nil"/>
              <w:bottom w:val="single" w:sz="4" w:space="0" w:color="auto"/>
              <w:right w:val="single" w:sz="4" w:space="0" w:color="auto"/>
            </w:tcBorders>
            <w:shd w:val="clear" w:color="auto" w:fill="C6EFCE"/>
            <w:noWrap/>
          </w:tcPr>
          <w:p w14:paraId="09CACB0D"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43DC69B2" w14:textId="77777777" w:rsidR="00FA7C11" w:rsidRDefault="00D84965">
            <w:pPr>
              <w:pStyle w:val="P68B1DB1-Normal66"/>
              <w:spacing w:after="200" w:line="276" w:lineRule="auto"/>
              <w:rPr>
                <w:noProof/>
              </w:rPr>
            </w:pPr>
            <w:r>
              <w:rPr>
                <w:noProof/>
              </w:rPr>
              <w:t>Procedura comună de achiziții publice pentru instituțiile sanitare</w:t>
            </w:r>
          </w:p>
        </w:tc>
        <w:tc>
          <w:tcPr>
            <w:tcW w:w="1985" w:type="dxa"/>
            <w:tcBorders>
              <w:top w:val="single" w:sz="4" w:space="0" w:color="auto"/>
              <w:left w:val="nil"/>
              <w:bottom w:val="single" w:sz="4" w:space="0" w:color="auto"/>
              <w:right w:val="single" w:sz="4" w:space="0" w:color="auto"/>
            </w:tcBorders>
            <w:shd w:val="clear" w:color="auto" w:fill="C6EFCE"/>
            <w:noWrap/>
          </w:tcPr>
          <w:p w14:paraId="79CF9F70"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2D247A5C" w14:textId="77777777" w:rsidR="00FA7C11" w:rsidRDefault="00D84965">
            <w:pPr>
              <w:pStyle w:val="P68B1DB1-Normal66"/>
              <w:spacing w:after="200" w:line="276" w:lineRule="auto"/>
              <w:jc w:val="center"/>
              <w:rPr>
                <w:noProof/>
              </w:rPr>
            </w:pPr>
            <w:r>
              <w:rPr>
                <w:noProof/>
              </w:rPr>
              <w:t>% (procent)</w:t>
            </w:r>
          </w:p>
        </w:tc>
        <w:tc>
          <w:tcPr>
            <w:tcW w:w="1087" w:type="dxa"/>
            <w:tcBorders>
              <w:top w:val="single" w:sz="4" w:space="0" w:color="auto"/>
              <w:left w:val="nil"/>
              <w:bottom w:val="single" w:sz="4" w:space="0" w:color="auto"/>
              <w:right w:val="single" w:sz="4" w:space="0" w:color="auto"/>
            </w:tcBorders>
            <w:shd w:val="clear" w:color="auto" w:fill="C6EFCE"/>
            <w:noWrap/>
          </w:tcPr>
          <w:p w14:paraId="6B76D9D6"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498FCC58" w14:textId="77777777" w:rsidR="00FA7C11" w:rsidRDefault="00D84965">
            <w:pPr>
              <w:pStyle w:val="P68B1DB1-Normal66"/>
              <w:spacing w:after="200" w:line="276" w:lineRule="auto"/>
              <w:jc w:val="center"/>
              <w:rPr>
                <w:noProof/>
              </w:rPr>
            </w:pPr>
            <w:r>
              <w:rPr>
                <w:noProof/>
              </w:rPr>
              <w:t>85</w:t>
            </w:r>
          </w:p>
        </w:tc>
        <w:tc>
          <w:tcPr>
            <w:tcW w:w="756" w:type="dxa"/>
            <w:tcBorders>
              <w:top w:val="single" w:sz="4" w:space="0" w:color="auto"/>
              <w:left w:val="nil"/>
              <w:bottom w:val="single" w:sz="4" w:space="0" w:color="auto"/>
              <w:right w:val="single" w:sz="4" w:space="0" w:color="auto"/>
            </w:tcBorders>
            <w:shd w:val="clear" w:color="auto" w:fill="C6EFCE"/>
            <w:noWrap/>
          </w:tcPr>
          <w:p w14:paraId="2C9F3180"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723AB3B2" w14:textId="77777777" w:rsidR="00FA7C11" w:rsidRDefault="00D84965">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510C9658" w14:textId="61A90422" w:rsidR="00FA7C11" w:rsidRDefault="00D84965">
            <w:pPr>
              <w:pStyle w:val="P68B1DB1-Normal66"/>
              <w:spacing w:after="200" w:line="276" w:lineRule="auto"/>
              <w:rPr>
                <w:noProof/>
              </w:rPr>
            </w:pPr>
            <w:r>
              <w:rPr>
                <w:noProof/>
              </w:rPr>
              <w:t>Cel puțin 85 % din categoriile de achiziții, reprezentând cel puțin 80 % din totalul cheltuielilor spitalelor gestionate de guvern, sunt achiziționate printr-o procedură comună de achiziții publice. Pentru a atinge obiectivul, pe baza unei modificări a deciziei privind desfășurarea în comun obligatorie a unei proceduri specifice de achiziții publice pentru instituțiile sanitare – Ministerul Sănătății (MIZ): să decidă să desfășoare o procedură comună de achiziții publice;</w:t>
            </w:r>
            <w:r>
              <w:rPr>
                <w:noProof/>
              </w:rPr>
              <w:br/>
              <w:t xml:space="preserve"> să încheie acorduri cu părțile interesate din domeniul achizițiilor publice comune; să instituie grupuri de experți care să elaboreze specificații tehnice pentru categoriile în cauză; și iv) punerea în aplicare a categoriilor de achiziții publice menționate în decizia privind punerea în aplicare comună obligatorie a unei proceduri specifice de achiziții publice pentru instituțiile sanitare – după intrarea în vigoare a specificațiilor tehnice. Procedurile comune de achiziții publice se desfășoară în conformitate cu Legea privind achizițiile publice și cu acordurile-cadru/contractele încheiate.</w:t>
            </w:r>
          </w:p>
        </w:tc>
      </w:tr>
      <w:tr w:rsidR="00FA7C11" w14:paraId="5BD8F671"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9DE9321" w14:textId="77777777" w:rsidR="00FA7C11" w:rsidRDefault="00D84965">
            <w:pPr>
              <w:pStyle w:val="P68B1DB1-Normal66"/>
              <w:spacing w:after="200" w:line="276" w:lineRule="auto"/>
              <w:jc w:val="center"/>
              <w:rPr>
                <w:noProof/>
              </w:rPr>
            </w:pPr>
            <w:r>
              <w:rPr>
                <w:noProof/>
              </w:rPr>
              <w:t>339</w:t>
            </w:r>
          </w:p>
        </w:tc>
        <w:tc>
          <w:tcPr>
            <w:tcW w:w="1208" w:type="dxa"/>
            <w:tcBorders>
              <w:top w:val="single" w:sz="4" w:space="0" w:color="auto"/>
              <w:left w:val="nil"/>
              <w:bottom w:val="single" w:sz="4" w:space="0" w:color="auto"/>
              <w:right w:val="single" w:sz="4" w:space="0" w:color="auto"/>
            </w:tcBorders>
            <w:shd w:val="clear" w:color="auto" w:fill="C6EFCE"/>
            <w:noWrap/>
          </w:tcPr>
          <w:p w14:paraId="5ABF28EF" w14:textId="77777777" w:rsidR="00FA7C11" w:rsidRDefault="00D84965">
            <w:pPr>
              <w:pStyle w:val="P68B1DB1-Normal66"/>
              <w:spacing w:after="200" w:line="276" w:lineRule="auto"/>
              <w:jc w:val="center"/>
              <w:rPr>
                <w:noProof/>
              </w:rPr>
            </w:pPr>
            <w:r>
              <w:rPr>
                <w:noProof/>
              </w:rPr>
              <w:t>C5.1. R4-I1</w:t>
            </w:r>
          </w:p>
        </w:tc>
        <w:tc>
          <w:tcPr>
            <w:tcW w:w="1019" w:type="dxa"/>
            <w:tcBorders>
              <w:top w:val="single" w:sz="4" w:space="0" w:color="auto"/>
              <w:left w:val="nil"/>
              <w:bottom w:val="single" w:sz="4" w:space="0" w:color="auto"/>
              <w:right w:val="single" w:sz="4" w:space="0" w:color="auto"/>
            </w:tcBorders>
            <w:shd w:val="clear" w:color="auto" w:fill="C6EFCE"/>
            <w:noWrap/>
          </w:tcPr>
          <w:p w14:paraId="729251C1"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72575FC2" w14:textId="77777777" w:rsidR="00FA7C11" w:rsidRDefault="00D84965">
            <w:pPr>
              <w:pStyle w:val="P68B1DB1-Normal66"/>
              <w:spacing w:after="200" w:line="276" w:lineRule="auto"/>
              <w:rPr>
                <w:noProof/>
              </w:rPr>
            </w:pPr>
            <w:r>
              <w:rPr>
                <w:noProof/>
              </w:rPr>
              <w:t xml:space="preserve">Gestionarea centralizată a preparatelor parenterale în 8 spitale </w:t>
            </w:r>
          </w:p>
        </w:tc>
        <w:tc>
          <w:tcPr>
            <w:tcW w:w="1985" w:type="dxa"/>
            <w:tcBorders>
              <w:top w:val="single" w:sz="4" w:space="0" w:color="auto"/>
              <w:left w:val="nil"/>
              <w:bottom w:val="single" w:sz="4" w:space="0" w:color="auto"/>
              <w:right w:val="single" w:sz="4" w:space="0" w:color="auto"/>
            </w:tcBorders>
            <w:shd w:val="clear" w:color="auto" w:fill="C6EFCE"/>
            <w:noWrap/>
          </w:tcPr>
          <w:p w14:paraId="1D017F0E"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5D73ED03" w14:textId="77777777" w:rsidR="00FA7C11" w:rsidRDefault="00D84965">
            <w:pPr>
              <w:pStyle w:val="P68B1DB1-Normal66"/>
              <w:spacing w:after="200" w:line="276" w:lineRule="auto"/>
              <w:jc w:val="center"/>
              <w:rPr>
                <w:noProof/>
              </w:rPr>
            </w:pPr>
            <w:r>
              <w:rPr>
                <w:noProof/>
              </w:rPr>
              <w:t>% (procent)</w:t>
            </w:r>
          </w:p>
        </w:tc>
        <w:tc>
          <w:tcPr>
            <w:tcW w:w="1087" w:type="dxa"/>
            <w:tcBorders>
              <w:top w:val="single" w:sz="4" w:space="0" w:color="auto"/>
              <w:left w:val="nil"/>
              <w:bottom w:val="single" w:sz="4" w:space="0" w:color="auto"/>
              <w:right w:val="single" w:sz="4" w:space="0" w:color="auto"/>
            </w:tcBorders>
            <w:shd w:val="clear" w:color="auto" w:fill="C6EFCE"/>
            <w:noWrap/>
          </w:tcPr>
          <w:p w14:paraId="43587D62"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34CEE4A8" w14:textId="77777777" w:rsidR="00FA7C11" w:rsidRDefault="00D84965">
            <w:pPr>
              <w:pStyle w:val="P68B1DB1-Normal66"/>
              <w:spacing w:after="200" w:line="276" w:lineRule="auto"/>
              <w:jc w:val="center"/>
              <w:rPr>
                <w:noProof/>
              </w:rPr>
            </w:pPr>
            <w:r>
              <w:rPr>
                <w:noProof/>
              </w:rPr>
              <w:t>75</w:t>
            </w:r>
          </w:p>
        </w:tc>
        <w:tc>
          <w:tcPr>
            <w:tcW w:w="756" w:type="dxa"/>
            <w:tcBorders>
              <w:top w:val="single" w:sz="4" w:space="0" w:color="auto"/>
              <w:left w:val="nil"/>
              <w:bottom w:val="single" w:sz="4" w:space="0" w:color="auto"/>
              <w:right w:val="single" w:sz="4" w:space="0" w:color="auto"/>
            </w:tcBorders>
            <w:shd w:val="clear" w:color="auto" w:fill="C6EFCE"/>
            <w:noWrap/>
          </w:tcPr>
          <w:p w14:paraId="0026C286" w14:textId="77777777" w:rsidR="00FA7C11" w:rsidRDefault="00D84965">
            <w:pPr>
              <w:pStyle w:val="P68B1DB1-Normal66"/>
              <w:spacing w:after="200" w:line="276" w:lineRule="auto"/>
              <w:jc w:val="center"/>
              <w:rPr>
                <w:noProof/>
              </w:rPr>
            </w:pPr>
            <w:r>
              <w:rPr>
                <w:noProof/>
              </w:rPr>
              <w:t>Î2</w:t>
            </w:r>
          </w:p>
        </w:tc>
        <w:tc>
          <w:tcPr>
            <w:tcW w:w="895" w:type="dxa"/>
            <w:tcBorders>
              <w:top w:val="single" w:sz="4" w:space="0" w:color="auto"/>
              <w:left w:val="nil"/>
              <w:bottom w:val="single" w:sz="4" w:space="0" w:color="auto"/>
              <w:right w:val="single" w:sz="4" w:space="0" w:color="auto"/>
            </w:tcBorders>
            <w:shd w:val="clear" w:color="auto" w:fill="C6EFCE"/>
            <w:noWrap/>
          </w:tcPr>
          <w:p w14:paraId="6A0138B6" w14:textId="77777777" w:rsidR="00FA7C11" w:rsidRDefault="00D84965">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4BE99A80" w14:textId="77777777" w:rsidR="00FA7C11" w:rsidRDefault="00D84965">
            <w:pPr>
              <w:pStyle w:val="P68B1DB1-Normal66"/>
              <w:spacing w:after="200" w:line="276" w:lineRule="auto"/>
              <w:rPr>
                <w:noProof/>
              </w:rPr>
            </w:pPr>
            <w:r>
              <w:rPr>
                <w:noProof/>
              </w:rPr>
              <w:t xml:space="preserve">Cel puțin 75 % din preparatele parenterale din opt spitale croate se efectuează prin prepararea centralizată a medicamentelor. </w:t>
            </w:r>
          </w:p>
        </w:tc>
      </w:tr>
      <w:tr w:rsidR="00FA7C11" w14:paraId="489554B2"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D733401" w14:textId="77777777" w:rsidR="00FA7C11" w:rsidRDefault="00D84965">
            <w:pPr>
              <w:pStyle w:val="P68B1DB1-Normal66"/>
              <w:spacing w:after="200" w:line="276" w:lineRule="auto"/>
              <w:jc w:val="center"/>
              <w:rPr>
                <w:noProof/>
              </w:rPr>
            </w:pPr>
            <w:r>
              <w:rPr>
                <w:noProof/>
              </w:rPr>
              <w:t>340</w:t>
            </w:r>
          </w:p>
        </w:tc>
        <w:tc>
          <w:tcPr>
            <w:tcW w:w="1208" w:type="dxa"/>
            <w:tcBorders>
              <w:top w:val="single" w:sz="4" w:space="0" w:color="auto"/>
              <w:left w:val="nil"/>
              <w:bottom w:val="single" w:sz="4" w:space="0" w:color="auto"/>
              <w:right w:val="single" w:sz="4" w:space="0" w:color="auto"/>
            </w:tcBorders>
            <w:shd w:val="clear" w:color="auto" w:fill="C6EFCE"/>
            <w:noWrap/>
          </w:tcPr>
          <w:p w14:paraId="379ED3DE" w14:textId="77777777" w:rsidR="00FA7C11" w:rsidRDefault="00D84965">
            <w:pPr>
              <w:pStyle w:val="P68B1DB1-Normal66"/>
              <w:spacing w:after="200" w:line="276" w:lineRule="auto"/>
              <w:jc w:val="center"/>
              <w:rPr>
                <w:noProof/>
              </w:rPr>
            </w:pPr>
            <w:r>
              <w:rPr>
                <w:noProof/>
              </w:rPr>
              <w:t>C5.1. R4-I2</w:t>
            </w:r>
          </w:p>
        </w:tc>
        <w:tc>
          <w:tcPr>
            <w:tcW w:w="1019" w:type="dxa"/>
            <w:tcBorders>
              <w:top w:val="single" w:sz="4" w:space="0" w:color="auto"/>
              <w:left w:val="nil"/>
              <w:bottom w:val="single" w:sz="4" w:space="0" w:color="auto"/>
              <w:right w:val="single" w:sz="4" w:space="0" w:color="auto"/>
            </w:tcBorders>
            <w:shd w:val="clear" w:color="auto" w:fill="C6EFCE"/>
            <w:noWrap/>
          </w:tcPr>
          <w:p w14:paraId="6332CCC1"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2EE5F18A" w14:textId="77777777" w:rsidR="00FA7C11" w:rsidRDefault="00D84965">
            <w:pPr>
              <w:pStyle w:val="P68B1DB1-Normal66"/>
              <w:spacing w:after="200" w:line="276" w:lineRule="auto"/>
              <w:rPr>
                <w:noProof/>
              </w:rPr>
            </w:pPr>
            <w:r>
              <w:rPr>
                <w:noProof/>
              </w:rPr>
              <w:t xml:space="preserve">Sistem de terapie unitară pentru forme solide de medicamente în 40 spitale croate </w:t>
            </w:r>
          </w:p>
        </w:tc>
        <w:tc>
          <w:tcPr>
            <w:tcW w:w="1985" w:type="dxa"/>
            <w:tcBorders>
              <w:top w:val="single" w:sz="4" w:space="0" w:color="auto"/>
              <w:left w:val="nil"/>
              <w:bottom w:val="single" w:sz="4" w:space="0" w:color="auto"/>
              <w:right w:val="single" w:sz="4" w:space="0" w:color="auto"/>
            </w:tcBorders>
            <w:shd w:val="clear" w:color="auto" w:fill="C6EFCE"/>
            <w:noWrap/>
          </w:tcPr>
          <w:p w14:paraId="4670046A"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526622B6"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334E6F8B"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319EFA6" w14:textId="77777777" w:rsidR="00FA7C11" w:rsidRDefault="00D84965">
            <w:pPr>
              <w:pStyle w:val="P68B1DB1-Normal66"/>
              <w:spacing w:after="200" w:line="276" w:lineRule="auto"/>
              <w:jc w:val="center"/>
              <w:rPr>
                <w:noProof/>
              </w:rPr>
            </w:pPr>
            <w:r>
              <w:rPr>
                <w:noProof/>
              </w:rPr>
              <w:t>40</w:t>
            </w:r>
          </w:p>
        </w:tc>
        <w:tc>
          <w:tcPr>
            <w:tcW w:w="756" w:type="dxa"/>
            <w:tcBorders>
              <w:top w:val="single" w:sz="4" w:space="0" w:color="auto"/>
              <w:left w:val="nil"/>
              <w:bottom w:val="single" w:sz="4" w:space="0" w:color="auto"/>
              <w:right w:val="single" w:sz="4" w:space="0" w:color="auto"/>
            </w:tcBorders>
            <w:shd w:val="clear" w:color="auto" w:fill="C6EFCE"/>
            <w:noWrap/>
          </w:tcPr>
          <w:p w14:paraId="750BB06F"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5C7C7933" w14:textId="77777777" w:rsidR="00FA7C11" w:rsidRDefault="00D84965">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2E428281" w14:textId="1168BB36" w:rsidR="00FA7C11" w:rsidRDefault="00D84965">
            <w:pPr>
              <w:pStyle w:val="P68B1DB1-Normal66"/>
              <w:spacing w:after="200" w:line="276" w:lineRule="auto"/>
              <w:rPr>
                <w:noProof/>
              </w:rPr>
            </w:pPr>
            <w:r>
              <w:rPr>
                <w:noProof/>
              </w:rPr>
              <w:t xml:space="preserve">Sistem de terapie unitară instalat în 40 spitale croate. </w:t>
            </w:r>
          </w:p>
        </w:tc>
      </w:tr>
      <w:tr w:rsidR="00FA7C11" w14:paraId="1DE747D8"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3DF1598" w14:textId="77777777" w:rsidR="00FA7C11" w:rsidRDefault="00D84965">
            <w:pPr>
              <w:pStyle w:val="P68B1DB1-Normal66"/>
              <w:spacing w:after="200" w:line="276" w:lineRule="auto"/>
              <w:jc w:val="center"/>
              <w:rPr>
                <w:noProof/>
              </w:rPr>
            </w:pPr>
            <w:r>
              <w:rPr>
                <w:noProof/>
              </w:rPr>
              <w:t>341</w:t>
            </w:r>
          </w:p>
        </w:tc>
        <w:tc>
          <w:tcPr>
            <w:tcW w:w="1208" w:type="dxa"/>
            <w:tcBorders>
              <w:top w:val="single" w:sz="4" w:space="0" w:color="auto"/>
              <w:left w:val="nil"/>
              <w:bottom w:val="single" w:sz="4" w:space="0" w:color="auto"/>
              <w:right w:val="single" w:sz="4" w:space="0" w:color="auto"/>
            </w:tcBorders>
            <w:shd w:val="clear" w:color="auto" w:fill="C6EFCE"/>
            <w:noWrap/>
          </w:tcPr>
          <w:p w14:paraId="404C3565" w14:textId="77777777" w:rsidR="00FA7C11" w:rsidRDefault="00D84965">
            <w:pPr>
              <w:pStyle w:val="P68B1DB1-Normal66"/>
              <w:spacing w:after="200" w:line="276" w:lineRule="auto"/>
              <w:jc w:val="center"/>
              <w:rPr>
                <w:noProof/>
              </w:rPr>
            </w:pPr>
            <w:r>
              <w:rPr>
                <w:noProof/>
              </w:rPr>
              <w:t>C5.1. R4-I3</w:t>
            </w:r>
          </w:p>
        </w:tc>
        <w:tc>
          <w:tcPr>
            <w:tcW w:w="1019" w:type="dxa"/>
            <w:tcBorders>
              <w:top w:val="single" w:sz="4" w:space="0" w:color="auto"/>
              <w:left w:val="nil"/>
              <w:bottom w:val="single" w:sz="4" w:space="0" w:color="auto"/>
              <w:right w:val="single" w:sz="4" w:space="0" w:color="auto"/>
            </w:tcBorders>
            <w:shd w:val="clear" w:color="auto" w:fill="C6EFCE"/>
            <w:noWrap/>
          </w:tcPr>
          <w:p w14:paraId="46A940FA"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62E9621" w14:textId="77777777" w:rsidR="00FA7C11" w:rsidRDefault="00D84965">
            <w:pPr>
              <w:pStyle w:val="P68B1DB1-Normal66"/>
              <w:spacing w:after="200" w:line="276" w:lineRule="auto"/>
              <w:rPr>
                <w:noProof/>
              </w:rPr>
            </w:pPr>
            <w:r>
              <w:rPr>
                <w:noProof/>
              </w:rPr>
              <w:t xml:space="preserve">Monitorizarea medicamentelor în sistemul spitalicesc, de la farmacie la pacient </w:t>
            </w:r>
          </w:p>
        </w:tc>
        <w:tc>
          <w:tcPr>
            <w:tcW w:w="1985" w:type="dxa"/>
            <w:tcBorders>
              <w:top w:val="single" w:sz="4" w:space="0" w:color="auto"/>
              <w:left w:val="nil"/>
              <w:bottom w:val="single" w:sz="4" w:space="0" w:color="auto"/>
              <w:right w:val="single" w:sz="4" w:space="0" w:color="auto"/>
            </w:tcBorders>
            <w:shd w:val="clear" w:color="auto" w:fill="C6EFCE"/>
            <w:noWrap/>
          </w:tcPr>
          <w:p w14:paraId="24424BA1"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1E5C1896"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4E27F5B4"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6E09D19B" w14:textId="77777777" w:rsidR="00FA7C11" w:rsidRDefault="00D84965">
            <w:pPr>
              <w:pStyle w:val="P68B1DB1-Normal66"/>
              <w:spacing w:after="200" w:line="276" w:lineRule="auto"/>
              <w:jc w:val="center"/>
              <w:rPr>
                <w:noProof/>
              </w:rPr>
            </w:pPr>
            <w:r>
              <w:rPr>
                <w:noProof/>
              </w:rPr>
              <w:t>30</w:t>
            </w:r>
          </w:p>
        </w:tc>
        <w:tc>
          <w:tcPr>
            <w:tcW w:w="756" w:type="dxa"/>
            <w:tcBorders>
              <w:top w:val="single" w:sz="4" w:space="0" w:color="auto"/>
              <w:left w:val="nil"/>
              <w:bottom w:val="single" w:sz="4" w:space="0" w:color="auto"/>
              <w:right w:val="single" w:sz="4" w:space="0" w:color="auto"/>
            </w:tcBorders>
            <w:shd w:val="clear" w:color="auto" w:fill="C6EFCE"/>
            <w:noWrap/>
          </w:tcPr>
          <w:p w14:paraId="09BB11A3" w14:textId="77777777" w:rsidR="00FA7C11" w:rsidRDefault="00D84965">
            <w:pPr>
              <w:pStyle w:val="P68B1DB1-Normal66"/>
              <w:spacing w:after="200" w:line="276" w:lineRule="auto"/>
              <w:jc w:val="center"/>
              <w:rPr>
                <w:noProof/>
              </w:rPr>
            </w:pPr>
            <w:r>
              <w:rPr>
                <w:noProof/>
              </w:rPr>
              <w:t>Î2</w:t>
            </w:r>
          </w:p>
        </w:tc>
        <w:tc>
          <w:tcPr>
            <w:tcW w:w="895" w:type="dxa"/>
            <w:tcBorders>
              <w:top w:val="single" w:sz="4" w:space="0" w:color="auto"/>
              <w:left w:val="nil"/>
              <w:bottom w:val="single" w:sz="4" w:space="0" w:color="auto"/>
              <w:right w:val="single" w:sz="4" w:space="0" w:color="auto"/>
            </w:tcBorders>
            <w:shd w:val="clear" w:color="auto" w:fill="C6EFCE"/>
            <w:noWrap/>
          </w:tcPr>
          <w:p w14:paraId="68A04419" w14:textId="77777777" w:rsidR="00FA7C11" w:rsidRDefault="00D84965">
            <w:pPr>
              <w:pStyle w:val="P68B1DB1-Normal66"/>
              <w:spacing w:after="200" w:line="276" w:lineRule="auto"/>
              <w:jc w:val="center"/>
              <w:rPr>
                <w:noProof/>
              </w:rPr>
            </w:pPr>
            <w:r>
              <w:rPr>
                <w:noProof/>
              </w:rPr>
              <w:t>2026</w:t>
            </w:r>
          </w:p>
        </w:tc>
        <w:tc>
          <w:tcPr>
            <w:tcW w:w="3827" w:type="dxa"/>
            <w:tcBorders>
              <w:top w:val="single" w:sz="4" w:space="0" w:color="auto"/>
              <w:left w:val="nil"/>
              <w:bottom w:val="single" w:sz="4" w:space="0" w:color="auto"/>
              <w:right w:val="single" w:sz="4" w:space="0" w:color="auto"/>
            </w:tcBorders>
            <w:shd w:val="clear" w:color="auto" w:fill="C6EFCE"/>
            <w:noWrap/>
          </w:tcPr>
          <w:p w14:paraId="67616186" w14:textId="77777777" w:rsidR="00FA7C11" w:rsidRDefault="00D84965">
            <w:pPr>
              <w:pStyle w:val="P68B1DB1-Normal66"/>
              <w:spacing w:after="200" w:line="276" w:lineRule="auto"/>
              <w:rPr>
                <w:noProof/>
              </w:rPr>
            </w:pPr>
            <w:r>
              <w:rPr>
                <w:noProof/>
              </w:rPr>
              <w:t xml:space="preserve">Cel puțin 30 spitale dispun de o soluție informatică integrată funcțională pentru monitorizarea medicamentelor în sistemul spitalicesc, de la farmacie până la pacient. </w:t>
            </w:r>
          </w:p>
        </w:tc>
      </w:tr>
      <w:tr w:rsidR="00FA7C11" w14:paraId="26F96D23" w14:textId="77777777">
        <w:trPr>
          <w:trHeight w:val="770"/>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CBBEE1A" w14:textId="77777777" w:rsidR="00FA7C11" w:rsidRDefault="00D84965">
            <w:pPr>
              <w:pStyle w:val="P68B1DB1-Normal66"/>
              <w:spacing w:after="200" w:line="276" w:lineRule="auto"/>
              <w:jc w:val="center"/>
              <w:rPr>
                <w:noProof/>
              </w:rPr>
            </w:pPr>
            <w:r>
              <w:rPr>
                <w:noProof/>
              </w:rPr>
              <w:t>342</w:t>
            </w:r>
          </w:p>
        </w:tc>
        <w:tc>
          <w:tcPr>
            <w:tcW w:w="1208" w:type="dxa"/>
            <w:tcBorders>
              <w:top w:val="single" w:sz="4" w:space="0" w:color="auto"/>
              <w:left w:val="nil"/>
              <w:bottom w:val="single" w:sz="4" w:space="0" w:color="auto"/>
              <w:right w:val="single" w:sz="4" w:space="0" w:color="auto"/>
            </w:tcBorders>
            <w:shd w:val="clear" w:color="auto" w:fill="C6EFCE"/>
            <w:noWrap/>
          </w:tcPr>
          <w:p w14:paraId="60AA43F8" w14:textId="77777777" w:rsidR="00FA7C11" w:rsidRDefault="00D84965">
            <w:pPr>
              <w:pStyle w:val="P68B1DB1-Normal66"/>
              <w:spacing w:after="200" w:line="276" w:lineRule="auto"/>
              <w:jc w:val="center"/>
              <w:rPr>
                <w:noProof/>
              </w:rPr>
            </w:pPr>
            <w:r>
              <w:rPr>
                <w:noProof/>
              </w:rPr>
              <w:t>C5.1. R4-I4</w:t>
            </w:r>
          </w:p>
        </w:tc>
        <w:tc>
          <w:tcPr>
            <w:tcW w:w="1019" w:type="dxa"/>
            <w:tcBorders>
              <w:top w:val="single" w:sz="4" w:space="0" w:color="auto"/>
              <w:left w:val="nil"/>
              <w:bottom w:val="single" w:sz="4" w:space="0" w:color="auto"/>
              <w:right w:val="single" w:sz="4" w:space="0" w:color="auto"/>
            </w:tcBorders>
            <w:shd w:val="clear" w:color="auto" w:fill="C6EFCE"/>
            <w:noWrap/>
          </w:tcPr>
          <w:p w14:paraId="7EFE69D7" w14:textId="77777777" w:rsidR="00FA7C11" w:rsidRDefault="00D84965">
            <w:pPr>
              <w:pStyle w:val="P68B1DB1-Normal66"/>
              <w:spacing w:after="200" w:line="276" w:lineRule="auto"/>
              <w:jc w:val="center"/>
              <w:rPr>
                <w:noProof/>
                <w:color w:val="000000" w:themeColor="text1"/>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012F5AC4" w14:textId="77777777" w:rsidR="00FA7C11" w:rsidRDefault="00D84965">
            <w:pPr>
              <w:pStyle w:val="P68B1DB1-Normal66"/>
              <w:spacing w:after="200" w:line="276" w:lineRule="auto"/>
              <w:rPr>
                <w:noProof/>
              </w:rPr>
            </w:pPr>
            <w:r>
              <w:rPr>
                <w:noProof/>
              </w:rPr>
              <w:t>Sistem de monitorizare a deficitelor de medicamente bazat pe tehnologia „blockchain”</w:t>
            </w:r>
          </w:p>
        </w:tc>
        <w:tc>
          <w:tcPr>
            <w:tcW w:w="1985" w:type="dxa"/>
            <w:tcBorders>
              <w:top w:val="single" w:sz="4" w:space="0" w:color="auto"/>
              <w:left w:val="nil"/>
              <w:bottom w:val="single" w:sz="4" w:space="0" w:color="auto"/>
              <w:right w:val="single" w:sz="4" w:space="0" w:color="auto"/>
            </w:tcBorders>
            <w:shd w:val="clear" w:color="auto" w:fill="C6EFCE"/>
            <w:noWrap/>
          </w:tcPr>
          <w:p w14:paraId="10B9B5D9" w14:textId="77777777" w:rsidR="00FA7C11" w:rsidRDefault="00D84965">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3F81F27E" w14:textId="77777777" w:rsidR="00FA7C11" w:rsidRDefault="00D84965">
            <w:pPr>
              <w:pStyle w:val="P68B1DB1-Normal66"/>
              <w:spacing w:after="200" w:line="276" w:lineRule="auto"/>
              <w:jc w:val="center"/>
              <w:rPr>
                <w:noProof/>
                <w:color w:val="000000" w:themeColor="text1"/>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774094A3"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0393370A" w14:textId="77777777" w:rsidR="00FA7C11" w:rsidRDefault="00D84965">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41B33DFE" w14:textId="77777777" w:rsidR="00FA7C11" w:rsidRDefault="00D84965">
            <w:pPr>
              <w:pStyle w:val="P68B1DB1-Normal66"/>
              <w:spacing w:after="200" w:line="276" w:lineRule="auto"/>
              <w:jc w:val="center"/>
              <w:rPr>
                <w:noProof/>
              </w:rPr>
            </w:pPr>
            <w:r>
              <w:rPr>
                <w:noProof/>
              </w:rPr>
              <w:t>Î2</w:t>
            </w:r>
          </w:p>
        </w:tc>
        <w:tc>
          <w:tcPr>
            <w:tcW w:w="895" w:type="dxa"/>
            <w:tcBorders>
              <w:top w:val="single" w:sz="4" w:space="0" w:color="auto"/>
              <w:left w:val="nil"/>
              <w:bottom w:val="single" w:sz="4" w:space="0" w:color="auto"/>
              <w:right w:val="single" w:sz="4" w:space="0" w:color="auto"/>
            </w:tcBorders>
            <w:shd w:val="clear" w:color="auto" w:fill="C6EFCE"/>
            <w:noWrap/>
          </w:tcPr>
          <w:p w14:paraId="145E1E6E" w14:textId="77777777" w:rsidR="00FA7C11" w:rsidRDefault="00D84965">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79C21DAD" w14:textId="09A2810D" w:rsidR="00FA7C11" w:rsidRDefault="00D84965">
            <w:pPr>
              <w:pStyle w:val="P68B1DB1-Normal66"/>
              <w:spacing w:after="200" w:line="276" w:lineRule="auto"/>
              <w:rPr>
                <w:noProof/>
              </w:rPr>
            </w:pPr>
            <w:r>
              <w:rPr>
                <w:noProof/>
              </w:rPr>
              <w:t>Se dezvoltă o soluție software pentru monitorizarea penuriei de medicamente în Croația și pentru dezvoltarea unui model integrat de anticipare și prevenire a penuriei de medicamente. Medicamentele sunt monitorizate prin intermediul soluției software blockchain.</w:t>
            </w:r>
          </w:p>
        </w:tc>
      </w:tr>
      <w:tr w:rsidR="00FA7C11" w14:paraId="7C387859"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9DC91C9" w14:textId="77777777" w:rsidR="00FA7C11" w:rsidRDefault="00D84965">
            <w:pPr>
              <w:pStyle w:val="P68B1DB1-Normal66"/>
              <w:spacing w:after="200" w:line="276" w:lineRule="auto"/>
              <w:jc w:val="center"/>
              <w:rPr>
                <w:noProof/>
              </w:rPr>
            </w:pPr>
            <w:r>
              <w:rPr>
                <w:noProof/>
              </w:rPr>
              <w:t>343</w:t>
            </w:r>
          </w:p>
        </w:tc>
        <w:tc>
          <w:tcPr>
            <w:tcW w:w="1208" w:type="dxa"/>
            <w:tcBorders>
              <w:top w:val="single" w:sz="4" w:space="0" w:color="auto"/>
              <w:left w:val="nil"/>
              <w:bottom w:val="single" w:sz="4" w:space="0" w:color="auto"/>
              <w:right w:val="single" w:sz="4" w:space="0" w:color="auto"/>
            </w:tcBorders>
            <w:shd w:val="clear" w:color="auto" w:fill="C6EFCE"/>
            <w:noWrap/>
          </w:tcPr>
          <w:p w14:paraId="2DD19D18" w14:textId="77777777" w:rsidR="00FA7C11" w:rsidRDefault="00D84965">
            <w:pPr>
              <w:pStyle w:val="P68B1DB1-Normal66"/>
              <w:spacing w:after="200" w:line="276" w:lineRule="auto"/>
              <w:jc w:val="center"/>
              <w:rPr>
                <w:noProof/>
              </w:rPr>
            </w:pPr>
            <w:r>
              <w:rPr>
                <w:noProof/>
              </w:rPr>
              <w:t>C5.1. R5-I5</w:t>
            </w:r>
          </w:p>
        </w:tc>
        <w:tc>
          <w:tcPr>
            <w:tcW w:w="1019" w:type="dxa"/>
            <w:tcBorders>
              <w:top w:val="single" w:sz="4" w:space="0" w:color="auto"/>
              <w:left w:val="nil"/>
              <w:bottom w:val="single" w:sz="4" w:space="0" w:color="auto"/>
              <w:right w:val="single" w:sz="4" w:space="0" w:color="auto"/>
            </w:tcBorders>
            <w:shd w:val="clear" w:color="auto" w:fill="C6EFCE"/>
            <w:noWrap/>
          </w:tcPr>
          <w:p w14:paraId="5D8469B9"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3BD8CD67" w14:textId="77777777" w:rsidR="00FA7C11" w:rsidRDefault="00D84965">
            <w:pPr>
              <w:pStyle w:val="P68B1DB1-Normal66"/>
              <w:spacing w:after="200" w:line="276" w:lineRule="auto"/>
              <w:rPr>
                <w:noProof/>
              </w:rPr>
            </w:pPr>
            <w:r>
              <w:rPr>
                <w:noProof/>
              </w:rPr>
              <w:t xml:space="preserve">Unități de diagnostic Centrul Spital Clinic (KBC) Merkur </w:t>
            </w:r>
          </w:p>
        </w:tc>
        <w:tc>
          <w:tcPr>
            <w:tcW w:w="1985" w:type="dxa"/>
            <w:tcBorders>
              <w:top w:val="single" w:sz="4" w:space="0" w:color="auto"/>
              <w:left w:val="nil"/>
              <w:bottom w:val="single" w:sz="4" w:space="0" w:color="auto"/>
              <w:right w:val="single" w:sz="4" w:space="0" w:color="auto"/>
            </w:tcBorders>
            <w:shd w:val="clear" w:color="auto" w:fill="C6EFCE"/>
            <w:noWrap/>
          </w:tcPr>
          <w:p w14:paraId="074CB12D"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2435CD23"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3F0B7DA0"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36DF28A9" w14:textId="77777777" w:rsidR="00FA7C11" w:rsidRDefault="00D84965">
            <w:pPr>
              <w:pStyle w:val="P68B1DB1-Normal66"/>
              <w:spacing w:after="200" w:line="276" w:lineRule="auto"/>
              <w:jc w:val="center"/>
              <w:rPr>
                <w:noProof/>
              </w:rPr>
            </w:pPr>
            <w:r>
              <w:rPr>
                <w:noProof/>
              </w:rPr>
              <w:t>4</w:t>
            </w:r>
          </w:p>
        </w:tc>
        <w:tc>
          <w:tcPr>
            <w:tcW w:w="756" w:type="dxa"/>
            <w:tcBorders>
              <w:top w:val="single" w:sz="4" w:space="0" w:color="auto"/>
              <w:left w:val="nil"/>
              <w:bottom w:val="single" w:sz="4" w:space="0" w:color="auto"/>
              <w:right w:val="single" w:sz="4" w:space="0" w:color="auto"/>
            </w:tcBorders>
            <w:shd w:val="clear" w:color="auto" w:fill="C6EFCE"/>
            <w:noWrap/>
          </w:tcPr>
          <w:p w14:paraId="2A27A474" w14:textId="77777777" w:rsidR="00FA7C11" w:rsidRDefault="00D84965">
            <w:pPr>
              <w:pStyle w:val="P68B1DB1-Normal66"/>
              <w:spacing w:after="200" w:line="276" w:lineRule="auto"/>
              <w:jc w:val="center"/>
              <w:rPr>
                <w:noProof/>
              </w:rPr>
            </w:pPr>
            <w:r>
              <w:rPr>
                <w:noProof/>
              </w:rPr>
              <w:t>Î1</w:t>
            </w:r>
          </w:p>
        </w:tc>
        <w:tc>
          <w:tcPr>
            <w:tcW w:w="895" w:type="dxa"/>
            <w:tcBorders>
              <w:top w:val="single" w:sz="4" w:space="0" w:color="auto"/>
              <w:left w:val="nil"/>
              <w:bottom w:val="single" w:sz="4" w:space="0" w:color="auto"/>
              <w:right w:val="single" w:sz="4" w:space="0" w:color="auto"/>
            </w:tcBorders>
            <w:shd w:val="clear" w:color="auto" w:fill="C6EFCE"/>
            <w:noWrap/>
          </w:tcPr>
          <w:p w14:paraId="4DDCAD70" w14:textId="77777777" w:rsidR="00FA7C11" w:rsidRDefault="00D84965">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25F67D7A" w14:textId="77777777" w:rsidR="00FA7C11" w:rsidRDefault="00D84965">
            <w:pPr>
              <w:pStyle w:val="P68B1DB1-Normal66"/>
              <w:spacing w:after="200" w:line="276" w:lineRule="auto"/>
              <w:rPr>
                <w:noProof/>
              </w:rPr>
            </w:pPr>
            <w:r>
              <w:rPr>
                <w:noProof/>
              </w:rPr>
              <w:t>Pentru a îmbunătăți calitatea serviciului, a crește numărul de tratamente pentru pacienți, a accelera și a spori disponibilitatea și calitatea asistenței medicale pentru toate categoriile de pacienți, echipamentele se instalează pentru cel puțin 4 de unități de diagnosticare la Centrul spitalicesc clinic (KBC) Merkur. Echipamentul instalat constă în:</w:t>
            </w:r>
            <w:r>
              <w:rPr>
                <w:noProof/>
              </w:rPr>
              <w:br/>
              <w:t>— Aparate pentru ecocardiografie transtoracică și transesogastrică;</w:t>
            </w:r>
            <w:r>
              <w:rPr>
                <w:noProof/>
              </w:rPr>
              <w:br/>
              <w:t>— Trei monitoare pentru unități coronariene;</w:t>
            </w:r>
            <w:r>
              <w:rPr>
                <w:noProof/>
              </w:rPr>
              <w:br/>
              <w:t>— Sistem de telemetrie a pacienților în compartimentul deschis;</w:t>
            </w:r>
            <w:r>
              <w:rPr>
                <w:noProof/>
              </w:rPr>
              <w:br/>
              <w:t>— Ecografie de putere mai puternică;</w:t>
            </w:r>
            <w:r>
              <w:rPr>
                <w:noProof/>
              </w:rPr>
              <w:br/>
              <w:t>— Ultrasunete cu putere mai mică;</w:t>
            </w:r>
            <w:r>
              <w:rPr>
                <w:noProof/>
              </w:rPr>
              <w:br/>
              <w:t>— Rezonanță magnetică MR 3T;</w:t>
            </w:r>
            <w:r>
              <w:rPr>
                <w:noProof/>
              </w:rPr>
              <w:br/>
              <w:t>— Scaner pentru mamografie;</w:t>
            </w:r>
            <w:r>
              <w:rPr>
                <w:noProof/>
              </w:rPr>
              <w:br/>
              <w:t>Tomografie computerizată cu mai multe felii (MSCT);</w:t>
            </w:r>
            <w:r>
              <w:rPr>
                <w:noProof/>
              </w:rPr>
              <w:br/>
              <w:t xml:space="preserve">— Ultrasunete; </w:t>
            </w:r>
            <w:r>
              <w:rPr>
                <w:noProof/>
              </w:rPr>
              <w:br/>
              <w:t>— Ultrasunete cu sondă și imprimantă convexă 3D/4D, vaginală 3D/4D, vaginală 2 D și convexă 2D;</w:t>
            </w:r>
            <w:r>
              <w:rPr>
                <w:noProof/>
              </w:rPr>
              <w:br/>
              <w:t>— Ultrasunete Color Doppler de clasă superioară.</w:t>
            </w:r>
          </w:p>
        </w:tc>
      </w:tr>
      <w:tr w:rsidR="00FA7C11" w14:paraId="692C04E2"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D6DF608" w14:textId="77777777" w:rsidR="00FA7C11" w:rsidRDefault="00D84965">
            <w:pPr>
              <w:pStyle w:val="P68B1DB1-Normal66"/>
              <w:spacing w:after="200" w:line="276" w:lineRule="auto"/>
              <w:jc w:val="center"/>
              <w:rPr>
                <w:noProof/>
              </w:rPr>
            </w:pPr>
            <w:r>
              <w:rPr>
                <w:noProof/>
              </w:rPr>
              <w:t>344</w:t>
            </w:r>
          </w:p>
        </w:tc>
        <w:tc>
          <w:tcPr>
            <w:tcW w:w="1208" w:type="dxa"/>
            <w:tcBorders>
              <w:top w:val="single" w:sz="4" w:space="0" w:color="auto"/>
              <w:left w:val="nil"/>
              <w:bottom w:val="single" w:sz="4" w:space="0" w:color="auto"/>
              <w:right w:val="single" w:sz="4" w:space="0" w:color="auto"/>
            </w:tcBorders>
            <w:shd w:val="clear" w:color="auto" w:fill="C6EFCE"/>
            <w:noWrap/>
          </w:tcPr>
          <w:p w14:paraId="1E844296" w14:textId="77777777" w:rsidR="00FA7C11" w:rsidRDefault="00D84965">
            <w:pPr>
              <w:pStyle w:val="P68B1DB1-Normal66"/>
              <w:spacing w:after="200" w:line="276" w:lineRule="auto"/>
              <w:jc w:val="center"/>
              <w:rPr>
                <w:noProof/>
              </w:rPr>
            </w:pPr>
            <w:r>
              <w:rPr>
                <w:noProof/>
              </w:rPr>
              <w:t>C5.1. R4-I5</w:t>
            </w:r>
          </w:p>
        </w:tc>
        <w:tc>
          <w:tcPr>
            <w:tcW w:w="1019" w:type="dxa"/>
            <w:tcBorders>
              <w:top w:val="single" w:sz="4" w:space="0" w:color="auto"/>
              <w:left w:val="nil"/>
              <w:bottom w:val="single" w:sz="4" w:space="0" w:color="auto"/>
              <w:right w:val="single" w:sz="4" w:space="0" w:color="auto"/>
            </w:tcBorders>
            <w:shd w:val="clear" w:color="auto" w:fill="C6EFCE"/>
            <w:noWrap/>
          </w:tcPr>
          <w:p w14:paraId="52FB3860" w14:textId="77777777" w:rsidR="00FA7C11" w:rsidRDefault="00D84965">
            <w:pPr>
              <w:pStyle w:val="P68B1DB1-Normal66"/>
              <w:spacing w:after="200" w:line="276" w:lineRule="auto"/>
              <w:jc w:val="center"/>
              <w:rPr>
                <w:noProof/>
                <w:color w:val="000000" w:themeColor="text1"/>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0AAEAA72" w14:textId="77777777" w:rsidR="00FA7C11" w:rsidRDefault="00D84965">
            <w:pPr>
              <w:pStyle w:val="P68B1DB1-Normal66"/>
              <w:spacing w:after="200" w:line="276" w:lineRule="auto"/>
              <w:rPr>
                <w:noProof/>
              </w:rPr>
            </w:pPr>
            <w:r>
              <w:rPr>
                <w:noProof/>
              </w:rPr>
              <w:t>Monitorizarea rezultatelor tratamentului pacienților cronici din afara spitalelor în farmaciile publice</w:t>
            </w:r>
          </w:p>
        </w:tc>
        <w:tc>
          <w:tcPr>
            <w:tcW w:w="1985" w:type="dxa"/>
            <w:tcBorders>
              <w:top w:val="single" w:sz="4" w:space="0" w:color="auto"/>
              <w:left w:val="nil"/>
              <w:bottom w:val="single" w:sz="4" w:space="0" w:color="auto"/>
              <w:right w:val="single" w:sz="4" w:space="0" w:color="auto"/>
            </w:tcBorders>
            <w:shd w:val="clear" w:color="auto" w:fill="C6EFCE"/>
            <w:noWrap/>
          </w:tcPr>
          <w:p w14:paraId="69CD9CA5"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0FFF5FDA"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530CF5FA"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3345521C" w14:textId="77777777" w:rsidR="00FA7C11" w:rsidRDefault="00D84965">
            <w:pPr>
              <w:pStyle w:val="P68B1DB1-Normal66"/>
              <w:spacing w:after="200" w:line="276" w:lineRule="auto"/>
              <w:jc w:val="center"/>
              <w:rPr>
                <w:noProof/>
              </w:rPr>
            </w:pPr>
            <w:r>
              <w:rPr>
                <w:noProof/>
              </w:rPr>
              <w:t>1</w:t>
            </w:r>
          </w:p>
        </w:tc>
        <w:tc>
          <w:tcPr>
            <w:tcW w:w="756" w:type="dxa"/>
            <w:tcBorders>
              <w:top w:val="single" w:sz="4" w:space="0" w:color="auto"/>
              <w:left w:val="nil"/>
              <w:bottom w:val="single" w:sz="4" w:space="0" w:color="auto"/>
              <w:right w:val="single" w:sz="4" w:space="0" w:color="auto"/>
            </w:tcBorders>
            <w:shd w:val="clear" w:color="auto" w:fill="C6EFCE"/>
            <w:noWrap/>
          </w:tcPr>
          <w:p w14:paraId="056BD14B"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1448EAEA" w14:textId="77777777" w:rsidR="00FA7C11" w:rsidRDefault="00D84965">
            <w:pPr>
              <w:pStyle w:val="P68B1DB1-Normal66"/>
              <w:spacing w:after="200" w:line="276" w:lineRule="auto"/>
              <w:jc w:val="center"/>
              <w:rPr>
                <w:noProof/>
              </w:rPr>
            </w:pPr>
            <w:r>
              <w:rPr>
                <w:noProof/>
              </w:rPr>
              <w:t>2025</w:t>
            </w:r>
          </w:p>
        </w:tc>
        <w:tc>
          <w:tcPr>
            <w:tcW w:w="3827" w:type="dxa"/>
            <w:tcBorders>
              <w:top w:val="single" w:sz="4" w:space="0" w:color="auto"/>
              <w:left w:val="nil"/>
              <w:bottom w:val="single" w:sz="4" w:space="0" w:color="auto"/>
              <w:right w:val="single" w:sz="4" w:space="0" w:color="auto"/>
            </w:tcBorders>
            <w:shd w:val="clear" w:color="auto" w:fill="C6EFCE"/>
            <w:noWrap/>
          </w:tcPr>
          <w:p w14:paraId="4C68BD1E" w14:textId="77777777" w:rsidR="00FA7C11" w:rsidRDefault="00D84965">
            <w:pPr>
              <w:pStyle w:val="P68B1DB1-Normal66"/>
              <w:spacing w:after="200" w:line="276" w:lineRule="auto"/>
              <w:rPr>
                <w:noProof/>
              </w:rPr>
            </w:pPr>
            <w:r>
              <w:rPr>
                <w:noProof/>
              </w:rPr>
              <w:t>Proiectul permite monitorizarea pacienților și crearea de date structurate care sunt puse la dispoziție prin intermediul Sistemului central de informații privind sănătatea din Republica Croația (CEZIH).</w:t>
            </w:r>
          </w:p>
        </w:tc>
      </w:tr>
      <w:tr w:rsidR="00FA7C11" w14:paraId="28FEB45C"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8C43BE6" w14:textId="77777777" w:rsidR="00FA7C11" w:rsidRDefault="00D84965">
            <w:pPr>
              <w:pStyle w:val="P68B1DB1-Normal66"/>
              <w:spacing w:after="200" w:line="276" w:lineRule="auto"/>
              <w:jc w:val="center"/>
              <w:rPr>
                <w:noProof/>
              </w:rPr>
            </w:pPr>
            <w:r>
              <w:rPr>
                <w:noProof/>
              </w:rPr>
              <w:t>346</w:t>
            </w:r>
          </w:p>
        </w:tc>
        <w:tc>
          <w:tcPr>
            <w:tcW w:w="1208" w:type="dxa"/>
            <w:tcBorders>
              <w:top w:val="single" w:sz="4" w:space="0" w:color="auto"/>
              <w:left w:val="nil"/>
              <w:bottom w:val="single" w:sz="4" w:space="0" w:color="auto"/>
              <w:right w:val="single" w:sz="4" w:space="0" w:color="auto"/>
            </w:tcBorders>
            <w:shd w:val="clear" w:color="auto" w:fill="C6EFCE"/>
            <w:noWrap/>
          </w:tcPr>
          <w:p w14:paraId="7B3AD2AC" w14:textId="77777777" w:rsidR="00FA7C11" w:rsidRDefault="00D84965">
            <w:pPr>
              <w:pStyle w:val="P68B1DB1-Normal66"/>
              <w:spacing w:after="200" w:line="276" w:lineRule="auto"/>
              <w:jc w:val="center"/>
              <w:rPr>
                <w:noProof/>
              </w:rPr>
            </w:pPr>
            <w:r>
              <w:rPr>
                <w:noProof/>
              </w:rPr>
              <w:t>C5.1. R5</w:t>
            </w:r>
          </w:p>
        </w:tc>
        <w:tc>
          <w:tcPr>
            <w:tcW w:w="1019" w:type="dxa"/>
            <w:tcBorders>
              <w:top w:val="single" w:sz="4" w:space="0" w:color="auto"/>
              <w:left w:val="nil"/>
              <w:bottom w:val="single" w:sz="4" w:space="0" w:color="auto"/>
              <w:right w:val="single" w:sz="4" w:space="0" w:color="auto"/>
            </w:tcBorders>
            <w:shd w:val="clear" w:color="auto" w:fill="C6EFCE"/>
            <w:noWrap/>
          </w:tcPr>
          <w:p w14:paraId="1AB114CF" w14:textId="77777777" w:rsidR="00FA7C11" w:rsidRDefault="00D84965">
            <w:pPr>
              <w:pStyle w:val="P68B1DB1-Normal66"/>
              <w:spacing w:after="200" w:line="276" w:lineRule="auto"/>
              <w:jc w:val="center"/>
              <w:rPr>
                <w:noProof/>
              </w:rPr>
            </w:pPr>
            <w:r>
              <w:rPr>
                <w:noProof/>
              </w:rPr>
              <w:t>M</w:t>
            </w:r>
          </w:p>
        </w:tc>
        <w:tc>
          <w:tcPr>
            <w:tcW w:w="1888" w:type="dxa"/>
            <w:tcBorders>
              <w:top w:val="single" w:sz="4" w:space="0" w:color="auto"/>
              <w:left w:val="nil"/>
              <w:bottom w:val="single" w:sz="4" w:space="0" w:color="auto"/>
              <w:right w:val="single" w:sz="4" w:space="0" w:color="auto"/>
            </w:tcBorders>
            <w:shd w:val="clear" w:color="auto" w:fill="C6EFCE"/>
            <w:noWrap/>
          </w:tcPr>
          <w:p w14:paraId="16781AA6" w14:textId="77777777" w:rsidR="00FA7C11" w:rsidRDefault="00D84965">
            <w:pPr>
              <w:pStyle w:val="P68B1DB1-Normal66"/>
              <w:spacing w:after="200" w:line="276" w:lineRule="auto"/>
              <w:rPr>
                <w:noProof/>
              </w:rPr>
            </w:pPr>
            <w:r>
              <w:rPr>
                <w:noProof/>
              </w:rPr>
              <w:t>Îmbunătățirea și extinderea serviciilor de telemedicină</w:t>
            </w:r>
          </w:p>
        </w:tc>
        <w:tc>
          <w:tcPr>
            <w:tcW w:w="1985" w:type="dxa"/>
            <w:tcBorders>
              <w:top w:val="single" w:sz="4" w:space="0" w:color="auto"/>
              <w:left w:val="nil"/>
              <w:bottom w:val="single" w:sz="4" w:space="0" w:color="auto"/>
              <w:right w:val="single" w:sz="4" w:space="0" w:color="auto"/>
            </w:tcBorders>
            <w:shd w:val="clear" w:color="auto" w:fill="C6EFCE"/>
            <w:noWrap/>
          </w:tcPr>
          <w:p w14:paraId="18A316CB" w14:textId="77777777" w:rsidR="00FA7C11" w:rsidRDefault="00D84965">
            <w:pPr>
              <w:pStyle w:val="P68B1DB1-Normal66"/>
              <w:spacing w:after="200" w:line="276" w:lineRule="auto"/>
              <w:rPr>
                <w:noProof/>
              </w:rPr>
            </w:pPr>
            <w:r>
              <w:rPr>
                <w:noProof/>
              </w:rPr>
              <w:t>Intrarea în vigoare a unui cadru național de telemedicină care extinde domeniul de aplicare al serviciilor de telemedicină</w:t>
            </w:r>
          </w:p>
        </w:tc>
        <w:tc>
          <w:tcPr>
            <w:tcW w:w="1296" w:type="dxa"/>
            <w:tcBorders>
              <w:top w:val="single" w:sz="4" w:space="0" w:color="auto"/>
              <w:left w:val="nil"/>
              <w:bottom w:val="single" w:sz="4" w:space="0" w:color="auto"/>
              <w:right w:val="single" w:sz="4" w:space="0" w:color="auto"/>
            </w:tcBorders>
            <w:shd w:val="clear" w:color="auto" w:fill="C6EFCE"/>
            <w:noWrap/>
          </w:tcPr>
          <w:p w14:paraId="43AE1DF9" w14:textId="77777777" w:rsidR="00FA7C11" w:rsidRDefault="00D84965">
            <w:pPr>
              <w:pStyle w:val="P68B1DB1-Normal66"/>
              <w:spacing w:after="200" w:line="276" w:lineRule="auto"/>
              <w:jc w:val="center"/>
              <w:rPr>
                <w:noProof/>
              </w:rPr>
            </w:pPr>
            <w:r>
              <w:rPr>
                <w:noProof/>
              </w:rPr>
              <w:t> </w:t>
            </w:r>
          </w:p>
        </w:tc>
        <w:tc>
          <w:tcPr>
            <w:tcW w:w="1087" w:type="dxa"/>
            <w:tcBorders>
              <w:top w:val="single" w:sz="4" w:space="0" w:color="auto"/>
              <w:left w:val="nil"/>
              <w:bottom w:val="single" w:sz="4" w:space="0" w:color="auto"/>
              <w:right w:val="single" w:sz="4" w:space="0" w:color="auto"/>
            </w:tcBorders>
            <w:shd w:val="clear" w:color="auto" w:fill="C6EFCE"/>
            <w:noWrap/>
          </w:tcPr>
          <w:p w14:paraId="09C0A417" w14:textId="77777777" w:rsidR="00FA7C11" w:rsidRDefault="00D84965">
            <w:pPr>
              <w:pStyle w:val="P68B1DB1-Normal66"/>
              <w:spacing w:after="200" w:line="276" w:lineRule="auto"/>
              <w:jc w:val="center"/>
              <w:rPr>
                <w:noProof/>
              </w:rPr>
            </w:pPr>
            <w:r>
              <w:rPr>
                <w:noProof/>
              </w:rPr>
              <w:t> </w:t>
            </w:r>
          </w:p>
        </w:tc>
        <w:tc>
          <w:tcPr>
            <w:tcW w:w="976" w:type="dxa"/>
            <w:tcBorders>
              <w:top w:val="single" w:sz="4" w:space="0" w:color="auto"/>
              <w:left w:val="nil"/>
              <w:bottom w:val="single" w:sz="4" w:space="0" w:color="auto"/>
              <w:right w:val="single" w:sz="4" w:space="0" w:color="auto"/>
            </w:tcBorders>
            <w:shd w:val="clear" w:color="auto" w:fill="C6EFCE"/>
            <w:noWrap/>
          </w:tcPr>
          <w:p w14:paraId="3E63B689" w14:textId="77777777" w:rsidR="00FA7C11" w:rsidRDefault="00D84965">
            <w:pPr>
              <w:pStyle w:val="P68B1DB1-Normal66"/>
              <w:spacing w:after="200" w:line="276" w:lineRule="auto"/>
              <w:jc w:val="center"/>
              <w:rPr>
                <w:noProof/>
              </w:rPr>
            </w:pPr>
            <w:r>
              <w:rPr>
                <w:noProof/>
              </w:rPr>
              <w:t> </w:t>
            </w:r>
          </w:p>
        </w:tc>
        <w:tc>
          <w:tcPr>
            <w:tcW w:w="756" w:type="dxa"/>
            <w:tcBorders>
              <w:top w:val="single" w:sz="4" w:space="0" w:color="auto"/>
              <w:left w:val="nil"/>
              <w:bottom w:val="single" w:sz="4" w:space="0" w:color="auto"/>
              <w:right w:val="single" w:sz="4" w:space="0" w:color="auto"/>
            </w:tcBorders>
            <w:shd w:val="clear" w:color="auto" w:fill="C6EFCE"/>
            <w:noWrap/>
          </w:tcPr>
          <w:p w14:paraId="125E77BF"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4D2482EC" w14:textId="77777777" w:rsidR="00FA7C11" w:rsidRDefault="00D84965">
            <w:pPr>
              <w:pStyle w:val="P68B1DB1-Normal66"/>
              <w:spacing w:after="200" w:line="276" w:lineRule="auto"/>
              <w:jc w:val="center"/>
              <w:rPr>
                <w:noProof/>
              </w:rPr>
            </w:pPr>
            <w:r>
              <w:rPr>
                <w:noProof/>
              </w:rPr>
              <w:t>2022</w:t>
            </w:r>
          </w:p>
        </w:tc>
        <w:tc>
          <w:tcPr>
            <w:tcW w:w="3827" w:type="dxa"/>
            <w:tcBorders>
              <w:top w:val="single" w:sz="4" w:space="0" w:color="auto"/>
              <w:left w:val="nil"/>
              <w:bottom w:val="single" w:sz="4" w:space="0" w:color="auto"/>
              <w:right w:val="single" w:sz="4" w:space="0" w:color="auto"/>
            </w:tcBorders>
            <w:shd w:val="clear" w:color="auto" w:fill="C6EFCE"/>
            <w:noWrap/>
          </w:tcPr>
          <w:p w14:paraId="0CBF7BD8" w14:textId="77777777" w:rsidR="00FA7C11" w:rsidRDefault="00D84965">
            <w:pPr>
              <w:pStyle w:val="P68B1DB1-Normal66"/>
              <w:spacing w:after="200" w:line="276" w:lineRule="auto"/>
              <w:rPr>
                <w:noProof/>
              </w:rPr>
            </w:pPr>
            <w:r>
              <w:rPr>
                <w:noProof/>
              </w:rPr>
              <w:t xml:space="preserve">Reforma introduce dispoziții pentru instituirea unui cadru național funcțional de telemedicină pentru transmiterea parametrilor vitali ai pacienților de la serviciul de sănătate de urgență (HMS) la serviciul spitalicesc comun de urgență (OHBP) și pentru monitorizarea de la distanță a serviciului de sănătate de urgență ambulatoriu (HMS). Proiectul trebuie să furnizeze: I). Analiza situației; II) Cadrul național pentru instituirea supravegherii de la distanță a serviciului de sănătate de urgență (HMS) și iii) un plan de acțiune pentru introducerea supravegherii și un cadru pentru monitorizarea punerii în aplicare. </w:t>
            </w:r>
            <w:r>
              <w:rPr>
                <w:noProof/>
              </w:rPr>
              <w:br/>
              <w:t>Având în vedere resursele limitate și durata limitată a asistenței tehnice, componenta teleradiologică este doar o componentă introductivă la nivelul cartografierii celor mai bune practici.</w:t>
            </w:r>
          </w:p>
        </w:tc>
      </w:tr>
      <w:tr w:rsidR="00FA7C11" w14:paraId="1F5C07F9"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4E59EB50" w14:textId="77777777" w:rsidR="00FA7C11" w:rsidRDefault="00D84965">
            <w:pPr>
              <w:pStyle w:val="P68B1DB1-Normal66"/>
              <w:spacing w:after="200" w:line="276" w:lineRule="auto"/>
              <w:jc w:val="center"/>
              <w:rPr>
                <w:noProof/>
              </w:rPr>
            </w:pPr>
            <w:r>
              <w:rPr>
                <w:noProof/>
              </w:rPr>
              <w:t>347</w:t>
            </w:r>
          </w:p>
        </w:tc>
        <w:tc>
          <w:tcPr>
            <w:tcW w:w="1208" w:type="dxa"/>
            <w:tcBorders>
              <w:top w:val="single" w:sz="4" w:space="0" w:color="auto"/>
              <w:left w:val="nil"/>
              <w:bottom w:val="single" w:sz="4" w:space="0" w:color="auto"/>
              <w:right w:val="single" w:sz="4" w:space="0" w:color="auto"/>
            </w:tcBorders>
            <w:shd w:val="clear" w:color="auto" w:fill="C6EFCE"/>
            <w:noWrap/>
          </w:tcPr>
          <w:p w14:paraId="6AA5373F" w14:textId="77777777" w:rsidR="00FA7C11" w:rsidRDefault="00D84965">
            <w:pPr>
              <w:pStyle w:val="P68B1DB1-Normal66"/>
              <w:spacing w:after="200" w:line="276" w:lineRule="auto"/>
              <w:jc w:val="center"/>
              <w:rPr>
                <w:noProof/>
              </w:rPr>
            </w:pPr>
            <w:r>
              <w:rPr>
                <w:noProof/>
              </w:rPr>
              <w:t>C5.1. R5-I1</w:t>
            </w:r>
          </w:p>
        </w:tc>
        <w:tc>
          <w:tcPr>
            <w:tcW w:w="1019" w:type="dxa"/>
            <w:tcBorders>
              <w:top w:val="single" w:sz="4" w:space="0" w:color="auto"/>
              <w:left w:val="nil"/>
              <w:bottom w:val="single" w:sz="4" w:space="0" w:color="auto"/>
              <w:right w:val="single" w:sz="4" w:space="0" w:color="auto"/>
            </w:tcBorders>
            <w:shd w:val="clear" w:color="auto" w:fill="C6EFCE"/>
            <w:noWrap/>
          </w:tcPr>
          <w:p w14:paraId="5F456E43"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05A3DC48" w14:textId="77777777" w:rsidR="00FA7C11" w:rsidRDefault="00D84965">
            <w:pPr>
              <w:pStyle w:val="P68B1DB1-Normal66"/>
              <w:spacing w:after="200" w:line="276" w:lineRule="auto"/>
              <w:rPr>
                <w:noProof/>
              </w:rPr>
            </w:pPr>
            <w:r>
              <w:rPr>
                <w:noProof/>
              </w:rPr>
              <w:t>Săli de operare digitalizate și integrate (Firule și Križine) și sistem robotic instalat și funcțional pe site-ul Firule</w:t>
            </w:r>
          </w:p>
        </w:tc>
        <w:tc>
          <w:tcPr>
            <w:tcW w:w="1985" w:type="dxa"/>
            <w:tcBorders>
              <w:top w:val="single" w:sz="4" w:space="0" w:color="auto"/>
              <w:left w:val="nil"/>
              <w:bottom w:val="single" w:sz="4" w:space="0" w:color="auto"/>
              <w:right w:val="single" w:sz="4" w:space="0" w:color="auto"/>
            </w:tcBorders>
            <w:shd w:val="clear" w:color="auto" w:fill="C6EFCE"/>
            <w:noWrap/>
          </w:tcPr>
          <w:p w14:paraId="7A4664C2" w14:textId="77777777" w:rsidR="00FA7C11" w:rsidRDefault="00D84965">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799465ED"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4D173440"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0E3C5E89" w14:textId="77777777" w:rsidR="00FA7C11" w:rsidRDefault="00D84965">
            <w:pPr>
              <w:pStyle w:val="P68B1DB1-Normal66"/>
              <w:spacing w:after="200" w:line="276" w:lineRule="auto"/>
              <w:jc w:val="center"/>
              <w:rPr>
                <w:noProof/>
              </w:rPr>
            </w:pPr>
            <w:r>
              <w:rPr>
                <w:noProof/>
              </w:rPr>
              <w:t>4</w:t>
            </w:r>
          </w:p>
        </w:tc>
        <w:tc>
          <w:tcPr>
            <w:tcW w:w="756" w:type="dxa"/>
            <w:tcBorders>
              <w:top w:val="single" w:sz="4" w:space="0" w:color="auto"/>
              <w:left w:val="nil"/>
              <w:bottom w:val="single" w:sz="4" w:space="0" w:color="auto"/>
              <w:right w:val="single" w:sz="4" w:space="0" w:color="auto"/>
            </w:tcBorders>
            <w:shd w:val="clear" w:color="auto" w:fill="C6EFCE"/>
            <w:noWrap/>
          </w:tcPr>
          <w:p w14:paraId="3D0354BC" w14:textId="77777777" w:rsidR="00FA7C11" w:rsidRDefault="00D84965">
            <w:pPr>
              <w:pStyle w:val="P68B1DB1-Normal66"/>
              <w:spacing w:after="200" w:line="276" w:lineRule="auto"/>
              <w:jc w:val="center"/>
              <w:rPr>
                <w:noProof/>
              </w:rPr>
            </w:pPr>
            <w:r>
              <w:rPr>
                <w:noProof/>
              </w:rPr>
              <w:t>Î2</w:t>
            </w:r>
          </w:p>
        </w:tc>
        <w:tc>
          <w:tcPr>
            <w:tcW w:w="895" w:type="dxa"/>
            <w:tcBorders>
              <w:top w:val="single" w:sz="4" w:space="0" w:color="auto"/>
              <w:left w:val="nil"/>
              <w:bottom w:val="single" w:sz="4" w:space="0" w:color="auto"/>
              <w:right w:val="single" w:sz="4" w:space="0" w:color="auto"/>
            </w:tcBorders>
            <w:shd w:val="clear" w:color="auto" w:fill="C6EFCE"/>
            <w:noWrap/>
          </w:tcPr>
          <w:p w14:paraId="43D67528" w14:textId="77777777" w:rsidR="00FA7C11" w:rsidRDefault="00D84965">
            <w:pPr>
              <w:pStyle w:val="P68B1DB1-Normal66"/>
              <w:spacing w:after="200" w:line="276" w:lineRule="auto"/>
              <w:jc w:val="center"/>
              <w:rPr>
                <w:noProof/>
              </w:rPr>
            </w:pPr>
            <w:r>
              <w:rPr>
                <w:noProof/>
              </w:rPr>
              <w:t>2024</w:t>
            </w:r>
          </w:p>
        </w:tc>
        <w:tc>
          <w:tcPr>
            <w:tcW w:w="3827" w:type="dxa"/>
            <w:tcBorders>
              <w:top w:val="single" w:sz="4" w:space="0" w:color="auto"/>
              <w:left w:val="nil"/>
              <w:bottom w:val="single" w:sz="4" w:space="0" w:color="auto"/>
              <w:right w:val="single" w:sz="4" w:space="0" w:color="auto"/>
            </w:tcBorders>
            <w:shd w:val="clear" w:color="auto" w:fill="C6EFCE"/>
            <w:noWrap/>
          </w:tcPr>
          <w:p w14:paraId="1559569A" w14:textId="77777777" w:rsidR="00FA7C11" w:rsidRDefault="00D84965">
            <w:pPr>
              <w:pStyle w:val="P68B1DB1-Normal66"/>
              <w:spacing w:after="200" w:line="276" w:lineRule="auto"/>
              <w:rPr>
                <w:noProof/>
              </w:rPr>
            </w:pPr>
            <w:r>
              <w:rPr>
                <w:noProof/>
              </w:rPr>
              <w:t xml:space="preserve">Proiectul include digitalizarea și integrarea a 4 săli de operații în Firule și Križine, precum și un sistem robotic pe site-ul Firule. Tranziția digitală, integrarea și chirurgia roboților modifică parcursul terapeutic prin îmbunătățirea calității tratamentului chirurgical, îmbunătățirea siguranței pacienților, obținerea unei mai mari transparențe a tratamentului, un control mai bun al costurilor și al rezultatelor în materie de sănătate, consolidarea resurselor esențiale ale infrastructurii de informații privind sănătatea și modernizarea serviciilor de asistență medicală fără hârtie. </w:t>
            </w:r>
          </w:p>
        </w:tc>
      </w:tr>
      <w:tr w:rsidR="00FA7C11" w14:paraId="178A7FDE"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28AA8D83" w14:textId="77777777" w:rsidR="00FA7C11" w:rsidRDefault="00D84965">
            <w:pPr>
              <w:pStyle w:val="P68B1DB1-Normal66"/>
              <w:spacing w:after="200" w:line="276" w:lineRule="auto"/>
              <w:jc w:val="center"/>
              <w:rPr>
                <w:noProof/>
              </w:rPr>
            </w:pPr>
            <w:r>
              <w:rPr>
                <w:noProof/>
              </w:rPr>
              <w:t>348</w:t>
            </w:r>
          </w:p>
        </w:tc>
        <w:tc>
          <w:tcPr>
            <w:tcW w:w="1208" w:type="dxa"/>
            <w:tcBorders>
              <w:top w:val="single" w:sz="4" w:space="0" w:color="auto"/>
              <w:left w:val="nil"/>
              <w:bottom w:val="single" w:sz="4" w:space="0" w:color="auto"/>
              <w:right w:val="single" w:sz="4" w:space="0" w:color="auto"/>
            </w:tcBorders>
            <w:shd w:val="clear" w:color="auto" w:fill="C6EFCE"/>
            <w:noWrap/>
          </w:tcPr>
          <w:p w14:paraId="32039AF4" w14:textId="77777777" w:rsidR="00FA7C11" w:rsidRDefault="00D84965">
            <w:pPr>
              <w:pStyle w:val="P68B1DB1-Normal66"/>
              <w:spacing w:after="200" w:line="276" w:lineRule="auto"/>
              <w:jc w:val="center"/>
              <w:rPr>
                <w:noProof/>
              </w:rPr>
            </w:pPr>
            <w:r>
              <w:rPr>
                <w:noProof/>
              </w:rPr>
              <w:t>C5.1. R5-I2</w:t>
            </w:r>
          </w:p>
        </w:tc>
        <w:tc>
          <w:tcPr>
            <w:tcW w:w="1019" w:type="dxa"/>
            <w:tcBorders>
              <w:top w:val="single" w:sz="4" w:space="0" w:color="auto"/>
              <w:left w:val="nil"/>
              <w:bottom w:val="single" w:sz="4" w:space="0" w:color="auto"/>
              <w:right w:val="single" w:sz="4" w:space="0" w:color="auto"/>
            </w:tcBorders>
            <w:shd w:val="clear" w:color="auto" w:fill="C6EFCE"/>
            <w:noWrap/>
          </w:tcPr>
          <w:p w14:paraId="4F5C5D9A"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257FCA6B" w14:textId="77777777" w:rsidR="00FA7C11" w:rsidRDefault="00D84965">
            <w:pPr>
              <w:pStyle w:val="P68B1DB1-Normal66"/>
              <w:spacing w:after="200" w:line="276" w:lineRule="auto"/>
              <w:rPr>
                <w:noProof/>
              </w:rPr>
            </w:pPr>
            <w:r>
              <w:rPr>
                <w:noProof/>
              </w:rPr>
              <w:t>Servicii de telecardiologie</w:t>
            </w:r>
          </w:p>
        </w:tc>
        <w:tc>
          <w:tcPr>
            <w:tcW w:w="1985" w:type="dxa"/>
            <w:tcBorders>
              <w:top w:val="single" w:sz="4" w:space="0" w:color="auto"/>
              <w:left w:val="nil"/>
              <w:bottom w:val="single" w:sz="4" w:space="0" w:color="auto"/>
              <w:right w:val="single" w:sz="4" w:space="0" w:color="auto"/>
            </w:tcBorders>
            <w:shd w:val="clear" w:color="auto" w:fill="C6EFCE"/>
            <w:noWrap/>
          </w:tcPr>
          <w:p w14:paraId="32852CCF" w14:textId="77777777" w:rsidR="00FA7C11" w:rsidRDefault="00D84965">
            <w:pPr>
              <w:pStyle w:val="P68B1DB1-Normal66"/>
              <w:spacing w:after="200" w:line="276" w:lineRule="auto"/>
              <w:rPr>
                <w:noProof/>
              </w:rPr>
            </w:pPr>
            <w:r>
              <w:rPr>
                <w:noProof/>
              </w:rPr>
              <w:t> </w:t>
            </w:r>
          </w:p>
        </w:tc>
        <w:tc>
          <w:tcPr>
            <w:tcW w:w="1296" w:type="dxa"/>
            <w:tcBorders>
              <w:top w:val="single" w:sz="4" w:space="0" w:color="auto"/>
              <w:left w:val="nil"/>
              <w:bottom w:val="single" w:sz="4" w:space="0" w:color="auto"/>
              <w:right w:val="single" w:sz="4" w:space="0" w:color="auto"/>
            </w:tcBorders>
            <w:shd w:val="clear" w:color="auto" w:fill="C6EFCE"/>
            <w:noWrap/>
          </w:tcPr>
          <w:p w14:paraId="3A14D50B"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4C3DEAA6"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7E5FD278" w14:textId="77777777" w:rsidR="00FA7C11" w:rsidRDefault="00D84965">
            <w:pPr>
              <w:pStyle w:val="P68B1DB1-Normal66"/>
              <w:spacing w:after="200" w:line="276" w:lineRule="auto"/>
              <w:jc w:val="center"/>
              <w:rPr>
                <w:noProof/>
              </w:rPr>
            </w:pPr>
            <w:r>
              <w:rPr>
                <w:noProof/>
              </w:rPr>
              <w:t>40</w:t>
            </w:r>
          </w:p>
        </w:tc>
        <w:tc>
          <w:tcPr>
            <w:tcW w:w="756" w:type="dxa"/>
            <w:tcBorders>
              <w:top w:val="single" w:sz="4" w:space="0" w:color="auto"/>
              <w:left w:val="nil"/>
              <w:bottom w:val="single" w:sz="4" w:space="0" w:color="auto"/>
              <w:right w:val="single" w:sz="4" w:space="0" w:color="auto"/>
            </w:tcBorders>
            <w:shd w:val="clear" w:color="auto" w:fill="C6EFCE"/>
            <w:noWrap/>
          </w:tcPr>
          <w:p w14:paraId="3D1A4293" w14:textId="77777777" w:rsidR="00FA7C11" w:rsidRDefault="00D84965">
            <w:pPr>
              <w:pStyle w:val="P68B1DB1-Normal66"/>
              <w:spacing w:after="200" w:line="276" w:lineRule="auto"/>
              <w:jc w:val="center"/>
              <w:rPr>
                <w:noProof/>
              </w:rPr>
            </w:pPr>
            <w:r>
              <w:rPr>
                <w:noProof/>
              </w:rPr>
              <w:t>Î1</w:t>
            </w:r>
          </w:p>
        </w:tc>
        <w:tc>
          <w:tcPr>
            <w:tcW w:w="895" w:type="dxa"/>
            <w:tcBorders>
              <w:top w:val="single" w:sz="4" w:space="0" w:color="auto"/>
              <w:left w:val="nil"/>
              <w:bottom w:val="single" w:sz="4" w:space="0" w:color="auto"/>
              <w:right w:val="single" w:sz="4" w:space="0" w:color="auto"/>
            </w:tcBorders>
            <w:shd w:val="clear" w:color="auto" w:fill="C6EFCE"/>
            <w:noWrap/>
          </w:tcPr>
          <w:p w14:paraId="3378DA58" w14:textId="77777777" w:rsidR="00FA7C11" w:rsidRDefault="00D84965">
            <w:pPr>
              <w:pStyle w:val="P68B1DB1-Normal66"/>
              <w:spacing w:after="200" w:line="276" w:lineRule="auto"/>
              <w:jc w:val="center"/>
              <w:rPr>
                <w:noProof/>
              </w:rPr>
            </w:pPr>
            <w:r>
              <w:rPr>
                <w:noProof/>
              </w:rPr>
              <w:t>2023</w:t>
            </w:r>
          </w:p>
        </w:tc>
        <w:tc>
          <w:tcPr>
            <w:tcW w:w="3827" w:type="dxa"/>
            <w:tcBorders>
              <w:top w:val="single" w:sz="4" w:space="0" w:color="auto"/>
              <w:left w:val="nil"/>
              <w:bottom w:val="single" w:sz="4" w:space="0" w:color="auto"/>
              <w:right w:val="single" w:sz="4" w:space="0" w:color="auto"/>
            </w:tcBorders>
            <w:shd w:val="clear" w:color="auto" w:fill="C6EFCE"/>
            <w:noWrap/>
          </w:tcPr>
          <w:p w14:paraId="3E5D2CBF" w14:textId="77777777" w:rsidR="00FA7C11" w:rsidRDefault="00D84965">
            <w:pPr>
              <w:pStyle w:val="P68B1DB1-Normal66"/>
              <w:spacing w:after="200" w:line="276" w:lineRule="auto"/>
              <w:rPr>
                <w:noProof/>
              </w:rPr>
            </w:pPr>
            <w:r>
              <w:rPr>
                <w:noProof/>
              </w:rPr>
              <w:t>Obiectivul proiectului TeleCordis este de a instala echipamentele medicale și informatice necesare pentru efectuarea serviciilor de holter electrocardiogramă (ECG), holter sub presiune și electrocardiogramă cu 12 canale (ECG) în zonele îndepărtate și rurale care nu sunt acoperite suficient de aceste servicii, cum ar fi lipsa unui specialist în cardiologie la dispoziția lor. Echipamentele se achiziționează (pachet per centru) și se plasează în cel puțin 40 centre de acces telemedical. Programul se conectează cu centrele specializate în telemedicină și oferă un serviciu de telecardiologie.</w:t>
            </w:r>
          </w:p>
        </w:tc>
      </w:tr>
      <w:tr w:rsidR="00FA7C11" w14:paraId="60D5B634"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7583161" w14:textId="77777777" w:rsidR="00FA7C11" w:rsidRDefault="00D84965">
            <w:pPr>
              <w:pStyle w:val="P68B1DB1-Normal66"/>
              <w:spacing w:after="200" w:line="276" w:lineRule="auto"/>
              <w:jc w:val="center"/>
              <w:rPr>
                <w:noProof/>
              </w:rPr>
            </w:pPr>
            <w:r>
              <w:rPr>
                <w:noProof/>
              </w:rPr>
              <w:t>349</w:t>
            </w:r>
          </w:p>
        </w:tc>
        <w:tc>
          <w:tcPr>
            <w:tcW w:w="1208" w:type="dxa"/>
            <w:tcBorders>
              <w:top w:val="single" w:sz="4" w:space="0" w:color="auto"/>
              <w:left w:val="nil"/>
              <w:bottom w:val="single" w:sz="4" w:space="0" w:color="auto"/>
              <w:right w:val="single" w:sz="4" w:space="0" w:color="auto"/>
            </w:tcBorders>
            <w:shd w:val="clear" w:color="auto" w:fill="C6EFCE"/>
            <w:noWrap/>
          </w:tcPr>
          <w:p w14:paraId="4D6B25E3" w14:textId="77777777" w:rsidR="00FA7C11" w:rsidRDefault="00D84965">
            <w:pPr>
              <w:pStyle w:val="P68B1DB1-Normal66"/>
              <w:spacing w:after="200" w:line="276" w:lineRule="auto"/>
              <w:jc w:val="center"/>
              <w:rPr>
                <w:noProof/>
              </w:rPr>
            </w:pPr>
            <w:r>
              <w:rPr>
                <w:noProof/>
              </w:rPr>
              <w:t>C5.1. R5-I3</w:t>
            </w:r>
          </w:p>
        </w:tc>
        <w:tc>
          <w:tcPr>
            <w:tcW w:w="1019" w:type="dxa"/>
            <w:tcBorders>
              <w:top w:val="single" w:sz="4" w:space="0" w:color="auto"/>
              <w:left w:val="nil"/>
              <w:bottom w:val="single" w:sz="4" w:space="0" w:color="auto"/>
              <w:right w:val="single" w:sz="4" w:space="0" w:color="auto"/>
            </w:tcBorders>
            <w:shd w:val="clear" w:color="auto" w:fill="C6EFCE"/>
            <w:noWrap/>
          </w:tcPr>
          <w:p w14:paraId="22995287"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6EFFCF72" w14:textId="77777777" w:rsidR="00FA7C11" w:rsidRDefault="00D84965">
            <w:pPr>
              <w:pStyle w:val="P68B1DB1-Normal66"/>
              <w:spacing w:after="200" w:line="276" w:lineRule="auto"/>
              <w:rPr>
                <w:noProof/>
              </w:rPr>
            </w:pPr>
            <w:r>
              <w:rPr>
                <w:noProof/>
              </w:rPr>
              <w:t xml:space="preserve">Servicii de teletransfuzie </w:t>
            </w:r>
          </w:p>
        </w:tc>
        <w:tc>
          <w:tcPr>
            <w:tcW w:w="1985" w:type="dxa"/>
            <w:tcBorders>
              <w:top w:val="single" w:sz="4" w:space="0" w:color="auto"/>
              <w:left w:val="nil"/>
              <w:bottom w:val="single" w:sz="4" w:space="0" w:color="auto"/>
              <w:right w:val="single" w:sz="4" w:space="0" w:color="auto"/>
            </w:tcBorders>
            <w:shd w:val="clear" w:color="auto" w:fill="C6EFCE"/>
            <w:noWrap/>
          </w:tcPr>
          <w:p w14:paraId="66C6306A"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5C3C30D7"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0C2A9C3F"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59B8E531" w14:textId="77777777" w:rsidR="00FA7C11" w:rsidRDefault="00D84965">
            <w:pPr>
              <w:pStyle w:val="P68B1DB1-Normal66"/>
              <w:spacing w:after="200" w:line="276" w:lineRule="auto"/>
              <w:jc w:val="center"/>
              <w:rPr>
                <w:noProof/>
              </w:rPr>
            </w:pPr>
            <w:r>
              <w:rPr>
                <w:noProof/>
              </w:rPr>
              <w:t>35</w:t>
            </w:r>
          </w:p>
        </w:tc>
        <w:tc>
          <w:tcPr>
            <w:tcW w:w="756" w:type="dxa"/>
            <w:tcBorders>
              <w:top w:val="single" w:sz="4" w:space="0" w:color="auto"/>
              <w:left w:val="nil"/>
              <w:bottom w:val="single" w:sz="4" w:space="0" w:color="auto"/>
              <w:right w:val="single" w:sz="4" w:space="0" w:color="auto"/>
            </w:tcBorders>
            <w:shd w:val="clear" w:color="auto" w:fill="C6EFCE"/>
            <w:noWrap/>
          </w:tcPr>
          <w:p w14:paraId="253D6D82" w14:textId="77777777" w:rsidR="00FA7C11" w:rsidRDefault="00D84965">
            <w:pPr>
              <w:pStyle w:val="P68B1DB1-Normal66"/>
              <w:spacing w:after="200" w:line="276" w:lineRule="auto"/>
              <w:jc w:val="center"/>
              <w:rPr>
                <w:noProof/>
              </w:rPr>
            </w:pPr>
            <w:r>
              <w:rPr>
                <w:noProof/>
              </w:rPr>
              <w:t>Î4</w:t>
            </w:r>
          </w:p>
        </w:tc>
        <w:tc>
          <w:tcPr>
            <w:tcW w:w="895" w:type="dxa"/>
            <w:tcBorders>
              <w:top w:val="single" w:sz="4" w:space="0" w:color="auto"/>
              <w:left w:val="nil"/>
              <w:bottom w:val="single" w:sz="4" w:space="0" w:color="auto"/>
              <w:right w:val="single" w:sz="4" w:space="0" w:color="auto"/>
            </w:tcBorders>
            <w:shd w:val="clear" w:color="auto" w:fill="C6EFCE"/>
            <w:noWrap/>
          </w:tcPr>
          <w:p w14:paraId="409ECC7F" w14:textId="77777777" w:rsidR="00FA7C11" w:rsidRDefault="00D84965">
            <w:pPr>
              <w:pStyle w:val="P68B1DB1-Normal66"/>
              <w:spacing w:after="200" w:line="276" w:lineRule="auto"/>
              <w:jc w:val="center"/>
              <w:rPr>
                <w:noProof/>
              </w:rPr>
            </w:pPr>
            <w:r>
              <w:rPr>
                <w:noProof/>
              </w:rPr>
              <w:t>2022</w:t>
            </w:r>
          </w:p>
        </w:tc>
        <w:tc>
          <w:tcPr>
            <w:tcW w:w="3827" w:type="dxa"/>
            <w:tcBorders>
              <w:top w:val="single" w:sz="4" w:space="0" w:color="auto"/>
              <w:left w:val="nil"/>
              <w:bottom w:val="single" w:sz="4" w:space="0" w:color="auto"/>
              <w:right w:val="single" w:sz="4" w:space="0" w:color="auto"/>
            </w:tcBorders>
            <w:shd w:val="clear" w:color="auto" w:fill="C6EFCE"/>
            <w:noWrap/>
          </w:tcPr>
          <w:p w14:paraId="27180DCA" w14:textId="77777777" w:rsidR="00FA7C11" w:rsidRDefault="00D84965">
            <w:pPr>
              <w:pStyle w:val="P68B1DB1-Normal66"/>
              <w:spacing w:after="200" w:line="276" w:lineRule="auto"/>
              <w:rPr>
                <w:noProof/>
              </w:rPr>
            </w:pPr>
            <w:r>
              <w:rPr>
                <w:noProof/>
              </w:rPr>
              <w:t>Proiectul Teletransfusion sprijină infrastructura digitală existentă a procesului de tratament în cazul în care utilizează datele pacienților obținute din prescripția electronică și din dosarul electronic necesare pentru începerea tratamentului într-o unitate de asistență medicală secundară sau terțiară.</w:t>
            </w:r>
            <w:r>
              <w:rPr>
                <w:noProof/>
              </w:rPr>
              <w:br/>
              <w:t>Proiectul conectează centrele de transfuzie spitalicească de pe teritoriul Croației (cel puțin 35 centre de transfuzie spitalicească) și pune la dispoziție serviciul 24 de ore pe zi, șapte zile pe săptămână. Echipamentele se achiziționează (pachet per centru) și se plasează în centre de acces la telemedicină, programul se conectează la centre specializate de telemedicină și oferă un serviciu de teletransfuzie.</w:t>
            </w:r>
          </w:p>
        </w:tc>
      </w:tr>
      <w:tr w:rsidR="00FA7C11" w14:paraId="6BA99F1C" w14:textId="77777777">
        <w:trPr>
          <w:trHeight w:val="283"/>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1BBCF19" w14:textId="77777777" w:rsidR="00FA7C11" w:rsidRDefault="00D84965">
            <w:pPr>
              <w:pStyle w:val="P68B1DB1-Normal66"/>
              <w:spacing w:after="200" w:line="276" w:lineRule="auto"/>
              <w:jc w:val="center"/>
              <w:rPr>
                <w:noProof/>
              </w:rPr>
            </w:pPr>
            <w:r>
              <w:rPr>
                <w:noProof/>
              </w:rPr>
              <w:t>350</w:t>
            </w:r>
          </w:p>
        </w:tc>
        <w:tc>
          <w:tcPr>
            <w:tcW w:w="1208" w:type="dxa"/>
            <w:tcBorders>
              <w:top w:val="single" w:sz="4" w:space="0" w:color="auto"/>
              <w:left w:val="nil"/>
              <w:bottom w:val="single" w:sz="4" w:space="0" w:color="auto"/>
              <w:right w:val="single" w:sz="4" w:space="0" w:color="auto"/>
            </w:tcBorders>
            <w:shd w:val="clear" w:color="auto" w:fill="C6EFCE"/>
            <w:noWrap/>
          </w:tcPr>
          <w:p w14:paraId="1D049C45" w14:textId="77777777" w:rsidR="00FA7C11" w:rsidRDefault="00D84965">
            <w:pPr>
              <w:pStyle w:val="P68B1DB1-Normal66"/>
              <w:spacing w:after="200" w:line="276" w:lineRule="auto"/>
              <w:jc w:val="center"/>
              <w:rPr>
                <w:noProof/>
              </w:rPr>
            </w:pPr>
            <w:r>
              <w:rPr>
                <w:noProof/>
              </w:rPr>
              <w:t>C5.1. R5-I4</w:t>
            </w:r>
          </w:p>
        </w:tc>
        <w:tc>
          <w:tcPr>
            <w:tcW w:w="1019" w:type="dxa"/>
            <w:tcBorders>
              <w:top w:val="single" w:sz="4" w:space="0" w:color="auto"/>
              <w:left w:val="nil"/>
              <w:bottom w:val="single" w:sz="4" w:space="0" w:color="auto"/>
              <w:right w:val="single" w:sz="4" w:space="0" w:color="auto"/>
            </w:tcBorders>
            <w:shd w:val="clear" w:color="auto" w:fill="C6EFCE"/>
            <w:noWrap/>
          </w:tcPr>
          <w:p w14:paraId="54EBC0A9" w14:textId="77777777" w:rsidR="00FA7C11" w:rsidRDefault="00D84965">
            <w:pPr>
              <w:pStyle w:val="P68B1DB1-Normal66"/>
              <w:spacing w:after="200" w:line="276" w:lineRule="auto"/>
              <w:jc w:val="center"/>
              <w:rPr>
                <w:noProof/>
              </w:rPr>
            </w:pPr>
            <w:r>
              <w:rPr>
                <w:noProof/>
              </w:rPr>
              <w:t>T</w:t>
            </w:r>
          </w:p>
        </w:tc>
        <w:tc>
          <w:tcPr>
            <w:tcW w:w="1888" w:type="dxa"/>
            <w:tcBorders>
              <w:top w:val="single" w:sz="4" w:space="0" w:color="auto"/>
              <w:left w:val="nil"/>
              <w:bottom w:val="single" w:sz="4" w:space="0" w:color="auto"/>
              <w:right w:val="single" w:sz="4" w:space="0" w:color="auto"/>
            </w:tcBorders>
            <w:shd w:val="clear" w:color="auto" w:fill="C6EFCE"/>
            <w:noWrap/>
          </w:tcPr>
          <w:p w14:paraId="734AE9B6" w14:textId="77777777" w:rsidR="00FA7C11" w:rsidRDefault="00D84965">
            <w:pPr>
              <w:pStyle w:val="P68B1DB1-Normal66"/>
              <w:spacing w:after="200" w:line="276" w:lineRule="auto"/>
              <w:rPr>
                <w:noProof/>
              </w:rPr>
            </w:pPr>
            <w:r>
              <w:rPr>
                <w:noProof/>
              </w:rPr>
              <w:t>Centrul spitalicesc clinic din Sestre milosrdnice (KBC), cu săli de operații dotate cu echipament de chirurgie robotică</w:t>
            </w:r>
          </w:p>
        </w:tc>
        <w:tc>
          <w:tcPr>
            <w:tcW w:w="1985" w:type="dxa"/>
            <w:tcBorders>
              <w:top w:val="single" w:sz="4" w:space="0" w:color="auto"/>
              <w:left w:val="nil"/>
              <w:bottom w:val="single" w:sz="4" w:space="0" w:color="auto"/>
              <w:right w:val="single" w:sz="4" w:space="0" w:color="auto"/>
            </w:tcBorders>
            <w:shd w:val="clear" w:color="auto" w:fill="C6EFCE"/>
            <w:noWrap/>
          </w:tcPr>
          <w:p w14:paraId="1BF4CE8D" w14:textId="77777777" w:rsidR="00FA7C11" w:rsidRDefault="00D84965">
            <w:pPr>
              <w:pStyle w:val="P68B1DB1-Normal66"/>
              <w:spacing w:after="200" w:line="276" w:lineRule="auto"/>
              <w:rPr>
                <w:noProof/>
              </w:rPr>
            </w:pPr>
            <w:r>
              <w:rPr>
                <w:noProof/>
              </w:rPr>
              <w:t xml:space="preserve"> </w:t>
            </w:r>
          </w:p>
        </w:tc>
        <w:tc>
          <w:tcPr>
            <w:tcW w:w="1296" w:type="dxa"/>
            <w:tcBorders>
              <w:top w:val="single" w:sz="4" w:space="0" w:color="auto"/>
              <w:left w:val="nil"/>
              <w:bottom w:val="single" w:sz="4" w:space="0" w:color="auto"/>
              <w:right w:val="single" w:sz="4" w:space="0" w:color="auto"/>
            </w:tcBorders>
            <w:shd w:val="clear" w:color="auto" w:fill="C6EFCE"/>
            <w:noWrap/>
          </w:tcPr>
          <w:p w14:paraId="19A4AC33"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5D6EE41C"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0232003C" w14:textId="77777777" w:rsidR="00FA7C11" w:rsidRDefault="00D84965">
            <w:pPr>
              <w:pStyle w:val="P68B1DB1-Normal66"/>
              <w:spacing w:after="200" w:line="276" w:lineRule="auto"/>
              <w:jc w:val="center"/>
              <w:rPr>
                <w:noProof/>
              </w:rPr>
            </w:pPr>
            <w:r>
              <w:rPr>
                <w:noProof/>
              </w:rPr>
              <w:t>4</w:t>
            </w:r>
          </w:p>
        </w:tc>
        <w:tc>
          <w:tcPr>
            <w:tcW w:w="756" w:type="dxa"/>
            <w:tcBorders>
              <w:top w:val="single" w:sz="4" w:space="0" w:color="auto"/>
              <w:left w:val="nil"/>
              <w:bottom w:val="single" w:sz="4" w:space="0" w:color="auto"/>
              <w:right w:val="single" w:sz="4" w:space="0" w:color="auto"/>
            </w:tcBorders>
            <w:shd w:val="clear" w:color="auto" w:fill="C6EFCE"/>
            <w:noWrap/>
          </w:tcPr>
          <w:p w14:paraId="533FAD27" w14:textId="77777777" w:rsidR="00FA7C11" w:rsidRDefault="00D84965">
            <w:pPr>
              <w:pStyle w:val="P68B1DB1-Normal66"/>
              <w:spacing w:after="200" w:line="276" w:lineRule="auto"/>
              <w:jc w:val="center"/>
              <w:rPr>
                <w:noProof/>
              </w:rPr>
            </w:pPr>
            <w:r>
              <w:rPr>
                <w:noProof/>
              </w:rPr>
              <w:t>Î1</w:t>
            </w:r>
          </w:p>
        </w:tc>
        <w:tc>
          <w:tcPr>
            <w:tcW w:w="895" w:type="dxa"/>
            <w:tcBorders>
              <w:top w:val="single" w:sz="4" w:space="0" w:color="auto"/>
              <w:left w:val="nil"/>
              <w:bottom w:val="single" w:sz="4" w:space="0" w:color="auto"/>
              <w:right w:val="single" w:sz="4" w:space="0" w:color="auto"/>
            </w:tcBorders>
            <w:shd w:val="clear" w:color="auto" w:fill="C6EFCE"/>
            <w:noWrap/>
          </w:tcPr>
          <w:p w14:paraId="4CE28337" w14:textId="77777777" w:rsidR="00FA7C11" w:rsidRDefault="00D84965">
            <w:pPr>
              <w:pStyle w:val="P68B1DB1-Normal66"/>
              <w:spacing w:after="200" w:line="276" w:lineRule="auto"/>
              <w:jc w:val="center"/>
              <w:rPr>
                <w:noProof/>
              </w:rPr>
            </w:pPr>
            <w:r>
              <w:rPr>
                <w:noProof/>
              </w:rPr>
              <w:t>2024</w:t>
            </w:r>
          </w:p>
        </w:tc>
        <w:tc>
          <w:tcPr>
            <w:tcW w:w="3827" w:type="dxa"/>
            <w:tcBorders>
              <w:top w:val="single" w:sz="4" w:space="0" w:color="auto"/>
              <w:left w:val="nil"/>
              <w:bottom w:val="single" w:sz="4" w:space="0" w:color="auto"/>
              <w:right w:val="single" w:sz="4" w:space="0" w:color="auto"/>
            </w:tcBorders>
            <w:shd w:val="clear" w:color="auto" w:fill="C6EFCE"/>
            <w:noWrap/>
          </w:tcPr>
          <w:p w14:paraId="28D0C1DA" w14:textId="77777777" w:rsidR="00FA7C11" w:rsidRDefault="00D84965">
            <w:pPr>
              <w:pStyle w:val="P68B1DB1-Normal66"/>
              <w:spacing w:after="200" w:line="276" w:lineRule="auto"/>
              <w:rPr>
                <w:noProof/>
              </w:rPr>
            </w:pPr>
            <w:r>
              <w:rPr>
                <w:noProof/>
              </w:rPr>
              <w:t>Cel puțin 4 săli de operație nou echipate cu tehnologie robotică de ultimă generație;</w:t>
            </w:r>
            <w:r>
              <w:rPr>
                <w:noProof/>
              </w:rPr>
              <w:br/>
              <w:t xml:space="preserve"> Trebuie să fie posibilă următoarea funcționalitate: obținerea tuturor datelor despre pacient în timp real pe ecranul monitorului, chiar în sala de operație, în timpul operației. În plus, pe ecranul monitorului trebuie să fie posibil ca toate materialele imagistice pentru pacienți să fie disponibile în timpul operațiunii, contribuind la proceduri mai sigure și mai eficace. Integrarea permite, de asemenea, utilizarea altor dispozitive de diagnosticare și terapeutice în aceeași sală de operație, care sunt, de asemenea, integrate în sistemul integrat al sălii de operație. </w:t>
            </w:r>
          </w:p>
        </w:tc>
      </w:tr>
    </w:tbl>
    <w:p w14:paraId="6549E9FC" w14:textId="77777777" w:rsidR="00FA7C11" w:rsidRDefault="00FA7C11">
      <w:pPr>
        <w:rPr>
          <w:noProof/>
        </w:rPr>
        <w:sectPr w:rsidR="00FA7C11" w:rsidSect="00FA29B2">
          <w:headerReference w:type="even" r:id="rId368"/>
          <w:headerReference w:type="default" r:id="rId369"/>
          <w:footerReference w:type="even" r:id="rId370"/>
          <w:footerReference w:type="default" r:id="rId371"/>
          <w:headerReference w:type="first" r:id="rId372"/>
          <w:footerReference w:type="first" r:id="rId373"/>
          <w:pgSz w:w="16839" w:h="11907" w:orient="landscape"/>
          <w:pgMar w:top="1134" w:right="1134" w:bottom="1134" w:left="1134" w:header="567" w:footer="567" w:gutter="0"/>
          <w:cols w:space="708"/>
          <w:docGrid w:linePitch="360"/>
        </w:sectPr>
      </w:pPr>
    </w:p>
    <w:p w14:paraId="5FA24947" w14:textId="77777777" w:rsidR="00FA7C11" w:rsidRDefault="00D84965">
      <w:pPr>
        <w:pStyle w:val="paragraph"/>
        <w:spacing w:before="0" w:beforeAutospacing="0" w:after="0" w:afterAutospacing="0"/>
        <w:ind w:left="840"/>
        <w:jc w:val="both"/>
        <w:textAlignment w:val="baseline"/>
        <w:rPr>
          <w:noProof/>
          <w:szCs w:val="24"/>
        </w:rPr>
      </w:pPr>
      <w:r>
        <w:rPr>
          <w:rStyle w:val="normaltextrun"/>
          <w:b/>
          <w:noProof/>
          <w:szCs w:val="24"/>
        </w:rPr>
        <w:t xml:space="preserve">U.3. </w:t>
      </w:r>
      <w:r>
        <w:rPr>
          <w:rStyle w:val="tabchar"/>
          <w:noProof/>
          <w:szCs w:val="24"/>
        </w:rPr>
        <w:t xml:space="preserve"> </w:t>
      </w:r>
      <w:r>
        <w:rPr>
          <w:rStyle w:val="normaltextrun"/>
          <w:b/>
          <w:bCs/>
          <w:noProof/>
          <w:szCs w:val="24"/>
        </w:rPr>
        <w:t xml:space="preserve">Descrierea reformelor și a investițiilor pentru împrumut </w:t>
      </w:r>
      <w:r>
        <w:rPr>
          <w:rStyle w:val="normaltextrun"/>
          <w:noProof/>
          <w:szCs w:val="24"/>
        </w:rPr>
        <w:t xml:space="preserve"> </w:t>
      </w:r>
    </w:p>
    <w:p w14:paraId="6FE215BC" w14:textId="77777777" w:rsidR="00FA7C11" w:rsidRDefault="00FA7C11">
      <w:pPr>
        <w:spacing w:line="240" w:lineRule="auto"/>
        <w:ind w:left="850"/>
        <w:jc w:val="both"/>
        <w:rPr>
          <w:rFonts w:ascii="Times New Roman" w:eastAsia="Calibri" w:hAnsi="Times New Roman" w:cs="Times New Roman"/>
          <w:noProof/>
          <w:sz w:val="24"/>
          <w:szCs w:val="24"/>
          <w:u w:val="single"/>
        </w:rPr>
      </w:pPr>
    </w:p>
    <w:p w14:paraId="4F68D18B" w14:textId="77777777" w:rsidR="00FA7C11" w:rsidRDefault="00D84965">
      <w:pPr>
        <w:pStyle w:val="P68B1DB1-Normal42"/>
        <w:spacing w:line="240" w:lineRule="auto"/>
        <w:ind w:left="850"/>
        <w:jc w:val="both"/>
        <w:rPr>
          <w:noProof/>
        </w:rPr>
      </w:pPr>
      <w:r>
        <w:rPr>
          <w:noProof/>
        </w:rPr>
        <w:t>Investiția C5.1 R1-I1 – Introducerea farmaciilor mobile în asistența medicală primară</w:t>
      </w:r>
    </w:p>
    <w:p w14:paraId="033BB244" w14:textId="77777777" w:rsidR="00FA7C11" w:rsidRDefault="00D84965">
      <w:pPr>
        <w:pStyle w:val="P68B1DB1-Normal33"/>
        <w:spacing w:line="240" w:lineRule="auto"/>
        <w:jc w:val="both"/>
        <w:rPr>
          <w:noProof/>
        </w:rPr>
      </w:pPr>
      <w:r>
        <w:rPr>
          <w:noProof/>
        </w:rPr>
        <w:t xml:space="preserve">Obiectivul acestei investiții este de a furniza medicamente în zone în care nu există farmacii. Măsura constă în achiziționarea de farmacii mobile. </w:t>
      </w:r>
    </w:p>
    <w:p w14:paraId="24329C58" w14:textId="77777777" w:rsidR="00FA7C11" w:rsidRDefault="00D84965">
      <w:pPr>
        <w:pStyle w:val="P68B1DB1-Normal42"/>
        <w:spacing w:line="240" w:lineRule="auto"/>
        <w:ind w:left="850"/>
        <w:jc w:val="both"/>
        <w:rPr>
          <w:noProof/>
        </w:rPr>
      </w:pPr>
      <w:r>
        <w:rPr>
          <w:noProof/>
        </w:rPr>
        <w:t>Investiția C5.1 R1-I2 – Unități mobile de îngrijire ambulatorie</w:t>
      </w:r>
    </w:p>
    <w:p w14:paraId="44A493F1" w14:textId="77777777" w:rsidR="00FA7C11" w:rsidRDefault="00D84965">
      <w:pPr>
        <w:pStyle w:val="P68B1DB1-Normal33"/>
        <w:spacing w:line="240" w:lineRule="auto"/>
        <w:jc w:val="both"/>
        <w:rPr>
          <w:iCs/>
          <w:noProof/>
        </w:rPr>
      </w:pPr>
      <w:r>
        <w:rPr>
          <w:noProof/>
        </w:rPr>
        <w:t xml:space="preserve">Obiectivul acestei măsuri este de a institui un sistem mobil de asistență medicală primară ambulatorie în zonele rurale, îndepărtate și insulare. Măsura constă în înființarea sistemului clinic mobil. </w:t>
      </w:r>
    </w:p>
    <w:p w14:paraId="78CC6954" w14:textId="77777777" w:rsidR="00FA7C11" w:rsidRDefault="00D84965">
      <w:pPr>
        <w:pStyle w:val="P68B1DB1-Normal42"/>
        <w:spacing w:line="240" w:lineRule="auto"/>
        <w:ind w:left="850"/>
        <w:jc w:val="both"/>
        <w:rPr>
          <w:noProof/>
        </w:rPr>
      </w:pPr>
      <w:r>
        <w:rPr>
          <w:noProof/>
        </w:rPr>
        <w:t>Investiția C5.1 R1-I3 – Construirea și echiparea unităților de izolare clinică (3, 4 și 1/5 din clădiri) Clinica bolilor infecțioase „Dr. Fran Mihaljević”</w:t>
      </w:r>
    </w:p>
    <w:p w14:paraId="54F1A11E" w14:textId="77777777" w:rsidR="00FA7C11" w:rsidRDefault="00D84965">
      <w:pPr>
        <w:pStyle w:val="P68B1DB1-Normal33"/>
        <w:spacing w:line="240" w:lineRule="auto"/>
        <w:jc w:val="both"/>
        <w:rPr>
          <w:noProof/>
        </w:rPr>
      </w:pPr>
      <w:r>
        <w:rPr>
          <w:noProof/>
        </w:rPr>
        <w:t>Obiectivul acestei măsuri este de a realiza tratamentul bolilor infecțioase utilizând tehnologii actualizate și inovatoare care vizează reducerea timpului de tratament, a costurilor și a furnizării de îngrijire de înaltă calitate pacienților. Această măsură constă în construirea de clădiri și înlocuirea echipamentelor pentru clinica pentru boli infecțioase Dr. Fran Mihaljević.</w:t>
      </w:r>
    </w:p>
    <w:p w14:paraId="54BEE16D" w14:textId="77777777" w:rsidR="00FA7C11" w:rsidRDefault="00FA7C11">
      <w:pPr>
        <w:spacing w:line="240" w:lineRule="auto"/>
        <w:jc w:val="both"/>
        <w:rPr>
          <w:rFonts w:eastAsia="Calibri"/>
          <w:iCs/>
          <w:noProof/>
        </w:rPr>
        <w:sectPr w:rsidR="00FA7C11" w:rsidSect="00FA29B2">
          <w:headerReference w:type="even" r:id="rId374"/>
          <w:headerReference w:type="default" r:id="rId375"/>
          <w:footerReference w:type="even" r:id="rId376"/>
          <w:footerReference w:type="default" r:id="rId377"/>
          <w:headerReference w:type="first" r:id="rId378"/>
          <w:footerReference w:type="first" r:id="rId379"/>
          <w:pgSz w:w="11907" w:h="16839"/>
          <w:pgMar w:top="1134" w:right="1134" w:bottom="1134" w:left="1134" w:header="567" w:footer="567" w:gutter="0"/>
          <w:cols w:space="708"/>
          <w:docGrid w:linePitch="360"/>
        </w:sectPr>
      </w:pPr>
    </w:p>
    <w:p w14:paraId="39DAF128" w14:textId="64101682" w:rsidR="00FA7C11" w:rsidRDefault="00D84965">
      <w:pPr>
        <w:pStyle w:val="P68B1DB1-Normal82"/>
        <w:spacing w:after="0" w:line="240" w:lineRule="auto"/>
        <w:jc w:val="both"/>
        <w:textAlignment w:val="baseline"/>
        <w:rPr>
          <w:noProof/>
        </w:rPr>
      </w:pPr>
      <w:r>
        <w:rPr>
          <w:b/>
          <w:noProof/>
        </w:rPr>
        <w:t xml:space="preserve">U.4. </w:t>
      </w:r>
      <w:r>
        <w:rPr>
          <w:noProof/>
        </w:rPr>
        <w:t xml:space="preserve"> </w:t>
      </w:r>
      <w:r>
        <w:rPr>
          <w:b/>
          <w:noProof/>
        </w:rPr>
        <w:t xml:space="preserve">Jaloane, ținte, indicatori și calendarul de monitorizare și implementare aplicabile împrumutului </w:t>
      </w:r>
    </w:p>
    <w:p w14:paraId="1F626E37" w14:textId="77777777" w:rsidR="00FA7C11" w:rsidRDefault="00D84965">
      <w:pPr>
        <w:pStyle w:val="P68B1DB1-Normal134"/>
        <w:spacing w:after="0" w:line="240" w:lineRule="auto"/>
        <w:jc w:val="both"/>
        <w:textAlignment w:val="baseline"/>
        <w:rPr>
          <w:noProof/>
        </w:rPr>
      </w:pPr>
      <w:r>
        <w:rPr>
          <w:noProof/>
        </w:rPr>
        <w:t> </w:t>
      </w:r>
    </w:p>
    <w:tbl>
      <w:tblPr>
        <w:tblW w:w="15814" w:type="dxa"/>
        <w:jc w:val="center"/>
        <w:tblCellMar>
          <w:top w:w="28" w:type="dxa"/>
          <w:left w:w="28" w:type="dxa"/>
          <w:bottom w:w="28" w:type="dxa"/>
          <w:right w:w="28" w:type="dxa"/>
        </w:tblCellMar>
        <w:tblLook w:val="04A0" w:firstRow="1" w:lastRow="0" w:firstColumn="1" w:lastColumn="0" w:noHBand="0" w:noVBand="1"/>
      </w:tblPr>
      <w:tblGrid>
        <w:gridCol w:w="846"/>
        <w:gridCol w:w="1150"/>
        <w:gridCol w:w="1345"/>
        <w:gridCol w:w="1847"/>
        <w:gridCol w:w="2159"/>
        <w:gridCol w:w="1078"/>
        <w:gridCol w:w="1087"/>
        <w:gridCol w:w="976"/>
        <w:gridCol w:w="919"/>
        <w:gridCol w:w="850"/>
        <w:gridCol w:w="4277"/>
      </w:tblGrid>
      <w:tr w:rsidR="00FA7C11" w14:paraId="0ECC01FA" w14:textId="77777777">
        <w:trPr>
          <w:trHeight w:val="636"/>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2AEFED" w14:textId="77777777" w:rsidR="00FA7C11" w:rsidRDefault="00D84965">
            <w:pPr>
              <w:pStyle w:val="P68B1DB1-Normal58"/>
              <w:spacing w:after="0" w:line="276" w:lineRule="auto"/>
              <w:jc w:val="center"/>
              <w:rPr>
                <w:bCs/>
                <w:noProof/>
              </w:rPr>
            </w:pPr>
            <w:r>
              <w:rPr>
                <w:noProof/>
              </w:rPr>
              <w:t>Număr</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43168F" w14:textId="77777777" w:rsidR="00FA7C11" w:rsidRDefault="00D84965">
            <w:pPr>
              <w:pStyle w:val="P68B1DB1-Normal58"/>
              <w:spacing w:after="0" w:line="276" w:lineRule="auto"/>
              <w:jc w:val="center"/>
              <w:rPr>
                <w:bCs/>
                <w:noProof/>
              </w:rPr>
            </w:pPr>
            <w:r>
              <w:rPr>
                <w:noProof/>
              </w:rPr>
              <w:t>Măsură</w:t>
            </w:r>
          </w:p>
        </w:tc>
        <w:tc>
          <w:tcPr>
            <w:tcW w:w="9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C56662" w14:textId="77777777" w:rsidR="00FA7C11" w:rsidRDefault="00D84965">
            <w:pPr>
              <w:pStyle w:val="P68B1DB1-Normal58"/>
              <w:spacing w:after="0" w:line="276" w:lineRule="auto"/>
              <w:jc w:val="center"/>
              <w:rPr>
                <w:bCs/>
                <w:noProof/>
              </w:rPr>
            </w:pPr>
            <w:r>
              <w:rPr>
                <w:noProof/>
              </w:rPr>
              <w:t>Etapă/Obiectiv</w:t>
            </w:r>
          </w:p>
        </w:tc>
        <w:tc>
          <w:tcPr>
            <w:tcW w:w="1847" w:type="dxa"/>
            <w:vMerge w:val="restart"/>
            <w:tcBorders>
              <w:top w:val="single" w:sz="4" w:space="0" w:color="auto"/>
              <w:left w:val="nil"/>
              <w:bottom w:val="single" w:sz="4" w:space="0" w:color="auto"/>
              <w:right w:val="single" w:sz="4" w:space="0" w:color="auto"/>
            </w:tcBorders>
            <w:shd w:val="clear" w:color="auto" w:fill="BDD7EE"/>
            <w:vAlign w:val="center"/>
            <w:hideMark/>
          </w:tcPr>
          <w:p w14:paraId="27F58FF3" w14:textId="77777777" w:rsidR="00FA7C11" w:rsidRDefault="00D84965">
            <w:pPr>
              <w:pStyle w:val="P68B1DB1-Normal58"/>
              <w:spacing w:after="0" w:line="276" w:lineRule="auto"/>
              <w:jc w:val="center"/>
              <w:rPr>
                <w:bCs/>
                <w:noProof/>
              </w:rPr>
            </w:pPr>
            <w:r>
              <w:rPr>
                <w:noProof/>
              </w:rPr>
              <w:t>Nume</w:t>
            </w:r>
          </w:p>
        </w:tc>
        <w:tc>
          <w:tcPr>
            <w:tcW w:w="21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A028A9"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3141" w:type="dxa"/>
            <w:gridSpan w:val="3"/>
            <w:tcBorders>
              <w:top w:val="single" w:sz="4" w:space="0" w:color="auto"/>
              <w:left w:val="nil"/>
              <w:bottom w:val="single" w:sz="4" w:space="0" w:color="auto"/>
              <w:right w:val="single" w:sz="4" w:space="0" w:color="auto"/>
            </w:tcBorders>
            <w:shd w:val="clear" w:color="auto" w:fill="BDD7EE"/>
            <w:vAlign w:val="center"/>
            <w:hideMark/>
          </w:tcPr>
          <w:p w14:paraId="25448488"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395" w:type="dxa"/>
            <w:gridSpan w:val="2"/>
            <w:tcBorders>
              <w:top w:val="single" w:sz="4" w:space="0" w:color="auto"/>
              <w:left w:val="nil"/>
              <w:bottom w:val="single" w:sz="4" w:space="0" w:color="auto"/>
              <w:right w:val="single" w:sz="4" w:space="0" w:color="auto"/>
            </w:tcBorders>
            <w:shd w:val="clear" w:color="auto" w:fill="BDD7EE"/>
            <w:vAlign w:val="center"/>
            <w:hideMark/>
          </w:tcPr>
          <w:p w14:paraId="509D2488" w14:textId="77777777" w:rsidR="00FA7C11" w:rsidRDefault="00D84965">
            <w:pPr>
              <w:pStyle w:val="P68B1DB1-Normal58"/>
              <w:spacing w:after="0" w:line="276" w:lineRule="auto"/>
              <w:jc w:val="center"/>
              <w:rPr>
                <w:bCs/>
                <w:noProof/>
              </w:rPr>
            </w:pPr>
            <w:r>
              <w:rPr>
                <w:noProof/>
              </w:rPr>
              <w:t>Timp</w:t>
            </w:r>
          </w:p>
        </w:tc>
        <w:tc>
          <w:tcPr>
            <w:tcW w:w="42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8F480E"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5509B032" w14:textId="77777777">
        <w:trPr>
          <w:trHeight w:val="362"/>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437492D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50" w:type="dxa"/>
            <w:vMerge/>
            <w:tcBorders>
              <w:top w:val="single" w:sz="4" w:space="0" w:color="auto"/>
              <w:left w:val="single" w:sz="4" w:space="0" w:color="auto"/>
              <w:bottom w:val="single" w:sz="4" w:space="0" w:color="auto"/>
              <w:right w:val="single" w:sz="4" w:space="0" w:color="auto"/>
            </w:tcBorders>
            <w:hideMark/>
          </w:tcPr>
          <w:p w14:paraId="6A31EC5D"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999" w:type="dxa"/>
            <w:vMerge/>
            <w:tcBorders>
              <w:top w:val="single" w:sz="4" w:space="0" w:color="auto"/>
              <w:left w:val="single" w:sz="4" w:space="0" w:color="auto"/>
              <w:bottom w:val="single" w:sz="4" w:space="0" w:color="auto"/>
              <w:right w:val="single" w:sz="4" w:space="0" w:color="auto"/>
            </w:tcBorders>
            <w:hideMark/>
          </w:tcPr>
          <w:p w14:paraId="184596B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847" w:type="dxa"/>
            <w:vMerge/>
            <w:tcBorders>
              <w:top w:val="single" w:sz="4" w:space="0" w:color="auto"/>
              <w:left w:val="single" w:sz="4" w:space="0" w:color="auto"/>
              <w:bottom w:val="single" w:sz="4" w:space="0" w:color="auto"/>
              <w:right w:val="single" w:sz="4" w:space="0" w:color="auto"/>
            </w:tcBorders>
            <w:hideMark/>
          </w:tcPr>
          <w:p w14:paraId="40B37F50" w14:textId="77777777" w:rsidR="00FA7C11" w:rsidRDefault="00FA7C11">
            <w:pPr>
              <w:spacing w:after="0" w:line="276" w:lineRule="auto"/>
              <w:rPr>
                <w:rFonts w:ascii="Times New Roman" w:eastAsia="Times New Roman" w:hAnsi="Times New Roman" w:cs="Times New Roman"/>
                <w:b/>
                <w:noProof/>
                <w:sz w:val="20"/>
                <w:szCs w:val="20"/>
              </w:rPr>
            </w:pPr>
          </w:p>
        </w:tc>
        <w:tc>
          <w:tcPr>
            <w:tcW w:w="2159" w:type="dxa"/>
            <w:vMerge/>
            <w:tcBorders>
              <w:top w:val="single" w:sz="4" w:space="0" w:color="auto"/>
              <w:left w:val="single" w:sz="4" w:space="0" w:color="auto"/>
              <w:bottom w:val="single" w:sz="4" w:space="0" w:color="auto"/>
              <w:right w:val="single" w:sz="4" w:space="0" w:color="auto"/>
            </w:tcBorders>
            <w:hideMark/>
          </w:tcPr>
          <w:p w14:paraId="4127E692" w14:textId="77777777" w:rsidR="00FA7C11" w:rsidRDefault="00FA7C11">
            <w:pPr>
              <w:spacing w:after="0" w:line="276" w:lineRule="auto"/>
              <w:rPr>
                <w:rFonts w:ascii="Times New Roman" w:eastAsia="Times New Roman" w:hAnsi="Times New Roman" w:cs="Times New Roman"/>
                <w:b/>
                <w:noProof/>
                <w:sz w:val="20"/>
                <w:szCs w:val="20"/>
              </w:rPr>
            </w:pPr>
          </w:p>
        </w:tc>
        <w:tc>
          <w:tcPr>
            <w:tcW w:w="107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C545F5" w14:textId="77777777" w:rsidR="00FA7C11" w:rsidRDefault="00D84965">
            <w:pPr>
              <w:pStyle w:val="P68B1DB1-Normal58"/>
              <w:spacing w:after="0" w:line="276" w:lineRule="auto"/>
              <w:jc w:val="center"/>
              <w:rPr>
                <w:bCs/>
                <w:noProof/>
              </w:rPr>
            </w:pPr>
            <w:r>
              <w:rPr>
                <w:noProof/>
              </w:rPr>
              <w:t>Unitate</w:t>
            </w:r>
          </w:p>
        </w:tc>
        <w:tc>
          <w:tcPr>
            <w:tcW w:w="10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5199674" w14:textId="77777777" w:rsidR="00FA7C11" w:rsidRDefault="00D84965">
            <w:pPr>
              <w:pStyle w:val="P68B1DB1-Normal58"/>
              <w:spacing w:after="0" w:line="276" w:lineRule="auto"/>
              <w:jc w:val="center"/>
              <w:rPr>
                <w:bCs/>
                <w:noProof/>
              </w:rPr>
            </w:pPr>
            <w:r>
              <w:rPr>
                <w:noProof/>
              </w:rPr>
              <w:t>Situația de referință</w:t>
            </w:r>
          </w:p>
        </w:tc>
        <w:tc>
          <w:tcPr>
            <w:tcW w:w="9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1ADC0CC" w14:textId="77777777" w:rsidR="00FA7C11" w:rsidRDefault="00D84965">
            <w:pPr>
              <w:pStyle w:val="P68B1DB1-Normal58"/>
              <w:spacing w:after="0" w:line="276" w:lineRule="auto"/>
              <w:jc w:val="center"/>
              <w:rPr>
                <w:bCs/>
                <w:noProof/>
              </w:rPr>
            </w:pPr>
            <w:r>
              <w:rPr>
                <w:noProof/>
              </w:rPr>
              <w:t>Obiectiv</w:t>
            </w:r>
          </w:p>
        </w:tc>
        <w:tc>
          <w:tcPr>
            <w:tcW w:w="5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CA3817" w14:textId="77777777" w:rsidR="00FA7C11" w:rsidRDefault="00D84965">
            <w:pPr>
              <w:pStyle w:val="P68B1DB1-Normal58"/>
              <w:spacing w:after="0" w:line="276" w:lineRule="auto"/>
              <w:jc w:val="center"/>
              <w:rPr>
                <w:bCs/>
                <w:noProof/>
              </w:rPr>
            </w:pPr>
            <w:r>
              <w:rPr>
                <w:noProof/>
              </w:rPr>
              <w:t>Trimestru</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5D68600" w14:textId="77777777" w:rsidR="00FA7C11" w:rsidRDefault="00D84965">
            <w:pPr>
              <w:pStyle w:val="P68B1DB1-Normal58"/>
              <w:spacing w:after="0" w:line="276" w:lineRule="auto"/>
              <w:jc w:val="center"/>
              <w:rPr>
                <w:bCs/>
                <w:noProof/>
              </w:rPr>
            </w:pPr>
            <w:r>
              <w:rPr>
                <w:noProof/>
              </w:rPr>
              <w:t>Anul</w:t>
            </w:r>
          </w:p>
        </w:tc>
        <w:tc>
          <w:tcPr>
            <w:tcW w:w="4277" w:type="dxa"/>
            <w:vMerge/>
            <w:tcBorders>
              <w:top w:val="single" w:sz="4" w:space="0" w:color="auto"/>
              <w:left w:val="single" w:sz="4" w:space="0" w:color="auto"/>
              <w:bottom w:val="single" w:sz="4" w:space="0" w:color="auto"/>
              <w:right w:val="single" w:sz="4" w:space="0" w:color="auto"/>
            </w:tcBorders>
            <w:hideMark/>
          </w:tcPr>
          <w:p w14:paraId="61DF77F4"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0634FDDE" w14:textId="77777777">
        <w:trPr>
          <w:trHeight w:val="283"/>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6FB93EDC" w14:textId="77777777" w:rsidR="00FA7C11" w:rsidRDefault="00D84965">
            <w:pPr>
              <w:pStyle w:val="P68B1DB1-Normal66"/>
              <w:spacing w:after="200" w:line="276" w:lineRule="auto"/>
              <w:jc w:val="center"/>
              <w:rPr>
                <w:noProof/>
              </w:rPr>
            </w:pPr>
            <w:r>
              <w:rPr>
                <w:noProof/>
              </w:rPr>
              <w:t>320</w:t>
            </w:r>
          </w:p>
        </w:tc>
        <w:tc>
          <w:tcPr>
            <w:tcW w:w="1150" w:type="dxa"/>
            <w:tcBorders>
              <w:top w:val="single" w:sz="4" w:space="0" w:color="auto"/>
              <w:left w:val="nil"/>
              <w:bottom w:val="single" w:sz="4" w:space="0" w:color="auto"/>
              <w:right w:val="single" w:sz="4" w:space="0" w:color="auto"/>
            </w:tcBorders>
            <w:shd w:val="clear" w:color="auto" w:fill="C6EFCE"/>
            <w:noWrap/>
          </w:tcPr>
          <w:p w14:paraId="30AD6FD0" w14:textId="77777777" w:rsidR="00FA7C11" w:rsidRDefault="00D84965">
            <w:pPr>
              <w:pStyle w:val="P68B1DB1-Normal66"/>
              <w:spacing w:after="200" w:line="276" w:lineRule="auto"/>
              <w:jc w:val="center"/>
              <w:rPr>
                <w:noProof/>
              </w:rPr>
            </w:pPr>
            <w:r>
              <w:rPr>
                <w:noProof/>
              </w:rPr>
              <w:t>C5.1. R1-I1</w:t>
            </w:r>
          </w:p>
        </w:tc>
        <w:tc>
          <w:tcPr>
            <w:tcW w:w="999" w:type="dxa"/>
            <w:tcBorders>
              <w:top w:val="single" w:sz="4" w:space="0" w:color="auto"/>
              <w:left w:val="nil"/>
              <w:bottom w:val="single" w:sz="4" w:space="0" w:color="auto"/>
              <w:right w:val="single" w:sz="4" w:space="0" w:color="auto"/>
            </w:tcBorders>
            <w:shd w:val="clear" w:color="auto" w:fill="C6EFCE"/>
            <w:noWrap/>
          </w:tcPr>
          <w:p w14:paraId="08A75C00" w14:textId="77777777" w:rsidR="00FA7C11" w:rsidRDefault="00D84965">
            <w:pPr>
              <w:pStyle w:val="P68B1DB1-Normal66"/>
              <w:spacing w:after="200" w:line="276" w:lineRule="auto"/>
              <w:jc w:val="center"/>
              <w:rPr>
                <w:noProof/>
              </w:rPr>
            </w:pPr>
            <w:r>
              <w:rPr>
                <w:noProof/>
              </w:rPr>
              <w:t>T</w:t>
            </w:r>
          </w:p>
        </w:tc>
        <w:tc>
          <w:tcPr>
            <w:tcW w:w="1847" w:type="dxa"/>
            <w:tcBorders>
              <w:top w:val="single" w:sz="4" w:space="0" w:color="auto"/>
              <w:left w:val="nil"/>
              <w:bottom w:val="single" w:sz="4" w:space="0" w:color="auto"/>
              <w:right w:val="single" w:sz="4" w:space="0" w:color="auto"/>
            </w:tcBorders>
            <w:shd w:val="clear" w:color="auto" w:fill="C6EFCE"/>
            <w:noWrap/>
          </w:tcPr>
          <w:p w14:paraId="178132E3" w14:textId="77777777" w:rsidR="00FA7C11" w:rsidRDefault="00D84965">
            <w:pPr>
              <w:pStyle w:val="P68B1DB1-Normal66"/>
              <w:spacing w:after="200" w:line="276" w:lineRule="auto"/>
              <w:rPr>
                <w:noProof/>
              </w:rPr>
            </w:pPr>
            <w:r>
              <w:rPr>
                <w:noProof/>
              </w:rPr>
              <w:t xml:space="preserve">Accesul la asistență medicală și medicamente </w:t>
            </w:r>
          </w:p>
        </w:tc>
        <w:tc>
          <w:tcPr>
            <w:tcW w:w="2159" w:type="dxa"/>
            <w:tcBorders>
              <w:top w:val="single" w:sz="4" w:space="0" w:color="auto"/>
              <w:left w:val="nil"/>
              <w:bottom w:val="single" w:sz="4" w:space="0" w:color="auto"/>
              <w:right w:val="single" w:sz="4" w:space="0" w:color="auto"/>
            </w:tcBorders>
            <w:shd w:val="clear" w:color="auto" w:fill="C6EFCE"/>
            <w:noWrap/>
          </w:tcPr>
          <w:p w14:paraId="5289DB7F" w14:textId="77777777" w:rsidR="00FA7C11" w:rsidRDefault="00D84965">
            <w:pPr>
              <w:pStyle w:val="P68B1DB1-Normal66"/>
              <w:spacing w:after="200" w:line="276" w:lineRule="auto"/>
              <w:rPr>
                <w:noProof/>
              </w:rPr>
            </w:pPr>
            <w:r>
              <w:rPr>
                <w:noProof/>
              </w:rPr>
              <w:t xml:space="preserve"> </w:t>
            </w:r>
          </w:p>
        </w:tc>
        <w:tc>
          <w:tcPr>
            <w:tcW w:w="1078" w:type="dxa"/>
            <w:tcBorders>
              <w:top w:val="single" w:sz="4" w:space="0" w:color="auto"/>
              <w:left w:val="nil"/>
              <w:bottom w:val="single" w:sz="4" w:space="0" w:color="auto"/>
              <w:right w:val="single" w:sz="4" w:space="0" w:color="auto"/>
            </w:tcBorders>
            <w:shd w:val="clear" w:color="auto" w:fill="C6EFCE"/>
            <w:noWrap/>
          </w:tcPr>
          <w:p w14:paraId="0DB67759" w14:textId="77777777" w:rsidR="00FA7C11" w:rsidRDefault="00D84965">
            <w:pPr>
              <w:pStyle w:val="P68B1DB1-Normal66"/>
              <w:spacing w:after="200" w:line="276" w:lineRule="auto"/>
              <w:jc w:val="center"/>
              <w:rPr>
                <w:noProof/>
              </w:rPr>
            </w:pPr>
            <w:r>
              <w:rPr>
                <w:noProof/>
              </w:rPr>
              <w:t>Număr</w:t>
            </w:r>
          </w:p>
        </w:tc>
        <w:tc>
          <w:tcPr>
            <w:tcW w:w="1087" w:type="dxa"/>
            <w:tcBorders>
              <w:top w:val="single" w:sz="4" w:space="0" w:color="auto"/>
              <w:left w:val="nil"/>
              <w:bottom w:val="single" w:sz="4" w:space="0" w:color="auto"/>
              <w:right w:val="single" w:sz="4" w:space="0" w:color="auto"/>
            </w:tcBorders>
            <w:shd w:val="clear" w:color="auto" w:fill="C6EFCE"/>
            <w:noWrap/>
          </w:tcPr>
          <w:p w14:paraId="2C0D4D80" w14:textId="77777777" w:rsidR="00FA7C11" w:rsidRDefault="00D84965">
            <w:pPr>
              <w:pStyle w:val="P68B1DB1-Normal66"/>
              <w:spacing w:after="200" w:line="276" w:lineRule="auto"/>
              <w:jc w:val="center"/>
              <w:rPr>
                <w:noProof/>
              </w:rPr>
            </w:pPr>
            <w:r>
              <w:rPr>
                <w:noProof/>
              </w:rPr>
              <w:t>0</w:t>
            </w:r>
          </w:p>
        </w:tc>
        <w:tc>
          <w:tcPr>
            <w:tcW w:w="976" w:type="dxa"/>
            <w:tcBorders>
              <w:top w:val="single" w:sz="4" w:space="0" w:color="auto"/>
              <w:left w:val="nil"/>
              <w:bottom w:val="single" w:sz="4" w:space="0" w:color="auto"/>
              <w:right w:val="single" w:sz="4" w:space="0" w:color="auto"/>
            </w:tcBorders>
            <w:shd w:val="clear" w:color="auto" w:fill="C6EFCE"/>
            <w:noWrap/>
          </w:tcPr>
          <w:p w14:paraId="1562FBDF" w14:textId="77777777" w:rsidR="00FA7C11" w:rsidRDefault="00D84965">
            <w:pPr>
              <w:pStyle w:val="P68B1DB1-Normal66"/>
              <w:spacing w:after="200" w:line="276" w:lineRule="auto"/>
              <w:jc w:val="center"/>
              <w:rPr>
                <w:noProof/>
              </w:rPr>
            </w:pPr>
            <w:r>
              <w:rPr>
                <w:noProof/>
              </w:rPr>
              <w:t>8</w:t>
            </w:r>
          </w:p>
        </w:tc>
        <w:tc>
          <w:tcPr>
            <w:tcW w:w="545" w:type="dxa"/>
            <w:tcBorders>
              <w:top w:val="single" w:sz="4" w:space="0" w:color="auto"/>
              <w:left w:val="nil"/>
              <w:bottom w:val="single" w:sz="4" w:space="0" w:color="auto"/>
              <w:right w:val="single" w:sz="4" w:space="0" w:color="auto"/>
            </w:tcBorders>
            <w:shd w:val="clear" w:color="auto" w:fill="C6EFCE"/>
            <w:noWrap/>
          </w:tcPr>
          <w:p w14:paraId="116561B9" w14:textId="77777777" w:rsidR="00FA7C11" w:rsidRDefault="00D84965">
            <w:pPr>
              <w:pStyle w:val="P68B1DB1-Normal66"/>
              <w:spacing w:after="200" w:line="276" w:lineRule="auto"/>
              <w:jc w:val="center"/>
              <w:rPr>
                <w:noProof/>
              </w:rPr>
            </w:pPr>
            <w:r>
              <w:rPr>
                <w:noProof/>
              </w:rPr>
              <w:t>Î2</w:t>
            </w:r>
          </w:p>
        </w:tc>
        <w:tc>
          <w:tcPr>
            <w:tcW w:w="850" w:type="dxa"/>
            <w:tcBorders>
              <w:top w:val="single" w:sz="4" w:space="0" w:color="auto"/>
              <w:left w:val="nil"/>
              <w:bottom w:val="single" w:sz="4" w:space="0" w:color="auto"/>
              <w:right w:val="single" w:sz="4" w:space="0" w:color="auto"/>
            </w:tcBorders>
            <w:shd w:val="clear" w:color="auto" w:fill="C6EFCE"/>
            <w:noWrap/>
          </w:tcPr>
          <w:p w14:paraId="7962A329" w14:textId="77777777" w:rsidR="00FA7C11" w:rsidRDefault="00D84965">
            <w:pPr>
              <w:pStyle w:val="P68B1DB1-Normal66"/>
              <w:spacing w:after="200" w:line="276" w:lineRule="auto"/>
              <w:jc w:val="center"/>
              <w:rPr>
                <w:noProof/>
              </w:rPr>
            </w:pPr>
            <w:r>
              <w:rPr>
                <w:noProof/>
              </w:rPr>
              <w:t>2025</w:t>
            </w:r>
          </w:p>
        </w:tc>
        <w:tc>
          <w:tcPr>
            <w:tcW w:w="4277" w:type="dxa"/>
            <w:tcBorders>
              <w:top w:val="single" w:sz="4" w:space="0" w:color="auto"/>
              <w:left w:val="nil"/>
              <w:bottom w:val="single" w:sz="4" w:space="0" w:color="auto"/>
              <w:right w:val="single" w:sz="4" w:space="0" w:color="auto"/>
            </w:tcBorders>
            <w:shd w:val="clear" w:color="auto" w:fill="C6EFCE"/>
            <w:noWrap/>
          </w:tcPr>
          <w:p w14:paraId="581A5B7F" w14:textId="77777777" w:rsidR="00FA7C11" w:rsidRDefault="00D84965">
            <w:pPr>
              <w:pStyle w:val="P68B1DB1-Normal66"/>
              <w:spacing w:after="200" w:line="276" w:lineRule="auto"/>
              <w:rPr>
                <w:noProof/>
              </w:rPr>
            </w:pPr>
            <w:r>
              <w:rPr>
                <w:noProof/>
              </w:rPr>
              <w:t>Se achiziționează cel puțin șase farmacii mobile de rulote și cel puțin două farmacii de ambarcațiuni.</w:t>
            </w:r>
          </w:p>
        </w:tc>
      </w:tr>
      <w:tr w:rsidR="00FA7C11" w14:paraId="755C1D29" w14:textId="77777777">
        <w:trPr>
          <w:trHeight w:val="283"/>
          <w:jc w:val="center"/>
        </w:trPr>
        <w:tc>
          <w:tcPr>
            <w:tcW w:w="846" w:type="dxa"/>
            <w:tcBorders>
              <w:top w:val="nil"/>
              <w:left w:val="single" w:sz="4" w:space="0" w:color="auto"/>
              <w:bottom w:val="single" w:sz="4" w:space="0" w:color="auto"/>
              <w:right w:val="single" w:sz="4" w:space="0" w:color="auto"/>
            </w:tcBorders>
            <w:shd w:val="clear" w:color="auto" w:fill="C6EFCE"/>
            <w:noWrap/>
          </w:tcPr>
          <w:p w14:paraId="39FBE240" w14:textId="77777777" w:rsidR="00FA7C11" w:rsidRDefault="00D84965">
            <w:pPr>
              <w:pStyle w:val="P68B1DB1-Normal66"/>
              <w:spacing w:after="200" w:line="276" w:lineRule="auto"/>
              <w:jc w:val="center"/>
              <w:rPr>
                <w:noProof/>
              </w:rPr>
            </w:pPr>
            <w:r>
              <w:rPr>
                <w:noProof/>
              </w:rPr>
              <w:t>321</w:t>
            </w:r>
          </w:p>
        </w:tc>
        <w:tc>
          <w:tcPr>
            <w:tcW w:w="1150" w:type="dxa"/>
            <w:tcBorders>
              <w:top w:val="nil"/>
              <w:left w:val="nil"/>
              <w:bottom w:val="single" w:sz="4" w:space="0" w:color="auto"/>
              <w:right w:val="single" w:sz="4" w:space="0" w:color="auto"/>
            </w:tcBorders>
            <w:shd w:val="clear" w:color="auto" w:fill="C6EFCE"/>
            <w:noWrap/>
          </w:tcPr>
          <w:p w14:paraId="0F23785C" w14:textId="77777777" w:rsidR="00FA7C11" w:rsidRDefault="00D84965">
            <w:pPr>
              <w:pStyle w:val="P68B1DB1-Normal66"/>
              <w:spacing w:after="200" w:line="276" w:lineRule="auto"/>
              <w:jc w:val="center"/>
              <w:rPr>
                <w:noProof/>
              </w:rPr>
            </w:pPr>
            <w:r>
              <w:rPr>
                <w:noProof/>
              </w:rPr>
              <w:t>C5.1. R1-I2</w:t>
            </w:r>
          </w:p>
        </w:tc>
        <w:tc>
          <w:tcPr>
            <w:tcW w:w="999" w:type="dxa"/>
            <w:tcBorders>
              <w:top w:val="nil"/>
              <w:left w:val="nil"/>
              <w:bottom w:val="single" w:sz="4" w:space="0" w:color="auto"/>
              <w:right w:val="single" w:sz="4" w:space="0" w:color="auto"/>
            </w:tcBorders>
            <w:shd w:val="clear" w:color="auto" w:fill="C6EFCE"/>
            <w:noWrap/>
          </w:tcPr>
          <w:p w14:paraId="5ECD235B" w14:textId="77777777" w:rsidR="00FA7C11" w:rsidRDefault="00D84965">
            <w:pPr>
              <w:pStyle w:val="P68B1DB1-Normal66"/>
              <w:spacing w:after="200" w:line="276" w:lineRule="auto"/>
              <w:jc w:val="center"/>
              <w:rPr>
                <w:noProof/>
              </w:rPr>
            </w:pPr>
            <w:r>
              <w:rPr>
                <w:noProof/>
              </w:rPr>
              <w:t>T</w:t>
            </w:r>
          </w:p>
        </w:tc>
        <w:tc>
          <w:tcPr>
            <w:tcW w:w="1847" w:type="dxa"/>
            <w:tcBorders>
              <w:top w:val="nil"/>
              <w:left w:val="nil"/>
              <w:bottom w:val="single" w:sz="4" w:space="0" w:color="auto"/>
              <w:right w:val="single" w:sz="4" w:space="0" w:color="auto"/>
            </w:tcBorders>
            <w:shd w:val="clear" w:color="auto" w:fill="C6EFCE"/>
            <w:noWrap/>
          </w:tcPr>
          <w:p w14:paraId="7ED25443" w14:textId="77777777" w:rsidR="00FA7C11" w:rsidRDefault="00D84965">
            <w:pPr>
              <w:pStyle w:val="P68B1DB1-Normal66"/>
              <w:spacing w:after="200" w:line="276" w:lineRule="auto"/>
              <w:rPr>
                <w:noProof/>
              </w:rPr>
            </w:pPr>
            <w:r>
              <w:rPr>
                <w:noProof/>
              </w:rPr>
              <w:t xml:space="preserve">Furnizarea de asistență medicală primară ambulatorie mobilă </w:t>
            </w:r>
          </w:p>
        </w:tc>
        <w:tc>
          <w:tcPr>
            <w:tcW w:w="2159" w:type="dxa"/>
            <w:tcBorders>
              <w:top w:val="nil"/>
              <w:left w:val="nil"/>
              <w:bottom w:val="single" w:sz="4" w:space="0" w:color="auto"/>
              <w:right w:val="single" w:sz="4" w:space="0" w:color="auto"/>
            </w:tcBorders>
            <w:shd w:val="clear" w:color="auto" w:fill="C6EFCE"/>
            <w:noWrap/>
          </w:tcPr>
          <w:p w14:paraId="65F7985B" w14:textId="77777777" w:rsidR="00FA7C11" w:rsidRDefault="00D84965">
            <w:pPr>
              <w:pStyle w:val="P68B1DB1-Normal66"/>
              <w:spacing w:after="200" w:line="276" w:lineRule="auto"/>
              <w:rPr>
                <w:noProof/>
              </w:rPr>
            </w:pPr>
            <w:r>
              <w:rPr>
                <w:noProof/>
              </w:rPr>
              <w:t xml:space="preserve"> </w:t>
            </w:r>
          </w:p>
        </w:tc>
        <w:tc>
          <w:tcPr>
            <w:tcW w:w="1078" w:type="dxa"/>
            <w:tcBorders>
              <w:top w:val="nil"/>
              <w:left w:val="nil"/>
              <w:bottom w:val="single" w:sz="4" w:space="0" w:color="auto"/>
              <w:right w:val="single" w:sz="4" w:space="0" w:color="auto"/>
            </w:tcBorders>
            <w:shd w:val="clear" w:color="auto" w:fill="C6EFCE"/>
            <w:noWrap/>
          </w:tcPr>
          <w:p w14:paraId="669CCB60" w14:textId="77777777" w:rsidR="00FA7C11" w:rsidRDefault="00D84965">
            <w:pPr>
              <w:pStyle w:val="P68B1DB1-Normal66"/>
              <w:spacing w:after="200" w:line="276" w:lineRule="auto"/>
              <w:jc w:val="center"/>
              <w:rPr>
                <w:noProof/>
              </w:rPr>
            </w:pPr>
            <w:r>
              <w:rPr>
                <w:noProof/>
              </w:rPr>
              <w:t>Număr</w:t>
            </w:r>
          </w:p>
        </w:tc>
        <w:tc>
          <w:tcPr>
            <w:tcW w:w="1087" w:type="dxa"/>
            <w:tcBorders>
              <w:top w:val="nil"/>
              <w:left w:val="nil"/>
              <w:bottom w:val="single" w:sz="4" w:space="0" w:color="auto"/>
              <w:right w:val="single" w:sz="4" w:space="0" w:color="auto"/>
            </w:tcBorders>
            <w:shd w:val="clear" w:color="auto" w:fill="C6EFCE"/>
            <w:noWrap/>
          </w:tcPr>
          <w:p w14:paraId="2833066E" w14:textId="77777777" w:rsidR="00FA7C11" w:rsidRDefault="00D84965">
            <w:pPr>
              <w:pStyle w:val="P68B1DB1-Normal66"/>
              <w:spacing w:after="200" w:line="276" w:lineRule="auto"/>
              <w:jc w:val="center"/>
              <w:rPr>
                <w:noProof/>
              </w:rPr>
            </w:pPr>
            <w:r>
              <w:rPr>
                <w:noProof/>
              </w:rPr>
              <w:t>0</w:t>
            </w:r>
          </w:p>
        </w:tc>
        <w:tc>
          <w:tcPr>
            <w:tcW w:w="976" w:type="dxa"/>
            <w:tcBorders>
              <w:top w:val="nil"/>
              <w:left w:val="nil"/>
              <w:bottom w:val="single" w:sz="4" w:space="0" w:color="auto"/>
              <w:right w:val="single" w:sz="4" w:space="0" w:color="auto"/>
            </w:tcBorders>
            <w:shd w:val="clear" w:color="auto" w:fill="C6EFCE"/>
            <w:noWrap/>
          </w:tcPr>
          <w:p w14:paraId="488A7AA9" w14:textId="77777777" w:rsidR="00FA7C11" w:rsidRDefault="00D84965">
            <w:pPr>
              <w:pStyle w:val="P68B1DB1-Normal66"/>
              <w:spacing w:after="200" w:line="276" w:lineRule="auto"/>
              <w:jc w:val="center"/>
              <w:rPr>
                <w:noProof/>
              </w:rPr>
            </w:pPr>
            <w:r>
              <w:rPr>
                <w:noProof/>
              </w:rPr>
              <w:t>33</w:t>
            </w:r>
          </w:p>
          <w:p w14:paraId="039070ED" w14:textId="77777777" w:rsidR="00FA7C11" w:rsidRDefault="00FA7C11">
            <w:pPr>
              <w:spacing w:after="200" w:line="276" w:lineRule="auto"/>
              <w:rPr>
                <w:rFonts w:ascii="Times New Roman" w:eastAsia="Calibri" w:hAnsi="Times New Roman" w:cs="Times New Roman"/>
                <w:noProof/>
                <w:sz w:val="20"/>
                <w:szCs w:val="20"/>
              </w:rPr>
            </w:pPr>
          </w:p>
        </w:tc>
        <w:tc>
          <w:tcPr>
            <w:tcW w:w="545" w:type="dxa"/>
            <w:tcBorders>
              <w:top w:val="nil"/>
              <w:left w:val="nil"/>
              <w:bottom w:val="single" w:sz="4" w:space="0" w:color="auto"/>
              <w:right w:val="single" w:sz="4" w:space="0" w:color="auto"/>
            </w:tcBorders>
            <w:shd w:val="clear" w:color="auto" w:fill="C6EFCE"/>
            <w:noWrap/>
          </w:tcPr>
          <w:p w14:paraId="5748EB2B" w14:textId="77777777" w:rsidR="00FA7C11" w:rsidRDefault="00D84965">
            <w:pPr>
              <w:pStyle w:val="P68B1DB1-Normal66"/>
              <w:spacing w:after="200" w:line="276" w:lineRule="auto"/>
              <w:jc w:val="center"/>
              <w:rPr>
                <w:noProof/>
              </w:rPr>
            </w:pPr>
            <w:r>
              <w:rPr>
                <w:noProof/>
              </w:rPr>
              <w:t>Î4</w:t>
            </w:r>
          </w:p>
        </w:tc>
        <w:tc>
          <w:tcPr>
            <w:tcW w:w="850" w:type="dxa"/>
            <w:tcBorders>
              <w:top w:val="nil"/>
              <w:left w:val="nil"/>
              <w:bottom w:val="single" w:sz="4" w:space="0" w:color="auto"/>
              <w:right w:val="single" w:sz="4" w:space="0" w:color="auto"/>
            </w:tcBorders>
            <w:shd w:val="clear" w:color="auto" w:fill="C6EFCE"/>
            <w:noWrap/>
          </w:tcPr>
          <w:p w14:paraId="2372BDDE" w14:textId="77777777" w:rsidR="00FA7C11" w:rsidRDefault="00D84965">
            <w:pPr>
              <w:pStyle w:val="P68B1DB1-Normal66"/>
              <w:spacing w:after="200" w:line="276" w:lineRule="auto"/>
              <w:jc w:val="center"/>
              <w:rPr>
                <w:noProof/>
              </w:rPr>
            </w:pPr>
            <w:r>
              <w:rPr>
                <w:noProof/>
              </w:rPr>
              <w:t>2025</w:t>
            </w:r>
          </w:p>
        </w:tc>
        <w:tc>
          <w:tcPr>
            <w:tcW w:w="4277" w:type="dxa"/>
            <w:tcBorders>
              <w:top w:val="nil"/>
              <w:left w:val="nil"/>
              <w:bottom w:val="single" w:sz="4" w:space="0" w:color="auto"/>
              <w:right w:val="single" w:sz="4" w:space="0" w:color="auto"/>
            </w:tcBorders>
            <w:shd w:val="clear" w:color="auto" w:fill="C6EFCE"/>
            <w:noWrap/>
          </w:tcPr>
          <w:p w14:paraId="5FFCA334" w14:textId="74D00196" w:rsidR="00FA7C11" w:rsidRDefault="00D84965">
            <w:pPr>
              <w:pStyle w:val="P68B1DB1-Normal66"/>
              <w:spacing w:after="200" w:line="276" w:lineRule="auto"/>
              <w:rPr>
                <w:noProof/>
              </w:rPr>
            </w:pPr>
            <w:r>
              <w:rPr>
                <w:noProof/>
              </w:rPr>
              <w:t>Se înființează un sistem clinic mobil cu 33 vehicul de asistență medicală primară ambulatorie în județe care acoperă zone rurale, îndepărtate și insulare, pe baza unei cartografieri care vizează o acoperire de 80 % a serviciilor mobile de asistență medicală primară ambulatorie în zonele rurale, îndepărtate și insulare.</w:t>
            </w:r>
          </w:p>
          <w:p w14:paraId="7A0DE46B" w14:textId="77777777" w:rsidR="00FA7C11" w:rsidRDefault="00D84965">
            <w:pPr>
              <w:pStyle w:val="P68B1DB1-Normal66"/>
              <w:spacing w:after="200" w:line="276" w:lineRule="auto"/>
              <w:rPr>
                <w:noProof/>
              </w:rPr>
            </w:pPr>
            <w:r>
              <w:rPr>
                <w:noProof/>
              </w:rPr>
              <w:t>În plus, se instituie un model de contractare pentru a asigura sustenabilitatea financiară pe termen lung a serviciului.</w:t>
            </w:r>
          </w:p>
          <w:p w14:paraId="0200D79C" w14:textId="77777777" w:rsidR="00FA7C11" w:rsidRDefault="00D84965">
            <w:pPr>
              <w:pStyle w:val="P68B1DB1-Normal66"/>
              <w:spacing w:line="240" w:lineRule="auto"/>
              <w:jc w:val="both"/>
              <w:rPr>
                <w:noProof/>
              </w:rPr>
            </w:pPr>
            <w:r>
              <w:rPr>
                <w:noProof/>
              </w:rPr>
              <w:t>Ministerul Sănătății administrează formarea în vederea creșterii capacității echipelor mobile de a furniza asistență medicală primară ambulatorie.</w:t>
            </w:r>
          </w:p>
        </w:tc>
      </w:tr>
      <w:tr w:rsidR="00FA7C11" w14:paraId="1FE2AD6D" w14:textId="77777777">
        <w:trPr>
          <w:trHeight w:val="283"/>
          <w:jc w:val="center"/>
        </w:trPr>
        <w:tc>
          <w:tcPr>
            <w:tcW w:w="846" w:type="dxa"/>
            <w:tcBorders>
              <w:top w:val="nil"/>
              <w:left w:val="single" w:sz="4" w:space="0" w:color="auto"/>
              <w:bottom w:val="single" w:sz="4" w:space="0" w:color="auto"/>
              <w:right w:val="single" w:sz="4" w:space="0" w:color="auto"/>
            </w:tcBorders>
            <w:shd w:val="clear" w:color="auto" w:fill="C6EFCE"/>
            <w:noWrap/>
          </w:tcPr>
          <w:p w14:paraId="69D7B584" w14:textId="77777777" w:rsidR="00FA7C11" w:rsidRDefault="00D84965">
            <w:pPr>
              <w:pStyle w:val="P68B1DB1-Normal66"/>
              <w:spacing w:after="200" w:line="276" w:lineRule="auto"/>
              <w:jc w:val="center"/>
              <w:rPr>
                <w:noProof/>
              </w:rPr>
            </w:pPr>
            <w:r>
              <w:rPr>
                <w:noProof/>
              </w:rPr>
              <w:t>322</w:t>
            </w:r>
          </w:p>
        </w:tc>
        <w:tc>
          <w:tcPr>
            <w:tcW w:w="1150" w:type="dxa"/>
            <w:tcBorders>
              <w:top w:val="nil"/>
              <w:left w:val="nil"/>
              <w:bottom w:val="single" w:sz="4" w:space="0" w:color="auto"/>
              <w:right w:val="single" w:sz="4" w:space="0" w:color="auto"/>
            </w:tcBorders>
            <w:shd w:val="clear" w:color="auto" w:fill="C6EFCE"/>
            <w:noWrap/>
          </w:tcPr>
          <w:p w14:paraId="135B7108" w14:textId="77777777" w:rsidR="00FA7C11" w:rsidRDefault="00D84965">
            <w:pPr>
              <w:pStyle w:val="P68B1DB1-Normal66"/>
              <w:spacing w:after="200" w:line="276" w:lineRule="auto"/>
              <w:jc w:val="center"/>
              <w:rPr>
                <w:noProof/>
              </w:rPr>
            </w:pPr>
            <w:r>
              <w:rPr>
                <w:noProof/>
              </w:rPr>
              <w:t>C5.1. R1-I3</w:t>
            </w:r>
          </w:p>
        </w:tc>
        <w:tc>
          <w:tcPr>
            <w:tcW w:w="999" w:type="dxa"/>
            <w:tcBorders>
              <w:top w:val="nil"/>
              <w:left w:val="nil"/>
              <w:bottom w:val="single" w:sz="4" w:space="0" w:color="auto"/>
              <w:right w:val="single" w:sz="4" w:space="0" w:color="auto"/>
            </w:tcBorders>
            <w:shd w:val="clear" w:color="auto" w:fill="C6EFCE"/>
            <w:noWrap/>
          </w:tcPr>
          <w:p w14:paraId="360BFED9" w14:textId="77777777" w:rsidR="00FA7C11" w:rsidRDefault="00D84965">
            <w:pPr>
              <w:pStyle w:val="P68B1DB1-Normal66"/>
              <w:spacing w:after="200" w:line="276" w:lineRule="auto"/>
              <w:jc w:val="center"/>
              <w:rPr>
                <w:noProof/>
                <w:color w:val="000000" w:themeColor="text1"/>
              </w:rPr>
            </w:pPr>
            <w:r>
              <w:rPr>
                <w:noProof/>
              </w:rPr>
              <w:t>T</w:t>
            </w:r>
          </w:p>
        </w:tc>
        <w:tc>
          <w:tcPr>
            <w:tcW w:w="1847" w:type="dxa"/>
            <w:tcBorders>
              <w:top w:val="nil"/>
              <w:left w:val="nil"/>
              <w:bottom w:val="single" w:sz="4" w:space="0" w:color="auto"/>
              <w:right w:val="single" w:sz="4" w:space="0" w:color="auto"/>
            </w:tcBorders>
            <w:shd w:val="clear" w:color="auto" w:fill="C6EFCE"/>
            <w:noWrap/>
          </w:tcPr>
          <w:p w14:paraId="053C947E" w14:textId="77777777" w:rsidR="00FA7C11" w:rsidRDefault="00D84965">
            <w:pPr>
              <w:pStyle w:val="P68B1DB1-Normal66"/>
              <w:spacing w:after="200" w:line="276" w:lineRule="auto"/>
              <w:rPr>
                <w:noProof/>
              </w:rPr>
            </w:pPr>
            <w:r>
              <w:rPr>
                <w:noProof/>
              </w:rPr>
              <w:t xml:space="preserve">Clădire nouă în complexul Clinic pentru boli infecțioase, dr. Fran Mihaljević </w:t>
            </w:r>
          </w:p>
        </w:tc>
        <w:tc>
          <w:tcPr>
            <w:tcW w:w="2159" w:type="dxa"/>
            <w:tcBorders>
              <w:top w:val="nil"/>
              <w:left w:val="nil"/>
              <w:bottom w:val="single" w:sz="4" w:space="0" w:color="auto"/>
              <w:right w:val="single" w:sz="4" w:space="0" w:color="auto"/>
            </w:tcBorders>
            <w:shd w:val="clear" w:color="auto" w:fill="C6EFCE"/>
            <w:noWrap/>
          </w:tcPr>
          <w:p w14:paraId="00194818" w14:textId="77777777" w:rsidR="00FA7C11" w:rsidRDefault="00D84965">
            <w:pPr>
              <w:pStyle w:val="P68B1DB1-Normal66"/>
              <w:spacing w:after="200" w:line="276" w:lineRule="auto"/>
              <w:rPr>
                <w:noProof/>
              </w:rPr>
            </w:pPr>
            <w:r>
              <w:rPr>
                <w:noProof/>
              </w:rPr>
              <w:t xml:space="preserve"> </w:t>
            </w:r>
          </w:p>
        </w:tc>
        <w:tc>
          <w:tcPr>
            <w:tcW w:w="1078" w:type="dxa"/>
            <w:tcBorders>
              <w:top w:val="nil"/>
              <w:left w:val="nil"/>
              <w:bottom w:val="single" w:sz="4" w:space="0" w:color="auto"/>
              <w:right w:val="single" w:sz="4" w:space="0" w:color="auto"/>
            </w:tcBorders>
            <w:shd w:val="clear" w:color="auto" w:fill="C6EFCE"/>
            <w:noWrap/>
          </w:tcPr>
          <w:p w14:paraId="64EF7B89" w14:textId="77777777" w:rsidR="00FA7C11" w:rsidRDefault="00D84965">
            <w:pPr>
              <w:pStyle w:val="P68B1DB1-Normal66"/>
              <w:spacing w:after="200" w:line="276" w:lineRule="auto"/>
              <w:jc w:val="center"/>
              <w:rPr>
                <w:noProof/>
              </w:rPr>
            </w:pPr>
            <w:r>
              <w:rPr>
                <w:noProof/>
              </w:rPr>
              <w:t>Număr</w:t>
            </w:r>
          </w:p>
        </w:tc>
        <w:tc>
          <w:tcPr>
            <w:tcW w:w="1087" w:type="dxa"/>
            <w:tcBorders>
              <w:top w:val="nil"/>
              <w:left w:val="nil"/>
              <w:bottom w:val="single" w:sz="4" w:space="0" w:color="auto"/>
              <w:right w:val="single" w:sz="4" w:space="0" w:color="auto"/>
            </w:tcBorders>
            <w:shd w:val="clear" w:color="auto" w:fill="C6EFCE"/>
            <w:noWrap/>
          </w:tcPr>
          <w:p w14:paraId="5263272A" w14:textId="77777777" w:rsidR="00FA7C11" w:rsidRDefault="00D84965">
            <w:pPr>
              <w:pStyle w:val="P68B1DB1-Normal66"/>
              <w:spacing w:after="200" w:line="276" w:lineRule="auto"/>
              <w:jc w:val="center"/>
              <w:rPr>
                <w:noProof/>
              </w:rPr>
            </w:pPr>
            <w:r>
              <w:rPr>
                <w:noProof/>
              </w:rPr>
              <w:t>0</w:t>
            </w:r>
          </w:p>
        </w:tc>
        <w:tc>
          <w:tcPr>
            <w:tcW w:w="976" w:type="dxa"/>
            <w:tcBorders>
              <w:top w:val="nil"/>
              <w:left w:val="nil"/>
              <w:bottom w:val="single" w:sz="4" w:space="0" w:color="auto"/>
              <w:right w:val="single" w:sz="4" w:space="0" w:color="auto"/>
            </w:tcBorders>
            <w:shd w:val="clear" w:color="auto" w:fill="C6EFCE"/>
            <w:noWrap/>
          </w:tcPr>
          <w:p w14:paraId="40E2490E" w14:textId="77777777" w:rsidR="00FA7C11" w:rsidRDefault="00D84965">
            <w:pPr>
              <w:pStyle w:val="P68B1DB1-Normal66"/>
              <w:spacing w:after="200" w:line="276" w:lineRule="auto"/>
              <w:jc w:val="center"/>
              <w:rPr>
                <w:noProof/>
              </w:rPr>
            </w:pPr>
            <w:r>
              <w:rPr>
                <w:noProof/>
              </w:rPr>
              <w:t>1</w:t>
            </w:r>
          </w:p>
        </w:tc>
        <w:tc>
          <w:tcPr>
            <w:tcW w:w="545" w:type="dxa"/>
            <w:tcBorders>
              <w:top w:val="nil"/>
              <w:left w:val="nil"/>
              <w:bottom w:val="single" w:sz="4" w:space="0" w:color="auto"/>
              <w:right w:val="single" w:sz="4" w:space="0" w:color="auto"/>
            </w:tcBorders>
            <w:shd w:val="clear" w:color="auto" w:fill="C6EFCE"/>
            <w:noWrap/>
          </w:tcPr>
          <w:p w14:paraId="44196CE9" w14:textId="77777777" w:rsidR="00FA7C11" w:rsidRDefault="00D84965">
            <w:pPr>
              <w:pStyle w:val="P68B1DB1-Normal66"/>
              <w:spacing w:after="200" w:line="276" w:lineRule="auto"/>
              <w:jc w:val="center"/>
              <w:rPr>
                <w:noProof/>
              </w:rPr>
            </w:pPr>
            <w:r>
              <w:rPr>
                <w:noProof/>
              </w:rPr>
              <w:t>Î1</w:t>
            </w:r>
          </w:p>
        </w:tc>
        <w:tc>
          <w:tcPr>
            <w:tcW w:w="850" w:type="dxa"/>
            <w:tcBorders>
              <w:top w:val="nil"/>
              <w:left w:val="nil"/>
              <w:bottom w:val="single" w:sz="4" w:space="0" w:color="auto"/>
              <w:right w:val="single" w:sz="4" w:space="0" w:color="auto"/>
            </w:tcBorders>
            <w:shd w:val="clear" w:color="auto" w:fill="C6EFCE"/>
            <w:noWrap/>
          </w:tcPr>
          <w:p w14:paraId="1E7403C8" w14:textId="77777777" w:rsidR="00FA7C11" w:rsidRDefault="00D84965">
            <w:pPr>
              <w:pStyle w:val="P68B1DB1-Normal66"/>
              <w:spacing w:after="200" w:line="276" w:lineRule="auto"/>
              <w:jc w:val="center"/>
              <w:rPr>
                <w:noProof/>
              </w:rPr>
            </w:pPr>
            <w:r>
              <w:rPr>
                <w:noProof/>
              </w:rPr>
              <w:t>2026</w:t>
            </w:r>
          </w:p>
        </w:tc>
        <w:tc>
          <w:tcPr>
            <w:tcW w:w="4277" w:type="dxa"/>
            <w:tcBorders>
              <w:top w:val="nil"/>
              <w:left w:val="nil"/>
              <w:bottom w:val="single" w:sz="4" w:space="0" w:color="auto"/>
              <w:right w:val="single" w:sz="4" w:space="0" w:color="auto"/>
            </w:tcBorders>
            <w:shd w:val="clear" w:color="auto" w:fill="C6EFCE"/>
            <w:noWrap/>
          </w:tcPr>
          <w:p w14:paraId="63C1E107" w14:textId="77777777" w:rsidR="00FA7C11" w:rsidRDefault="00D84965">
            <w:pPr>
              <w:pStyle w:val="P68B1DB1-Normal70"/>
              <w:spacing w:after="240" w:line="276" w:lineRule="auto"/>
              <w:rPr>
                <w:noProof/>
              </w:rPr>
            </w:pPr>
            <w:r>
              <w:rPr>
                <w:noProof/>
                <w:color w:val="000000" w:themeColor="text1"/>
              </w:rPr>
              <w:t>Proiectul constă în demolarea clădirilor existente (3, 4 și 1/5) și construirea unei noi clădiri ca parte a complexului.</w:t>
            </w:r>
            <w:r>
              <w:rPr>
                <w:noProof/>
              </w:rPr>
              <w:t xml:space="preserve"> Proiectul include înlocuirea echipamentelor pentru clinica de boli infecțioase „Dr. Fran Mihaljević.</w:t>
            </w:r>
          </w:p>
        </w:tc>
      </w:tr>
    </w:tbl>
    <w:p w14:paraId="5623E6F1" w14:textId="77777777" w:rsidR="00FA7C11" w:rsidRDefault="00FA7C11">
      <w:pPr>
        <w:spacing w:after="0" w:line="240" w:lineRule="auto"/>
        <w:jc w:val="both"/>
        <w:textAlignment w:val="baseline"/>
        <w:rPr>
          <w:rFonts w:ascii="Segoe UI" w:eastAsia="Times New Roman" w:hAnsi="Segoe UI" w:cs="Segoe UI"/>
          <w:noProof/>
          <w:sz w:val="18"/>
          <w:szCs w:val="18"/>
        </w:rPr>
      </w:pPr>
    </w:p>
    <w:p w14:paraId="3A5F9C2B" w14:textId="77777777" w:rsidR="00FA7C11" w:rsidRDefault="00FA7C11">
      <w:pPr>
        <w:spacing w:line="240" w:lineRule="auto"/>
        <w:jc w:val="both"/>
        <w:rPr>
          <w:rFonts w:eastAsia="Calibri"/>
          <w:iCs/>
          <w:noProof/>
        </w:rPr>
      </w:pPr>
    </w:p>
    <w:p w14:paraId="00F6F7B0" w14:textId="77777777" w:rsidR="00FA7C11" w:rsidRDefault="00FA7C11">
      <w:pPr>
        <w:keepNext/>
        <w:tabs>
          <w:tab w:val="left" w:pos="284"/>
        </w:tabs>
        <w:spacing w:after="200" w:line="276" w:lineRule="auto"/>
        <w:jc w:val="both"/>
        <w:outlineLvl w:val="0"/>
        <w:rPr>
          <w:rFonts w:eastAsia="Calibri"/>
          <w:b/>
          <w:smallCaps/>
          <w:noProof/>
          <w:szCs w:val="24"/>
        </w:rPr>
        <w:sectPr w:rsidR="00FA7C11" w:rsidSect="00FA29B2">
          <w:headerReference w:type="even" r:id="rId380"/>
          <w:headerReference w:type="default" r:id="rId381"/>
          <w:footerReference w:type="even" r:id="rId382"/>
          <w:footerReference w:type="default" r:id="rId383"/>
          <w:headerReference w:type="first" r:id="rId384"/>
          <w:footerReference w:type="first" r:id="rId385"/>
          <w:pgSz w:w="16838" w:h="11906" w:orient="landscape"/>
          <w:pgMar w:top="1134" w:right="1134" w:bottom="1134" w:left="1134" w:header="567" w:footer="567" w:gutter="0"/>
          <w:cols w:space="708"/>
          <w:docGrid w:linePitch="360"/>
        </w:sectPr>
      </w:pPr>
    </w:p>
    <w:p w14:paraId="1D88DB27" w14:textId="77777777" w:rsidR="00FA7C11" w:rsidRDefault="00D84965">
      <w:pPr>
        <w:pStyle w:val="P68B1DB1-Normal32"/>
        <w:keepNext/>
        <w:tabs>
          <w:tab w:val="left" w:pos="284"/>
        </w:tabs>
        <w:spacing w:after="200" w:line="276" w:lineRule="auto"/>
        <w:ind w:left="850" w:firstLine="1"/>
        <w:jc w:val="both"/>
        <w:outlineLvl w:val="0"/>
        <w:rPr>
          <w:noProof/>
        </w:rPr>
      </w:pPr>
      <w:r>
        <w:rPr>
          <w:noProof/>
        </w:rPr>
        <w:t>V. INIȚIATIVA 6.1: RENOVARE DE CLĂDIRI</w:t>
      </w:r>
    </w:p>
    <w:p w14:paraId="264C3433" w14:textId="77777777" w:rsidR="00FA7C11" w:rsidRDefault="00D84965">
      <w:pPr>
        <w:pStyle w:val="P68B1DB1-Normal94"/>
        <w:spacing w:line="240" w:lineRule="auto"/>
        <w:jc w:val="both"/>
        <w:rPr>
          <w:noProof/>
        </w:rPr>
      </w:pPr>
      <w:r>
        <w:rPr>
          <w:noProof/>
        </w:rPr>
        <w:t xml:space="preserve">Parcul imobiliar actual al Croației este relativ vechi, iar rata de renovare energetică a clădirilor a fost de doar 0,7 % pe an în perioada 2014-2020. Clădirile vechi și ineficiente sunt responsabile pentru 40 % din consumul de energie și 36 % din emisiile de CO2 și nu mai puțin de 30 % din clădiri se încadrează în categoria cu cele mai slabe performanțe. Majoritatea clădirilor cu cele mai slabe performanțe nu îndeplinesc cerințele minime de protecție împotriva cutremurelor, de protecție împotriva incendiilor sau de protecție a sănătății și, prin urmare, necesită o renovare cuprinzătoare. În plus, în martie și decembrie 2020, două serii de cutremure au lovit Croația și au cauzat daune materiale majore în orașul Zagreb, județul Zagreb, județul Krapina-Zagorje, județul Sisak-Moslavina și județul Karlovac. Conform evaluării rapide a nevoilor în materie de daune (Guvernul Republicii Croația, 2020), nevoile totale de reconstrucție și redresare în județele Zagreb, Zagreb și Krapina-Zagorje în urma cutremurului din martie au fost evaluate la aproximativ 17 469 000 000 EUR. Evaluarea daunelor provocate de cutremurul din decembrie este încă în curs de evaluare. </w:t>
      </w:r>
    </w:p>
    <w:p w14:paraId="547B3D04" w14:textId="77777777" w:rsidR="00FA7C11" w:rsidRDefault="00D84965">
      <w:pPr>
        <w:pStyle w:val="P68B1DB1-Normal94"/>
        <w:spacing w:line="240" w:lineRule="auto"/>
        <w:jc w:val="both"/>
        <w:rPr>
          <w:noProof/>
        </w:rPr>
      </w:pPr>
      <w:r>
        <w:rPr>
          <w:noProof/>
        </w:rPr>
        <w:t xml:space="preserve">Această inițiativă din planul de redresare și reziliență al Croației se referă la investiții și reforme menite să încurajeze renovarea cuprinzătoare a clădirilor, inclusiv renovarea energetică, consolidarea structurală și renovarea post-cutremur. Renovarea vizează locuințele colective și clădirile publice, inclusiv instituțiile de sănătate și de învățământ, precum și clădirile cu statut de bun cultural. </w:t>
      </w:r>
    </w:p>
    <w:p w14:paraId="16E0924B" w14:textId="77777777" w:rsidR="00FA7C11" w:rsidRDefault="00D84965">
      <w:pPr>
        <w:pStyle w:val="P68B1DB1-Normal94"/>
        <w:spacing w:line="240" w:lineRule="auto"/>
        <w:jc w:val="both"/>
        <w:rPr>
          <w:noProof/>
        </w:rPr>
      </w:pPr>
      <w:r>
        <w:rPr>
          <w:noProof/>
        </w:rPr>
        <w:t xml:space="preserve">Inițiativa include reforme care sprijină procesul de renovare și decarbonizare a clădirilor, abordând în același timp barierele de pe piața construcțiilor și aspectele sociale: I) o reformă care vizează decarbonizarea clădirilor, ii) o reformă care vizează creșterea numărului de lucrători și experți în eficiența energetică și reconstrucția post-cutremur, iii) o reformă care vizează reducerea sarcinii administrative pentru solicitanții din procesul de renovare, iv) o reformă care vizează îmbunătățirea cunoștințelor privind activitățile seismice, v) o reformă care vizează promovarea și dezvoltarea infrastructurii verzi și gestionarea circulară a clădirilor și a spațiilor și vi) o reformă care vizează dezvoltarea gestionării sistematice a energiei și testarea unui nou model de finanțare a eficienței energetice. </w:t>
      </w:r>
    </w:p>
    <w:p w14:paraId="4058FC25" w14:textId="44900B20" w:rsidR="00FA7C11" w:rsidRDefault="00D84965">
      <w:pPr>
        <w:pStyle w:val="P68B1DB1-Normal94"/>
        <w:spacing w:line="240" w:lineRule="auto"/>
        <w:jc w:val="both"/>
        <w:rPr>
          <w:noProof/>
        </w:rPr>
      </w:pPr>
      <w:r>
        <w:rPr>
          <w:noProof/>
        </w:rPr>
        <w:t xml:space="preserve">Investițiile și reformele contribuie la recomandările specifice fiecărei țări adresate Croației în ultimii doi ani, privind necesitatea de a „concentra politica legată de investiții asupra [...] eficienței energetice [...] și a infrastructurii de mediu (recomandările specifice fiecărei țări 3, 2019) și de a concentra investițiile asupra tranziției verzi și [...], în special asupra infrastructurii de mediu [...] (recomandările specifice fiecărei țări 3, 2020).  </w:t>
      </w:r>
    </w:p>
    <w:p w14:paraId="30CDFA6C" w14:textId="77777777" w:rsidR="00FA7C11" w:rsidRDefault="00D84965">
      <w:pPr>
        <w:pStyle w:val="P68B1DB1-Normal57"/>
        <w:keepNext/>
        <w:numPr>
          <w:ilvl w:val="1"/>
          <w:numId w:val="0"/>
        </w:numPr>
        <w:spacing w:before="40" w:after="0"/>
        <w:ind w:left="851"/>
        <w:jc w:val="both"/>
        <w:outlineLvl w:val="1"/>
        <w:rPr>
          <w:noProof/>
        </w:rPr>
      </w:pPr>
      <w:r>
        <w:rPr>
          <w:noProof/>
        </w:rPr>
        <w:t xml:space="preserve">V.1. </w:t>
      </w:r>
      <w:r>
        <w:rPr>
          <w:noProof/>
        </w:rPr>
        <w:tab/>
        <w:t>Descrierea reformelor și a investițiilor pentru sprijinul financiar nerambursabil</w:t>
      </w:r>
    </w:p>
    <w:p w14:paraId="690CD90C" w14:textId="77777777" w:rsidR="00FA7C11" w:rsidRDefault="00FA7C11">
      <w:pPr>
        <w:spacing w:line="240" w:lineRule="auto"/>
        <w:ind w:left="850"/>
        <w:jc w:val="both"/>
        <w:rPr>
          <w:rFonts w:ascii="Times New Roman" w:eastAsia="Times New Roman" w:hAnsi="Times New Roman" w:cs="Times New Roman"/>
          <w:noProof/>
          <w:sz w:val="24"/>
          <w:szCs w:val="24"/>
          <w:u w:val="single"/>
        </w:rPr>
      </w:pPr>
    </w:p>
    <w:p w14:paraId="2CEF9D11" w14:textId="77777777" w:rsidR="00FA7C11" w:rsidRDefault="00D84965">
      <w:pPr>
        <w:pStyle w:val="P68B1DB1-Normal81"/>
        <w:spacing w:line="240" w:lineRule="auto"/>
        <w:ind w:left="850"/>
        <w:jc w:val="both"/>
        <w:rPr>
          <w:rFonts w:eastAsia="Times New Roman"/>
          <w:noProof/>
        </w:rPr>
      </w:pPr>
      <w:r>
        <w:rPr>
          <w:noProof/>
        </w:rPr>
        <w:t>Reforma C6.1 R1 – Decarbonizarea clădirilor</w:t>
      </w:r>
    </w:p>
    <w:p w14:paraId="7F696ABE" w14:textId="77777777" w:rsidR="00FA7C11" w:rsidRDefault="00D84965">
      <w:pPr>
        <w:pStyle w:val="P68B1DB1-Normal33"/>
        <w:spacing w:line="240" w:lineRule="auto"/>
        <w:jc w:val="both"/>
        <w:rPr>
          <w:noProof/>
        </w:rPr>
      </w:pPr>
      <w:r>
        <w:rPr>
          <w:noProof/>
        </w:rPr>
        <w:t xml:space="preserve">Reforma contribuie la inițiativa „Valul de renovări ale clădirilor existente” și la transformarea parcului imobiliar existent într-un parc imobiliar cu un nivel ridicat de eficiență energetică și decarbonizat până în 2050. </w:t>
      </w:r>
    </w:p>
    <w:p w14:paraId="0A30E580" w14:textId="77777777" w:rsidR="00FA7C11" w:rsidRDefault="00D84965">
      <w:pPr>
        <w:pStyle w:val="P68B1DB1-Normal33"/>
        <w:spacing w:line="240" w:lineRule="auto"/>
        <w:jc w:val="both"/>
        <w:rPr>
          <w:noProof/>
        </w:rPr>
      </w:pPr>
      <w:r>
        <w:rPr>
          <w:noProof/>
        </w:rPr>
        <w:t xml:space="preserve">Reforma include adoptarea unor programe de renovare vizând eficiența energetică pentru perioada 2021-2030 pentru clădirile colective, clădirile publice și o categorie specială de clădiri cu statut de bun cultural, precum și adoptarea programului de reducere a sărăciei energetice în domeniile de interes special pentru stat pentru perioada 2021-2025. Aceste programe încurajează renovarea aprofundată a clădirilor, acordând în același timp o atenție deosebită asigurării unor condiții climatice interioare sănătoase, protecției împotriva incendiilor și abordării riscurilor legate de intensificarea activității seismice, precum și reducerii sărăciei energetice. </w:t>
      </w:r>
    </w:p>
    <w:p w14:paraId="10E11753" w14:textId="77777777" w:rsidR="00FA7C11" w:rsidRDefault="00D84965">
      <w:pPr>
        <w:pStyle w:val="P68B1DB1-Normal33"/>
        <w:spacing w:line="240" w:lineRule="auto"/>
        <w:jc w:val="both"/>
        <w:rPr>
          <w:noProof/>
        </w:rPr>
      </w:pPr>
      <w:r>
        <w:rPr>
          <w:noProof/>
        </w:rPr>
        <w:t xml:space="preserve">Reforma se finalizează până la 31 martie 2022. </w:t>
      </w:r>
    </w:p>
    <w:p w14:paraId="26488AFE" w14:textId="77777777" w:rsidR="00FA7C11" w:rsidRDefault="00FA7C11">
      <w:pPr>
        <w:spacing w:line="240" w:lineRule="auto"/>
        <w:jc w:val="both"/>
        <w:rPr>
          <w:rFonts w:ascii="Times New Roman" w:eastAsia="Calibri" w:hAnsi="Times New Roman" w:cs="Times New Roman"/>
          <w:noProof/>
          <w:sz w:val="24"/>
          <w:szCs w:val="24"/>
        </w:rPr>
      </w:pPr>
    </w:p>
    <w:p w14:paraId="480902D2" w14:textId="77777777" w:rsidR="00FA7C11" w:rsidRDefault="00D84965">
      <w:pPr>
        <w:pStyle w:val="P68B1DB1-Normal81"/>
        <w:spacing w:line="240" w:lineRule="auto"/>
        <w:ind w:left="850"/>
        <w:jc w:val="both"/>
        <w:rPr>
          <w:rFonts w:eastAsia="Times New Roman"/>
          <w:noProof/>
        </w:rPr>
      </w:pPr>
      <w:r>
        <w:rPr>
          <w:noProof/>
        </w:rPr>
        <w:t>Investiția C6.1 R1-I1 – Renovarea energetică a clădirilor</w:t>
      </w:r>
    </w:p>
    <w:p w14:paraId="1CBE163F" w14:textId="77777777" w:rsidR="00FA7C11" w:rsidRDefault="00D84965">
      <w:pPr>
        <w:pStyle w:val="P68B1DB1-Normal33"/>
        <w:spacing w:line="240" w:lineRule="auto"/>
        <w:jc w:val="both"/>
        <w:rPr>
          <w:noProof/>
        </w:rPr>
      </w:pPr>
      <w:r>
        <w:rPr>
          <w:noProof/>
        </w:rPr>
        <w:t xml:space="preserve">Obiectivul măsurii este de a reduce consumul de energie pentru încălzire și de a spori economiile de energie primară în locuințele colective și în clădirile din sectorul public. Această măsură constă în renovarea energetică a clădirilor publice și a imobilelor colective. </w:t>
      </w:r>
    </w:p>
    <w:p w14:paraId="43682E34" w14:textId="77777777" w:rsidR="00FA7C11" w:rsidRDefault="00D84965">
      <w:pPr>
        <w:pStyle w:val="P68B1DB1-Normal81"/>
        <w:spacing w:line="240" w:lineRule="auto"/>
        <w:ind w:left="850"/>
        <w:jc w:val="both"/>
        <w:rPr>
          <w:rFonts w:eastAsia="Times New Roman"/>
          <w:noProof/>
        </w:rPr>
      </w:pPr>
      <w:r>
        <w:rPr>
          <w:noProof/>
        </w:rPr>
        <w:t>Investiția C6.1 R1-I3 – Renovarea energetică a clădirilor cu statut de bun cultural</w:t>
      </w:r>
    </w:p>
    <w:p w14:paraId="0EC14707" w14:textId="77777777" w:rsidR="00FA7C11" w:rsidRDefault="00D84965">
      <w:pPr>
        <w:pStyle w:val="P68B1DB1-Normal33"/>
        <w:spacing w:line="240" w:lineRule="auto"/>
        <w:jc w:val="both"/>
        <w:rPr>
          <w:noProof/>
        </w:rPr>
      </w:pPr>
      <w:r>
        <w:rPr>
          <w:noProof/>
        </w:rPr>
        <w:t>Obiectivul măsurii este de a renova clădirile cu statut de bun cultural pentru a reduce consumul de energie. Această măsură constă în renovarea a două categorii de clădiri: bunuri culturale protejate individual și clădiri situate în cadrul entităților culturale și istorice protejate.</w:t>
      </w:r>
    </w:p>
    <w:p w14:paraId="27CE8B9F" w14:textId="77777777" w:rsidR="00FA7C11" w:rsidRDefault="00D84965">
      <w:pPr>
        <w:pStyle w:val="P68B1DB1-Normal81"/>
        <w:spacing w:line="240" w:lineRule="auto"/>
        <w:ind w:left="850"/>
        <w:jc w:val="both"/>
        <w:rPr>
          <w:rFonts w:eastAsia="Times New Roman"/>
          <w:noProof/>
        </w:rPr>
      </w:pPr>
      <w:r>
        <w:rPr>
          <w:noProof/>
        </w:rPr>
        <w:t>Reforma C6.1 R2 – Dezvoltarea unui cadru pentru asigurarea competențelor adecvate în contextul locurilor de muncă verzi necesare pentru reconstrucția post-cutremur</w:t>
      </w:r>
    </w:p>
    <w:p w14:paraId="39CF0F74" w14:textId="6E2084EA" w:rsidR="00FA7C11" w:rsidRDefault="00D84965">
      <w:pPr>
        <w:pStyle w:val="P68B1DB1-Normal33"/>
        <w:spacing w:line="240" w:lineRule="auto"/>
        <w:jc w:val="both"/>
        <w:rPr>
          <w:noProof/>
        </w:rPr>
      </w:pPr>
      <w:r>
        <w:rPr>
          <w:noProof/>
        </w:rPr>
        <w:t>Obiectivul măsurii este de a aborda deficitul de forță de muncă calificată în domeniul construcțiilor prin furnizarea de programe educaționale. Această măsură constă în publicarea planului național pentru dezvoltarea competențelor verzi, furnizarea de programe de educație pentru adulți privind renovarea energetică și a unui nou modul de program de masterat privind renovarea și eficiența energetică.</w:t>
      </w:r>
    </w:p>
    <w:p w14:paraId="5790B3EC" w14:textId="77777777" w:rsidR="00FA7C11" w:rsidRDefault="00D84965">
      <w:pPr>
        <w:pStyle w:val="P68B1DB1-Normal81"/>
        <w:spacing w:line="240" w:lineRule="auto"/>
        <w:ind w:left="850"/>
        <w:jc w:val="both"/>
        <w:rPr>
          <w:rFonts w:eastAsia="Times New Roman"/>
          <w:noProof/>
        </w:rPr>
      </w:pPr>
      <w:r>
        <w:rPr>
          <w:noProof/>
        </w:rPr>
        <w:t>Reforma C6.1 R3 – Creșterea eficienței, reducerea sarcinii administrative și digitalizarea procesului de renovare</w:t>
      </w:r>
    </w:p>
    <w:p w14:paraId="65535C51" w14:textId="77777777" w:rsidR="00FA7C11" w:rsidRDefault="00D84965">
      <w:pPr>
        <w:pStyle w:val="P68B1DB1-Normal33"/>
        <w:spacing w:line="240" w:lineRule="auto"/>
        <w:jc w:val="both"/>
        <w:rPr>
          <w:noProof/>
        </w:rPr>
      </w:pPr>
      <w:r>
        <w:rPr>
          <w:noProof/>
        </w:rPr>
        <w:t>Obiectivul măsurii este de a furniza servicii cetățenilor pentru a reduce sarcina administrativă în procesul de renovare energetică și post-cutremur. Această măsură constă în dezvoltarea de servicii de tip ghișeu unic și în consolidarea capacităților profesionale ale angajaților din sectorul public.</w:t>
      </w:r>
    </w:p>
    <w:p w14:paraId="4A098BBB" w14:textId="77777777" w:rsidR="00FA7C11" w:rsidRDefault="00D84965">
      <w:pPr>
        <w:pStyle w:val="P68B1DB1-Normal81"/>
        <w:spacing w:line="240" w:lineRule="auto"/>
        <w:ind w:left="850"/>
        <w:jc w:val="both"/>
        <w:rPr>
          <w:rFonts w:eastAsia="Times New Roman"/>
          <w:noProof/>
        </w:rPr>
      </w:pPr>
      <w:r>
        <w:rPr>
          <w:noProof/>
        </w:rPr>
        <w:t xml:space="preserve">Reforma C6.1 R4 – Modernizarea și integrarea datelor seismice pentru procesul de renovare și planificarea viitoarelor construcții și monitorizarea infrastructurii publice </w:t>
      </w:r>
    </w:p>
    <w:p w14:paraId="6B426BE2" w14:textId="77777777" w:rsidR="00FA7C11" w:rsidRDefault="00D84965">
      <w:pPr>
        <w:pStyle w:val="P68B1DB1-Normal33"/>
        <w:spacing w:line="240" w:lineRule="auto"/>
        <w:jc w:val="both"/>
        <w:rPr>
          <w:noProof/>
        </w:rPr>
      </w:pPr>
      <w:r>
        <w:rPr>
          <w:noProof/>
        </w:rPr>
        <w:t>Obiectivul măsurii este de a îmbunătăți reziliența la riscuri în amenajarea teritoriului și în sectorul construcțiilor prin îmbunătățirea colectării și prelucrării datelor seismice. Această măsură constă în consolidarea capacităților necesare pentru colectarea și aplicarea datelor seismice pentru amenajarea teritoriului și practici de construcție mai sigure.</w:t>
      </w:r>
    </w:p>
    <w:p w14:paraId="6E31ACF8" w14:textId="77777777" w:rsidR="00FA7C11" w:rsidRDefault="00D84965">
      <w:pPr>
        <w:pStyle w:val="P68B1DB1-Normal81"/>
        <w:spacing w:line="240" w:lineRule="auto"/>
        <w:ind w:left="850"/>
        <w:jc w:val="both"/>
        <w:rPr>
          <w:rFonts w:eastAsia="Times New Roman"/>
          <w:noProof/>
        </w:rPr>
      </w:pPr>
      <w:r>
        <w:rPr>
          <w:noProof/>
        </w:rPr>
        <w:t>Investiția C6.1 R4-I1 – Dezvoltarea rețelei de date seismologice</w:t>
      </w:r>
    </w:p>
    <w:p w14:paraId="02C58748" w14:textId="77777777" w:rsidR="00FA7C11" w:rsidRDefault="00D84965">
      <w:pPr>
        <w:pStyle w:val="P68B1DB1-Normal46"/>
        <w:spacing w:line="240" w:lineRule="auto"/>
        <w:jc w:val="both"/>
        <w:rPr>
          <w:rFonts w:eastAsia="Calibri"/>
          <w:noProof/>
        </w:rPr>
      </w:pPr>
      <w:r>
        <w:rPr>
          <w:noProof/>
        </w:rPr>
        <w:t>Obiectivul măsurii este de a consolida capacitățile de monitorizare și analiză seismică. Această măsură constă în achiziționarea de echipamente seismice și formarea experților care operează echipamentele și prelucrează datele.</w:t>
      </w:r>
    </w:p>
    <w:p w14:paraId="6EE378E5" w14:textId="77777777" w:rsidR="00FA7C11" w:rsidRDefault="00D84965">
      <w:pPr>
        <w:pStyle w:val="P68B1DB1-Normal81"/>
        <w:spacing w:line="240" w:lineRule="auto"/>
        <w:ind w:left="850"/>
        <w:jc w:val="both"/>
        <w:rPr>
          <w:rFonts w:eastAsia="Times New Roman"/>
          <w:noProof/>
        </w:rPr>
      </w:pPr>
      <w:r>
        <w:rPr>
          <w:noProof/>
        </w:rPr>
        <w:t xml:space="preserve">Reforma C6.1 R5 – Introducerea unui nou model de strategii de reînnoire urbană verde și punerea în aplicare a unui proiect-pilot pentru dezvoltarea infrastructurii verzi și gestionarea circulară a clădirilor și a spațiului </w:t>
      </w:r>
    </w:p>
    <w:p w14:paraId="27A1DBB0" w14:textId="77777777" w:rsidR="00FA7C11" w:rsidRDefault="00D84965">
      <w:pPr>
        <w:pStyle w:val="P68B1DB1-Normal46"/>
        <w:spacing w:line="240" w:lineRule="auto"/>
        <w:jc w:val="both"/>
        <w:rPr>
          <w:noProof/>
        </w:rPr>
      </w:pPr>
      <w:r>
        <w:rPr>
          <w:noProof/>
        </w:rPr>
        <w:t>Obiectivul măsurii este de a stabili un cadru pentru reînnoirea urbană verde care să promoveze dezvoltarea durabilă. Această măsură constă în adoptarea de programe privind gestionarea circulară a spațiului și a clădirilor și privind infrastructura urbană verde, în adoptarea de strategii de reînnoire urbană verde și în punerea în aplicare a unui proiect-pilot.</w:t>
      </w:r>
    </w:p>
    <w:p w14:paraId="0775A81D" w14:textId="77777777" w:rsidR="00FA7C11" w:rsidRDefault="00D84965">
      <w:pPr>
        <w:pStyle w:val="P68B1DB1-Normal81"/>
        <w:spacing w:line="240" w:lineRule="auto"/>
        <w:ind w:left="850"/>
        <w:jc w:val="both"/>
        <w:rPr>
          <w:rFonts w:eastAsia="Times New Roman"/>
          <w:noProof/>
        </w:rPr>
      </w:pPr>
      <w:r>
        <w:rPr>
          <w:noProof/>
        </w:rPr>
        <w:t xml:space="preserve">Reforma C6.1 R6 – Proiect-pilot pentru instituirea și punerea în aplicare a gestionării sistematice a energiei și dezvoltarea unui nou model de finanțare </w:t>
      </w:r>
    </w:p>
    <w:p w14:paraId="47BF045A" w14:textId="77777777" w:rsidR="00FA7C11" w:rsidRDefault="00D84965">
      <w:pPr>
        <w:pStyle w:val="P68B1DB1-Normal33"/>
        <w:spacing w:line="240" w:lineRule="auto"/>
        <w:jc w:val="both"/>
        <w:rPr>
          <w:noProof/>
        </w:rPr>
      </w:pPr>
      <w:r>
        <w:rPr>
          <w:noProof/>
        </w:rPr>
        <w:t>Obiectivul măsurii este de a dezvolta și de a testa un model de monitorizare a consumului de energie în clădirile cu mai multe locuințe. Această măsură constă în punerea în aplicare a unui proiect-pilot privind instituirea colectării automate de date pentru monitorizarea consumului de energie și de apă în clădirile cu mai multe locuințe.</w:t>
      </w:r>
    </w:p>
    <w:p w14:paraId="0616C3CB" w14:textId="77777777" w:rsidR="00FA7C11" w:rsidRDefault="00FA7C11">
      <w:pPr>
        <w:rPr>
          <w:noProof/>
        </w:rPr>
        <w:sectPr w:rsidR="00FA7C11" w:rsidSect="00FA29B2">
          <w:headerReference w:type="even" r:id="rId386"/>
          <w:headerReference w:type="default" r:id="rId387"/>
          <w:footerReference w:type="even" r:id="rId388"/>
          <w:footerReference w:type="default" r:id="rId389"/>
          <w:headerReference w:type="first" r:id="rId390"/>
          <w:footerReference w:type="first" r:id="rId391"/>
          <w:pgSz w:w="11906" w:h="16838"/>
          <w:pgMar w:top="1134" w:right="1134" w:bottom="1134" w:left="1134" w:header="567" w:footer="567" w:gutter="0"/>
          <w:cols w:space="708"/>
          <w:docGrid w:linePitch="360"/>
        </w:sectPr>
      </w:pPr>
    </w:p>
    <w:p w14:paraId="32620715" w14:textId="77777777" w:rsidR="00FA7C11" w:rsidRDefault="00D84965">
      <w:pPr>
        <w:pStyle w:val="P68B1DB1-Normal80"/>
        <w:keepNext/>
        <w:tabs>
          <w:tab w:val="num" w:pos="284"/>
        </w:tabs>
        <w:spacing w:after="0" w:line="240" w:lineRule="auto"/>
        <w:jc w:val="both"/>
        <w:outlineLvl w:val="1"/>
        <w:rPr>
          <w:rFonts w:ascii="Times New Roman" w:eastAsia="SimSun" w:hAnsi="Times New Roman" w:cs="Times New Roman"/>
          <w:b/>
          <w:noProof/>
        </w:rPr>
      </w:pPr>
      <w:r>
        <w:rPr>
          <w:rFonts w:ascii="Times New Roman" w:eastAsia="SimSun" w:hAnsi="Times New Roman" w:cs="Times New Roman"/>
          <w:b/>
          <w:noProof/>
        </w:rPr>
        <w:t xml:space="preserve">V.2. </w:t>
      </w:r>
      <w:r>
        <w:rPr>
          <w:rFonts w:ascii="Times New Roman" w:hAnsi="Times New Roman" w:cs="Times New Roman"/>
          <w:noProof/>
        </w:rPr>
        <w:t xml:space="preserve"> </w:t>
      </w:r>
      <w:r>
        <w:rPr>
          <w:rFonts w:ascii="Times New Roman" w:eastAsia="SimSun" w:hAnsi="Times New Roman" w:cs="Times New Roman"/>
          <w:b/>
          <w:noProof/>
        </w:rPr>
        <w:t>Jaloane, ținte, indicatori și calendarul de monitorizare și implementare aplicabile sprijinului financiar nerambursabil</w:t>
      </w:r>
    </w:p>
    <w:p w14:paraId="75B67D47" w14:textId="77777777" w:rsidR="00FA7C11" w:rsidRDefault="00FA7C11">
      <w:pPr>
        <w:keepNext/>
        <w:tabs>
          <w:tab w:val="num" w:pos="284"/>
        </w:tabs>
        <w:spacing w:after="0" w:line="240" w:lineRule="auto"/>
        <w:jc w:val="both"/>
        <w:outlineLvl w:val="1"/>
        <w:rPr>
          <w:rFonts w:ascii="Times New Roman" w:eastAsia="SimSun" w:hAnsi="Times New Roman" w:cs="Times New Roman"/>
          <w:b/>
          <w:noProof/>
          <w:sz w:val="24"/>
          <w:szCs w:val="24"/>
          <w:u w:val="single"/>
        </w:rPr>
      </w:pPr>
    </w:p>
    <w:tbl>
      <w:tblPr>
        <w:tblW w:w="15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5"/>
        <w:gridCol w:w="1200"/>
        <w:gridCol w:w="1080"/>
        <w:gridCol w:w="1786"/>
        <w:gridCol w:w="2288"/>
        <w:gridCol w:w="1067"/>
        <w:gridCol w:w="810"/>
        <w:gridCol w:w="1253"/>
        <w:gridCol w:w="836"/>
        <w:gridCol w:w="720"/>
        <w:gridCol w:w="3609"/>
      </w:tblGrid>
      <w:tr w:rsidR="00FA7C11" w14:paraId="79B99777" w14:textId="77777777">
        <w:trPr>
          <w:trHeight w:val="618"/>
          <w:tblHeader/>
          <w:jc w:val="center"/>
        </w:trPr>
        <w:tc>
          <w:tcPr>
            <w:tcW w:w="835" w:type="dxa"/>
            <w:vMerge w:val="restart"/>
            <w:shd w:val="clear" w:color="auto" w:fill="BDD7EE"/>
            <w:vAlign w:val="center"/>
            <w:hideMark/>
          </w:tcPr>
          <w:p w14:paraId="74F10606" w14:textId="77777777" w:rsidR="00FA7C11" w:rsidRDefault="00D84965">
            <w:pPr>
              <w:pStyle w:val="P68B1DB1-Normal58"/>
              <w:spacing w:after="0" w:line="276" w:lineRule="auto"/>
              <w:jc w:val="center"/>
              <w:rPr>
                <w:bCs/>
                <w:noProof/>
              </w:rPr>
            </w:pPr>
            <w:r>
              <w:rPr>
                <w:noProof/>
              </w:rPr>
              <w:t>Număr</w:t>
            </w:r>
          </w:p>
        </w:tc>
        <w:tc>
          <w:tcPr>
            <w:tcW w:w="1200" w:type="dxa"/>
            <w:vMerge w:val="restart"/>
            <w:shd w:val="clear" w:color="auto" w:fill="BDD7EE"/>
            <w:vAlign w:val="center"/>
            <w:hideMark/>
          </w:tcPr>
          <w:p w14:paraId="5D81107C" w14:textId="77777777" w:rsidR="00FA7C11" w:rsidRDefault="00D84965">
            <w:pPr>
              <w:pStyle w:val="P68B1DB1-Normal58"/>
              <w:spacing w:after="0" w:line="276" w:lineRule="auto"/>
              <w:jc w:val="center"/>
              <w:rPr>
                <w:bCs/>
                <w:noProof/>
              </w:rPr>
            </w:pPr>
            <w:r>
              <w:rPr>
                <w:noProof/>
              </w:rPr>
              <w:t>Măsură</w:t>
            </w:r>
          </w:p>
        </w:tc>
        <w:tc>
          <w:tcPr>
            <w:tcW w:w="1080" w:type="dxa"/>
            <w:vMerge w:val="restart"/>
            <w:shd w:val="clear" w:color="auto" w:fill="BDD7EE"/>
            <w:vAlign w:val="center"/>
            <w:hideMark/>
          </w:tcPr>
          <w:p w14:paraId="3B624C13" w14:textId="77777777" w:rsidR="00FA7C11" w:rsidRDefault="00D84965">
            <w:pPr>
              <w:pStyle w:val="P68B1DB1-Normal58"/>
              <w:spacing w:after="0" w:line="276" w:lineRule="auto"/>
              <w:jc w:val="center"/>
              <w:rPr>
                <w:bCs/>
                <w:noProof/>
              </w:rPr>
            </w:pPr>
            <w:r>
              <w:rPr>
                <w:noProof/>
              </w:rPr>
              <w:t>Etapă/Obiectiv</w:t>
            </w:r>
          </w:p>
        </w:tc>
        <w:tc>
          <w:tcPr>
            <w:tcW w:w="1786" w:type="dxa"/>
            <w:vMerge w:val="restart"/>
            <w:shd w:val="clear" w:color="auto" w:fill="BDD7EE"/>
            <w:vAlign w:val="center"/>
            <w:hideMark/>
          </w:tcPr>
          <w:p w14:paraId="450D4560" w14:textId="77777777" w:rsidR="00FA7C11" w:rsidRDefault="00D84965">
            <w:pPr>
              <w:pStyle w:val="P68B1DB1-Normal58"/>
              <w:spacing w:after="0" w:line="276" w:lineRule="auto"/>
              <w:jc w:val="center"/>
              <w:rPr>
                <w:bCs/>
                <w:noProof/>
              </w:rPr>
            </w:pPr>
            <w:r>
              <w:rPr>
                <w:noProof/>
              </w:rPr>
              <w:t>Nume</w:t>
            </w:r>
          </w:p>
        </w:tc>
        <w:tc>
          <w:tcPr>
            <w:tcW w:w="2288" w:type="dxa"/>
            <w:vMerge w:val="restart"/>
            <w:shd w:val="clear" w:color="auto" w:fill="BDD7EE"/>
            <w:vAlign w:val="center"/>
            <w:hideMark/>
          </w:tcPr>
          <w:p w14:paraId="292B50DD"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3130" w:type="dxa"/>
            <w:gridSpan w:val="3"/>
            <w:shd w:val="clear" w:color="auto" w:fill="BDD7EE"/>
            <w:vAlign w:val="center"/>
            <w:hideMark/>
          </w:tcPr>
          <w:p w14:paraId="7DC9F1B8"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556" w:type="dxa"/>
            <w:gridSpan w:val="2"/>
            <w:shd w:val="clear" w:color="auto" w:fill="BDD7EE"/>
            <w:vAlign w:val="center"/>
            <w:hideMark/>
          </w:tcPr>
          <w:p w14:paraId="474B0BF7" w14:textId="77777777" w:rsidR="00FA7C11" w:rsidRDefault="00D84965">
            <w:pPr>
              <w:pStyle w:val="P68B1DB1-Normal58"/>
              <w:spacing w:after="0" w:line="276" w:lineRule="auto"/>
              <w:jc w:val="center"/>
              <w:rPr>
                <w:bCs/>
                <w:noProof/>
              </w:rPr>
            </w:pPr>
            <w:r>
              <w:rPr>
                <w:noProof/>
              </w:rPr>
              <w:t>Timp</w:t>
            </w:r>
          </w:p>
        </w:tc>
        <w:tc>
          <w:tcPr>
            <w:tcW w:w="3609" w:type="dxa"/>
            <w:vMerge w:val="restart"/>
            <w:shd w:val="clear" w:color="auto" w:fill="BDD7EE"/>
            <w:vAlign w:val="center"/>
            <w:hideMark/>
          </w:tcPr>
          <w:p w14:paraId="2516E0C4"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362FE6D4" w14:textId="77777777">
        <w:trPr>
          <w:trHeight w:val="500"/>
          <w:tblHeader/>
          <w:jc w:val="center"/>
        </w:trPr>
        <w:tc>
          <w:tcPr>
            <w:tcW w:w="835" w:type="dxa"/>
            <w:vMerge/>
            <w:hideMark/>
          </w:tcPr>
          <w:p w14:paraId="5FF4AF62"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200" w:type="dxa"/>
            <w:vMerge/>
            <w:hideMark/>
          </w:tcPr>
          <w:p w14:paraId="48F925E2"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80" w:type="dxa"/>
            <w:vMerge/>
            <w:hideMark/>
          </w:tcPr>
          <w:p w14:paraId="192F1C6E"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786" w:type="dxa"/>
            <w:vMerge/>
            <w:hideMark/>
          </w:tcPr>
          <w:p w14:paraId="3F626CD2" w14:textId="77777777" w:rsidR="00FA7C11" w:rsidRDefault="00FA7C11">
            <w:pPr>
              <w:spacing w:after="0" w:line="276" w:lineRule="auto"/>
              <w:rPr>
                <w:rFonts w:ascii="Times New Roman" w:eastAsia="Times New Roman" w:hAnsi="Times New Roman" w:cs="Times New Roman"/>
                <w:b/>
                <w:noProof/>
                <w:sz w:val="20"/>
                <w:szCs w:val="20"/>
              </w:rPr>
            </w:pPr>
          </w:p>
        </w:tc>
        <w:tc>
          <w:tcPr>
            <w:tcW w:w="2288" w:type="dxa"/>
            <w:vMerge/>
            <w:hideMark/>
          </w:tcPr>
          <w:p w14:paraId="3DF58B5B" w14:textId="77777777" w:rsidR="00FA7C11" w:rsidRDefault="00FA7C11">
            <w:pPr>
              <w:spacing w:after="0" w:line="276" w:lineRule="auto"/>
              <w:rPr>
                <w:rFonts w:ascii="Times New Roman" w:eastAsia="Times New Roman" w:hAnsi="Times New Roman" w:cs="Times New Roman"/>
                <w:b/>
                <w:noProof/>
                <w:sz w:val="20"/>
                <w:szCs w:val="20"/>
              </w:rPr>
            </w:pPr>
          </w:p>
        </w:tc>
        <w:tc>
          <w:tcPr>
            <w:tcW w:w="1067" w:type="dxa"/>
            <w:shd w:val="clear" w:color="auto" w:fill="BDD7EE"/>
            <w:vAlign w:val="center"/>
            <w:hideMark/>
          </w:tcPr>
          <w:p w14:paraId="0FEFFE73" w14:textId="77777777" w:rsidR="00FA7C11" w:rsidRDefault="00D84965">
            <w:pPr>
              <w:pStyle w:val="P68B1DB1-Normal58"/>
              <w:spacing w:after="0" w:line="276" w:lineRule="auto"/>
              <w:jc w:val="center"/>
              <w:rPr>
                <w:bCs/>
                <w:noProof/>
              </w:rPr>
            </w:pPr>
            <w:r>
              <w:rPr>
                <w:noProof/>
              </w:rPr>
              <w:t>Unitate</w:t>
            </w:r>
          </w:p>
        </w:tc>
        <w:tc>
          <w:tcPr>
            <w:tcW w:w="810" w:type="dxa"/>
            <w:shd w:val="clear" w:color="auto" w:fill="BDD7EE"/>
            <w:vAlign w:val="center"/>
            <w:hideMark/>
          </w:tcPr>
          <w:p w14:paraId="050133D5" w14:textId="77777777" w:rsidR="00FA7C11" w:rsidRDefault="00D84965">
            <w:pPr>
              <w:pStyle w:val="P68B1DB1-Normal58"/>
              <w:spacing w:after="0" w:line="276" w:lineRule="auto"/>
              <w:jc w:val="center"/>
              <w:rPr>
                <w:bCs/>
                <w:noProof/>
              </w:rPr>
            </w:pPr>
            <w:r>
              <w:rPr>
                <w:noProof/>
              </w:rPr>
              <w:t>Situația de referință</w:t>
            </w:r>
          </w:p>
        </w:tc>
        <w:tc>
          <w:tcPr>
            <w:tcW w:w="1253" w:type="dxa"/>
            <w:shd w:val="clear" w:color="auto" w:fill="BDD7EE"/>
            <w:vAlign w:val="center"/>
            <w:hideMark/>
          </w:tcPr>
          <w:p w14:paraId="1A2E32BF" w14:textId="77777777" w:rsidR="00FA7C11" w:rsidRDefault="00D84965">
            <w:pPr>
              <w:pStyle w:val="P68B1DB1-Normal58"/>
              <w:spacing w:after="0" w:line="276" w:lineRule="auto"/>
              <w:jc w:val="center"/>
              <w:rPr>
                <w:bCs/>
                <w:noProof/>
              </w:rPr>
            </w:pPr>
            <w:r>
              <w:rPr>
                <w:noProof/>
              </w:rPr>
              <w:t>Obiectiv</w:t>
            </w:r>
          </w:p>
        </w:tc>
        <w:tc>
          <w:tcPr>
            <w:tcW w:w="836" w:type="dxa"/>
            <w:shd w:val="clear" w:color="auto" w:fill="BDD7EE"/>
            <w:vAlign w:val="center"/>
            <w:hideMark/>
          </w:tcPr>
          <w:p w14:paraId="795D7DFC" w14:textId="77777777" w:rsidR="00FA7C11" w:rsidRDefault="00D84965">
            <w:pPr>
              <w:pStyle w:val="P68B1DB1-Normal58"/>
              <w:spacing w:after="0" w:line="276" w:lineRule="auto"/>
              <w:jc w:val="center"/>
              <w:rPr>
                <w:bCs/>
                <w:noProof/>
              </w:rPr>
            </w:pPr>
            <w:r>
              <w:rPr>
                <w:noProof/>
              </w:rPr>
              <w:t>Trimestru</w:t>
            </w:r>
          </w:p>
        </w:tc>
        <w:tc>
          <w:tcPr>
            <w:tcW w:w="720" w:type="dxa"/>
            <w:shd w:val="clear" w:color="auto" w:fill="BDD7EE"/>
            <w:vAlign w:val="center"/>
            <w:hideMark/>
          </w:tcPr>
          <w:p w14:paraId="12B71A05" w14:textId="77777777" w:rsidR="00FA7C11" w:rsidRDefault="00D84965">
            <w:pPr>
              <w:pStyle w:val="P68B1DB1-Normal58"/>
              <w:spacing w:after="0" w:line="276" w:lineRule="auto"/>
              <w:jc w:val="center"/>
              <w:rPr>
                <w:bCs/>
                <w:noProof/>
              </w:rPr>
            </w:pPr>
            <w:r>
              <w:rPr>
                <w:noProof/>
              </w:rPr>
              <w:t>Anul</w:t>
            </w:r>
          </w:p>
        </w:tc>
        <w:tc>
          <w:tcPr>
            <w:tcW w:w="3609" w:type="dxa"/>
            <w:vMerge/>
            <w:hideMark/>
          </w:tcPr>
          <w:p w14:paraId="156DF3D5"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018DC3DC" w14:textId="77777777">
        <w:trPr>
          <w:trHeight w:val="283"/>
          <w:jc w:val="center"/>
        </w:trPr>
        <w:tc>
          <w:tcPr>
            <w:tcW w:w="835" w:type="dxa"/>
            <w:shd w:val="clear" w:color="auto" w:fill="C6EFCE"/>
            <w:noWrap/>
          </w:tcPr>
          <w:p w14:paraId="66B7328C" w14:textId="77777777" w:rsidR="00FA7C11" w:rsidRDefault="00D84965">
            <w:pPr>
              <w:pStyle w:val="P68B1DB1-Normal66"/>
              <w:spacing w:after="0" w:line="276" w:lineRule="auto"/>
              <w:jc w:val="center"/>
              <w:rPr>
                <w:noProof/>
              </w:rPr>
            </w:pPr>
            <w:r>
              <w:rPr>
                <w:noProof/>
              </w:rPr>
              <w:t>351</w:t>
            </w:r>
          </w:p>
        </w:tc>
        <w:tc>
          <w:tcPr>
            <w:tcW w:w="1200" w:type="dxa"/>
            <w:shd w:val="clear" w:color="auto" w:fill="C6EFCE"/>
            <w:noWrap/>
          </w:tcPr>
          <w:p w14:paraId="1D1B1567" w14:textId="77777777" w:rsidR="00FA7C11" w:rsidRDefault="00D84965">
            <w:pPr>
              <w:pStyle w:val="P68B1DB1-Normal66"/>
              <w:spacing w:after="200" w:line="276" w:lineRule="auto"/>
              <w:jc w:val="center"/>
              <w:rPr>
                <w:noProof/>
              </w:rPr>
            </w:pPr>
            <w:r>
              <w:rPr>
                <w:noProof/>
              </w:rPr>
              <w:t>C6.1. R1</w:t>
            </w:r>
          </w:p>
        </w:tc>
        <w:tc>
          <w:tcPr>
            <w:tcW w:w="1080" w:type="dxa"/>
            <w:shd w:val="clear" w:color="auto" w:fill="C6EFCE"/>
            <w:noWrap/>
          </w:tcPr>
          <w:p w14:paraId="3310E384"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29F5034A" w14:textId="72AD2A59" w:rsidR="00FA7C11" w:rsidRDefault="00D84965">
            <w:pPr>
              <w:pStyle w:val="P68B1DB1-Normal66"/>
              <w:spacing w:after="200" w:line="276" w:lineRule="auto"/>
              <w:rPr>
                <w:noProof/>
              </w:rPr>
            </w:pPr>
            <w:r>
              <w:rPr>
                <w:noProof/>
              </w:rPr>
              <w:t>Adoptarea programelor naționale de renovare energetică pentru (i) clădirile cu mai multe locuințe, (ii) clădirile care au statutul de bun cultural (atât pentru perioada 2021-30), cât și pentru (iii) reducerea sărăciei energetice în domenii de interes special pentru stat (pentru perioada 2021-25)</w:t>
            </w:r>
          </w:p>
        </w:tc>
        <w:tc>
          <w:tcPr>
            <w:tcW w:w="2288" w:type="dxa"/>
            <w:shd w:val="clear" w:color="auto" w:fill="C6EFCE"/>
            <w:noWrap/>
          </w:tcPr>
          <w:p w14:paraId="378BFA89" w14:textId="77777777" w:rsidR="00FA7C11" w:rsidRDefault="00D84965">
            <w:pPr>
              <w:pStyle w:val="P68B1DB1-Normal66"/>
              <w:spacing w:after="200" w:line="276" w:lineRule="auto"/>
              <w:rPr>
                <w:noProof/>
              </w:rPr>
            </w:pPr>
            <w:r>
              <w:rPr>
                <w:noProof/>
              </w:rPr>
              <w:t>Publicare pe site-ul oficial al Ministerului Planificării Fizice, Construcțiilor și Activelor Statului</w:t>
            </w:r>
            <w:r>
              <w:rPr>
                <w:noProof/>
              </w:rPr>
              <w:br/>
            </w:r>
          </w:p>
        </w:tc>
        <w:tc>
          <w:tcPr>
            <w:tcW w:w="1067" w:type="dxa"/>
            <w:shd w:val="clear" w:color="auto" w:fill="C6EFCE"/>
            <w:noWrap/>
          </w:tcPr>
          <w:p w14:paraId="10172CA5" w14:textId="77777777" w:rsidR="00FA7C11" w:rsidRDefault="00D84965">
            <w:pPr>
              <w:pStyle w:val="P68B1DB1-Normal66"/>
              <w:spacing w:after="200" w:line="276" w:lineRule="auto"/>
              <w:jc w:val="center"/>
              <w:rPr>
                <w:noProof/>
              </w:rPr>
            </w:pPr>
            <w:r>
              <w:rPr>
                <w:noProof/>
              </w:rPr>
              <w:t> </w:t>
            </w:r>
          </w:p>
        </w:tc>
        <w:tc>
          <w:tcPr>
            <w:tcW w:w="810" w:type="dxa"/>
            <w:shd w:val="clear" w:color="auto" w:fill="C6EFCE"/>
            <w:noWrap/>
          </w:tcPr>
          <w:p w14:paraId="6418655F" w14:textId="77777777" w:rsidR="00FA7C11" w:rsidRDefault="00D84965">
            <w:pPr>
              <w:pStyle w:val="P68B1DB1-Normal66"/>
              <w:spacing w:after="200" w:line="276" w:lineRule="auto"/>
              <w:jc w:val="center"/>
              <w:rPr>
                <w:noProof/>
              </w:rPr>
            </w:pPr>
            <w:r>
              <w:rPr>
                <w:noProof/>
              </w:rPr>
              <w:t> </w:t>
            </w:r>
          </w:p>
        </w:tc>
        <w:tc>
          <w:tcPr>
            <w:tcW w:w="1253" w:type="dxa"/>
            <w:shd w:val="clear" w:color="auto" w:fill="C6EFCE"/>
            <w:noWrap/>
          </w:tcPr>
          <w:p w14:paraId="16F5C688" w14:textId="77777777" w:rsidR="00FA7C11" w:rsidRDefault="00D84965">
            <w:pPr>
              <w:pStyle w:val="P68B1DB1-Normal66"/>
              <w:spacing w:after="200" w:line="276" w:lineRule="auto"/>
              <w:jc w:val="center"/>
              <w:rPr>
                <w:noProof/>
              </w:rPr>
            </w:pPr>
            <w:r>
              <w:rPr>
                <w:noProof/>
              </w:rPr>
              <w:t> </w:t>
            </w:r>
          </w:p>
        </w:tc>
        <w:tc>
          <w:tcPr>
            <w:tcW w:w="836" w:type="dxa"/>
            <w:shd w:val="clear" w:color="auto" w:fill="C6EFCE"/>
            <w:noWrap/>
          </w:tcPr>
          <w:p w14:paraId="6DCDFACA" w14:textId="77777777" w:rsidR="00FA7C11" w:rsidRDefault="00D84965">
            <w:pPr>
              <w:pStyle w:val="P68B1DB1-Normal66"/>
              <w:spacing w:after="200" w:line="276" w:lineRule="auto"/>
              <w:jc w:val="center"/>
              <w:rPr>
                <w:noProof/>
              </w:rPr>
            </w:pPr>
            <w:r>
              <w:rPr>
                <w:noProof/>
              </w:rPr>
              <w:t>Î4</w:t>
            </w:r>
          </w:p>
        </w:tc>
        <w:tc>
          <w:tcPr>
            <w:tcW w:w="720" w:type="dxa"/>
            <w:shd w:val="clear" w:color="auto" w:fill="C6EFCE"/>
            <w:noWrap/>
          </w:tcPr>
          <w:p w14:paraId="121AF7BE" w14:textId="77777777" w:rsidR="00FA7C11" w:rsidRDefault="00D84965">
            <w:pPr>
              <w:pStyle w:val="P68B1DB1-Normal66"/>
              <w:spacing w:after="200" w:line="276" w:lineRule="auto"/>
              <w:jc w:val="center"/>
              <w:rPr>
                <w:noProof/>
              </w:rPr>
            </w:pPr>
            <w:r>
              <w:rPr>
                <w:noProof/>
              </w:rPr>
              <w:t>2021</w:t>
            </w:r>
          </w:p>
        </w:tc>
        <w:tc>
          <w:tcPr>
            <w:tcW w:w="3609" w:type="dxa"/>
            <w:shd w:val="clear" w:color="auto" w:fill="C6EFCE"/>
            <w:noWrap/>
          </w:tcPr>
          <w:p w14:paraId="2F9EFE47" w14:textId="77777777" w:rsidR="00FA7C11" w:rsidRDefault="00D84965">
            <w:pPr>
              <w:pStyle w:val="P68B1DB1-Normal66"/>
              <w:spacing w:after="200" w:line="276" w:lineRule="auto"/>
              <w:rPr>
                <w:noProof/>
              </w:rPr>
            </w:pPr>
            <w:r>
              <w:rPr>
                <w:noProof/>
              </w:rPr>
              <w:t>Publicarea programelor de încurajare a renovării aprofundate a clădirilor, a sistemelor alternative de înaltă eficiență și care acordă o atenție deosebită asigurării unor condiții climatice interioare sănătoase, protecției împotriva incendiilor și riscurilor legate de intensificarea activității seismice. Se introduce o categorie specifică de renovare energetică a clădirilor cu statut de bun cultural care nu a fost încă inclusă în programele de renovare energetică pentru cofinanțare din partea UE în Croația.</w:t>
            </w:r>
            <w:r>
              <w:rPr>
                <w:noProof/>
              </w:rPr>
              <w:br/>
              <w:t>Publicarea programului de reducere a sărăciei energetice în domeniile de interes deosebit pentru stat, pentru perioada 2021-2025, care acoperă renovarea cuprinzătoare a clădirilor din zonele de îngrijire asistată și din zonele de îngrijire guvernamentală specială, consolidarea capacităților pentru atenuarea sărăciei energetice, reducerea consumului de energie la nivelul utilizării finale și, prin urmare, reducerea emisiilor de CO2 generate de gospodăriile sărace din punct de vedere energetic sau vulnerabile.</w:t>
            </w:r>
          </w:p>
        </w:tc>
      </w:tr>
      <w:tr w:rsidR="00FA7C11" w14:paraId="719FFFD7" w14:textId="77777777">
        <w:trPr>
          <w:trHeight w:val="283"/>
          <w:jc w:val="center"/>
        </w:trPr>
        <w:tc>
          <w:tcPr>
            <w:tcW w:w="835" w:type="dxa"/>
            <w:shd w:val="clear" w:color="auto" w:fill="C6EFCE"/>
            <w:noWrap/>
          </w:tcPr>
          <w:p w14:paraId="369F8F23" w14:textId="77777777" w:rsidR="00FA7C11" w:rsidRDefault="00D84965">
            <w:pPr>
              <w:pStyle w:val="P68B1DB1-Normal66"/>
              <w:spacing w:after="200" w:line="276" w:lineRule="auto"/>
              <w:jc w:val="center"/>
              <w:rPr>
                <w:noProof/>
              </w:rPr>
            </w:pPr>
            <w:r>
              <w:rPr>
                <w:noProof/>
              </w:rPr>
              <w:t>352</w:t>
            </w:r>
          </w:p>
        </w:tc>
        <w:tc>
          <w:tcPr>
            <w:tcW w:w="1200" w:type="dxa"/>
            <w:shd w:val="clear" w:color="auto" w:fill="C6EFCE"/>
            <w:noWrap/>
          </w:tcPr>
          <w:p w14:paraId="2242FEBF" w14:textId="77777777" w:rsidR="00FA7C11" w:rsidRDefault="00D84965">
            <w:pPr>
              <w:pStyle w:val="P68B1DB1-Normal66"/>
              <w:spacing w:after="200" w:line="276" w:lineRule="auto"/>
              <w:jc w:val="center"/>
              <w:rPr>
                <w:noProof/>
              </w:rPr>
            </w:pPr>
            <w:r>
              <w:rPr>
                <w:noProof/>
              </w:rPr>
              <w:t>C6.1. R1</w:t>
            </w:r>
          </w:p>
        </w:tc>
        <w:tc>
          <w:tcPr>
            <w:tcW w:w="1080" w:type="dxa"/>
            <w:shd w:val="clear" w:color="auto" w:fill="C6EFCE"/>
            <w:noWrap/>
          </w:tcPr>
          <w:p w14:paraId="7F3399D5"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79A18646" w14:textId="77777777" w:rsidR="00FA7C11" w:rsidRDefault="00D84965">
            <w:pPr>
              <w:pStyle w:val="P68B1DB1-Normal66"/>
              <w:spacing w:after="200" w:line="276" w:lineRule="auto"/>
              <w:rPr>
                <w:noProof/>
              </w:rPr>
            </w:pPr>
            <w:r>
              <w:rPr>
                <w:noProof/>
              </w:rPr>
              <w:t>Adoptarea programului de renovare energetică a clădirilor din sectorul public pentru perioada 2021-2030</w:t>
            </w:r>
          </w:p>
        </w:tc>
        <w:tc>
          <w:tcPr>
            <w:tcW w:w="2288" w:type="dxa"/>
            <w:shd w:val="clear" w:color="auto" w:fill="C6EFCE"/>
            <w:noWrap/>
          </w:tcPr>
          <w:p w14:paraId="44A91C0C" w14:textId="77777777" w:rsidR="00FA7C11" w:rsidRDefault="00D84965">
            <w:pPr>
              <w:pStyle w:val="P68B1DB1-Normal66"/>
              <w:spacing w:after="200" w:line="276" w:lineRule="auto"/>
              <w:rPr>
                <w:noProof/>
              </w:rPr>
            </w:pPr>
            <w:r>
              <w:rPr>
                <w:noProof/>
              </w:rPr>
              <w:t xml:space="preserve">Publicare pe site-ul oficial al Ministerului Planificării Fizice, Construcțiilor și Activelor Statului </w:t>
            </w:r>
          </w:p>
        </w:tc>
        <w:tc>
          <w:tcPr>
            <w:tcW w:w="1067" w:type="dxa"/>
            <w:shd w:val="clear" w:color="auto" w:fill="C6EFCE"/>
            <w:noWrap/>
          </w:tcPr>
          <w:p w14:paraId="26A5D280" w14:textId="77777777" w:rsidR="00FA7C11" w:rsidRDefault="00D84965">
            <w:pPr>
              <w:pStyle w:val="P68B1DB1-Normal66"/>
              <w:spacing w:after="200" w:line="276" w:lineRule="auto"/>
              <w:jc w:val="center"/>
              <w:rPr>
                <w:noProof/>
              </w:rPr>
            </w:pPr>
            <w:r>
              <w:rPr>
                <w:noProof/>
              </w:rPr>
              <w:t> </w:t>
            </w:r>
          </w:p>
        </w:tc>
        <w:tc>
          <w:tcPr>
            <w:tcW w:w="810" w:type="dxa"/>
            <w:shd w:val="clear" w:color="auto" w:fill="C6EFCE"/>
            <w:noWrap/>
          </w:tcPr>
          <w:p w14:paraId="42893FAF" w14:textId="77777777" w:rsidR="00FA7C11" w:rsidRDefault="00D84965">
            <w:pPr>
              <w:pStyle w:val="P68B1DB1-Normal66"/>
              <w:spacing w:after="200" w:line="276" w:lineRule="auto"/>
              <w:jc w:val="center"/>
              <w:rPr>
                <w:noProof/>
              </w:rPr>
            </w:pPr>
            <w:r>
              <w:rPr>
                <w:noProof/>
              </w:rPr>
              <w:t> </w:t>
            </w:r>
          </w:p>
        </w:tc>
        <w:tc>
          <w:tcPr>
            <w:tcW w:w="1253" w:type="dxa"/>
            <w:shd w:val="clear" w:color="auto" w:fill="C6EFCE"/>
            <w:noWrap/>
          </w:tcPr>
          <w:p w14:paraId="265CE57B" w14:textId="77777777" w:rsidR="00FA7C11" w:rsidRDefault="00D84965">
            <w:pPr>
              <w:pStyle w:val="P68B1DB1-Normal66"/>
              <w:spacing w:after="200" w:line="276" w:lineRule="auto"/>
              <w:jc w:val="center"/>
              <w:rPr>
                <w:noProof/>
              </w:rPr>
            </w:pPr>
            <w:r>
              <w:rPr>
                <w:noProof/>
              </w:rPr>
              <w:t> </w:t>
            </w:r>
          </w:p>
        </w:tc>
        <w:tc>
          <w:tcPr>
            <w:tcW w:w="836" w:type="dxa"/>
            <w:shd w:val="clear" w:color="auto" w:fill="C6EFCE"/>
            <w:noWrap/>
          </w:tcPr>
          <w:p w14:paraId="54DC6F68" w14:textId="77777777" w:rsidR="00FA7C11" w:rsidRDefault="00D84965">
            <w:pPr>
              <w:pStyle w:val="P68B1DB1-Normal66"/>
              <w:spacing w:after="200" w:line="276" w:lineRule="auto"/>
              <w:jc w:val="center"/>
              <w:rPr>
                <w:noProof/>
              </w:rPr>
            </w:pPr>
            <w:r>
              <w:rPr>
                <w:noProof/>
              </w:rPr>
              <w:t>Î1</w:t>
            </w:r>
          </w:p>
        </w:tc>
        <w:tc>
          <w:tcPr>
            <w:tcW w:w="720" w:type="dxa"/>
            <w:shd w:val="clear" w:color="auto" w:fill="C6EFCE"/>
            <w:noWrap/>
          </w:tcPr>
          <w:p w14:paraId="27AACCD0" w14:textId="77777777" w:rsidR="00FA7C11" w:rsidRDefault="00D84965">
            <w:pPr>
              <w:pStyle w:val="P68B1DB1-Normal66"/>
              <w:spacing w:after="200" w:line="276" w:lineRule="auto"/>
              <w:jc w:val="center"/>
              <w:rPr>
                <w:noProof/>
              </w:rPr>
            </w:pPr>
            <w:r>
              <w:rPr>
                <w:noProof/>
              </w:rPr>
              <w:t>2022</w:t>
            </w:r>
          </w:p>
        </w:tc>
        <w:tc>
          <w:tcPr>
            <w:tcW w:w="3609" w:type="dxa"/>
            <w:shd w:val="clear" w:color="auto" w:fill="C6EFCE"/>
            <w:noWrap/>
          </w:tcPr>
          <w:p w14:paraId="5E800DD8" w14:textId="77777777" w:rsidR="00FA7C11" w:rsidRDefault="00D84965">
            <w:pPr>
              <w:pStyle w:val="P68B1DB1-Normal66"/>
              <w:spacing w:after="200" w:line="276" w:lineRule="auto"/>
              <w:rPr>
                <w:noProof/>
              </w:rPr>
            </w:pPr>
            <w:r>
              <w:rPr>
                <w:noProof/>
              </w:rPr>
              <w:t>Publicarea programului de renovare energetică a clădirilor din sectorul public pentru perioada 2021-2030, care include o renovare cuprinzătoare a clădirilor din sectorul public, inclusiv măsuri de eficiență energetică și de utilizare eficientă a resurselor, reducând în același timp nevoile termice și consumul de energie al clădirilor publice și sporind utilizarea SRE și, în consecință, reducerea emisiilor de CO2.</w:t>
            </w:r>
          </w:p>
        </w:tc>
      </w:tr>
      <w:tr w:rsidR="00FA7C11" w14:paraId="5A3F16CC" w14:textId="77777777">
        <w:trPr>
          <w:trHeight w:val="283"/>
          <w:jc w:val="center"/>
        </w:trPr>
        <w:tc>
          <w:tcPr>
            <w:tcW w:w="835" w:type="dxa"/>
            <w:shd w:val="clear" w:color="auto" w:fill="C6EFCE"/>
            <w:noWrap/>
          </w:tcPr>
          <w:p w14:paraId="2226DC49" w14:textId="77777777" w:rsidR="00FA7C11" w:rsidRDefault="00D84965">
            <w:pPr>
              <w:pStyle w:val="P68B1DB1-Normal66"/>
              <w:spacing w:after="200" w:line="276" w:lineRule="auto"/>
              <w:jc w:val="center"/>
              <w:rPr>
                <w:noProof/>
              </w:rPr>
            </w:pPr>
            <w:r>
              <w:rPr>
                <w:noProof/>
              </w:rPr>
              <w:t>353</w:t>
            </w:r>
          </w:p>
        </w:tc>
        <w:tc>
          <w:tcPr>
            <w:tcW w:w="1200" w:type="dxa"/>
            <w:shd w:val="clear" w:color="auto" w:fill="C6EFCE"/>
            <w:noWrap/>
          </w:tcPr>
          <w:p w14:paraId="47DD95B1" w14:textId="77777777" w:rsidR="00FA7C11" w:rsidRDefault="00D84965">
            <w:pPr>
              <w:pStyle w:val="P68B1DB1-Normal66"/>
              <w:spacing w:after="200" w:line="276" w:lineRule="auto"/>
              <w:jc w:val="center"/>
              <w:rPr>
                <w:noProof/>
              </w:rPr>
            </w:pPr>
            <w:r>
              <w:rPr>
                <w:noProof/>
              </w:rPr>
              <w:t>C6.1. R1-I1</w:t>
            </w:r>
          </w:p>
        </w:tc>
        <w:tc>
          <w:tcPr>
            <w:tcW w:w="1080" w:type="dxa"/>
            <w:shd w:val="clear" w:color="auto" w:fill="C6EFCE"/>
            <w:noWrap/>
          </w:tcPr>
          <w:p w14:paraId="1AC4717B" w14:textId="77777777" w:rsidR="00FA7C11" w:rsidRDefault="00D84965">
            <w:pPr>
              <w:pStyle w:val="P68B1DB1-Normal66"/>
              <w:spacing w:after="200" w:line="276" w:lineRule="auto"/>
              <w:jc w:val="center"/>
              <w:rPr>
                <w:noProof/>
              </w:rPr>
            </w:pPr>
            <w:r>
              <w:rPr>
                <w:noProof/>
              </w:rPr>
              <w:t>T</w:t>
            </w:r>
          </w:p>
        </w:tc>
        <w:tc>
          <w:tcPr>
            <w:tcW w:w="1786" w:type="dxa"/>
            <w:shd w:val="clear" w:color="auto" w:fill="C6EFCE"/>
            <w:noWrap/>
          </w:tcPr>
          <w:p w14:paraId="7D424EC7" w14:textId="77777777" w:rsidR="00FA7C11" w:rsidRDefault="00D84965">
            <w:pPr>
              <w:pStyle w:val="P68B1DB1-Normal66"/>
              <w:spacing w:after="200" w:line="276" w:lineRule="auto"/>
              <w:rPr>
                <w:noProof/>
              </w:rPr>
            </w:pPr>
            <w:r>
              <w:rPr>
                <w:noProof/>
              </w:rPr>
              <w:t xml:space="preserve">Contracte semnate pentru renovarea energetică a clădirilor publice și a imobilelor colective </w:t>
            </w:r>
          </w:p>
        </w:tc>
        <w:tc>
          <w:tcPr>
            <w:tcW w:w="2288" w:type="dxa"/>
            <w:shd w:val="clear" w:color="auto" w:fill="C6EFCE"/>
            <w:noWrap/>
          </w:tcPr>
          <w:p w14:paraId="73D512FD"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504666ED" w14:textId="77777777" w:rsidR="00FA7C11" w:rsidRDefault="00D84965">
            <w:pPr>
              <w:pStyle w:val="P68B1DB1-Normal66"/>
              <w:spacing w:after="200" w:line="276" w:lineRule="auto"/>
              <w:jc w:val="center"/>
              <w:rPr>
                <w:noProof/>
              </w:rPr>
            </w:pPr>
            <w:r>
              <w:rPr>
                <w:noProof/>
              </w:rPr>
              <w:t xml:space="preserve">EUR </w:t>
            </w:r>
          </w:p>
        </w:tc>
        <w:tc>
          <w:tcPr>
            <w:tcW w:w="810" w:type="dxa"/>
            <w:shd w:val="clear" w:color="auto" w:fill="C6EFCE"/>
            <w:noWrap/>
          </w:tcPr>
          <w:p w14:paraId="37E7650B" w14:textId="77777777" w:rsidR="00FA7C11" w:rsidRDefault="00D84965">
            <w:pPr>
              <w:pStyle w:val="P68B1DB1-Normal66"/>
              <w:spacing w:after="200" w:line="276" w:lineRule="auto"/>
              <w:jc w:val="center"/>
              <w:rPr>
                <w:noProof/>
              </w:rPr>
            </w:pPr>
            <w:r>
              <w:rPr>
                <w:noProof/>
              </w:rPr>
              <w:t>0</w:t>
            </w:r>
          </w:p>
        </w:tc>
        <w:tc>
          <w:tcPr>
            <w:tcW w:w="1253" w:type="dxa"/>
            <w:shd w:val="clear" w:color="auto" w:fill="C6EFCE"/>
            <w:noWrap/>
          </w:tcPr>
          <w:p w14:paraId="431C33C2" w14:textId="77777777" w:rsidR="00FA7C11" w:rsidRDefault="00D84965">
            <w:pPr>
              <w:pStyle w:val="P68B1DB1-Normal66"/>
              <w:spacing w:after="200" w:line="276" w:lineRule="auto"/>
              <w:jc w:val="center"/>
              <w:rPr>
                <w:noProof/>
              </w:rPr>
            </w:pPr>
            <w:r>
              <w:rPr>
                <w:noProof/>
              </w:rPr>
              <w:t>66 361 404</w:t>
            </w:r>
          </w:p>
        </w:tc>
        <w:tc>
          <w:tcPr>
            <w:tcW w:w="836" w:type="dxa"/>
            <w:shd w:val="clear" w:color="auto" w:fill="C6EFCE"/>
            <w:noWrap/>
          </w:tcPr>
          <w:p w14:paraId="2BFA6E5F" w14:textId="77777777" w:rsidR="00FA7C11" w:rsidRDefault="00D84965">
            <w:pPr>
              <w:pStyle w:val="P68B1DB1-Normal66"/>
              <w:spacing w:after="200" w:line="276" w:lineRule="auto"/>
              <w:jc w:val="center"/>
              <w:rPr>
                <w:noProof/>
              </w:rPr>
            </w:pPr>
            <w:r>
              <w:rPr>
                <w:noProof/>
              </w:rPr>
              <w:t>Î4</w:t>
            </w:r>
          </w:p>
        </w:tc>
        <w:tc>
          <w:tcPr>
            <w:tcW w:w="720" w:type="dxa"/>
            <w:shd w:val="clear" w:color="auto" w:fill="C6EFCE"/>
            <w:noWrap/>
          </w:tcPr>
          <w:p w14:paraId="416904A2" w14:textId="77777777" w:rsidR="00FA7C11" w:rsidRDefault="00D84965">
            <w:pPr>
              <w:pStyle w:val="P68B1DB1-Normal66"/>
              <w:spacing w:after="200" w:line="276" w:lineRule="auto"/>
              <w:jc w:val="center"/>
              <w:rPr>
                <w:noProof/>
              </w:rPr>
            </w:pPr>
            <w:r>
              <w:rPr>
                <w:noProof/>
              </w:rPr>
              <w:t>2022</w:t>
            </w:r>
          </w:p>
        </w:tc>
        <w:tc>
          <w:tcPr>
            <w:tcW w:w="3609" w:type="dxa"/>
            <w:shd w:val="clear" w:color="auto" w:fill="C6EFCE"/>
            <w:noWrap/>
          </w:tcPr>
          <w:p w14:paraId="74E397AF" w14:textId="100D83F5" w:rsidR="00FA7C11" w:rsidRDefault="00D84965">
            <w:pPr>
              <w:pStyle w:val="P68B1DB1-Normal66"/>
              <w:spacing w:after="200" w:line="276" w:lineRule="auto"/>
              <w:rPr>
                <w:noProof/>
              </w:rPr>
            </w:pPr>
            <w:r>
              <w:rPr>
                <w:noProof/>
              </w:rPr>
              <w:t>Contracte semnate care prevăd 66 361 404 EUR pentru renovarea energetică a clădirilor. Toate contractele care prevăd cerința relevantă în materie de eficiență energetică de reducere minimă a consumului de energie pentru încălzire cu cel puțin 50 % în comparație cu consumul anual de energie pentru încălzire înainte de renovare pentru fiecare clădire (se așteaptă ca clădirile să aibă statutul de bun cultural), ceea ce trebuie să asigure o creștere cu 30 % a economiilor de energie primară în comparație cu starea anterioară renovării și să respecte principiul de „a nu prejudicia în mod semnificativ”, astfel cum este prevăzut la articolul 17 din Regulamentul (UE) 2020/852 de instituire a unui cadru de facilitare a investițiilor durabile.</w:t>
            </w:r>
          </w:p>
        </w:tc>
      </w:tr>
      <w:tr w:rsidR="00FA7C11" w14:paraId="21E3D12A" w14:textId="77777777">
        <w:trPr>
          <w:trHeight w:val="283"/>
          <w:jc w:val="center"/>
        </w:trPr>
        <w:tc>
          <w:tcPr>
            <w:tcW w:w="835" w:type="dxa"/>
            <w:shd w:val="clear" w:color="auto" w:fill="C6EFCE"/>
            <w:noWrap/>
          </w:tcPr>
          <w:p w14:paraId="415A84A0" w14:textId="77777777" w:rsidR="00FA7C11" w:rsidRDefault="00D84965">
            <w:pPr>
              <w:pStyle w:val="P68B1DB1-Normal66"/>
              <w:spacing w:after="200" w:line="276" w:lineRule="auto"/>
              <w:jc w:val="center"/>
              <w:rPr>
                <w:noProof/>
              </w:rPr>
            </w:pPr>
            <w:r>
              <w:rPr>
                <w:noProof/>
              </w:rPr>
              <w:t>354</w:t>
            </w:r>
          </w:p>
        </w:tc>
        <w:tc>
          <w:tcPr>
            <w:tcW w:w="1200" w:type="dxa"/>
            <w:shd w:val="clear" w:color="auto" w:fill="C6EFCE"/>
            <w:noWrap/>
          </w:tcPr>
          <w:p w14:paraId="489EB2E9" w14:textId="77777777" w:rsidR="00FA7C11" w:rsidRDefault="00D84965">
            <w:pPr>
              <w:pStyle w:val="P68B1DB1-Normal66"/>
              <w:spacing w:after="200" w:line="276" w:lineRule="auto"/>
              <w:jc w:val="center"/>
              <w:rPr>
                <w:noProof/>
              </w:rPr>
            </w:pPr>
            <w:r>
              <w:rPr>
                <w:noProof/>
              </w:rPr>
              <w:t>C6.1. R1-I1</w:t>
            </w:r>
          </w:p>
        </w:tc>
        <w:tc>
          <w:tcPr>
            <w:tcW w:w="1080" w:type="dxa"/>
            <w:shd w:val="clear" w:color="auto" w:fill="C6EFCE"/>
            <w:noWrap/>
          </w:tcPr>
          <w:p w14:paraId="0B4264BF" w14:textId="77777777" w:rsidR="00FA7C11" w:rsidRDefault="00D84965">
            <w:pPr>
              <w:pStyle w:val="P68B1DB1-Normal66"/>
              <w:spacing w:after="200" w:line="276" w:lineRule="auto"/>
              <w:jc w:val="center"/>
              <w:rPr>
                <w:noProof/>
              </w:rPr>
            </w:pPr>
            <w:r>
              <w:rPr>
                <w:noProof/>
              </w:rPr>
              <w:t>T</w:t>
            </w:r>
          </w:p>
        </w:tc>
        <w:tc>
          <w:tcPr>
            <w:tcW w:w="1786" w:type="dxa"/>
            <w:shd w:val="clear" w:color="auto" w:fill="C6EFCE"/>
            <w:noWrap/>
          </w:tcPr>
          <w:p w14:paraId="0D1FAD89" w14:textId="77777777" w:rsidR="00FA7C11" w:rsidRDefault="00D84965">
            <w:pPr>
              <w:pStyle w:val="P68B1DB1-Normal66"/>
              <w:spacing w:after="200" w:line="276" w:lineRule="auto"/>
              <w:rPr>
                <w:noProof/>
              </w:rPr>
            </w:pPr>
            <w:r>
              <w:rPr>
                <w:noProof/>
              </w:rPr>
              <w:t xml:space="preserve">Renovarea energetică a imobilelor colective </w:t>
            </w:r>
          </w:p>
        </w:tc>
        <w:tc>
          <w:tcPr>
            <w:tcW w:w="2288" w:type="dxa"/>
            <w:shd w:val="clear" w:color="auto" w:fill="C6EFCE"/>
            <w:noWrap/>
          </w:tcPr>
          <w:p w14:paraId="13511273"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283D89AA" w14:textId="77777777" w:rsidR="00FA7C11" w:rsidRDefault="00D84965">
            <w:pPr>
              <w:pStyle w:val="P68B1DB1-Normal66"/>
              <w:spacing w:after="200" w:line="276" w:lineRule="auto"/>
              <w:jc w:val="center"/>
              <w:rPr>
                <w:noProof/>
              </w:rPr>
            </w:pPr>
            <w:r>
              <w:rPr>
                <w:noProof/>
              </w:rPr>
              <w:t>Număr (m²)</w:t>
            </w:r>
          </w:p>
        </w:tc>
        <w:tc>
          <w:tcPr>
            <w:tcW w:w="810" w:type="dxa"/>
            <w:shd w:val="clear" w:color="auto" w:fill="C6EFCE"/>
            <w:noWrap/>
          </w:tcPr>
          <w:p w14:paraId="5BD707F6" w14:textId="77777777" w:rsidR="00FA7C11" w:rsidRDefault="00D84965">
            <w:pPr>
              <w:pStyle w:val="P68B1DB1-Normal66"/>
              <w:spacing w:after="200" w:line="276" w:lineRule="auto"/>
              <w:jc w:val="center"/>
              <w:rPr>
                <w:noProof/>
              </w:rPr>
            </w:pPr>
            <w:r>
              <w:rPr>
                <w:noProof/>
              </w:rPr>
              <w:t>0</w:t>
            </w:r>
          </w:p>
        </w:tc>
        <w:tc>
          <w:tcPr>
            <w:tcW w:w="1253" w:type="dxa"/>
            <w:shd w:val="clear" w:color="auto" w:fill="C6EFCE"/>
            <w:noWrap/>
          </w:tcPr>
          <w:p w14:paraId="635953F6" w14:textId="77777777" w:rsidR="00FA7C11" w:rsidRDefault="00D84965">
            <w:pPr>
              <w:pStyle w:val="P68B1DB1-Normal66"/>
              <w:spacing w:after="200" w:line="276" w:lineRule="auto"/>
              <w:jc w:val="center"/>
              <w:rPr>
                <w:noProof/>
              </w:rPr>
            </w:pPr>
            <w:r>
              <w:rPr>
                <w:noProof/>
              </w:rPr>
              <w:t>241 850</w:t>
            </w:r>
          </w:p>
        </w:tc>
        <w:tc>
          <w:tcPr>
            <w:tcW w:w="836" w:type="dxa"/>
            <w:shd w:val="clear" w:color="auto" w:fill="C6EFCE"/>
            <w:noWrap/>
          </w:tcPr>
          <w:p w14:paraId="74F6FE46" w14:textId="77777777" w:rsidR="00FA7C11" w:rsidRDefault="00D84965">
            <w:pPr>
              <w:pStyle w:val="P68B1DB1-Normal66"/>
              <w:spacing w:after="200" w:line="276" w:lineRule="auto"/>
              <w:jc w:val="center"/>
              <w:rPr>
                <w:noProof/>
              </w:rPr>
            </w:pPr>
            <w:r>
              <w:rPr>
                <w:noProof/>
              </w:rPr>
              <w:t>Î2</w:t>
            </w:r>
          </w:p>
        </w:tc>
        <w:tc>
          <w:tcPr>
            <w:tcW w:w="720" w:type="dxa"/>
            <w:shd w:val="clear" w:color="auto" w:fill="C6EFCE"/>
            <w:noWrap/>
          </w:tcPr>
          <w:p w14:paraId="4285B193" w14:textId="77777777" w:rsidR="00FA7C11" w:rsidRDefault="00D84965">
            <w:pPr>
              <w:pStyle w:val="P68B1DB1-Normal66"/>
              <w:spacing w:after="200" w:line="276" w:lineRule="auto"/>
              <w:jc w:val="center"/>
              <w:rPr>
                <w:noProof/>
              </w:rPr>
            </w:pPr>
            <w:r>
              <w:rPr>
                <w:noProof/>
              </w:rPr>
              <w:t>2026</w:t>
            </w:r>
          </w:p>
        </w:tc>
        <w:tc>
          <w:tcPr>
            <w:tcW w:w="3609" w:type="dxa"/>
            <w:shd w:val="clear" w:color="auto" w:fill="C6EFCE"/>
            <w:noWrap/>
          </w:tcPr>
          <w:p w14:paraId="1DFA2ED8" w14:textId="238358F6" w:rsidR="00FA7C11" w:rsidRDefault="00D84965">
            <w:pPr>
              <w:pStyle w:val="P68B1DB1-Normal66"/>
              <w:spacing w:after="200" w:line="276" w:lineRule="auto"/>
              <w:rPr>
                <w:noProof/>
              </w:rPr>
            </w:pPr>
            <w:r>
              <w:rPr>
                <w:noProof/>
              </w:rPr>
              <w:t>Renovarea energetică a cel puțin 241 850 m² de clădiri cu mai multe locuințe, îndeplinind o cerință minimă de reducere a consumului de energie pentru încălzire cu cel puțin 50 % în comparație cu consumul anual de energie pentru încălzire înainte de renovare pentru fiecare clădire (cu excepția clădirilor cu statut de bun cultural), ceea ce asigură o creștere cu 30 % a economiilor de energie primară la nivelul obiectivului în comparație cu starea anterioară renovării și este în conformitate cu principiul de „a nu prejudicia în mod semnificativ”. Costul instalării cazanelor cu condensare de gaz care înlocuiesc cazanele existente pe bază de gaz, cărbune și petrol reprezintă cel mult 20 % din costul renovării.</w:t>
            </w:r>
          </w:p>
        </w:tc>
      </w:tr>
      <w:tr w:rsidR="00FA7C11" w14:paraId="3D13CAE7" w14:textId="77777777">
        <w:trPr>
          <w:trHeight w:val="283"/>
          <w:jc w:val="center"/>
        </w:trPr>
        <w:tc>
          <w:tcPr>
            <w:tcW w:w="835" w:type="dxa"/>
            <w:shd w:val="clear" w:color="auto" w:fill="C6EFCE"/>
            <w:noWrap/>
          </w:tcPr>
          <w:p w14:paraId="3BDBF0AE" w14:textId="77777777" w:rsidR="00FA7C11" w:rsidRDefault="00D84965">
            <w:pPr>
              <w:pStyle w:val="P68B1DB1-Normal66"/>
              <w:spacing w:after="200" w:line="276" w:lineRule="auto"/>
              <w:jc w:val="center"/>
              <w:rPr>
                <w:noProof/>
              </w:rPr>
            </w:pPr>
            <w:r>
              <w:rPr>
                <w:noProof/>
              </w:rPr>
              <w:t>355</w:t>
            </w:r>
          </w:p>
        </w:tc>
        <w:tc>
          <w:tcPr>
            <w:tcW w:w="1200" w:type="dxa"/>
            <w:shd w:val="clear" w:color="auto" w:fill="C6EFCE"/>
            <w:noWrap/>
          </w:tcPr>
          <w:p w14:paraId="7FAD146E" w14:textId="77777777" w:rsidR="00FA7C11" w:rsidRDefault="00D84965">
            <w:pPr>
              <w:pStyle w:val="P68B1DB1-Normal66"/>
              <w:spacing w:after="200" w:line="276" w:lineRule="auto"/>
              <w:jc w:val="center"/>
              <w:rPr>
                <w:noProof/>
              </w:rPr>
            </w:pPr>
            <w:r>
              <w:rPr>
                <w:noProof/>
              </w:rPr>
              <w:t>C6.1. R1-I1</w:t>
            </w:r>
          </w:p>
        </w:tc>
        <w:tc>
          <w:tcPr>
            <w:tcW w:w="1080" w:type="dxa"/>
            <w:shd w:val="clear" w:color="auto" w:fill="C6EFCE"/>
            <w:noWrap/>
          </w:tcPr>
          <w:p w14:paraId="2DF5BC45" w14:textId="77777777" w:rsidR="00FA7C11" w:rsidRDefault="00D84965">
            <w:pPr>
              <w:pStyle w:val="P68B1DB1-Normal66"/>
              <w:spacing w:after="200" w:line="276" w:lineRule="auto"/>
              <w:jc w:val="center"/>
              <w:rPr>
                <w:noProof/>
              </w:rPr>
            </w:pPr>
            <w:r>
              <w:rPr>
                <w:noProof/>
              </w:rPr>
              <w:t>T</w:t>
            </w:r>
          </w:p>
        </w:tc>
        <w:tc>
          <w:tcPr>
            <w:tcW w:w="1786" w:type="dxa"/>
            <w:shd w:val="clear" w:color="auto" w:fill="C6EFCE"/>
            <w:noWrap/>
          </w:tcPr>
          <w:p w14:paraId="474463BB" w14:textId="77777777" w:rsidR="00FA7C11" w:rsidRDefault="00D84965">
            <w:pPr>
              <w:pStyle w:val="P68B1DB1-Normal66"/>
              <w:spacing w:after="200" w:line="276" w:lineRule="auto"/>
              <w:rPr>
                <w:noProof/>
              </w:rPr>
            </w:pPr>
            <w:r>
              <w:rPr>
                <w:noProof/>
              </w:rPr>
              <w:t xml:space="preserve">Renovarea energetică a clădirilor publice </w:t>
            </w:r>
          </w:p>
        </w:tc>
        <w:tc>
          <w:tcPr>
            <w:tcW w:w="2288" w:type="dxa"/>
            <w:shd w:val="clear" w:color="auto" w:fill="C6EFCE"/>
            <w:noWrap/>
          </w:tcPr>
          <w:p w14:paraId="25B2CD69"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577EEBC4" w14:textId="77777777" w:rsidR="00FA7C11" w:rsidRDefault="00D84965">
            <w:pPr>
              <w:pStyle w:val="P68B1DB1-Normal66"/>
              <w:spacing w:after="200" w:line="276" w:lineRule="auto"/>
              <w:jc w:val="center"/>
              <w:rPr>
                <w:noProof/>
              </w:rPr>
            </w:pPr>
            <w:r>
              <w:rPr>
                <w:noProof/>
              </w:rPr>
              <w:t>Număr</w:t>
            </w:r>
            <w:r>
              <w:rPr>
                <w:noProof/>
              </w:rPr>
              <w:br/>
              <w:t>(m²)</w:t>
            </w:r>
          </w:p>
        </w:tc>
        <w:tc>
          <w:tcPr>
            <w:tcW w:w="810" w:type="dxa"/>
            <w:shd w:val="clear" w:color="auto" w:fill="C6EFCE"/>
            <w:noWrap/>
          </w:tcPr>
          <w:p w14:paraId="3B27A801" w14:textId="77777777" w:rsidR="00FA7C11" w:rsidRDefault="00D84965">
            <w:pPr>
              <w:pStyle w:val="P68B1DB1-Normal66"/>
              <w:spacing w:after="200" w:line="276" w:lineRule="auto"/>
              <w:jc w:val="center"/>
              <w:rPr>
                <w:noProof/>
              </w:rPr>
            </w:pPr>
            <w:r>
              <w:rPr>
                <w:noProof/>
              </w:rPr>
              <w:t>0</w:t>
            </w:r>
          </w:p>
        </w:tc>
        <w:tc>
          <w:tcPr>
            <w:tcW w:w="1253" w:type="dxa"/>
            <w:shd w:val="clear" w:color="auto" w:fill="C6EFCE"/>
            <w:noWrap/>
          </w:tcPr>
          <w:p w14:paraId="7B64F41E" w14:textId="77777777" w:rsidR="00FA7C11" w:rsidRDefault="00D84965">
            <w:pPr>
              <w:pStyle w:val="P68B1DB1-Normal66"/>
              <w:spacing w:after="200" w:line="276" w:lineRule="auto"/>
              <w:jc w:val="center"/>
              <w:rPr>
                <w:noProof/>
              </w:rPr>
            </w:pPr>
            <w:r>
              <w:rPr>
                <w:noProof/>
              </w:rPr>
              <w:t>372 219</w:t>
            </w:r>
          </w:p>
        </w:tc>
        <w:tc>
          <w:tcPr>
            <w:tcW w:w="836" w:type="dxa"/>
            <w:shd w:val="clear" w:color="auto" w:fill="C6EFCE"/>
            <w:noWrap/>
          </w:tcPr>
          <w:p w14:paraId="6AF62738" w14:textId="77777777" w:rsidR="00FA7C11" w:rsidRDefault="00D84965">
            <w:pPr>
              <w:pStyle w:val="P68B1DB1-Normal66"/>
              <w:spacing w:after="200" w:line="276" w:lineRule="auto"/>
              <w:jc w:val="center"/>
              <w:rPr>
                <w:noProof/>
              </w:rPr>
            </w:pPr>
            <w:r>
              <w:rPr>
                <w:noProof/>
              </w:rPr>
              <w:t>Î2</w:t>
            </w:r>
          </w:p>
        </w:tc>
        <w:tc>
          <w:tcPr>
            <w:tcW w:w="720" w:type="dxa"/>
            <w:shd w:val="clear" w:color="auto" w:fill="C6EFCE"/>
            <w:noWrap/>
          </w:tcPr>
          <w:p w14:paraId="004B8729" w14:textId="77777777" w:rsidR="00FA7C11" w:rsidRDefault="00D84965">
            <w:pPr>
              <w:pStyle w:val="P68B1DB1-Normal66"/>
              <w:spacing w:after="200" w:line="276" w:lineRule="auto"/>
              <w:jc w:val="center"/>
              <w:rPr>
                <w:noProof/>
              </w:rPr>
            </w:pPr>
            <w:r>
              <w:rPr>
                <w:noProof/>
              </w:rPr>
              <w:t>2026</w:t>
            </w:r>
          </w:p>
        </w:tc>
        <w:tc>
          <w:tcPr>
            <w:tcW w:w="3609" w:type="dxa"/>
            <w:shd w:val="clear" w:color="auto" w:fill="C6EFCE"/>
            <w:noWrap/>
          </w:tcPr>
          <w:p w14:paraId="6C8CCE17" w14:textId="34A530E2" w:rsidR="00FA7C11" w:rsidRDefault="00D84965">
            <w:pPr>
              <w:pStyle w:val="P68B1DB1-Normal66"/>
              <w:spacing w:after="200" w:line="276" w:lineRule="auto"/>
              <w:rPr>
                <w:noProof/>
              </w:rPr>
            </w:pPr>
            <w:r>
              <w:rPr>
                <w:noProof/>
              </w:rPr>
              <w:t xml:space="preserve">Renovarea energetică a cel puțin 372 219 m² de clădiri publice, îndeplinind o cerință minimă de reducere a consumului de energie pentru încălzire cu cel puțin 50 % în comparație cu consumul anual de energie pentru încălzire înainte de renovare pentru fiecare clădire (cu excepția clădirilor cu statut de bun cultural), ceea ce asigură o creștere cu 30 % a economiilor de energie primară la nivelul obiectivului în comparație cu starea anterioară renovării și este în conformitate cu principiul DNSH. </w:t>
            </w:r>
          </w:p>
          <w:p w14:paraId="70CB29E9" w14:textId="77777777" w:rsidR="00FA7C11" w:rsidRDefault="00D84965">
            <w:pPr>
              <w:pStyle w:val="P68B1DB1-Normal66"/>
              <w:spacing w:after="200" w:line="276" w:lineRule="auto"/>
              <w:rPr>
                <w:noProof/>
              </w:rPr>
            </w:pPr>
            <w:r>
              <w:rPr>
                <w:noProof/>
              </w:rPr>
              <w:t xml:space="preserve">Costul instalării cazanelor cu condensare de gaz care înlocuiesc cazanele existente pe bază de gaz, cărbune și petrol reprezintă cel mult 20 % din costul renovării. </w:t>
            </w:r>
          </w:p>
        </w:tc>
      </w:tr>
      <w:tr w:rsidR="00FA7C11" w14:paraId="42C3932B" w14:textId="77777777">
        <w:trPr>
          <w:trHeight w:val="283"/>
          <w:jc w:val="center"/>
        </w:trPr>
        <w:tc>
          <w:tcPr>
            <w:tcW w:w="835" w:type="dxa"/>
            <w:shd w:val="clear" w:color="auto" w:fill="C6EFCE"/>
            <w:noWrap/>
          </w:tcPr>
          <w:p w14:paraId="3B5BD21D" w14:textId="77777777" w:rsidR="00FA7C11" w:rsidRDefault="00D84965">
            <w:pPr>
              <w:pStyle w:val="P68B1DB1-Normal66"/>
              <w:spacing w:after="200" w:line="276" w:lineRule="auto"/>
              <w:jc w:val="center"/>
              <w:rPr>
                <w:noProof/>
              </w:rPr>
            </w:pPr>
            <w:r>
              <w:rPr>
                <w:noProof/>
              </w:rPr>
              <w:t>358</w:t>
            </w:r>
          </w:p>
        </w:tc>
        <w:tc>
          <w:tcPr>
            <w:tcW w:w="1200" w:type="dxa"/>
            <w:shd w:val="clear" w:color="auto" w:fill="C6EFCE"/>
            <w:noWrap/>
          </w:tcPr>
          <w:p w14:paraId="4C988657" w14:textId="77777777" w:rsidR="00FA7C11" w:rsidRDefault="00D84965">
            <w:pPr>
              <w:pStyle w:val="P68B1DB1-Normal66"/>
              <w:spacing w:after="200" w:line="276" w:lineRule="auto"/>
              <w:jc w:val="center"/>
              <w:rPr>
                <w:noProof/>
              </w:rPr>
            </w:pPr>
            <w:r>
              <w:rPr>
                <w:noProof/>
              </w:rPr>
              <w:t>C6.1. R1-I3</w:t>
            </w:r>
          </w:p>
        </w:tc>
        <w:tc>
          <w:tcPr>
            <w:tcW w:w="1080" w:type="dxa"/>
            <w:shd w:val="clear" w:color="auto" w:fill="C6EFCE"/>
            <w:noWrap/>
          </w:tcPr>
          <w:p w14:paraId="12668F59" w14:textId="77777777" w:rsidR="00FA7C11" w:rsidRDefault="00D84965">
            <w:pPr>
              <w:pStyle w:val="P68B1DB1-Normal66"/>
              <w:spacing w:after="200" w:line="276" w:lineRule="auto"/>
              <w:jc w:val="center"/>
              <w:rPr>
                <w:noProof/>
              </w:rPr>
            </w:pPr>
            <w:r>
              <w:rPr>
                <w:noProof/>
              </w:rPr>
              <w:t>T</w:t>
            </w:r>
          </w:p>
        </w:tc>
        <w:tc>
          <w:tcPr>
            <w:tcW w:w="1786" w:type="dxa"/>
            <w:shd w:val="clear" w:color="auto" w:fill="C6EFCE"/>
            <w:noWrap/>
          </w:tcPr>
          <w:p w14:paraId="039617B6" w14:textId="77777777" w:rsidR="00FA7C11" w:rsidRDefault="00D84965">
            <w:pPr>
              <w:pStyle w:val="P68B1DB1-Normal66"/>
              <w:spacing w:after="200" w:line="276" w:lineRule="auto"/>
              <w:rPr>
                <w:noProof/>
              </w:rPr>
            </w:pPr>
            <w:r>
              <w:rPr>
                <w:noProof/>
              </w:rPr>
              <w:t xml:space="preserve">Renovarea energetică a clădirilor cu statut de bun cultural </w:t>
            </w:r>
          </w:p>
        </w:tc>
        <w:tc>
          <w:tcPr>
            <w:tcW w:w="2288" w:type="dxa"/>
            <w:shd w:val="clear" w:color="auto" w:fill="C6EFCE"/>
            <w:noWrap/>
          </w:tcPr>
          <w:p w14:paraId="30185472"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306C5D27" w14:textId="77777777" w:rsidR="00FA7C11" w:rsidRDefault="00D84965">
            <w:pPr>
              <w:pStyle w:val="P68B1DB1-Normal66"/>
              <w:spacing w:after="200" w:line="276" w:lineRule="auto"/>
              <w:jc w:val="center"/>
              <w:rPr>
                <w:noProof/>
              </w:rPr>
            </w:pPr>
            <w:r>
              <w:rPr>
                <w:noProof/>
              </w:rPr>
              <w:t>Număr (m²)</w:t>
            </w:r>
          </w:p>
        </w:tc>
        <w:tc>
          <w:tcPr>
            <w:tcW w:w="810" w:type="dxa"/>
            <w:shd w:val="clear" w:color="auto" w:fill="C6EFCE"/>
            <w:noWrap/>
          </w:tcPr>
          <w:p w14:paraId="483E5C70" w14:textId="77777777" w:rsidR="00FA7C11" w:rsidRDefault="00D84965">
            <w:pPr>
              <w:pStyle w:val="P68B1DB1-Normal66"/>
              <w:spacing w:after="200" w:line="276" w:lineRule="auto"/>
              <w:jc w:val="center"/>
              <w:rPr>
                <w:noProof/>
              </w:rPr>
            </w:pPr>
            <w:r>
              <w:rPr>
                <w:noProof/>
              </w:rPr>
              <w:t>0</w:t>
            </w:r>
          </w:p>
        </w:tc>
        <w:tc>
          <w:tcPr>
            <w:tcW w:w="1253" w:type="dxa"/>
            <w:shd w:val="clear" w:color="auto" w:fill="C6EFCE"/>
            <w:noWrap/>
          </w:tcPr>
          <w:p w14:paraId="1B6D022A" w14:textId="77777777" w:rsidR="00FA7C11" w:rsidRDefault="00D84965">
            <w:pPr>
              <w:pStyle w:val="P68B1DB1-Normal66"/>
              <w:spacing w:after="200" w:line="276" w:lineRule="auto"/>
              <w:jc w:val="center"/>
              <w:rPr>
                <w:noProof/>
              </w:rPr>
            </w:pPr>
            <w:r>
              <w:rPr>
                <w:noProof/>
              </w:rPr>
              <w:t>31 000</w:t>
            </w:r>
          </w:p>
        </w:tc>
        <w:tc>
          <w:tcPr>
            <w:tcW w:w="836" w:type="dxa"/>
            <w:shd w:val="clear" w:color="auto" w:fill="C6EFCE"/>
            <w:noWrap/>
          </w:tcPr>
          <w:p w14:paraId="3FF8D80E" w14:textId="77777777" w:rsidR="00FA7C11" w:rsidRDefault="00D84965">
            <w:pPr>
              <w:pStyle w:val="P68B1DB1-Normal66"/>
              <w:spacing w:after="200" w:line="276" w:lineRule="auto"/>
              <w:jc w:val="center"/>
              <w:rPr>
                <w:noProof/>
              </w:rPr>
            </w:pPr>
            <w:r>
              <w:rPr>
                <w:noProof/>
              </w:rPr>
              <w:t>Î2</w:t>
            </w:r>
          </w:p>
        </w:tc>
        <w:tc>
          <w:tcPr>
            <w:tcW w:w="720" w:type="dxa"/>
            <w:shd w:val="clear" w:color="auto" w:fill="C6EFCE"/>
            <w:noWrap/>
          </w:tcPr>
          <w:p w14:paraId="48855FE9" w14:textId="77777777" w:rsidR="00FA7C11" w:rsidRDefault="00D84965">
            <w:pPr>
              <w:pStyle w:val="P68B1DB1-Normal66"/>
              <w:spacing w:after="200" w:line="276" w:lineRule="auto"/>
              <w:jc w:val="center"/>
              <w:rPr>
                <w:noProof/>
              </w:rPr>
            </w:pPr>
            <w:r>
              <w:rPr>
                <w:noProof/>
              </w:rPr>
              <w:t>2026</w:t>
            </w:r>
          </w:p>
        </w:tc>
        <w:tc>
          <w:tcPr>
            <w:tcW w:w="3609" w:type="dxa"/>
            <w:shd w:val="clear" w:color="auto" w:fill="C6EFCE"/>
            <w:noWrap/>
          </w:tcPr>
          <w:p w14:paraId="5BEAAC07" w14:textId="5B9501E5" w:rsidR="00FA7C11" w:rsidRDefault="00D84965">
            <w:pPr>
              <w:pStyle w:val="P68B1DB1-Normal66"/>
              <w:spacing w:after="200" w:line="276" w:lineRule="auto"/>
              <w:rPr>
                <w:noProof/>
              </w:rPr>
            </w:pPr>
            <w:r>
              <w:rPr>
                <w:noProof/>
              </w:rPr>
              <w:t xml:space="preserve">Renovarea energetică a cel puțin 31 000 m² de clădiri cu statut de bun cultural, realizând o creștere cu 30 % a economiilor de energie primară la nivelul obiectivului, cu o cerință minimă de 20 % pentru fiecare clădire, comparativ cu starea anterioară renovării. </w:t>
            </w:r>
          </w:p>
          <w:p w14:paraId="54D66C6C" w14:textId="77777777" w:rsidR="00FA7C11" w:rsidRDefault="00D84965">
            <w:pPr>
              <w:pStyle w:val="P68B1DB1-Normal66"/>
              <w:spacing w:after="200" w:line="276" w:lineRule="auto"/>
              <w:rPr>
                <w:noProof/>
              </w:rPr>
            </w:pPr>
            <w:r>
              <w:rPr>
                <w:noProof/>
              </w:rPr>
              <w:t xml:space="preserve">Renovarea acestor clădiri este finanțată în proporție de 100 % și este în conformitate cu principiul de „a nu prejudicia în mod semnificativ”. </w:t>
            </w:r>
          </w:p>
          <w:p w14:paraId="410A49F2" w14:textId="77777777" w:rsidR="00FA7C11" w:rsidRDefault="00D84965">
            <w:pPr>
              <w:pStyle w:val="P68B1DB1-Normal66"/>
              <w:spacing w:after="200" w:line="276" w:lineRule="auto"/>
              <w:rPr>
                <w:noProof/>
              </w:rPr>
            </w:pPr>
            <w:r>
              <w:rPr>
                <w:noProof/>
              </w:rPr>
              <w:t>Costul instalării cazanelor cu condensare de gaz care înlocuiesc cazanele existente pe bază de gaz, cărbune și petrol reprezintă cel mult 20 % din costul renovării.</w:t>
            </w:r>
          </w:p>
        </w:tc>
      </w:tr>
      <w:tr w:rsidR="00FA7C11" w14:paraId="4C2288DA" w14:textId="77777777">
        <w:trPr>
          <w:trHeight w:val="283"/>
          <w:jc w:val="center"/>
        </w:trPr>
        <w:tc>
          <w:tcPr>
            <w:tcW w:w="835" w:type="dxa"/>
            <w:shd w:val="clear" w:color="auto" w:fill="C6EFCE"/>
            <w:noWrap/>
          </w:tcPr>
          <w:p w14:paraId="63F1B2AF" w14:textId="77777777" w:rsidR="00FA7C11" w:rsidRDefault="00D84965">
            <w:pPr>
              <w:pStyle w:val="P68B1DB1-Normal66"/>
              <w:spacing w:after="200" w:line="276" w:lineRule="auto"/>
              <w:jc w:val="center"/>
              <w:rPr>
                <w:noProof/>
              </w:rPr>
            </w:pPr>
            <w:r>
              <w:rPr>
                <w:noProof/>
              </w:rPr>
              <w:t>359</w:t>
            </w:r>
          </w:p>
        </w:tc>
        <w:tc>
          <w:tcPr>
            <w:tcW w:w="1200" w:type="dxa"/>
            <w:shd w:val="clear" w:color="auto" w:fill="C6EFCE"/>
            <w:noWrap/>
          </w:tcPr>
          <w:p w14:paraId="4A60CA27" w14:textId="77777777" w:rsidR="00FA7C11" w:rsidRDefault="00D84965">
            <w:pPr>
              <w:pStyle w:val="P68B1DB1-Normal66"/>
              <w:spacing w:after="200" w:line="276" w:lineRule="auto"/>
              <w:jc w:val="center"/>
              <w:rPr>
                <w:noProof/>
              </w:rPr>
            </w:pPr>
            <w:r>
              <w:rPr>
                <w:noProof/>
              </w:rPr>
              <w:t>C6.1. R2</w:t>
            </w:r>
          </w:p>
        </w:tc>
        <w:tc>
          <w:tcPr>
            <w:tcW w:w="1080" w:type="dxa"/>
            <w:shd w:val="clear" w:color="auto" w:fill="C6EFCE"/>
            <w:noWrap/>
          </w:tcPr>
          <w:p w14:paraId="7E380731"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4678D883" w14:textId="77777777" w:rsidR="00FA7C11" w:rsidRDefault="00D84965">
            <w:pPr>
              <w:pStyle w:val="P68B1DB1-Normal66"/>
              <w:spacing w:after="200" w:line="276" w:lineRule="auto"/>
              <w:rPr>
                <w:noProof/>
              </w:rPr>
            </w:pPr>
            <w:r>
              <w:rPr>
                <w:noProof/>
              </w:rPr>
              <w:t>Publicarea Planului național de dezvoltare a competențelor în contextul locurilor de muncă verzi legate de eficiența energetică și reconstrucția post-cutremur</w:t>
            </w:r>
          </w:p>
        </w:tc>
        <w:tc>
          <w:tcPr>
            <w:tcW w:w="2288" w:type="dxa"/>
            <w:shd w:val="clear" w:color="auto" w:fill="C6EFCE"/>
            <w:noWrap/>
          </w:tcPr>
          <w:p w14:paraId="25170138" w14:textId="77777777" w:rsidR="00FA7C11" w:rsidRDefault="00D84965">
            <w:pPr>
              <w:pStyle w:val="P68B1DB1-Normal66"/>
              <w:spacing w:after="200" w:line="276" w:lineRule="auto"/>
              <w:rPr>
                <w:noProof/>
              </w:rPr>
            </w:pPr>
            <w:r>
              <w:rPr>
                <w:noProof/>
              </w:rPr>
              <w:t xml:space="preserve">Publicare pe site-ul oficial al Ministerului Planificării Fizice, Construcțiilor și Activelor Statului </w:t>
            </w:r>
          </w:p>
        </w:tc>
        <w:tc>
          <w:tcPr>
            <w:tcW w:w="1067" w:type="dxa"/>
            <w:shd w:val="clear" w:color="auto" w:fill="C6EFCE"/>
            <w:noWrap/>
          </w:tcPr>
          <w:p w14:paraId="7E967CD5" w14:textId="77777777" w:rsidR="00FA7C11" w:rsidRDefault="00D84965">
            <w:pPr>
              <w:pStyle w:val="P68B1DB1-Normal66"/>
              <w:spacing w:after="200" w:line="276" w:lineRule="auto"/>
              <w:jc w:val="center"/>
              <w:rPr>
                <w:noProof/>
              </w:rPr>
            </w:pPr>
            <w:r>
              <w:rPr>
                <w:noProof/>
              </w:rPr>
              <w:t> </w:t>
            </w:r>
          </w:p>
        </w:tc>
        <w:tc>
          <w:tcPr>
            <w:tcW w:w="810" w:type="dxa"/>
            <w:shd w:val="clear" w:color="auto" w:fill="C6EFCE"/>
            <w:noWrap/>
          </w:tcPr>
          <w:p w14:paraId="6E40001F" w14:textId="77777777" w:rsidR="00FA7C11" w:rsidRDefault="00D84965">
            <w:pPr>
              <w:pStyle w:val="P68B1DB1-Normal66"/>
              <w:spacing w:after="200" w:line="276" w:lineRule="auto"/>
              <w:jc w:val="center"/>
              <w:rPr>
                <w:noProof/>
              </w:rPr>
            </w:pPr>
            <w:r>
              <w:rPr>
                <w:noProof/>
              </w:rPr>
              <w:t> </w:t>
            </w:r>
          </w:p>
        </w:tc>
        <w:tc>
          <w:tcPr>
            <w:tcW w:w="1253" w:type="dxa"/>
            <w:shd w:val="clear" w:color="auto" w:fill="C6EFCE"/>
            <w:noWrap/>
          </w:tcPr>
          <w:p w14:paraId="28519222" w14:textId="77777777" w:rsidR="00FA7C11" w:rsidRDefault="00D84965">
            <w:pPr>
              <w:pStyle w:val="P68B1DB1-Normal66"/>
              <w:spacing w:after="200" w:line="276" w:lineRule="auto"/>
              <w:jc w:val="center"/>
              <w:rPr>
                <w:noProof/>
              </w:rPr>
            </w:pPr>
            <w:r>
              <w:rPr>
                <w:noProof/>
              </w:rPr>
              <w:t> </w:t>
            </w:r>
          </w:p>
        </w:tc>
        <w:tc>
          <w:tcPr>
            <w:tcW w:w="836" w:type="dxa"/>
            <w:shd w:val="clear" w:color="auto" w:fill="C6EFCE"/>
            <w:noWrap/>
          </w:tcPr>
          <w:p w14:paraId="5C5FF958" w14:textId="77777777" w:rsidR="00FA7C11" w:rsidRDefault="00D84965">
            <w:pPr>
              <w:pStyle w:val="P68B1DB1-Normal66"/>
              <w:spacing w:after="200" w:line="276" w:lineRule="auto"/>
              <w:jc w:val="center"/>
              <w:rPr>
                <w:noProof/>
              </w:rPr>
            </w:pPr>
            <w:r>
              <w:rPr>
                <w:noProof/>
              </w:rPr>
              <w:t>Î4</w:t>
            </w:r>
          </w:p>
        </w:tc>
        <w:tc>
          <w:tcPr>
            <w:tcW w:w="720" w:type="dxa"/>
            <w:shd w:val="clear" w:color="auto" w:fill="C6EFCE"/>
            <w:noWrap/>
          </w:tcPr>
          <w:p w14:paraId="68ED7A63" w14:textId="77777777" w:rsidR="00FA7C11" w:rsidRDefault="00D84965">
            <w:pPr>
              <w:pStyle w:val="P68B1DB1-Normal66"/>
              <w:spacing w:after="200" w:line="276" w:lineRule="auto"/>
              <w:jc w:val="center"/>
              <w:rPr>
                <w:noProof/>
              </w:rPr>
            </w:pPr>
            <w:r>
              <w:rPr>
                <w:noProof/>
              </w:rPr>
              <w:t>2022</w:t>
            </w:r>
          </w:p>
        </w:tc>
        <w:tc>
          <w:tcPr>
            <w:tcW w:w="3609" w:type="dxa"/>
            <w:shd w:val="clear" w:color="auto" w:fill="C6EFCE"/>
            <w:noWrap/>
          </w:tcPr>
          <w:p w14:paraId="797D0480" w14:textId="77777777" w:rsidR="00FA7C11" w:rsidRDefault="00D84965">
            <w:pPr>
              <w:pStyle w:val="P68B1DB1-Normal66"/>
              <w:spacing w:after="200" w:line="276" w:lineRule="auto"/>
              <w:rPr>
                <w:noProof/>
              </w:rPr>
            </w:pPr>
            <w:r>
              <w:rPr>
                <w:noProof/>
              </w:rPr>
              <w:t xml:space="preserve">Publicarea Planului național de dezvoltare a competențelor, care va îmbunătăți competențele locurilor de muncă verzi în contextul renovării energetice, al renovării post-cutremur, al infrastructurii verzi, al aplicării soluțiilor bazate pe natură și al gestionării circulare a spațiului și a clădirilor, pe baza unei revizuiri a programelor existente și a pregătirii și adaptării programelor educaționale definite de reformă. </w:t>
            </w:r>
          </w:p>
        </w:tc>
      </w:tr>
      <w:tr w:rsidR="00FA7C11" w14:paraId="60EF6AC1" w14:textId="77777777">
        <w:trPr>
          <w:trHeight w:val="283"/>
          <w:jc w:val="center"/>
        </w:trPr>
        <w:tc>
          <w:tcPr>
            <w:tcW w:w="835" w:type="dxa"/>
            <w:shd w:val="clear" w:color="auto" w:fill="C6EFCE"/>
            <w:noWrap/>
          </w:tcPr>
          <w:p w14:paraId="63E8F1D4" w14:textId="77777777" w:rsidR="00FA7C11" w:rsidRDefault="00D84965">
            <w:pPr>
              <w:pStyle w:val="P68B1DB1-Normal66"/>
              <w:spacing w:after="200" w:line="276" w:lineRule="auto"/>
              <w:jc w:val="center"/>
              <w:rPr>
                <w:noProof/>
              </w:rPr>
            </w:pPr>
            <w:r>
              <w:rPr>
                <w:noProof/>
              </w:rPr>
              <w:t>360</w:t>
            </w:r>
          </w:p>
        </w:tc>
        <w:tc>
          <w:tcPr>
            <w:tcW w:w="1200" w:type="dxa"/>
            <w:shd w:val="clear" w:color="auto" w:fill="C6EFCE"/>
            <w:noWrap/>
          </w:tcPr>
          <w:p w14:paraId="7A923BA9" w14:textId="77777777" w:rsidR="00FA7C11" w:rsidRDefault="00D84965">
            <w:pPr>
              <w:pStyle w:val="P68B1DB1-Normal66"/>
              <w:spacing w:after="200" w:line="276" w:lineRule="auto"/>
              <w:jc w:val="center"/>
              <w:rPr>
                <w:noProof/>
              </w:rPr>
            </w:pPr>
            <w:r>
              <w:rPr>
                <w:noProof/>
              </w:rPr>
              <w:t>C6.1. R2</w:t>
            </w:r>
          </w:p>
        </w:tc>
        <w:tc>
          <w:tcPr>
            <w:tcW w:w="1080" w:type="dxa"/>
            <w:shd w:val="clear" w:color="auto" w:fill="C6EFCE"/>
            <w:noWrap/>
          </w:tcPr>
          <w:p w14:paraId="5707C6F1"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6067F1D4" w14:textId="23B1F1E7" w:rsidR="00FA7C11" w:rsidRDefault="00D84965">
            <w:pPr>
              <w:pStyle w:val="P68B1DB1-Normal66"/>
              <w:spacing w:after="200" w:line="276" w:lineRule="auto"/>
              <w:rPr>
                <w:noProof/>
              </w:rPr>
            </w:pPr>
            <w:r>
              <w:rPr>
                <w:noProof/>
              </w:rPr>
              <w:t xml:space="preserve">Certificarea formării </w:t>
            </w:r>
          </w:p>
        </w:tc>
        <w:tc>
          <w:tcPr>
            <w:tcW w:w="2288" w:type="dxa"/>
            <w:shd w:val="clear" w:color="auto" w:fill="C6EFCE"/>
            <w:noWrap/>
          </w:tcPr>
          <w:p w14:paraId="0EB52989" w14:textId="7C99FC70" w:rsidR="00FA7C11" w:rsidRDefault="00D84965">
            <w:pPr>
              <w:pStyle w:val="P68B1DB1-Normal66"/>
              <w:spacing w:after="200" w:line="276" w:lineRule="auto"/>
              <w:rPr>
                <w:noProof/>
              </w:rPr>
            </w:pPr>
            <w:r>
              <w:rPr>
                <w:noProof/>
              </w:rPr>
              <w:t>Lista certificatelor eliberate furnizate de instituția de învățământ</w:t>
            </w:r>
          </w:p>
        </w:tc>
        <w:tc>
          <w:tcPr>
            <w:tcW w:w="1067" w:type="dxa"/>
            <w:shd w:val="clear" w:color="auto" w:fill="C6EFCE"/>
            <w:noWrap/>
          </w:tcPr>
          <w:p w14:paraId="5707263D" w14:textId="77777777" w:rsidR="00FA7C11" w:rsidRDefault="00FA7C11">
            <w:pPr>
              <w:spacing w:after="200" w:line="276" w:lineRule="auto"/>
              <w:jc w:val="center"/>
              <w:rPr>
                <w:rFonts w:ascii="Times New Roman" w:eastAsia="Calibri" w:hAnsi="Times New Roman" w:cs="Times New Roman"/>
                <w:noProof/>
                <w:sz w:val="20"/>
                <w:szCs w:val="20"/>
              </w:rPr>
            </w:pPr>
          </w:p>
        </w:tc>
        <w:tc>
          <w:tcPr>
            <w:tcW w:w="810" w:type="dxa"/>
            <w:shd w:val="clear" w:color="auto" w:fill="C6EFCE"/>
            <w:noWrap/>
          </w:tcPr>
          <w:p w14:paraId="4852D836" w14:textId="77777777" w:rsidR="00FA7C11" w:rsidRDefault="00FA7C11">
            <w:pPr>
              <w:spacing w:after="200" w:line="276" w:lineRule="auto"/>
              <w:jc w:val="center"/>
              <w:rPr>
                <w:rFonts w:ascii="Times New Roman" w:eastAsia="Calibri" w:hAnsi="Times New Roman" w:cs="Times New Roman"/>
                <w:noProof/>
                <w:sz w:val="20"/>
                <w:szCs w:val="20"/>
              </w:rPr>
            </w:pPr>
          </w:p>
        </w:tc>
        <w:tc>
          <w:tcPr>
            <w:tcW w:w="1253" w:type="dxa"/>
            <w:shd w:val="clear" w:color="auto" w:fill="C6EFCE"/>
            <w:noWrap/>
          </w:tcPr>
          <w:p w14:paraId="2D3D7898" w14:textId="77777777" w:rsidR="00FA7C11" w:rsidRDefault="00FA7C11">
            <w:pPr>
              <w:spacing w:after="200" w:line="276" w:lineRule="auto"/>
              <w:jc w:val="center"/>
              <w:rPr>
                <w:rFonts w:ascii="Times New Roman" w:eastAsia="Calibri" w:hAnsi="Times New Roman" w:cs="Times New Roman"/>
                <w:noProof/>
                <w:sz w:val="20"/>
                <w:szCs w:val="20"/>
              </w:rPr>
            </w:pPr>
          </w:p>
        </w:tc>
        <w:tc>
          <w:tcPr>
            <w:tcW w:w="836" w:type="dxa"/>
            <w:shd w:val="clear" w:color="auto" w:fill="C6EFCE"/>
            <w:noWrap/>
          </w:tcPr>
          <w:p w14:paraId="2A48250E" w14:textId="77777777" w:rsidR="00FA7C11" w:rsidRDefault="00D84965">
            <w:pPr>
              <w:pStyle w:val="P68B1DB1-Normal66"/>
              <w:spacing w:after="200" w:line="276" w:lineRule="auto"/>
              <w:jc w:val="center"/>
              <w:rPr>
                <w:noProof/>
              </w:rPr>
            </w:pPr>
            <w:r>
              <w:rPr>
                <w:noProof/>
              </w:rPr>
              <w:t>Î2</w:t>
            </w:r>
          </w:p>
        </w:tc>
        <w:tc>
          <w:tcPr>
            <w:tcW w:w="720" w:type="dxa"/>
            <w:shd w:val="clear" w:color="auto" w:fill="C6EFCE"/>
            <w:noWrap/>
          </w:tcPr>
          <w:p w14:paraId="2CC248A7" w14:textId="77777777" w:rsidR="00FA7C11" w:rsidRDefault="00D84965">
            <w:pPr>
              <w:pStyle w:val="P68B1DB1-Normal66"/>
              <w:spacing w:after="200" w:line="276" w:lineRule="auto"/>
              <w:jc w:val="center"/>
              <w:rPr>
                <w:noProof/>
              </w:rPr>
            </w:pPr>
            <w:r>
              <w:rPr>
                <w:noProof/>
              </w:rPr>
              <w:t>2026</w:t>
            </w:r>
          </w:p>
        </w:tc>
        <w:tc>
          <w:tcPr>
            <w:tcW w:w="3609" w:type="dxa"/>
            <w:shd w:val="clear" w:color="auto" w:fill="C6EFCE"/>
            <w:noWrap/>
          </w:tcPr>
          <w:p w14:paraId="3469FBD8" w14:textId="77777777" w:rsidR="00FA7C11" w:rsidRDefault="00D84965">
            <w:pPr>
              <w:pStyle w:val="P68B1DB1-Normal70"/>
              <w:spacing w:after="200" w:line="276" w:lineRule="auto"/>
              <w:rPr>
                <w:noProof/>
              </w:rPr>
            </w:pPr>
            <w:r>
              <w:rPr>
                <w:noProof/>
              </w:rPr>
              <w:t>Instituția (instituțiile) de învățământ trebuie să furnizeze dovada finalizării programelor de educație pentru adulți în urma cutremurului și/sau a reabilitării energetice de către 500 de participanți.</w:t>
            </w:r>
          </w:p>
        </w:tc>
      </w:tr>
      <w:tr w:rsidR="00FA7C11" w14:paraId="74AFD014" w14:textId="77777777">
        <w:trPr>
          <w:trHeight w:val="283"/>
          <w:jc w:val="center"/>
        </w:trPr>
        <w:tc>
          <w:tcPr>
            <w:tcW w:w="835" w:type="dxa"/>
            <w:shd w:val="clear" w:color="auto" w:fill="C6EFCE"/>
            <w:noWrap/>
          </w:tcPr>
          <w:p w14:paraId="5BDF4D6C" w14:textId="77777777" w:rsidR="00FA7C11" w:rsidRDefault="00D84965">
            <w:pPr>
              <w:pStyle w:val="P68B1DB1-Normal66"/>
              <w:spacing w:after="200" w:line="276" w:lineRule="auto"/>
              <w:jc w:val="center"/>
              <w:rPr>
                <w:noProof/>
              </w:rPr>
            </w:pPr>
            <w:r>
              <w:rPr>
                <w:noProof/>
              </w:rPr>
              <w:t>401</w:t>
            </w:r>
          </w:p>
        </w:tc>
        <w:tc>
          <w:tcPr>
            <w:tcW w:w="1200" w:type="dxa"/>
            <w:shd w:val="clear" w:color="auto" w:fill="C6EFCE"/>
            <w:noWrap/>
          </w:tcPr>
          <w:p w14:paraId="20AA03E0" w14:textId="77777777" w:rsidR="00FA7C11" w:rsidRDefault="00D84965">
            <w:pPr>
              <w:pStyle w:val="P68B1DB1-Normal66"/>
              <w:spacing w:after="200" w:line="276" w:lineRule="auto"/>
              <w:jc w:val="center"/>
              <w:rPr>
                <w:noProof/>
              </w:rPr>
            </w:pPr>
            <w:r>
              <w:rPr>
                <w:noProof/>
              </w:rPr>
              <w:t xml:space="preserve">C6.1. R2 </w:t>
            </w:r>
          </w:p>
          <w:p w14:paraId="35636179"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1080" w:type="dxa"/>
            <w:shd w:val="clear" w:color="auto" w:fill="C6EFCE"/>
            <w:noWrap/>
          </w:tcPr>
          <w:p w14:paraId="409F222B"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33EEA2D7" w14:textId="77777777" w:rsidR="00FA7C11" w:rsidRDefault="00D84965">
            <w:pPr>
              <w:pStyle w:val="P68B1DB1-Normal66"/>
              <w:spacing w:after="200" w:line="276" w:lineRule="auto"/>
              <w:rPr>
                <w:noProof/>
              </w:rPr>
            </w:pPr>
            <w:r>
              <w:rPr>
                <w:noProof/>
              </w:rPr>
              <w:t>Înscrierea în noul modul al programului de masterat oferit</w:t>
            </w:r>
          </w:p>
        </w:tc>
        <w:tc>
          <w:tcPr>
            <w:tcW w:w="2288" w:type="dxa"/>
            <w:shd w:val="clear" w:color="auto" w:fill="C6EFCE"/>
            <w:noWrap/>
          </w:tcPr>
          <w:p w14:paraId="64E9D610" w14:textId="7097F03A" w:rsidR="00FA7C11" w:rsidRDefault="00D84965">
            <w:pPr>
              <w:pStyle w:val="P68B1DB1-Normal66"/>
              <w:spacing w:after="200" w:line="276" w:lineRule="auto"/>
              <w:rPr>
                <w:noProof/>
              </w:rPr>
            </w:pPr>
            <w:r>
              <w:rPr>
                <w:noProof/>
              </w:rPr>
              <w:t xml:space="preserve">Publicarea unei cereri de candidaturi pentru admiterea la noul modul al programului de masterat </w:t>
            </w:r>
          </w:p>
        </w:tc>
        <w:tc>
          <w:tcPr>
            <w:tcW w:w="1067" w:type="dxa"/>
            <w:shd w:val="clear" w:color="auto" w:fill="C6EFCE"/>
            <w:noWrap/>
          </w:tcPr>
          <w:p w14:paraId="79C61A59"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10" w:type="dxa"/>
            <w:shd w:val="clear" w:color="auto" w:fill="C6EFCE"/>
            <w:noWrap/>
          </w:tcPr>
          <w:p w14:paraId="3FEDAFCF"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1253" w:type="dxa"/>
            <w:shd w:val="clear" w:color="auto" w:fill="C6EFCE"/>
            <w:noWrap/>
          </w:tcPr>
          <w:p w14:paraId="1C7E6C32"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36" w:type="dxa"/>
            <w:shd w:val="clear" w:color="auto" w:fill="C6EFCE"/>
            <w:noWrap/>
          </w:tcPr>
          <w:p w14:paraId="39098565" w14:textId="77777777" w:rsidR="00FA7C11" w:rsidRDefault="00D84965">
            <w:pPr>
              <w:pStyle w:val="P68B1DB1-Normal59"/>
              <w:spacing w:after="200" w:line="276" w:lineRule="auto"/>
              <w:jc w:val="center"/>
              <w:rPr>
                <w:rFonts w:ascii="Times New Roman" w:eastAsia="Calibri" w:hAnsi="Times New Roman" w:cs="Times New Roman"/>
                <w:noProof/>
                <w:color w:val="000000"/>
              </w:rPr>
            </w:pPr>
            <w:r>
              <w:rPr>
                <w:rFonts w:ascii="Times New Roman" w:hAnsi="Times New Roman" w:cs="Times New Roman"/>
                <w:noProof/>
              </w:rPr>
              <w:t xml:space="preserve"> </w:t>
            </w:r>
            <w:r>
              <w:rPr>
                <w:rFonts w:ascii="Times New Roman" w:eastAsia="Calibri" w:hAnsi="Times New Roman" w:cs="Times New Roman"/>
                <w:noProof/>
                <w:color w:val="000000"/>
              </w:rPr>
              <w:t>Î2</w:t>
            </w:r>
          </w:p>
        </w:tc>
        <w:tc>
          <w:tcPr>
            <w:tcW w:w="720" w:type="dxa"/>
            <w:shd w:val="clear" w:color="auto" w:fill="C6EFCE"/>
            <w:noWrap/>
          </w:tcPr>
          <w:p w14:paraId="3D4F3541" w14:textId="77777777" w:rsidR="00FA7C11" w:rsidRDefault="00D84965">
            <w:pPr>
              <w:pStyle w:val="P68B1DB1-Normal66"/>
              <w:spacing w:after="200" w:line="276" w:lineRule="auto"/>
              <w:jc w:val="center"/>
              <w:rPr>
                <w:noProof/>
              </w:rPr>
            </w:pPr>
            <w:r>
              <w:rPr>
                <w:noProof/>
              </w:rPr>
              <w:t>2026</w:t>
            </w:r>
          </w:p>
        </w:tc>
        <w:tc>
          <w:tcPr>
            <w:tcW w:w="3609" w:type="dxa"/>
            <w:shd w:val="clear" w:color="auto" w:fill="C6EFCE"/>
            <w:noWrap/>
          </w:tcPr>
          <w:p w14:paraId="22BAD5FB" w14:textId="77777777" w:rsidR="00FA7C11" w:rsidRDefault="00D84965">
            <w:pPr>
              <w:pStyle w:val="P68B1DB1-Normal66"/>
              <w:spacing w:after="200" w:line="276" w:lineRule="auto"/>
              <w:rPr>
                <w:noProof/>
              </w:rPr>
            </w:pPr>
            <w:r>
              <w:rPr>
                <w:noProof/>
              </w:rPr>
              <w:t xml:space="preserve">Se publică o cerere de candidaturi pentru admiterea la noul modul al programului de masterat care acoperă teme legate de renovare și de eficiența energetică. </w:t>
            </w:r>
          </w:p>
        </w:tc>
      </w:tr>
      <w:tr w:rsidR="00FA7C11" w14:paraId="3F2EB661" w14:textId="77777777">
        <w:trPr>
          <w:trHeight w:val="283"/>
          <w:jc w:val="center"/>
        </w:trPr>
        <w:tc>
          <w:tcPr>
            <w:tcW w:w="835" w:type="dxa"/>
            <w:shd w:val="clear" w:color="auto" w:fill="C6EFCE"/>
            <w:noWrap/>
          </w:tcPr>
          <w:p w14:paraId="17CE7D90" w14:textId="77777777" w:rsidR="00FA7C11" w:rsidRDefault="00D84965">
            <w:pPr>
              <w:pStyle w:val="P68B1DB1-Normal66"/>
              <w:spacing w:after="200" w:line="276" w:lineRule="auto"/>
              <w:jc w:val="center"/>
              <w:rPr>
                <w:noProof/>
              </w:rPr>
            </w:pPr>
            <w:r>
              <w:rPr>
                <w:noProof/>
              </w:rPr>
              <w:t>362</w:t>
            </w:r>
          </w:p>
        </w:tc>
        <w:tc>
          <w:tcPr>
            <w:tcW w:w="1200" w:type="dxa"/>
            <w:shd w:val="clear" w:color="auto" w:fill="C6EFCE"/>
            <w:noWrap/>
          </w:tcPr>
          <w:p w14:paraId="67B3BF2C" w14:textId="77777777" w:rsidR="00FA7C11" w:rsidRDefault="00D84965">
            <w:pPr>
              <w:pStyle w:val="P68B1DB1-Normal66"/>
              <w:spacing w:after="200" w:line="276" w:lineRule="auto"/>
              <w:jc w:val="center"/>
              <w:rPr>
                <w:noProof/>
              </w:rPr>
            </w:pPr>
            <w:r>
              <w:rPr>
                <w:noProof/>
              </w:rPr>
              <w:t>C6.1. R3</w:t>
            </w:r>
          </w:p>
        </w:tc>
        <w:tc>
          <w:tcPr>
            <w:tcW w:w="1080" w:type="dxa"/>
            <w:shd w:val="clear" w:color="auto" w:fill="C6EFCE"/>
            <w:noWrap/>
          </w:tcPr>
          <w:p w14:paraId="75B9EE39"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78F4E87B" w14:textId="77777777" w:rsidR="00FA7C11" w:rsidRDefault="00D84965">
            <w:pPr>
              <w:pStyle w:val="P68B1DB1-Normal66"/>
              <w:spacing w:after="200" w:line="276" w:lineRule="auto"/>
              <w:rPr>
                <w:noProof/>
              </w:rPr>
            </w:pPr>
            <w:r>
              <w:rPr>
                <w:noProof/>
              </w:rPr>
              <w:t>Înființarea și punerea în funcțiune a unui birou fizic de tip ghișeu unic pentru renovarea energetică și consolidarea seismică</w:t>
            </w:r>
          </w:p>
        </w:tc>
        <w:tc>
          <w:tcPr>
            <w:tcW w:w="2288" w:type="dxa"/>
            <w:shd w:val="clear" w:color="auto" w:fill="C6EFCE"/>
            <w:noWrap/>
          </w:tcPr>
          <w:p w14:paraId="6687A68D" w14:textId="77777777" w:rsidR="00FA7C11" w:rsidRDefault="00D84965">
            <w:pPr>
              <w:pStyle w:val="P68B1DB1-Normal66"/>
              <w:spacing w:after="200" w:line="276" w:lineRule="auto"/>
              <w:rPr>
                <w:noProof/>
              </w:rPr>
            </w:pPr>
            <w:r>
              <w:rPr>
                <w:noProof/>
              </w:rPr>
              <w:t xml:space="preserve">Ghișeul unic este operațional </w:t>
            </w:r>
          </w:p>
        </w:tc>
        <w:tc>
          <w:tcPr>
            <w:tcW w:w="1067" w:type="dxa"/>
            <w:shd w:val="clear" w:color="auto" w:fill="C6EFCE"/>
            <w:noWrap/>
          </w:tcPr>
          <w:p w14:paraId="7D0D5067" w14:textId="77777777" w:rsidR="00FA7C11" w:rsidRDefault="00D84965">
            <w:pPr>
              <w:pStyle w:val="P68B1DB1-Normal66"/>
              <w:spacing w:after="200" w:line="276" w:lineRule="auto"/>
              <w:jc w:val="center"/>
              <w:rPr>
                <w:noProof/>
              </w:rPr>
            </w:pPr>
            <w:r>
              <w:rPr>
                <w:noProof/>
              </w:rPr>
              <w:t> </w:t>
            </w:r>
          </w:p>
        </w:tc>
        <w:tc>
          <w:tcPr>
            <w:tcW w:w="810" w:type="dxa"/>
            <w:shd w:val="clear" w:color="auto" w:fill="C6EFCE"/>
            <w:noWrap/>
          </w:tcPr>
          <w:p w14:paraId="02D26FD1" w14:textId="77777777" w:rsidR="00FA7C11" w:rsidRDefault="00D84965">
            <w:pPr>
              <w:pStyle w:val="P68B1DB1-Normal66"/>
              <w:spacing w:after="200" w:line="276" w:lineRule="auto"/>
              <w:jc w:val="center"/>
              <w:rPr>
                <w:noProof/>
              </w:rPr>
            </w:pPr>
            <w:r>
              <w:rPr>
                <w:noProof/>
              </w:rPr>
              <w:t> </w:t>
            </w:r>
          </w:p>
        </w:tc>
        <w:tc>
          <w:tcPr>
            <w:tcW w:w="1253" w:type="dxa"/>
            <w:shd w:val="clear" w:color="auto" w:fill="C6EFCE"/>
            <w:noWrap/>
          </w:tcPr>
          <w:p w14:paraId="5E1843B8" w14:textId="77777777" w:rsidR="00FA7C11" w:rsidRDefault="00D84965">
            <w:pPr>
              <w:pStyle w:val="P68B1DB1-Normal66"/>
              <w:spacing w:after="200" w:line="276" w:lineRule="auto"/>
              <w:jc w:val="center"/>
              <w:rPr>
                <w:noProof/>
              </w:rPr>
            </w:pPr>
            <w:r>
              <w:rPr>
                <w:noProof/>
              </w:rPr>
              <w:t> </w:t>
            </w:r>
          </w:p>
        </w:tc>
        <w:tc>
          <w:tcPr>
            <w:tcW w:w="836" w:type="dxa"/>
            <w:shd w:val="clear" w:color="auto" w:fill="C6EFCE"/>
            <w:noWrap/>
          </w:tcPr>
          <w:p w14:paraId="63EADCC9" w14:textId="77777777" w:rsidR="00FA7C11" w:rsidRDefault="00D84965">
            <w:pPr>
              <w:pStyle w:val="P68B1DB1-Normal66"/>
              <w:spacing w:after="200" w:line="276" w:lineRule="auto"/>
              <w:jc w:val="center"/>
              <w:rPr>
                <w:noProof/>
              </w:rPr>
            </w:pPr>
            <w:r>
              <w:rPr>
                <w:noProof/>
              </w:rPr>
              <w:t>Î4</w:t>
            </w:r>
          </w:p>
        </w:tc>
        <w:tc>
          <w:tcPr>
            <w:tcW w:w="720" w:type="dxa"/>
            <w:shd w:val="clear" w:color="auto" w:fill="C6EFCE"/>
            <w:noWrap/>
          </w:tcPr>
          <w:p w14:paraId="4424EDED" w14:textId="77777777" w:rsidR="00FA7C11" w:rsidRDefault="00D84965">
            <w:pPr>
              <w:pStyle w:val="P68B1DB1-Normal66"/>
              <w:spacing w:after="200" w:line="276" w:lineRule="auto"/>
              <w:jc w:val="center"/>
              <w:rPr>
                <w:noProof/>
              </w:rPr>
            </w:pPr>
            <w:r>
              <w:rPr>
                <w:noProof/>
              </w:rPr>
              <w:t>2021</w:t>
            </w:r>
          </w:p>
        </w:tc>
        <w:tc>
          <w:tcPr>
            <w:tcW w:w="3609" w:type="dxa"/>
            <w:shd w:val="clear" w:color="auto" w:fill="C6EFCE"/>
            <w:noWrap/>
          </w:tcPr>
          <w:p w14:paraId="57C86DF2" w14:textId="77777777" w:rsidR="00FA7C11" w:rsidRDefault="00D84965">
            <w:pPr>
              <w:pStyle w:val="P68B1DB1-Normal66"/>
              <w:spacing w:after="200" w:line="276" w:lineRule="auto"/>
              <w:rPr>
                <w:noProof/>
              </w:rPr>
            </w:pPr>
            <w:r>
              <w:rPr>
                <w:noProof/>
              </w:rPr>
              <w:t>Ghișeul unic fizic este dezvoltat și pus în funcțiune în zona afectată de cutremur, pentru a reduce sarcina administrativă pentru cetățeni. Investiția include adaptarea și modernizarea infrastructurii fizice într-un loc în care se înființează ghișeul unic, investiții în dezvoltarea și întreținerea sistemului online, investiții în funcționalitatea sistemului online, formarea personalului, formarea autorităților publice implicate și activități de promovare.</w:t>
            </w:r>
          </w:p>
        </w:tc>
      </w:tr>
      <w:tr w:rsidR="00FA7C11" w14:paraId="3D17DDBD" w14:textId="77777777">
        <w:trPr>
          <w:trHeight w:val="283"/>
          <w:jc w:val="center"/>
        </w:trPr>
        <w:tc>
          <w:tcPr>
            <w:tcW w:w="835" w:type="dxa"/>
            <w:shd w:val="clear" w:color="auto" w:fill="C6EFCE"/>
            <w:noWrap/>
          </w:tcPr>
          <w:p w14:paraId="7E177C6E" w14:textId="77777777" w:rsidR="00FA7C11" w:rsidRDefault="00D84965">
            <w:pPr>
              <w:pStyle w:val="P68B1DB1-Normal66"/>
              <w:spacing w:after="200" w:line="276" w:lineRule="auto"/>
              <w:jc w:val="center"/>
              <w:rPr>
                <w:noProof/>
              </w:rPr>
            </w:pPr>
            <w:r>
              <w:rPr>
                <w:noProof/>
              </w:rPr>
              <w:t>363</w:t>
            </w:r>
          </w:p>
        </w:tc>
        <w:tc>
          <w:tcPr>
            <w:tcW w:w="1200" w:type="dxa"/>
            <w:shd w:val="clear" w:color="auto" w:fill="C6EFCE"/>
            <w:noWrap/>
          </w:tcPr>
          <w:p w14:paraId="660D75F4" w14:textId="77777777" w:rsidR="00FA7C11" w:rsidRDefault="00D84965">
            <w:pPr>
              <w:pStyle w:val="P68B1DB1-Normal66"/>
              <w:spacing w:after="200" w:line="276" w:lineRule="auto"/>
              <w:jc w:val="center"/>
              <w:rPr>
                <w:noProof/>
              </w:rPr>
            </w:pPr>
            <w:r>
              <w:rPr>
                <w:noProof/>
              </w:rPr>
              <w:t>C6.1. R3</w:t>
            </w:r>
          </w:p>
        </w:tc>
        <w:tc>
          <w:tcPr>
            <w:tcW w:w="1080" w:type="dxa"/>
            <w:shd w:val="clear" w:color="auto" w:fill="C6EFCE"/>
            <w:noWrap/>
          </w:tcPr>
          <w:p w14:paraId="2D73045B"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307AF46C" w14:textId="77777777" w:rsidR="00FA7C11" w:rsidRDefault="00D84965">
            <w:pPr>
              <w:pStyle w:val="P68B1DB1-Normal66"/>
              <w:spacing w:after="200" w:line="276" w:lineRule="auto"/>
              <w:rPr>
                <w:noProof/>
              </w:rPr>
            </w:pPr>
            <w:r>
              <w:rPr>
                <w:noProof/>
              </w:rPr>
              <w:t xml:space="preserve">Înființarea și punerea în funcțiune a unui ghișeu unic online pentru renovarea energetică și consolidarea seismică </w:t>
            </w:r>
          </w:p>
        </w:tc>
        <w:tc>
          <w:tcPr>
            <w:tcW w:w="2288" w:type="dxa"/>
            <w:shd w:val="clear" w:color="auto" w:fill="C6EFCE"/>
            <w:noWrap/>
          </w:tcPr>
          <w:p w14:paraId="77FF9325" w14:textId="273E9629" w:rsidR="00FA7C11" w:rsidRDefault="00D84965">
            <w:pPr>
              <w:pStyle w:val="P68B1DB1-Normal66"/>
              <w:spacing w:after="200" w:line="276" w:lineRule="auto"/>
              <w:rPr>
                <w:noProof/>
              </w:rPr>
            </w:pPr>
            <w:r>
              <w:rPr>
                <w:noProof/>
              </w:rPr>
              <w:t xml:space="preserve">Ghișeu unic online operațional </w:t>
            </w:r>
          </w:p>
        </w:tc>
        <w:tc>
          <w:tcPr>
            <w:tcW w:w="1067" w:type="dxa"/>
            <w:shd w:val="clear" w:color="auto" w:fill="C6EFCE"/>
            <w:noWrap/>
          </w:tcPr>
          <w:p w14:paraId="22BCF053" w14:textId="77777777" w:rsidR="00FA7C11" w:rsidRDefault="00D84965">
            <w:pPr>
              <w:pStyle w:val="P68B1DB1-Normal66"/>
              <w:spacing w:after="200" w:line="276" w:lineRule="auto"/>
              <w:jc w:val="center"/>
              <w:rPr>
                <w:noProof/>
              </w:rPr>
            </w:pPr>
            <w:r>
              <w:rPr>
                <w:noProof/>
              </w:rPr>
              <w:t> </w:t>
            </w:r>
          </w:p>
        </w:tc>
        <w:tc>
          <w:tcPr>
            <w:tcW w:w="810" w:type="dxa"/>
            <w:shd w:val="clear" w:color="auto" w:fill="C6EFCE"/>
            <w:noWrap/>
          </w:tcPr>
          <w:p w14:paraId="455C599F" w14:textId="77777777" w:rsidR="00FA7C11" w:rsidRDefault="00D84965">
            <w:pPr>
              <w:pStyle w:val="P68B1DB1-Normal66"/>
              <w:spacing w:after="200" w:line="276" w:lineRule="auto"/>
              <w:jc w:val="center"/>
              <w:rPr>
                <w:noProof/>
              </w:rPr>
            </w:pPr>
            <w:r>
              <w:rPr>
                <w:noProof/>
              </w:rPr>
              <w:t> </w:t>
            </w:r>
          </w:p>
        </w:tc>
        <w:tc>
          <w:tcPr>
            <w:tcW w:w="1253" w:type="dxa"/>
            <w:shd w:val="clear" w:color="auto" w:fill="C6EFCE"/>
            <w:noWrap/>
          </w:tcPr>
          <w:p w14:paraId="02E70ED1" w14:textId="77777777" w:rsidR="00FA7C11" w:rsidRDefault="00D84965">
            <w:pPr>
              <w:pStyle w:val="P68B1DB1-Normal66"/>
              <w:spacing w:after="200" w:line="276" w:lineRule="auto"/>
              <w:jc w:val="center"/>
              <w:rPr>
                <w:noProof/>
              </w:rPr>
            </w:pPr>
            <w:r>
              <w:rPr>
                <w:noProof/>
              </w:rPr>
              <w:t> </w:t>
            </w:r>
          </w:p>
        </w:tc>
        <w:tc>
          <w:tcPr>
            <w:tcW w:w="836" w:type="dxa"/>
            <w:shd w:val="clear" w:color="auto" w:fill="C6EFCE"/>
            <w:noWrap/>
          </w:tcPr>
          <w:p w14:paraId="75302A89" w14:textId="77777777" w:rsidR="00FA7C11" w:rsidRDefault="00D84965">
            <w:pPr>
              <w:pStyle w:val="P68B1DB1-Normal66"/>
              <w:spacing w:after="200" w:line="276" w:lineRule="auto"/>
              <w:jc w:val="center"/>
              <w:rPr>
                <w:noProof/>
              </w:rPr>
            </w:pPr>
            <w:r>
              <w:rPr>
                <w:noProof/>
              </w:rPr>
              <w:t>Î4</w:t>
            </w:r>
          </w:p>
        </w:tc>
        <w:tc>
          <w:tcPr>
            <w:tcW w:w="720" w:type="dxa"/>
            <w:shd w:val="clear" w:color="auto" w:fill="C6EFCE"/>
            <w:noWrap/>
          </w:tcPr>
          <w:p w14:paraId="53DCB5F8" w14:textId="77777777" w:rsidR="00FA7C11" w:rsidRDefault="00D84965">
            <w:pPr>
              <w:pStyle w:val="P68B1DB1-Normal66"/>
              <w:spacing w:after="200" w:line="276" w:lineRule="auto"/>
              <w:jc w:val="center"/>
              <w:rPr>
                <w:noProof/>
              </w:rPr>
            </w:pPr>
            <w:r>
              <w:rPr>
                <w:noProof/>
              </w:rPr>
              <w:t>2022</w:t>
            </w:r>
          </w:p>
        </w:tc>
        <w:tc>
          <w:tcPr>
            <w:tcW w:w="3609" w:type="dxa"/>
            <w:shd w:val="clear" w:color="auto" w:fill="C6EFCE"/>
            <w:noWrap/>
          </w:tcPr>
          <w:p w14:paraId="553DC0BC" w14:textId="77777777" w:rsidR="00FA7C11" w:rsidRDefault="00D84965">
            <w:pPr>
              <w:pStyle w:val="P68B1DB1-Normal66"/>
              <w:spacing w:after="200" w:line="276" w:lineRule="auto"/>
              <w:rPr>
                <w:noProof/>
              </w:rPr>
            </w:pPr>
            <w:r>
              <w:rPr>
                <w:noProof/>
              </w:rPr>
              <w:t>Punerea în funcțiune a unui sistem online de tip ghișeu unic care să reunească toate informațiile necesare pentru renovarea energetică și reconstrucția post-cutremur.</w:t>
            </w:r>
            <w:r>
              <w:rPr>
                <w:noProof/>
              </w:rPr>
              <w:br/>
              <w:t>Ghișeul unic este pus în aplicare în două etape: (I) serviciile de urgență necesare pentru renovarea structurală urgentă și repararea necesară a daunelor pentru a asigura un nivel de siguranță pentru cetățeni și instalații; (II) integrarea tuturor celorlalte servicii și informații necesare pentru renovarea cuprinzătoare și energetică cu serviciile și informațiile incluse pentru conceptul „a reconstrui mai bine”.</w:t>
            </w:r>
          </w:p>
        </w:tc>
      </w:tr>
      <w:tr w:rsidR="00FA7C11" w14:paraId="3CAC8090" w14:textId="77777777">
        <w:trPr>
          <w:trHeight w:val="283"/>
          <w:jc w:val="center"/>
        </w:trPr>
        <w:tc>
          <w:tcPr>
            <w:tcW w:w="835" w:type="dxa"/>
            <w:shd w:val="clear" w:color="auto" w:fill="C6EFCE"/>
            <w:noWrap/>
          </w:tcPr>
          <w:p w14:paraId="57A275A6" w14:textId="77777777" w:rsidR="00FA7C11" w:rsidRDefault="00D84965">
            <w:pPr>
              <w:pStyle w:val="P68B1DB1-Normal66"/>
              <w:spacing w:after="200" w:line="276" w:lineRule="auto"/>
              <w:jc w:val="center"/>
              <w:rPr>
                <w:noProof/>
              </w:rPr>
            </w:pPr>
            <w:r>
              <w:rPr>
                <w:noProof/>
              </w:rPr>
              <w:t>364</w:t>
            </w:r>
          </w:p>
        </w:tc>
        <w:tc>
          <w:tcPr>
            <w:tcW w:w="1200" w:type="dxa"/>
            <w:shd w:val="clear" w:color="auto" w:fill="C6EFCE"/>
            <w:noWrap/>
          </w:tcPr>
          <w:p w14:paraId="0E8840EB" w14:textId="77777777" w:rsidR="00FA7C11" w:rsidRDefault="00D84965">
            <w:pPr>
              <w:pStyle w:val="P68B1DB1-Normal66"/>
              <w:spacing w:after="200" w:line="276" w:lineRule="auto"/>
              <w:jc w:val="center"/>
              <w:rPr>
                <w:noProof/>
              </w:rPr>
            </w:pPr>
            <w:r>
              <w:rPr>
                <w:noProof/>
              </w:rPr>
              <w:t>C6.1. R3</w:t>
            </w:r>
          </w:p>
        </w:tc>
        <w:tc>
          <w:tcPr>
            <w:tcW w:w="1080" w:type="dxa"/>
            <w:shd w:val="clear" w:color="auto" w:fill="C6EFCE"/>
            <w:noWrap/>
          </w:tcPr>
          <w:p w14:paraId="1C2F2228" w14:textId="77777777" w:rsidR="00FA7C11" w:rsidRDefault="00D84965">
            <w:pPr>
              <w:pStyle w:val="P68B1DB1-Normal66"/>
              <w:spacing w:after="200" w:line="276" w:lineRule="auto"/>
              <w:jc w:val="center"/>
              <w:rPr>
                <w:noProof/>
              </w:rPr>
            </w:pPr>
            <w:r>
              <w:rPr>
                <w:noProof/>
              </w:rPr>
              <w:t>T</w:t>
            </w:r>
          </w:p>
        </w:tc>
        <w:tc>
          <w:tcPr>
            <w:tcW w:w="1786" w:type="dxa"/>
            <w:shd w:val="clear" w:color="auto" w:fill="C6EFCE"/>
            <w:noWrap/>
          </w:tcPr>
          <w:p w14:paraId="573E2781" w14:textId="77777777" w:rsidR="00FA7C11" w:rsidRDefault="00D84965">
            <w:pPr>
              <w:pStyle w:val="P68B1DB1-Normal66"/>
              <w:spacing w:after="200" w:line="276" w:lineRule="auto"/>
              <w:rPr>
                <w:noProof/>
              </w:rPr>
            </w:pPr>
            <w:r>
              <w:rPr>
                <w:noProof/>
              </w:rPr>
              <w:t xml:space="preserve">Finalizarea formării angajaților din sectorul public pentru furnizarea de servicii de tip ghișeu unic </w:t>
            </w:r>
          </w:p>
        </w:tc>
        <w:tc>
          <w:tcPr>
            <w:tcW w:w="2288" w:type="dxa"/>
            <w:shd w:val="clear" w:color="auto" w:fill="C6EFCE"/>
            <w:noWrap/>
          </w:tcPr>
          <w:p w14:paraId="067E6AF1" w14:textId="77777777" w:rsidR="00FA7C11" w:rsidRDefault="00D84965">
            <w:pPr>
              <w:pStyle w:val="P68B1DB1-Normal66"/>
              <w:spacing w:after="200" w:line="276" w:lineRule="auto"/>
              <w:rPr>
                <w:noProof/>
              </w:rPr>
            </w:pPr>
            <w:r>
              <w:rPr>
                <w:noProof/>
              </w:rPr>
              <w:t> </w:t>
            </w:r>
          </w:p>
        </w:tc>
        <w:tc>
          <w:tcPr>
            <w:tcW w:w="1067" w:type="dxa"/>
            <w:shd w:val="clear" w:color="auto" w:fill="C6EFCE"/>
            <w:noWrap/>
          </w:tcPr>
          <w:p w14:paraId="3AD94251" w14:textId="77777777" w:rsidR="00FA7C11" w:rsidRDefault="00D84965">
            <w:pPr>
              <w:pStyle w:val="P68B1DB1-Normal66"/>
              <w:spacing w:after="200" w:line="276" w:lineRule="auto"/>
              <w:jc w:val="center"/>
              <w:rPr>
                <w:noProof/>
              </w:rPr>
            </w:pPr>
            <w:r>
              <w:rPr>
                <w:noProof/>
              </w:rPr>
              <w:t>Număr</w:t>
            </w:r>
          </w:p>
        </w:tc>
        <w:tc>
          <w:tcPr>
            <w:tcW w:w="810" w:type="dxa"/>
            <w:shd w:val="clear" w:color="auto" w:fill="C6EFCE"/>
            <w:noWrap/>
          </w:tcPr>
          <w:p w14:paraId="3BD2020E" w14:textId="77777777" w:rsidR="00FA7C11" w:rsidRDefault="00D84965">
            <w:pPr>
              <w:pStyle w:val="P68B1DB1-Normal66"/>
              <w:spacing w:after="200" w:line="276" w:lineRule="auto"/>
              <w:jc w:val="center"/>
              <w:rPr>
                <w:noProof/>
              </w:rPr>
            </w:pPr>
            <w:r>
              <w:rPr>
                <w:noProof/>
              </w:rPr>
              <w:t>0</w:t>
            </w:r>
          </w:p>
        </w:tc>
        <w:tc>
          <w:tcPr>
            <w:tcW w:w="1253" w:type="dxa"/>
            <w:shd w:val="clear" w:color="auto" w:fill="C6EFCE"/>
            <w:noWrap/>
          </w:tcPr>
          <w:p w14:paraId="02A5AAC2" w14:textId="77777777" w:rsidR="00FA7C11" w:rsidRDefault="00D84965">
            <w:pPr>
              <w:pStyle w:val="P68B1DB1-Normal66"/>
              <w:spacing w:after="200" w:line="276" w:lineRule="auto"/>
              <w:jc w:val="center"/>
              <w:rPr>
                <w:noProof/>
              </w:rPr>
            </w:pPr>
            <w:r>
              <w:rPr>
                <w:noProof/>
              </w:rPr>
              <w:t>80</w:t>
            </w:r>
          </w:p>
        </w:tc>
        <w:tc>
          <w:tcPr>
            <w:tcW w:w="836" w:type="dxa"/>
            <w:shd w:val="clear" w:color="auto" w:fill="C6EFCE"/>
            <w:noWrap/>
          </w:tcPr>
          <w:p w14:paraId="28947586" w14:textId="77777777" w:rsidR="00FA7C11" w:rsidRDefault="00D84965">
            <w:pPr>
              <w:pStyle w:val="P68B1DB1-Normal66"/>
              <w:spacing w:after="200" w:line="276" w:lineRule="auto"/>
              <w:jc w:val="center"/>
              <w:rPr>
                <w:noProof/>
              </w:rPr>
            </w:pPr>
            <w:r>
              <w:rPr>
                <w:noProof/>
              </w:rPr>
              <w:t>Î2</w:t>
            </w:r>
          </w:p>
        </w:tc>
        <w:tc>
          <w:tcPr>
            <w:tcW w:w="720" w:type="dxa"/>
            <w:shd w:val="clear" w:color="auto" w:fill="C6EFCE"/>
            <w:noWrap/>
          </w:tcPr>
          <w:p w14:paraId="626D4D21" w14:textId="77777777" w:rsidR="00FA7C11" w:rsidRDefault="00D84965">
            <w:pPr>
              <w:pStyle w:val="P68B1DB1-Normal66"/>
              <w:spacing w:after="200" w:line="276" w:lineRule="auto"/>
              <w:jc w:val="center"/>
              <w:rPr>
                <w:noProof/>
              </w:rPr>
            </w:pPr>
            <w:r>
              <w:rPr>
                <w:noProof/>
              </w:rPr>
              <w:t>2026</w:t>
            </w:r>
          </w:p>
        </w:tc>
        <w:tc>
          <w:tcPr>
            <w:tcW w:w="3609" w:type="dxa"/>
            <w:shd w:val="clear" w:color="auto" w:fill="C6EFCE"/>
            <w:noWrap/>
          </w:tcPr>
          <w:p w14:paraId="1634C55B" w14:textId="77777777" w:rsidR="00FA7C11" w:rsidRDefault="00D84965">
            <w:pPr>
              <w:pStyle w:val="P68B1DB1-Normal66"/>
              <w:spacing w:after="200" w:line="276" w:lineRule="auto"/>
              <w:rPr>
                <w:noProof/>
                <w:highlight w:val="yellow"/>
              </w:rPr>
            </w:pPr>
            <w:r>
              <w:rPr>
                <w:noProof/>
              </w:rPr>
              <w:t>Cel puțin 80 de angajați din sectorul public au urmat cursuri de formare pentru a furniza servicii care combină eficiența energetică și reconstrucția post-cutremur.</w:t>
            </w:r>
          </w:p>
          <w:p w14:paraId="0183E9C9" w14:textId="77777777" w:rsidR="00FA7C11" w:rsidRDefault="00FA7C11">
            <w:pPr>
              <w:spacing w:after="200" w:line="276" w:lineRule="auto"/>
              <w:rPr>
                <w:rFonts w:ascii="Times New Roman" w:eastAsia="Calibri" w:hAnsi="Times New Roman" w:cs="Times New Roman"/>
                <w:noProof/>
                <w:sz w:val="20"/>
                <w:szCs w:val="20"/>
              </w:rPr>
            </w:pPr>
          </w:p>
        </w:tc>
      </w:tr>
      <w:tr w:rsidR="00FA7C11" w14:paraId="4AD5C7DB" w14:textId="77777777">
        <w:trPr>
          <w:trHeight w:val="1268"/>
          <w:jc w:val="center"/>
        </w:trPr>
        <w:tc>
          <w:tcPr>
            <w:tcW w:w="835" w:type="dxa"/>
            <w:shd w:val="clear" w:color="auto" w:fill="C6EFCE"/>
            <w:noWrap/>
          </w:tcPr>
          <w:p w14:paraId="40CCE529" w14:textId="77777777" w:rsidR="00FA7C11" w:rsidRDefault="00D84965">
            <w:pPr>
              <w:pStyle w:val="P68B1DB1-Normal66"/>
              <w:spacing w:after="200" w:line="276" w:lineRule="auto"/>
              <w:jc w:val="center"/>
              <w:rPr>
                <w:noProof/>
              </w:rPr>
            </w:pPr>
            <w:r>
              <w:rPr>
                <w:noProof/>
              </w:rPr>
              <w:t>365</w:t>
            </w:r>
          </w:p>
        </w:tc>
        <w:tc>
          <w:tcPr>
            <w:tcW w:w="1200" w:type="dxa"/>
            <w:shd w:val="clear" w:color="auto" w:fill="C6EFCE"/>
            <w:noWrap/>
          </w:tcPr>
          <w:p w14:paraId="0F803AD4" w14:textId="77777777" w:rsidR="00FA7C11" w:rsidRDefault="00D84965">
            <w:pPr>
              <w:pStyle w:val="P68B1DB1-Normal66"/>
              <w:spacing w:after="200" w:line="276" w:lineRule="auto"/>
              <w:jc w:val="center"/>
              <w:rPr>
                <w:noProof/>
              </w:rPr>
            </w:pPr>
            <w:r>
              <w:rPr>
                <w:noProof/>
              </w:rPr>
              <w:t>C6.1. R4</w:t>
            </w:r>
          </w:p>
        </w:tc>
        <w:tc>
          <w:tcPr>
            <w:tcW w:w="1080" w:type="dxa"/>
            <w:shd w:val="clear" w:color="auto" w:fill="C6EFCE"/>
            <w:noWrap/>
          </w:tcPr>
          <w:p w14:paraId="455D7DD4"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2EB10B4D" w14:textId="77777777" w:rsidR="00FA7C11" w:rsidRDefault="00D84965">
            <w:pPr>
              <w:pStyle w:val="P68B1DB1-Normal66"/>
              <w:spacing w:after="200" w:line="276" w:lineRule="auto"/>
              <w:rPr>
                <w:noProof/>
              </w:rPr>
            </w:pPr>
            <w:r>
              <w:rPr>
                <w:noProof/>
              </w:rPr>
              <w:t xml:space="preserve">Integrarea datelor seismice </w:t>
            </w:r>
          </w:p>
        </w:tc>
        <w:tc>
          <w:tcPr>
            <w:tcW w:w="2288" w:type="dxa"/>
            <w:shd w:val="clear" w:color="auto" w:fill="C6EFCE"/>
            <w:noWrap/>
          </w:tcPr>
          <w:p w14:paraId="590B6848" w14:textId="77777777" w:rsidR="00FA7C11" w:rsidRDefault="00D84965">
            <w:pPr>
              <w:pStyle w:val="P68B1DB1-Normal66"/>
              <w:spacing w:after="200" w:line="276" w:lineRule="auto"/>
              <w:rPr>
                <w:noProof/>
              </w:rPr>
            </w:pPr>
            <w:r>
              <w:rPr>
                <w:noProof/>
              </w:rPr>
              <w:t>Date seismice integrate în bazele de experți pentru planurile de amenajare a teritoriului ale unităților administrației publice locale</w:t>
            </w:r>
          </w:p>
        </w:tc>
        <w:tc>
          <w:tcPr>
            <w:tcW w:w="1067" w:type="dxa"/>
            <w:shd w:val="clear" w:color="auto" w:fill="C6EFCE"/>
            <w:noWrap/>
          </w:tcPr>
          <w:p w14:paraId="25AC6DCC" w14:textId="77777777" w:rsidR="00FA7C11" w:rsidRDefault="00FA7C11">
            <w:pPr>
              <w:spacing w:after="200" w:line="276" w:lineRule="auto"/>
              <w:jc w:val="center"/>
              <w:rPr>
                <w:rFonts w:ascii="Times New Roman" w:eastAsia="Calibri" w:hAnsi="Times New Roman" w:cs="Times New Roman"/>
                <w:noProof/>
                <w:sz w:val="20"/>
                <w:szCs w:val="20"/>
              </w:rPr>
            </w:pPr>
          </w:p>
        </w:tc>
        <w:tc>
          <w:tcPr>
            <w:tcW w:w="810" w:type="dxa"/>
            <w:shd w:val="clear" w:color="auto" w:fill="C6EFCE"/>
            <w:noWrap/>
          </w:tcPr>
          <w:p w14:paraId="62FCE434" w14:textId="77777777" w:rsidR="00FA7C11" w:rsidRDefault="00FA7C11">
            <w:pPr>
              <w:spacing w:after="200" w:line="276" w:lineRule="auto"/>
              <w:jc w:val="center"/>
              <w:rPr>
                <w:rFonts w:ascii="Times New Roman" w:eastAsia="Calibri" w:hAnsi="Times New Roman" w:cs="Times New Roman"/>
                <w:noProof/>
                <w:sz w:val="20"/>
                <w:szCs w:val="20"/>
              </w:rPr>
            </w:pPr>
          </w:p>
        </w:tc>
        <w:tc>
          <w:tcPr>
            <w:tcW w:w="1253" w:type="dxa"/>
            <w:shd w:val="clear" w:color="auto" w:fill="C6EFCE"/>
            <w:noWrap/>
          </w:tcPr>
          <w:p w14:paraId="1ACB8878" w14:textId="77777777" w:rsidR="00FA7C11" w:rsidRDefault="00FA7C11">
            <w:pPr>
              <w:spacing w:after="200" w:line="276" w:lineRule="auto"/>
              <w:jc w:val="center"/>
              <w:rPr>
                <w:rFonts w:ascii="Times New Roman" w:eastAsia="Calibri" w:hAnsi="Times New Roman" w:cs="Times New Roman"/>
                <w:noProof/>
                <w:sz w:val="20"/>
                <w:szCs w:val="20"/>
              </w:rPr>
            </w:pPr>
          </w:p>
        </w:tc>
        <w:tc>
          <w:tcPr>
            <w:tcW w:w="836" w:type="dxa"/>
            <w:shd w:val="clear" w:color="auto" w:fill="C6EFCE"/>
            <w:noWrap/>
          </w:tcPr>
          <w:p w14:paraId="0D3F1473" w14:textId="77777777" w:rsidR="00FA7C11" w:rsidRDefault="00D84965">
            <w:pPr>
              <w:pStyle w:val="P68B1DB1-Normal66"/>
              <w:spacing w:after="200" w:line="276" w:lineRule="auto"/>
              <w:jc w:val="center"/>
              <w:rPr>
                <w:noProof/>
              </w:rPr>
            </w:pPr>
            <w:r>
              <w:rPr>
                <w:noProof/>
              </w:rPr>
              <w:t>Î2</w:t>
            </w:r>
          </w:p>
        </w:tc>
        <w:tc>
          <w:tcPr>
            <w:tcW w:w="720" w:type="dxa"/>
            <w:shd w:val="clear" w:color="auto" w:fill="C6EFCE"/>
            <w:noWrap/>
          </w:tcPr>
          <w:p w14:paraId="480043BD" w14:textId="77777777" w:rsidR="00FA7C11" w:rsidRDefault="00D84965">
            <w:pPr>
              <w:pStyle w:val="P68B1DB1-Normal66"/>
              <w:spacing w:after="200" w:line="276" w:lineRule="auto"/>
              <w:jc w:val="center"/>
              <w:rPr>
                <w:noProof/>
              </w:rPr>
            </w:pPr>
            <w:r>
              <w:rPr>
                <w:noProof/>
              </w:rPr>
              <w:t>2025</w:t>
            </w:r>
          </w:p>
        </w:tc>
        <w:tc>
          <w:tcPr>
            <w:tcW w:w="3609" w:type="dxa"/>
            <w:shd w:val="clear" w:color="auto" w:fill="C6EFCE"/>
            <w:noWrap/>
          </w:tcPr>
          <w:p w14:paraId="4D3379D5" w14:textId="77777777" w:rsidR="00FA7C11" w:rsidRDefault="00D84965">
            <w:pPr>
              <w:pStyle w:val="P68B1DB1-Normal66"/>
              <w:spacing w:after="200" w:line="276" w:lineRule="auto"/>
              <w:rPr>
                <w:noProof/>
              </w:rPr>
            </w:pPr>
            <w:r>
              <w:rPr>
                <w:noProof/>
              </w:rPr>
              <w:t>Datele seismice trebuie integrate în sistemul de amenajare a teritoriului și aplicate celor 10 de baze de date pilot pentru planurile de amenajare a teritoriului ale administrațiilor locale.</w:t>
            </w:r>
          </w:p>
        </w:tc>
      </w:tr>
      <w:tr w:rsidR="00FA7C11" w14:paraId="5171F847" w14:textId="77777777">
        <w:trPr>
          <w:trHeight w:val="283"/>
          <w:jc w:val="center"/>
        </w:trPr>
        <w:tc>
          <w:tcPr>
            <w:tcW w:w="835" w:type="dxa"/>
            <w:shd w:val="clear" w:color="auto" w:fill="C6EFCE"/>
            <w:noWrap/>
          </w:tcPr>
          <w:p w14:paraId="0660F07B" w14:textId="77777777" w:rsidR="00FA7C11" w:rsidRDefault="00D84965">
            <w:pPr>
              <w:pStyle w:val="P68B1DB1-Normal66"/>
              <w:spacing w:after="200" w:line="276" w:lineRule="auto"/>
              <w:jc w:val="center"/>
              <w:rPr>
                <w:noProof/>
              </w:rPr>
            </w:pPr>
            <w:r>
              <w:rPr>
                <w:noProof/>
              </w:rPr>
              <w:t>366</w:t>
            </w:r>
          </w:p>
        </w:tc>
        <w:tc>
          <w:tcPr>
            <w:tcW w:w="1200" w:type="dxa"/>
            <w:shd w:val="clear" w:color="auto" w:fill="C6EFCE"/>
            <w:noWrap/>
          </w:tcPr>
          <w:p w14:paraId="4FF662F1" w14:textId="77777777" w:rsidR="00FA7C11" w:rsidRDefault="00D84965">
            <w:pPr>
              <w:pStyle w:val="P68B1DB1-Normal66"/>
              <w:spacing w:after="200" w:line="276" w:lineRule="auto"/>
              <w:jc w:val="center"/>
              <w:rPr>
                <w:noProof/>
              </w:rPr>
            </w:pPr>
            <w:r>
              <w:rPr>
                <w:noProof/>
              </w:rPr>
              <w:t>C6.1. R4-I1</w:t>
            </w:r>
          </w:p>
        </w:tc>
        <w:tc>
          <w:tcPr>
            <w:tcW w:w="1080" w:type="dxa"/>
            <w:shd w:val="clear" w:color="auto" w:fill="C6EFCE"/>
            <w:noWrap/>
          </w:tcPr>
          <w:p w14:paraId="3A3EA399" w14:textId="77777777" w:rsidR="00FA7C11" w:rsidRDefault="00D84965">
            <w:pPr>
              <w:pStyle w:val="P68B1DB1-Normal66"/>
              <w:spacing w:after="200" w:line="276" w:lineRule="auto"/>
              <w:jc w:val="center"/>
              <w:rPr>
                <w:noProof/>
              </w:rPr>
            </w:pPr>
            <w:r>
              <w:rPr>
                <w:noProof/>
              </w:rPr>
              <w:t>T</w:t>
            </w:r>
          </w:p>
        </w:tc>
        <w:tc>
          <w:tcPr>
            <w:tcW w:w="1786" w:type="dxa"/>
            <w:shd w:val="clear" w:color="auto" w:fill="C6EFCE"/>
            <w:noWrap/>
          </w:tcPr>
          <w:p w14:paraId="1016FB94" w14:textId="77777777" w:rsidR="00FA7C11" w:rsidRDefault="00D84965">
            <w:pPr>
              <w:pStyle w:val="P68B1DB1-Normal66"/>
              <w:spacing w:after="200" w:line="276" w:lineRule="auto"/>
              <w:rPr>
                <w:noProof/>
              </w:rPr>
            </w:pPr>
            <w:r>
              <w:rPr>
                <w:noProof/>
              </w:rPr>
              <w:t xml:space="preserve">Unități de echipamente seismice achiziționate </w:t>
            </w:r>
          </w:p>
        </w:tc>
        <w:tc>
          <w:tcPr>
            <w:tcW w:w="2288" w:type="dxa"/>
            <w:shd w:val="clear" w:color="auto" w:fill="C6EFCE"/>
            <w:noWrap/>
          </w:tcPr>
          <w:p w14:paraId="5CBE0BD2"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01D853D4" w14:textId="77777777" w:rsidR="00FA7C11" w:rsidRDefault="00D84965">
            <w:pPr>
              <w:pStyle w:val="P68B1DB1-Normal66"/>
              <w:spacing w:after="200" w:line="276" w:lineRule="auto"/>
              <w:jc w:val="center"/>
              <w:rPr>
                <w:noProof/>
              </w:rPr>
            </w:pPr>
            <w:r>
              <w:rPr>
                <w:noProof/>
              </w:rPr>
              <w:t>Număr</w:t>
            </w:r>
          </w:p>
        </w:tc>
        <w:tc>
          <w:tcPr>
            <w:tcW w:w="810" w:type="dxa"/>
            <w:shd w:val="clear" w:color="auto" w:fill="C6EFCE"/>
            <w:noWrap/>
          </w:tcPr>
          <w:p w14:paraId="6314AC01" w14:textId="77777777" w:rsidR="00FA7C11" w:rsidRDefault="00D84965">
            <w:pPr>
              <w:pStyle w:val="P68B1DB1-Normal66"/>
              <w:spacing w:after="200" w:line="276" w:lineRule="auto"/>
              <w:jc w:val="center"/>
              <w:rPr>
                <w:noProof/>
              </w:rPr>
            </w:pPr>
            <w:r>
              <w:rPr>
                <w:noProof/>
              </w:rPr>
              <w:t>0</w:t>
            </w:r>
          </w:p>
        </w:tc>
        <w:tc>
          <w:tcPr>
            <w:tcW w:w="1253" w:type="dxa"/>
            <w:shd w:val="clear" w:color="auto" w:fill="C6EFCE"/>
            <w:noWrap/>
          </w:tcPr>
          <w:p w14:paraId="2B1780DA" w14:textId="77777777" w:rsidR="00FA7C11" w:rsidRDefault="00D84965">
            <w:pPr>
              <w:pStyle w:val="P68B1DB1-Normal66"/>
              <w:spacing w:after="200" w:line="276" w:lineRule="auto"/>
              <w:jc w:val="center"/>
              <w:rPr>
                <w:noProof/>
              </w:rPr>
            </w:pPr>
            <w:r>
              <w:rPr>
                <w:noProof/>
              </w:rPr>
              <w:t>300</w:t>
            </w:r>
          </w:p>
        </w:tc>
        <w:tc>
          <w:tcPr>
            <w:tcW w:w="836" w:type="dxa"/>
            <w:shd w:val="clear" w:color="auto" w:fill="C6EFCE"/>
            <w:noWrap/>
          </w:tcPr>
          <w:p w14:paraId="3FB6F78C" w14:textId="77777777" w:rsidR="00FA7C11" w:rsidRDefault="00D84965">
            <w:pPr>
              <w:pStyle w:val="P68B1DB1-Normal66"/>
              <w:spacing w:after="200" w:line="276" w:lineRule="auto"/>
              <w:jc w:val="center"/>
              <w:rPr>
                <w:noProof/>
              </w:rPr>
            </w:pPr>
            <w:r>
              <w:rPr>
                <w:noProof/>
              </w:rPr>
              <w:t>Î4</w:t>
            </w:r>
          </w:p>
        </w:tc>
        <w:tc>
          <w:tcPr>
            <w:tcW w:w="720" w:type="dxa"/>
            <w:shd w:val="clear" w:color="auto" w:fill="C6EFCE"/>
            <w:noWrap/>
          </w:tcPr>
          <w:p w14:paraId="69439338" w14:textId="77777777" w:rsidR="00FA7C11" w:rsidRDefault="00D84965">
            <w:pPr>
              <w:pStyle w:val="P68B1DB1-Normal66"/>
              <w:spacing w:after="200" w:line="276" w:lineRule="auto"/>
              <w:jc w:val="center"/>
              <w:rPr>
                <w:noProof/>
              </w:rPr>
            </w:pPr>
            <w:r>
              <w:rPr>
                <w:noProof/>
              </w:rPr>
              <w:t>2022</w:t>
            </w:r>
          </w:p>
        </w:tc>
        <w:tc>
          <w:tcPr>
            <w:tcW w:w="3609" w:type="dxa"/>
            <w:shd w:val="clear" w:color="auto" w:fill="C6EFCE"/>
            <w:noWrap/>
          </w:tcPr>
          <w:p w14:paraId="6073B19F" w14:textId="667B9967" w:rsidR="00FA7C11" w:rsidRDefault="00D84965">
            <w:pPr>
              <w:pStyle w:val="P68B1DB1-Normal66"/>
              <w:spacing w:after="200" w:line="276" w:lineRule="auto"/>
              <w:rPr>
                <w:noProof/>
              </w:rPr>
            </w:pPr>
            <w:r>
              <w:rPr>
                <w:noProof/>
              </w:rPr>
              <w:t>Investiția consolidează capacitatea organizațională și de infrastructură a Studiului seismologic din Republica Croația prin achiziționarea a cel puțin 300 de unități de echipamente pentru a spori calitatea colectării, prelucrării și aplicării datelor seismice necesare pentru procesul de renovare a clădirilor, planificarea dezvoltării de noi instalații și monitorizarea infrastructurii publice, precum și consolidarea rezilienței Croației la cutremure și la riscurile asociate.</w:t>
            </w:r>
          </w:p>
        </w:tc>
      </w:tr>
      <w:tr w:rsidR="00FA7C11" w14:paraId="1E78C326" w14:textId="77777777">
        <w:trPr>
          <w:trHeight w:val="283"/>
          <w:jc w:val="center"/>
        </w:trPr>
        <w:tc>
          <w:tcPr>
            <w:tcW w:w="835" w:type="dxa"/>
            <w:shd w:val="clear" w:color="auto" w:fill="C6EFCE"/>
            <w:noWrap/>
          </w:tcPr>
          <w:p w14:paraId="1C4E9BA1" w14:textId="77777777" w:rsidR="00FA7C11" w:rsidRDefault="00D84965">
            <w:pPr>
              <w:pStyle w:val="P68B1DB1-Normal66"/>
              <w:spacing w:after="200" w:line="276" w:lineRule="auto"/>
              <w:jc w:val="center"/>
              <w:rPr>
                <w:noProof/>
              </w:rPr>
            </w:pPr>
            <w:r>
              <w:rPr>
                <w:noProof/>
              </w:rPr>
              <w:t>367</w:t>
            </w:r>
          </w:p>
        </w:tc>
        <w:tc>
          <w:tcPr>
            <w:tcW w:w="1200" w:type="dxa"/>
            <w:shd w:val="clear" w:color="auto" w:fill="C6EFCE"/>
            <w:noWrap/>
          </w:tcPr>
          <w:p w14:paraId="0EB52F2E" w14:textId="77777777" w:rsidR="00FA7C11" w:rsidRDefault="00D84965">
            <w:pPr>
              <w:pStyle w:val="P68B1DB1-Normal66"/>
              <w:spacing w:after="200" w:line="276" w:lineRule="auto"/>
              <w:jc w:val="center"/>
              <w:rPr>
                <w:noProof/>
              </w:rPr>
            </w:pPr>
            <w:r>
              <w:rPr>
                <w:noProof/>
              </w:rPr>
              <w:t>C6.1. R4-I1</w:t>
            </w:r>
          </w:p>
        </w:tc>
        <w:tc>
          <w:tcPr>
            <w:tcW w:w="1080" w:type="dxa"/>
            <w:shd w:val="clear" w:color="auto" w:fill="C6EFCE"/>
            <w:noWrap/>
          </w:tcPr>
          <w:p w14:paraId="57DFBA52" w14:textId="77777777" w:rsidR="00FA7C11" w:rsidRDefault="00D84965">
            <w:pPr>
              <w:pStyle w:val="P68B1DB1-Normal110"/>
              <w:spacing w:after="200" w:line="276" w:lineRule="auto"/>
              <w:jc w:val="center"/>
              <w:rPr>
                <w:noProof/>
              </w:rPr>
            </w:pPr>
            <w:r>
              <w:rPr>
                <w:noProof/>
              </w:rPr>
              <w:t>M</w:t>
            </w:r>
          </w:p>
        </w:tc>
        <w:tc>
          <w:tcPr>
            <w:tcW w:w="1786" w:type="dxa"/>
            <w:shd w:val="clear" w:color="auto" w:fill="C6EFCE"/>
            <w:noWrap/>
          </w:tcPr>
          <w:p w14:paraId="3CFBC7FC" w14:textId="77777777" w:rsidR="00FA7C11" w:rsidRDefault="00D84965">
            <w:pPr>
              <w:pStyle w:val="P68B1DB1-Normal66"/>
              <w:spacing w:after="200" w:line="276" w:lineRule="auto"/>
              <w:rPr>
                <w:noProof/>
                <w:u w:val="single"/>
              </w:rPr>
            </w:pPr>
            <w:r>
              <w:rPr>
                <w:noProof/>
              </w:rPr>
              <w:t>Formarea angajaților din cadrul anchetei seismologice</w:t>
            </w:r>
            <w:r>
              <w:rPr>
                <w:noProof/>
                <w:u w:val="single"/>
              </w:rPr>
              <w:t xml:space="preserve"> </w:t>
            </w:r>
          </w:p>
        </w:tc>
        <w:tc>
          <w:tcPr>
            <w:tcW w:w="2288" w:type="dxa"/>
            <w:shd w:val="clear" w:color="auto" w:fill="C6EFCE"/>
            <w:noWrap/>
          </w:tcPr>
          <w:p w14:paraId="2233F37A" w14:textId="77777777" w:rsidR="00FA7C11" w:rsidRDefault="00D84965">
            <w:pPr>
              <w:pStyle w:val="P68B1DB1-Normal66"/>
              <w:spacing w:after="200" w:line="276" w:lineRule="auto"/>
              <w:rPr>
                <w:noProof/>
              </w:rPr>
            </w:pPr>
            <w:r>
              <w:rPr>
                <w:noProof/>
              </w:rPr>
              <w:t> Cursuri de formare oferite</w:t>
            </w:r>
          </w:p>
        </w:tc>
        <w:tc>
          <w:tcPr>
            <w:tcW w:w="1067" w:type="dxa"/>
            <w:shd w:val="clear" w:color="auto" w:fill="C6EFCE"/>
            <w:noWrap/>
          </w:tcPr>
          <w:p w14:paraId="3E105C7F" w14:textId="77777777" w:rsidR="00FA7C11" w:rsidRDefault="00FA7C11">
            <w:pPr>
              <w:spacing w:after="200" w:line="276" w:lineRule="auto"/>
              <w:jc w:val="center"/>
              <w:rPr>
                <w:rFonts w:ascii="Times New Roman" w:eastAsia="Calibri" w:hAnsi="Times New Roman" w:cs="Times New Roman"/>
                <w:noProof/>
                <w:sz w:val="20"/>
                <w:szCs w:val="20"/>
              </w:rPr>
            </w:pPr>
          </w:p>
        </w:tc>
        <w:tc>
          <w:tcPr>
            <w:tcW w:w="810" w:type="dxa"/>
            <w:shd w:val="clear" w:color="auto" w:fill="C6EFCE"/>
            <w:noWrap/>
          </w:tcPr>
          <w:p w14:paraId="14B9516D" w14:textId="77777777" w:rsidR="00FA7C11" w:rsidRDefault="00FA7C11">
            <w:pPr>
              <w:spacing w:after="200" w:line="276" w:lineRule="auto"/>
              <w:jc w:val="center"/>
              <w:rPr>
                <w:rFonts w:ascii="Times New Roman" w:eastAsia="Calibri" w:hAnsi="Times New Roman" w:cs="Times New Roman"/>
                <w:noProof/>
                <w:sz w:val="20"/>
                <w:szCs w:val="20"/>
              </w:rPr>
            </w:pPr>
          </w:p>
        </w:tc>
        <w:tc>
          <w:tcPr>
            <w:tcW w:w="1253" w:type="dxa"/>
            <w:shd w:val="clear" w:color="auto" w:fill="C6EFCE"/>
            <w:noWrap/>
          </w:tcPr>
          <w:p w14:paraId="24757B8C" w14:textId="77777777" w:rsidR="00FA7C11" w:rsidRDefault="00FA7C11">
            <w:pPr>
              <w:spacing w:after="200" w:line="276" w:lineRule="auto"/>
              <w:jc w:val="center"/>
              <w:rPr>
                <w:rFonts w:ascii="Times New Roman" w:eastAsia="Calibri" w:hAnsi="Times New Roman" w:cs="Times New Roman"/>
                <w:noProof/>
                <w:sz w:val="20"/>
                <w:szCs w:val="20"/>
              </w:rPr>
            </w:pPr>
          </w:p>
        </w:tc>
        <w:tc>
          <w:tcPr>
            <w:tcW w:w="836" w:type="dxa"/>
            <w:shd w:val="clear" w:color="auto" w:fill="C6EFCE"/>
            <w:noWrap/>
          </w:tcPr>
          <w:p w14:paraId="4A115F22" w14:textId="77777777" w:rsidR="00FA7C11" w:rsidRDefault="00D84965">
            <w:pPr>
              <w:pStyle w:val="P68B1DB1-Normal66"/>
              <w:spacing w:after="200" w:line="276" w:lineRule="auto"/>
              <w:jc w:val="center"/>
              <w:rPr>
                <w:noProof/>
              </w:rPr>
            </w:pPr>
            <w:r>
              <w:rPr>
                <w:noProof/>
              </w:rPr>
              <w:t>Î2</w:t>
            </w:r>
          </w:p>
        </w:tc>
        <w:tc>
          <w:tcPr>
            <w:tcW w:w="720" w:type="dxa"/>
            <w:shd w:val="clear" w:color="auto" w:fill="C6EFCE"/>
            <w:noWrap/>
          </w:tcPr>
          <w:p w14:paraId="177B7AD0" w14:textId="77777777" w:rsidR="00FA7C11" w:rsidRDefault="00D84965">
            <w:pPr>
              <w:pStyle w:val="P68B1DB1-Normal66"/>
              <w:spacing w:after="200" w:line="276" w:lineRule="auto"/>
              <w:jc w:val="center"/>
              <w:rPr>
                <w:noProof/>
              </w:rPr>
            </w:pPr>
            <w:r>
              <w:rPr>
                <w:noProof/>
              </w:rPr>
              <w:t>2026</w:t>
            </w:r>
          </w:p>
        </w:tc>
        <w:tc>
          <w:tcPr>
            <w:tcW w:w="3609" w:type="dxa"/>
            <w:shd w:val="clear" w:color="auto" w:fill="C6EFCE"/>
            <w:noWrap/>
          </w:tcPr>
          <w:p w14:paraId="772340C5" w14:textId="77777777" w:rsidR="00FA7C11" w:rsidRDefault="00D84965">
            <w:pPr>
              <w:pStyle w:val="P68B1DB1-Normal66"/>
              <w:spacing w:after="200" w:line="276" w:lineRule="auto"/>
              <w:rPr>
                <w:noProof/>
              </w:rPr>
            </w:pPr>
            <w:r>
              <w:rPr>
                <w:noProof/>
              </w:rPr>
              <w:t>Angajații din cadrul Anchetei seismologice din Republica Croația urmează cursuri de formare privind operarea echipamentelor și prelucrarea datelor.</w:t>
            </w:r>
          </w:p>
        </w:tc>
      </w:tr>
      <w:tr w:rsidR="00FA7C11" w14:paraId="4F80438E" w14:textId="77777777">
        <w:trPr>
          <w:trHeight w:val="283"/>
          <w:jc w:val="center"/>
        </w:trPr>
        <w:tc>
          <w:tcPr>
            <w:tcW w:w="835" w:type="dxa"/>
            <w:shd w:val="clear" w:color="auto" w:fill="C6EFCE"/>
            <w:noWrap/>
          </w:tcPr>
          <w:p w14:paraId="19E34CC4" w14:textId="77777777" w:rsidR="00FA7C11" w:rsidRDefault="00D84965">
            <w:pPr>
              <w:pStyle w:val="P68B1DB1-Normal66"/>
              <w:spacing w:after="200" w:line="276" w:lineRule="auto"/>
              <w:jc w:val="center"/>
              <w:rPr>
                <w:noProof/>
              </w:rPr>
            </w:pPr>
            <w:r>
              <w:rPr>
                <w:noProof/>
              </w:rPr>
              <w:t>368</w:t>
            </w:r>
          </w:p>
        </w:tc>
        <w:tc>
          <w:tcPr>
            <w:tcW w:w="1200" w:type="dxa"/>
            <w:shd w:val="clear" w:color="auto" w:fill="C6EFCE"/>
            <w:noWrap/>
          </w:tcPr>
          <w:p w14:paraId="4004CB60" w14:textId="77777777" w:rsidR="00FA7C11" w:rsidRDefault="00D84965">
            <w:pPr>
              <w:pStyle w:val="P68B1DB1-Normal66"/>
              <w:spacing w:after="200" w:line="276" w:lineRule="auto"/>
              <w:jc w:val="center"/>
              <w:rPr>
                <w:noProof/>
              </w:rPr>
            </w:pPr>
            <w:r>
              <w:rPr>
                <w:noProof/>
              </w:rPr>
              <w:t>C6.1. R5</w:t>
            </w:r>
          </w:p>
        </w:tc>
        <w:tc>
          <w:tcPr>
            <w:tcW w:w="1080" w:type="dxa"/>
            <w:shd w:val="clear" w:color="auto" w:fill="C6EFCE"/>
            <w:noWrap/>
          </w:tcPr>
          <w:p w14:paraId="12FB095B"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43A2959D" w14:textId="77777777" w:rsidR="00FA7C11" w:rsidRDefault="00D84965">
            <w:pPr>
              <w:pStyle w:val="P68B1DB1-Normal66"/>
              <w:spacing w:after="200" w:line="276" w:lineRule="auto"/>
              <w:rPr>
                <w:noProof/>
              </w:rPr>
            </w:pPr>
            <w:bookmarkStart w:id="9" w:name="_Hlk209172854"/>
            <w:r>
              <w:rPr>
                <w:noProof/>
              </w:rPr>
              <w:t>Adoptarea Programului de dezvoltare a gestionării circulare a spațiului și clădirilor pentru perioada 2021-2030 și a Programului de dezvoltare a infrastructurii urbane verzi pentru perioada 2021-2030</w:t>
            </w:r>
            <w:bookmarkEnd w:id="9"/>
          </w:p>
        </w:tc>
        <w:tc>
          <w:tcPr>
            <w:tcW w:w="2288" w:type="dxa"/>
            <w:shd w:val="clear" w:color="auto" w:fill="C6EFCE"/>
            <w:noWrap/>
          </w:tcPr>
          <w:p w14:paraId="4F5292A8" w14:textId="77777777" w:rsidR="00FA7C11" w:rsidRDefault="00D84965">
            <w:pPr>
              <w:pStyle w:val="P68B1DB1-Normal66"/>
              <w:spacing w:after="200" w:line="276" w:lineRule="auto"/>
              <w:rPr>
                <w:noProof/>
              </w:rPr>
            </w:pPr>
            <w:r>
              <w:rPr>
                <w:noProof/>
              </w:rPr>
              <w:t xml:space="preserve">Publicare pe site-ul oficial al Ministerului Planificării Fizice, Construcțiilor și Activelor Statului </w:t>
            </w:r>
          </w:p>
        </w:tc>
        <w:tc>
          <w:tcPr>
            <w:tcW w:w="1067" w:type="dxa"/>
            <w:shd w:val="clear" w:color="auto" w:fill="C6EFCE"/>
            <w:noWrap/>
          </w:tcPr>
          <w:p w14:paraId="2DD12314" w14:textId="77777777" w:rsidR="00FA7C11" w:rsidRDefault="00D84965">
            <w:pPr>
              <w:pStyle w:val="P68B1DB1-Normal66"/>
              <w:spacing w:after="200" w:line="276" w:lineRule="auto"/>
              <w:jc w:val="center"/>
              <w:rPr>
                <w:noProof/>
              </w:rPr>
            </w:pPr>
            <w:r>
              <w:rPr>
                <w:noProof/>
              </w:rPr>
              <w:t> </w:t>
            </w:r>
          </w:p>
        </w:tc>
        <w:tc>
          <w:tcPr>
            <w:tcW w:w="810" w:type="dxa"/>
            <w:shd w:val="clear" w:color="auto" w:fill="C6EFCE"/>
            <w:noWrap/>
          </w:tcPr>
          <w:p w14:paraId="4B3B8D42" w14:textId="77777777" w:rsidR="00FA7C11" w:rsidRDefault="00D84965">
            <w:pPr>
              <w:pStyle w:val="P68B1DB1-Normal66"/>
              <w:spacing w:after="200" w:line="276" w:lineRule="auto"/>
              <w:jc w:val="center"/>
              <w:rPr>
                <w:noProof/>
              </w:rPr>
            </w:pPr>
            <w:r>
              <w:rPr>
                <w:noProof/>
              </w:rPr>
              <w:t> </w:t>
            </w:r>
          </w:p>
        </w:tc>
        <w:tc>
          <w:tcPr>
            <w:tcW w:w="1253" w:type="dxa"/>
            <w:shd w:val="clear" w:color="auto" w:fill="C6EFCE"/>
            <w:noWrap/>
          </w:tcPr>
          <w:p w14:paraId="46A6F265" w14:textId="77777777" w:rsidR="00FA7C11" w:rsidRDefault="00D84965">
            <w:pPr>
              <w:pStyle w:val="P68B1DB1-Normal66"/>
              <w:spacing w:after="200" w:line="276" w:lineRule="auto"/>
              <w:jc w:val="center"/>
              <w:rPr>
                <w:noProof/>
              </w:rPr>
            </w:pPr>
            <w:r>
              <w:rPr>
                <w:noProof/>
              </w:rPr>
              <w:t> </w:t>
            </w:r>
          </w:p>
        </w:tc>
        <w:tc>
          <w:tcPr>
            <w:tcW w:w="836" w:type="dxa"/>
            <w:shd w:val="clear" w:color="auto" w:fill="C6EFCE"/>
            <w:noWrap/>
          </w:tcPr>
          <w:p w14:paraId="0DADE93B" w14:textId="77777777" w:rsidR="00FA7C11" w:rsidRDefault="00D84965">
            <w:pPr>
              <w:pStyle w:val="P68B1DB1-Normal66"/>
              <w:spacing w:after="200" w:line="276" w:lineRule="auto"/>
              <w:jc w:val="center"/>
              <w:rPr>
                <w:noProof/>
              </w:rPr>
            </w:pPr>
            <w:r>
              <w:rPr>
                <w:noProof/>
              </w:rPr>
              <w:t>Î4</w:t>
            </w:r>
          </w:p>
        </w:tc>
        <w:tc>
          <w:tcPr>
            <w:tcW w:w="720" w:type="dxa"/>
            <w:shd w:val="clear" w:color="auto" w:fill="C6EFCE"/>
            <w:noWrap/>
          </w:tcPr>
          <w:p w14:paraId="63D93C6C" w14:textId="77777777" w:rsidR="00FA7C11" w:rsidRDefault="00D84965">
            <w:pPr>
              <w:pStyle w:val="P68B1DB1-Normal66"/>
              <w:spacing w:after="200" w:line="276" w:lineRule="auto"/>
              <w:jc w:val="center"/>
              <w:rPr>
                <w:noProof/>
              </w:rPr>
            </w:pPr>
            <w:r>
              <w:rPr>
                <w:noProof/>
              </w:rPr>
              <w:t>2021</w:t>
            </w:r>
          </w:p>
        </w:tc>
        <w:tc>
          <w:tcPr>
            <w:tcW w:w="3609" w:type="dxa"/>
            <w:shd w:val="clear" w:color="auto" w:fill="C6EFCE"/>
            <w:noWrap/>
          </w:tcPr>
          <w:p w14:paraId="1FEFD9B9" w14:textId="77777777" w:rsidR="00FA7C11" w:rsidRDefault="00D84965">
            <w:pPr>
              <w:pStyle w:val="P68B1DB1-Normal66"/>
              <w:spacing w:after="200" w:line="276" w:lineRule="auto"/>
              <w:rPr>
                <w:noProof/>
              </w:rPr>
            </w:pPr>
            <w:r>
              <w:rPr>
                <w:noProof/>
              </w:rPr>
              <w:t>Programul de dezvoltare a gestionării circulare a spațiului și a clădirilor pentru perioada 2021-2030, care urmează să fie adoptat de guvern, stabilește obiective și măsuri pentru gestionarea circulară a spațiului și a clădirilor care, printre altele, încurajează măsurile de circularitate în planificarea clădirilor noi, reutilizarea clădirilor abandonate și extinderea durabilității spațiilor și clădirilor existente, creșterea eficienței energetice și a utilizării resurselor clădirilor și utilizarea surselor regenerabile de energie, reutilizarea produselor și materialelor de construcții, în scopul utilizării eficiente a resurselor spațiale și al reducerii generării de deșeuri de clădiri în conformitate cu planul actualizat de gestionare a deșeurilor, ca bază pentru elaborarea strategiilor de reînnoire urbană verde;</w:t>
            </w:r>
            <w:r>
              <w:rPr>
                <w:noProof/>
              </w:rPr>
              <w:br/>
            </w:r>
            <w:r>
              <w:rPr>
                <w:noProof/>
              </w:rPr>
              <w:br/>
              <w:t>Programul de dezvoltare a infrastructurii urbane verzi pentru perioada 2021-2030, care urmează să fie adoptat de guvern, elaborează obiectivele și măsurile care contribuie la atenuarea schimbărilor climatice și la reducerea efectelor insulelor termice, la reducerea emisiilor de gaze cu efect de seră, la îmbunătățirea calității vieții și a locuințelor în orașe, la îmbunătățirea sănătății umane, la îmbunătățirea calității zonelor urbane prin transformarea terenurilor insuficient utilizate și abandonate, la încurajarea investițiilor verzi, la sprijinirea refacerii și conservării speciilor și habitatelor în temeiul directivelor privind speciile și habitatele, în conformitate cu Strategia UE privind biodiversitatea pentru 2030, precum și la crearea de noi locuri de muncă și la realizarea de economii de energie, care constituie baza pentru dezvoltarea strategiilor de reînnoire urbană verde.</w:t>
            </w:r>
          </w:p>
        </w:tc>
      </w:tr>
      <w:tr w:rsidR="00FA7C11" w14:paraId="1702DF69" w14:textId="77777777">
        <w:trPr>
          <w:trHeight w:val="283"/>
          <w:jc w:val="center"/>
        </w:trPr>
        <w:tc>
          <w:tcPr>
            <w:tcW w:w="835" w:type="dxa"/>
            <w:shd w:val="clear" w:color="auto" w:fill="C6EFCE"/>
            <w:noWrap/>
          </w:tcPr>
          <w:p w14:paraId="06AC8504" w14:textId="77777777" w:rsidR="00FA7C11" w:rsidRDefault="00D84965">
            <w:pPr>
              <w:pStyle w:val="P68B1DB1-Normal66"/>
              <w:spacing w:after="200" w:line="276" w:lineRule="auto"/>
              <w:jc w:val="center"/>
              <w:rPr>
                <w:noProof/>
              </w:rPr>
            </w:pPr>
            <w:r>
              <w:rPr>
                <w:noProof/>
              </w:rPr>
              <w:t>369</w:t>
            </w:r>
          </w:p>
        </w:tc>
        <w:tc>
          <w:tcPr>
            <w:tcW w:w="1200" w:type="dxa"/>
            <w:shd w:val="clear" w:color="auto" w:fill="C6EFCE"/>
            <w:noWrap/>
          </w:tcPr>
          <w:p w14:paraId="2377A98B" w14:textId="77777777" w:rsidR="00FA7C11" w:rsidRDefault="00D84965">
            <w:pPr>
              <w:pStyle w:val="P68B1DB1-Normal66"/>
              <w:spacing w:after="200" w:line="276" w:lineRule="auto"/>
              <w:jc w:val="center"/>
              <w:rPr>
                <w:noProof/>
              </w:rPr>
            </w:pPr>
            <w:r>
              <w:rPr>
                <w:noProof/>
              </w:rPr>
              <w:t>C6.1. R5</w:t>
            </w:r>
          </w:p>
        </w:tc>
        <w:tc>
          <w:tcPr>
            <w:tcW w:w="1080" w:type="dxa"/>
            <w:shd w:val="clear" w:color="auto" w:fill="C6EFCE"/>
            <w:noWrap/>
          </w:tcPr>
          <w:p w14:paraId="40B01116" w14:textId="77777777" w:rsidR="00FA7C11" w:rsidRDefault="00D84965">
            <w:pPr>
              <w:pStyle w:val="P68B1DB1-Normal66"/>
              <w:spacing w:after="200" w:line="276" w:lineRule="auto"/>
              <w:jc w:val="center"/>
              <w:rPr>
                <w:noProof/>
              </w:rPr>
            </w:pPr>
            <w:r>
              <w:rPr>
                <w:noProof/>
              </w:rPr>
              <w:t>T</w:t>
            </w:r>
          </w:p>
        </w:tc>
        <w:tc>
          <w:tcPr>
            <w:tcW w:w="1786" w:type="dxa"/>
            <w:shd w:val="clear" w:color="auto" w:fill="C6EFCE"/>
            <w:noWrap/>
          </w:tcPr>
          <w:p w14:paraId="3D8C5FCB" w14:textId="77777777" w:rsidR="00FA7C11" w:rsidRDefault="00D84965">
            <w:pPr>
              <w:pStyle w:val="P68B1DB1-Normal66"/>
              <w:spacing w:after="200" w:line="276" w:lineRule="auto"/>
              <w:rPr>
                <w:noProof/>
              </w:rPr>
            </w:pPr>
            <w:r>
              <w:rPr>
                <w:noProof/>
              </w:rPr>
              <w:t xml:space="preserve">Adoptarea strategiilor de reînnoire urbană verde </w:t>
            </w:r>
          </w:p>
        </w:tc>
        <w:tc>
          <w:tcPr>
            <w:tcW w:w="2288" w:type="dxa"/>
            <w:shd w:val="clear" w:color="auto" w:fill="C6EFCE"/>
            <w:noWrap/>
          </w:tcPr>
          <w:p w14:paraId="4D43D0AD" w14:textId="77777777" w:rsidR="00FA7C11" w:rsidRDefault="00D84965">
            <w:pPr>
              <w:pStyle w:val="P68B1DB1-Normal66"/>
              <w:spacing w:after="200" w:line="276" w:lineRule="auto"/>
              <w:rPr>
                <w:noProof/>
              </w:rPr>
            </w:pPr>
            <w:r>
              <w:rPr>
                <w:noProof/>
              </w:rPr>
              <w:t xml:space="preserve"> </w:t>
            </w:r>
          </w:p>
        </w:tc>
        <w:tc>
          <w:tcPr>
            <w:tcW w:w="1067" w:type="dxa"/>
            <w:shd w:val="clear" w:color="auto" w:fill="C6EFCE"/>
            <w:noWrap/>
          </w:tcPr>
          <w:p w14:paraId="3DA96633" w14:textId="77777777" w:rsidR="00FA7C11" w:rsidRDefault="00D84965">
            <w:pPr>
              <w:pStyle w:val="P68B1DB1-Normal66"/>
              <w:spacing w:after="200" w:line="276" w:lineRule="auto"/>
              <w:jc w:val="center"/>
              <w:rPr>
                <w:noProof/>
              </w:rPr>
            </w:pPr>
            <w:r>
              <w:rPr>
                <w:noProof/>
              </w:rPr>
              <w:t>Număr</w:t>
            </w:r>
          </w:p>
        </w:tc>
        <w:tc>
          <w:tcPr>
            <w:tcW w:w="810" w:type="dxa"/>
            <w:shd w:val="clear" w:color="auto" w:fill="C6EFCE"/>
            <w:noWrap/>
          </w:tcPr>
          <w:p w14:paraId="26C274D7" w14:textId="77777777" w:rsidR="00FA7C11" w:rsidRDefault="00D84965">
            <w:pPr>
              <w:pStyle w:val="P68B1DB1-Normal66"/>
              <w:spacing w:after="200" w:line="276" w:lineRule="auto"/>
              <w:jc w:val="center"/>
              <w:rPr>
                <w:noProof/>
              </w:rPr>
            </w:pPr>
            <w:r>
              <w:rPr>
                <w:noProof/>
              </w:rPr>
              <w:t>0</w:t>
            </w:r>
          </w:p>
        </w:tc>
        <w:tc>
          <w:tcPr>
            <w:tcW w:w="1253" w:type="dxa"/>
            <w:shd w:val="clear" w:color="auto" w:fill="C6EFCE"/>
            <w:noWrap/>
          </w:tcPr>
          <w:p w14:paraId="0D092C6F" w14:textId="77777777" w:rsidR="00FA7C11" w:rsidRDefault="00D84965">
            <w:pPr>
              <w:pStyle w:val="P68B1DB1-Normal66"/>
              <w:spacing w:after="200" w:line="276" w:lineRule="auto"/>
              <w:jc w:val="center"/>
              <w:rPr>
                <w:noProof/>
              </w:rPr>
            </w:pPr>
            <w:r>
              <w:rPr>
                <w:noProof/>
              </w:rPr>
              <w:t>10</w:t>
            </w:r>
          </w:p>
        </w:tc>
        <w:tc>
          <w:tcPr>
            <w:tcW w:w="836" w:type="dxa"/>
            <w:shd w:val="clear" w:color="auto" w:fill="C6EFCE"/>
            <w:noWrap/>
          </w:tcPr>
          <w:p w14:paraId="33FA4703" w14:textId="77777777" w:rsidR="00FA7C11" w:rsidRDefault="00D84965">
            <w:pPr>
              <w:pStyle w:val="P68B1DB1-Normal66"/>
              <w:spacing w:after="200" w:line="276" w:lineRule="auto"/>
              <w:jc w:val="center"/>
              <w:rPr>
                <w:noProof/>
              </w:rPr>
            </w:pPr>
            <w:r>
              <w:rPr>
                <w:noProof/>
              </w:rPr>
              <w:t>Î4</w:t>
            </w:r>
          </w:p>
        </w:tc>
        <w:tc>
          <w:tcPr>
            <w:tcW w:w="720" w:type="dxa"/>
            <w:shd w:val="clear" w:color="auto" w:fill="C6EFCE"/>
            <w:noWrap/>
          </w:tcPr>
          <w:p w14:paraId="238309C5" w14:textId="77777777" w:rsidR="00FA7C11" w:rsidRDefault="00D84965">
            <w:pPr>
              <w:pStyle w:val="P68B1DB1-Normal66"/>
              <w:spacing w:after="200" w:line="276" w:lineRule="auto"/>
              <w:jc w:val="center"/>
              <w:rPr>
                <w:noProof/>
              </w:rPr>
            </w:pPr>
            <w:r>
              <w:rPr>
                <w:noProof/>
              </w:rPr>
              <w:t>2023</w:t>
            </w:r>
          </w:p>
        </w:tc>
        <w:tc>
          <w:tcPr>
            <w:tcW w:w="3609" w:type="dxa"/>
            <w:shd w:val="clear" w:color="auto" w:fill="C6EFCE"/>
            <w:noWrap/>
          </w:tcPr>
          <w:p w14:paraId="751A8F93" w14:textId="77777777" w:rsidR="00FA7C11" w:rsidRDefault="00D84965">
            <w:pPr>
              <w:pStyle w:val="P68B1DB1-Normal66"/>
              <w:spacing w:after="200" w:line="276" w:lineRule="auto"/>
              <w:rPr>
                <w:noProof/>
              </w:rPr>
            </w:pPr>
            <w:r>
              <w:rPr>
                <w:noProof/>
              </w:rPr>
              <w:t>Adoptarea a cel puțin 10 strategii de reînnoire urbană verde pentru a oferi baza pentru dezvoltarea spațiului durabil, cu accent pe dezvoltarea infrastructurii urbane verzi și pe integrarea soluțiilor bazate pe natură, pe integrarea modelelor de gestionare circulară a spațiului și a clădirilor, pe consolidarea rezilienței la riscuri și la schimbările climatice și pe sprijinirea dezvoltării durabile în general.</w:t>
            </w:r>
          </w:p>
        </w:tc>
      </w:tr>
      <w:tr w:rsidR="00FA7C11" w14:paraId="3C0F1D38" w14:textId="77777777">
        <w:trPr>
          <w:trHeight w:val="283"/>
          <w:jc w:val="center"/>
        </w:trPr>
        <w:tc>
          <w:tcPr>
            <w:tcW w:w="835" w:type="dxa"/>
            <w:shd w:val="clear" w:color="auto" w:fill="C6EFCE"/>
            <w:noWrap/>
          </w:tcPr>
          <w:p w14:paraId="64416CED" w14:textId="77777777" w:rsidR="00FA7C11" w:rsidRDefault="00D84965">
            <w:pPr>
              <w:pStyle w:val="P68B1DB1-Normal66"/>
              <w:spacing w:after="200" w:line="276" w:lineRule="auto"/>
              <w:jc w:val="center"/>
              <w:rPr>
                <w:noProof/>
              </w:rPr>
            </w:pPr>
            <w:r>
              <w:rPr>
                <w:noProof/>
              </w:rPr>
              <w:t>370</w:t>
            </w:r>
          </w:p>
        </w:tc>
        <w:tc>
          <w:tcPr>
            <w:tcW w:w="1200" w:type="dxa"/>
            <w:shd w:val="clear" w:color="auto" w:fill="C6EFCE"/>
            <w:noWrap/>
          </w:tcPr>
          <w:p w14:paraId="3CFC9943" w14:textId="77777777" w:rsidR="00FA7C11" w:rsidRDefault="00D84965">
            <w:pPr>
              <w:pStyle w:val="P68B1DB1-Normal66"/>
              <w:spacing w:after="200" w:line="276" w:lineRule="auto"/>
              <w:jc w:val="center"/>
              <w:rPr>
                <w:noProof/>
              </w:rPr>
            </w:pPr>
            <w:r>
              <w:rPr>
                <w:noProof/>
              </w:rPr>
              <w:t>C6.1. R5</w:t>
            </w:r>
          </w:p>
        </w:tc>
        <w:tc>
          <w:tcPr>
            <w:tcW w:w="1080" w:type="dxa"/>
            <w:shd w:val="clear" w:color="auto" w:fill="C6EFCE"/>
            <w:noWrap/>
          </w:tcPr>
          <w:p w14:paraId="41907F06" w14:textId="77777777" w:rsidR="00FA7C11" w:rsidRDefault="00D84965">
            <w:pPr>
              <w:pStyle w:val="P68B1DB1-Normal66"/>
              <w:spacing w:after="200" w:line="276" w:lineRule="auto"/>
              <w:jc w:val="center"/>
              <w:rPr>
                <w:noProof/>
              </w:rPr>
            </w:pPr>
            <w:r>
              <w:rPr>
                <w:noProof/>
              </w:rPr>
              <w:t>T</w:t>
            </w:r>
          </w:p>
        </w:tc>
        <w:tc>
          <w:tcPr>
            <w:tcW w:w="1786" w:type="dxa"/>
            <w:shd w:val="clear" w:color="auto" w:fill="C6EFCE"/>
            <w:noWrap/>
          </w:tcPr>
          <w:p w14:paraId="5F65E14B" w14:textId="0C834590" w:rsidR="00FA7C11" w:rsidRDefault="00D84965">
            <w:pPr>
              <w:pStyle w:val="P68B1DB1-Normal66"/>
              <w:spacing w:after="200" w:line="276" w:lineRule="auto"/>
              <w:rPr>
                <w:noProof/>
              </w:rPr>
            </w:pPr>
            <w:r>
              <w:rPr>
                <w:noProof/>
              </w:rPr>
              <w:t xml:space="preserve">Finalizarea unui proiect-pilot identificat prin strategii de reînnoire urbană ecologică </w:t>
            </w:r>
          </w:p>
        </w:tc>
        <w:tc>
          <w:tcPr>
            <w:tcW w:w="2288" w:type="dxa"/>
            <w:shd w:val="clear" w:color="auto" w:fill="C6EFCE"/>
            <w:noWrap/>
          </w:tcPr>
          <w:p w14:paraId="6280EB76" w14:textId="77777777" w:rsidR="00FA7C11" w:rsidRDefault="00D84965">
            <w:pPr>
              <w:pStyle w:val="P68B1DB1-Normal66"/>
              <w:spacing w:after="200" w:line="276" w:lineRule="auto"/>
              <w:rPr>
                <w:noProof/>
              </w:rPr>
            </w:pPr>
            <w:r>
              <w:rPr>
                <w:noProof/>
              </w:rPr>
              <w:t> </w:t>
            </w:r>
          </w:p>
        </w:tc>
        <w:tc>
          <w:tcPr>
            <w:tcW w:w="1067" w:type="dxa"/>
            <w:shd w:val="clear" w:color="auto" w:fill="C6EFCE"/>
            <w:noWrap/>
          </w:tcPr>
          <w:p w14:paraId="06D5F951" w14:textId="77777777" w:rsidR="00FA7C11" w:rsidRDefault="00D84965">
            <w:pPr>
              <w:pStyle w:val="P68B1DB1-Normal66"/>
              <w:spacing w:after="200" w:line="276" w:lineRule="auto"/>
              <w:jc w:val="center"/>
              <w:rPr>
                <w:noProof/>
              </w:rPr>
            </w:pPr>
            <w:r>
              <w:rPr>
                <w:noProof/>
              </w:rPr>
              <w:t>Număr</w:t>
            </w:r>
          </w:p>
        </w:tc>
        <w:tc>
          <w:tcPr>
            <w:tcW w:w="810" w:type="dxa"/>
            <w:shd w:val="clear" w:color="auto" w:fill="C6EFCE"/>
            <w:noWrap/>
          </w:tcPr>
          <w:p w14:paraId="59CA5E08" w14:textId="77777777" w:rsidR="00FA7C11" w:rsidRDefault="00D84965">
            <w:pPr>
              <w:pStyle w:val="P68B1DB1-Normal66"/>
              <w:spacing w:after="200" w:line="276" w:lineRule="auto"/>
              <w:jc w:val="center"/>
              <w:rPr>
                <w:noProof/>
              </w:rPr>
            </w:pPr>
            <w:r>
              <w:rPr>
                <w:noProof/>
              </w:rPr>
              <w:t>0</w:t>
            </w:r>
          </w:p>
        </w:tc>
        <w:tc>
          <w:tcPr>
            <w:tcW w:w="1253" w:type="dxa"/>
            <w:shd w:val="clear" w:color="auto" w:fill="C6EFCE"/>
            <w:noWrap/>
          </w:tcPr>
          <w:p w14:paraId="43864F4B" w14:textId="77777777" w:rsidR="00FA7C11" w:rsidRDefault="00D84965">
            <w:pPr>
              <w:pStyle w:val="P68B1DB1-Normal66"/>
              <w:spacing w:after="200" w:line="276" w:lineRule="auto"/>
              <w:jc w:val="center"/>
              <w:rPr>
                <w:noProof/>
              </w:rPr>
            </w:pPr>
            <w:r>
              <w:rPr>
                <w:noProof/>
              </w:rPr>
              <w:t>1</w:t>
            </w:r>
          </w:p>
        </w:tc>
        <w:tc>
          <w:tcPr>
            <w:tcW w:w="836" w:type="dxa"/>
            <w:shd w:val="clear" w:color="auto" w:fill="C6EFCE"/>
            <w:noWrap/>
          </w:tcPr>
          <w:p w14:paraId="129CC9CA" w14:textId="77777777" w:rsidR="00FA7C11" w:rsidRDefault="00D84965">
            <w:pPr>
              <w:pStyle w:val="P68B1DB1-Normal66"/>
              <w:spacing w:after="200" w:line="276" w:lineRule="auto"/>
              <w:jc w:val="center"/>
              <w:rPr>
                <w:noProof/>
              </w:rPr>
            </w:pPr>
            <w:r>
              <w:rPr>
                <w:noProof/>
              </w:rPr>
              <w:t>Î2</w:t>
            </w:r>
          </w:p>
        </w:tc>
        <w:tc>
          <w:tcPr>
            <w:tcW w:w="720" w:type="dxa"/>
            <w:shd w:val="clear" w:color="auto" w:fill="C6EFCE"/>
            <w:noWrap/>
          </w:tcPr>
          <w:p w14:paraId="23F6002F" w14:textId="77777777" w:rsidR="00FA7C11" w:rsidRDefault="00D84965">
            <w:pPr>
              <w:pStyle w:val="P68B1DB1-Normal66"/>
              <w:spacing w:after="200" w:line="276" w:lineRule="auto"/>
              <w:jc w:val="center"/>
              <w:rPr>
                <w:noProof/>
              </w:rPr>
            </w:pPr>
            <w:r>
              <w:rPr>
                <w:noProof/>
              </w:rPr>
              <w:t>2026</w:t>
            </w:r>
          </w:p>
        </w:tc>
        <w:tc>
          <w:tcPr>
            <w:tcW w:w="3609" w:type="dxa"/>
            <w:shd w:val="clear" w:color="auto" w:fill="C6EFCE"/>
            <w:noWrap/>
          </w:tcPr>
          <w:p w14:paraId="2F71CE96" w14:textId="77777777" w:rsidR="00FA7C11" w:rsidRDefault="00D84965">
            <w:pPr>
              <w:pStyle w:val="P68B1DB1-Normal66"/>
              <w:spacing w:after="200" w:line="276" w:lineRule="auto"/>
              <w:rPr>
                <w:noProof/>
              </w:rPr>
            </w:pPr>
            <w:r>
              <w:rPr>
                <w:noProof/>
              </w:rPr>
              <w:t xml:space="preserve">Trebuie finalizat cel puțin un proiect-pilot identificat prin strategii de reînnoire urbană ecologică. </w:t>
            </w:r>
          </w:p>
        </w:tc>
      </w:tr>
      <w:tr w:rsidR="00FA7C11" w14:paraId="27B4D79B" w14:textId="77777777">
        <w:trPr>
          <w:trHeight w:val="283"/>
          <w:jc w:val="center"/>
        </w:trPr>
        <w:tc>
          <w:tcPr>
            <w:tcW w:w="835" w:type="dxa"/>
            <w:shd w:val="clear" w:color="auto" w:fill="C6EFCE"/>
            <w:noWrap/>
          </w:tcPr>
          <w:p w14:paraId="2AE0C72F" w14:textId="77777777" w:rsidR="00FA7C11" w:rsidRDefault="00D84965">
            <w:pPr>
              <w:pStyle w:val="P68B1DB1-Normal66"/>
              <w:spacing w:after="200" w:line="276" w:lineRule="auto"/>
              <w:jc w:val="center"/>
              <w:rPr>
                <w:noProof/>
              </w:rPr>
            </w:pPr>
            <w:r>
              <w:rPr>
                <w:noProof/>
              </w:rPr>
              <w:t>371</w:t>
            </w:r>
          </w:p>
        </w:tc>
        <w:tc>
          <w:tcPr>
            <w:tcW w:w="1200" w:type="dxa"/>
            <w:shd w:val="clear" w:color="auto" w:fill="C6EFCE"/>
            <w:noWrap/>
          </w:tcPr>
          <w:p w14:paraId="0C4627C0" w14:textId="77777777" w:rsidR="00FA7C11" w:rsidRDefault="00D84965">
            <w:pPr>
              <w:pStyle w:val="P68B1DB1-Normal66"/>
              <w:spacing w:after="200" w:line="276" w:lineRule="auto"/>
              <w:jc w:val="center"/>
              <w:rPr>
                <w:noProof/>
              </w:rPr>
            </w:pPr>
            <w:r>
              <w:rPr>
                <w:noProof/>
              </w:rPr>
              <w:t>C6.1. R6</w:t>
            </w:r>
          </w:p>
        </w:tc>
        <w:tc>
          <w:tcPr>
            <w:tcW w:w="1080" w:type="dxa"/>
            <w:shd w:val="clear" w:color="auto" w:fill="C6EFCE"/>
            <w:noWrap/>
          </w:tcPr>
          <w:p w14:paraId="7A6FA3C6" w14:textId="77777777" w:rsidR="00FA7C11" w:rsidRDefault="00D84965">
            <w:pPr>
              <w:pStyle w:val="P68B1DB1-Normal66"/>
              <w:spacing w:after="200" w:line="276" w:lineRule="auto"/>
              <w:jc w:val="center"/>
              <w:rPr>
                <w:noProof/>
              </w:rPr>
            </w:pPr>
            <w:r>
              <w:rPr>
                <w:noProof/>
              </w:rPr>
              <w:t>M</w:t>
            </w:r>
          </w:p>
        </w:tc>
        <w:tc>
          <w:tcPr>
            <w:tcW w:w="1786" w:type="dxa"/>
            <w:shd w:val="clear" w:color="auto" w:fill="C6EFCE"/>
            <w:noWrap/>
          </w:tcPr>
          <w:p w14:paraId="27EAD785" w14:textId="77777777" w:rsidR="00FA7C11" w:rsidRDefault="00D84965">
            <w:pPr>
              <w:pStyle w:val="P68B1DB1-Normal66"/>
              <w:spacing w:after="200" w:line="276" w:lineRule="auto"/>
              <w:rPr>
                <w:noProof/>
              </w:rPr>
            </w:pPr>
            <w:r>
              <w:rPr>
                <w:noProof/>
              </w:rPr>
              <w:t xml:space="preserve">Finalizarea cu succes a proiectului-pilot de gestionare sistematică a energiei, cu scopul de a testa un nou model de finanțare a renovării în vederea eficienței energetice </w:t>
            </w:r>
          </w:p>
        </w:tc>
        <w:tc>
          <w:tcPr>
            <w:tcW w:w="2288" w:type="dxa"/>
            <w:shd w:val="clear" w:color="auto" w:fill="C6EFCE"/>
            <w:noWrap/>
          </w:tcPr>
          <w:p w14:paraId="775AD511" w14:textId="77777777" w:rsidR="00FA7C11" w:rsidRDefault="00D84965">
            <w:pPr>
              <w:pStyle w:val="P68B1DB1-Normal66"/>
              <w:spacing w:after="200" w:line="276" w:lineRule="auto"/>
              <w:rPr>
                <w:noProof/>
              </w:rPr>
            </w:pPr>
            <w:r>
              <w:rPr>
                <w:noProof/>
              </w:rPr>
              <w:t xml:space="preserve">Publicarea unui proiect-pilot finalizat pe site-ul oficial al Ministerului Planificării Fizice, Construcțiilor și Activelor Statului </w:t>
            </w:r>
            <w:r>
              <w:rPr>
                <w:noProof/>
              </w:rPr>
              <w:br/>
              <w:t xml:space="preserve"> </w:t>
            </w:r>
          </w:p>
        </w:tc>
        <w:tc>
          <w:tcPr>
            <w:tcW w:w="1067" w:type="dxa"/>
            <w:shd w:val="clear" w:color="auto" w:fill="C6EFCE"/>
            <w:noWrap/>
          </w:tcPr>
          <w:p w14:paraId="72ACDF83" w14:textId="77777777" w:rsidR="00FA7C11" w:rsidRDefault="00D84965">
            <w:pPr>
              <w:pStyle w:val="P68B1DB1-Normal66"/>
              <w:spacing w:after="200" w:line="276" w:lineRule="auto"/>
              <w:jc w:val="center"/>
              <w:rPr>
                <w:noProof/>
              </w:rPr>
            </w:pPr>
            <w:r>
              <w:rPr>
                <w:noProof/>
              </w:rPr>
              <w:t> </w:t>
            </w:r>
          </w:p>
        </w:tc>
        <w:tc>
          <w:tcPr>
            <w:tcW w:w="810" w:type="dxa"/>
            <w:shd w:val="clear" w:color="auto" w:fill="C6EFCE"/>
            <w:noWrap/>
          </w:tcPr>
          <w:p w14:paraId="6D07ABFC" w14:textId="77777777" w:rsidR="00FA7C11" w:rsidRDefault="00D84965">
            <w:pPr>
              <w:pStyle w:val="P68B1DB1-Normal66"/>
              <w:spacing w:after="200" w:line="276" w:lineRule="auto"/>
              <w:jc w:val="center"/>
              <w:rPr>
                <w:noProof/>
              </w:rPr>
            </w:pPr>
            <w:r>
              <w:rPr>
                <w:noProof/>
              </w:rPr>
              <w:t> </w:t>
            </w:r>
          </w:p>
        </w:tc>
        <w:tc>
          <w:tcPr>
            <w:tcW w:w="1253" w:type="dxa"/>
            <w:shd w:val="clear" w:color="auto" w:fill="C6EFCE"/>
            <w:noWrap/>
          </w:tcPr>
          <w:p w14:paraId="5A5DC514" w14:textId="77777777" w:rsidR="00FA7C11" w:rsidRDefault="00D84965">
            <w:pPr>
              <w:pStyle w:val="P68B1DB1-Normal66"/>
              <w:spacing w:after="200" w:line="276" w:lineRule="auto"/>
              <w:jc w:val="center"/>
              <w:rPr>
                <w:noProof/>
              </w:rPr>
            </w:pPr>
            <w:r>
              <w:rPr>
                <w:noProof/>
              </w:rPr>
              <w:t> </w:t>
            </w:r>
          </w:p>
        </w:tc>
        <w:tc>
          <w:tcPr>
            <w:tcW w:w="836" w:type="dxa"/>
            <w:shd w:val="clear" w:color="auto" w:fill="C6EFCE"/>
            <w:noWrap/>
          </w:tcPr>
          <w:p w14:paraId="5A5E64B5" w14:textId="77777777" w:rsidR="00FA7C11" w:rsidRDefault="00D84965">
            <w:pPr>
              <w:pStyle w:val="P68B1DB1-Normal66"/>
              <w:spacing w:after="200" w:line="276" w:lineRule="auto"/>
              <w:jc w:val="center"/>
              <w:rPr>
                <w:noProof/>
              </w:rPr>
            </w:pPr>
            <w:r>
              <w:rPr>
                <w:noProof/>
              </w:rPr>
              <w:t>Î4</w:t>
            </w:r>
          </w:p>
        </w:tc>
        <w:tc>
          <w:tcPr>
            <w:tcW w:w="720" w:type="dxa"/>
            <w:shd w:val="clear" w:color="auto" w:fill="C6EFCE"/>
            <w:noWrap/>
          </w:tcPr>
          <w:p w14:paraId="724A68CA" w14:textId="77777777" w:rsidR="00FA7C11" w:rsidRDefault="00D84965">
            <w:pPr>
              <w:pStyle w:val="P68B1DB1-Normal66"/>
              <w:spacing w:after="200" w:line="276" w:lineRule="auto"/>
              <w:jc w:val="center"/>
              <w:rPr>
                <w:noProof/>
              </w:rPr>
            </w:pPr>
            <w:r>
              <w:rPr>
                <w:noProof/>
              </w:rPr>
              <w:t>2023</w:t>
            </w:r>
          </w:p>
        </w:tc>
        <w:tc>
          <w:tcPr>
            <w:tcW w:w="3609" w:type="dxa"/>
            <w:shd w:val="clear" w:color="auto" w:fill="C6EFCE"/>
            <w:noWrap/>
          </w:tcPr>
          <w:p w14:paraId="2BA302F2" w14:textId="77777777" w:rsidR="00FA7C11" w:rsidRDefault="00D84965">
            <w:pPr>
              <w:pStyle w:val="P68B1DB1-Normal66"/>
              <w:spacing w:after="200" w:line="276" w:lineRule="auto"/>
              <w:rPr>
                <w:noProof/>
              </w:rPr>
            </w:pPr>
            <w:r>
              <w:rPr>
                <w:noProof/>
              </w:rPr>
              <w:t xml:space="preserve">În urma unei cereri publice de propuneri, Ministerul Planificării Fizice, Construcțiilor și Activelor Statului, în cooperare cu Agenția imobiliară guvernamentală croată, pune în aplicare un proiect-pilot care acoperă toate sectoarele consumului de energie și de apă din unitatea pilot a administrației locale prin instituirea colectării automate de date privind consumul de energie și de apă în imobilele colective din zona-pilot selectată. </w:t>
            </w:r>
            <w:r>
              <w:rPr>
                <w:noProof/>
              </w:rPr>
              <w:br/>
              <w:t xml:space="preserve">Obiectivul proiectului-pilot este de a realiza economii de energie și de apă prin instituirea și punerea în aplicare a unei gestionări sistematice a energiei și de a permite testarea posibilităților de punere în aplicare a noului model de finanțare pentru renovarea energetică a clădirilor cu mai multe locuințe, inclusiv o analiză cost-beneficiu pentru aplicarea sa la nivel național. </w:t>
            </w:r>
            <w:r>
              <w:rPr>
                <w:noProof/>
              </w:rPr>
              <w:br/>
              <w:t xml:space="preserve">Pe baza orientărilor proiectului-pilot privind aplicarea la nivel național a modelului de gestionare a consumului de energie pentru clădirile cu mai multe locuințe. </w:t>
            </w:r>
          </w:p>
        </w:tc>
      </w:tr>
    </w:tbl>
    <w:p w14:paraId="5FC0190B" w14:textId="77777777" w:rsidR="00FA7C11" w:rsidRDefault="00FA7C11">
      <w:pPr>
        <w:rPr>
          <w:noProof/>
        </w:rPr>
        <w:sectPr w:rsidR="00FA7C11" w:rsidSect="00FA29B2">
          <w:headerReference w:type="even" r:id="rId392"/>
          <w:headerReference w:type="default" r:id="rId393"/>
          <w:footerReference w:type="even" r:id="rId394"/>
          <w:footerReference w:type="default" r:id="rId395"/>
          <w:headerReference w:type="first" r:id="rId396"/>
          <w:footerReference w:type="first" r:id="rId397"/>
          <w:pgSz w:w="16839" w:h="11907" w:orient="landscape"/>
          <w:pgMar w:top="1134" w:right="1134" w:bottom="1134" w:left="1134" w:header="567" w:footer="567" w:gutter="0"/>
          <w:cols w:space="708"/>
          <w:docGrid w:linePitch="360"/>
        </w:sectPr>
      </w:pPr>
    </w:p>
    <w:p w14:paraId="678D9CA0" w14:textId="77777777" w:rsidR="00FA7C11" w:rsidRDefault="00FA7C11">
      <w:pPr>
        <w:pStyle w:val="paragraph"/>
        <w:spacing w:before="0" w:beforeAutospacing="0" w:after="0" w:afterAutospacing="0"/>
        <w:ind w:left="705"/>
        <w:jc w:val="both"/>
        <w:textAlignment w:val="baseline"/>
        <w:rPr>
          <w:rFonts w:ascii="Segoe UI" w:hAnsi="Segoe UI" w:cs="Segoe UI"/>
          <w:noProof/>
          <w:sz w:val="18"/>
          <w:szCs w:val="18"/>
        </w:rPr>
      </w:pPr>
    </w:p>
    <w:p w14:paraId="3EBE99F7" w14:textId="437BE274" w:rsidR="00FA7C11" w:rsidRDefault="00D84965">
      <w:pPr>
        <w:pStyle w:val="P68B1DB1-Normal57"/>
        <w:keepNext/>
        <w:spacing w:before="40" w:after="0"/>
        <w:ind w:left="130" w:firstLine="720"/>
        <w:jc w:val="both"/>
        <w:outlineLvl w:val="1"/>
        <w:rPr>
          <w:noProof/>
        </w:rPr>
      </w:pPr>
      <w:r>
        <w:rPr>
          <w:noProof/>
        </w:rPr>
        <w:t xml:space="preserve">V.3. </w:t>
      </w:r>
      <w:r>
        <w:rPr>
          <w:noProof/>
        </w:rPr>
        <w:tab/>
        <w:t xml:space="preserve">Descrierea reformelor și a investițiilor pentru împrumut </w:t>
      </w:r>
    </w:p>
    <w:p w14:paraId="31256B87" w14:textId="77777777" w:rsidR="00FA7C11" w:rsidRDefault="00FA7C11">
      <w:pPr>
        <w:pStyle w:val="paragraph"/>
        <w:spacing w:before="0" w:beforeAutospacing="0" w:after="0" w:afterAutospacing="0"/>
        <w:ind w:left="840"/>
        <w:jc w:val="both"/>
        <w:textAlignment w:val="baseline"/>
        <w:rPr>
          <w:noProof/>
          <w:szCs w:val="24"/>
          <w:u w:val="single"/>
        </w:rPr>
      </w:pPr>
    </w:p>
    <w:p w14:paraId="039AE8DF" w14:textId="02A3C922" w:rsidR="00FA7C11" w:rsidRDefault="00D84965">
      <w:pPr>
        <w:pStyle w:val="P68B1DB1-Normal81"/>
        <w:spacing w:line="240" w:lineRule="auto"/>
        <w:ind w:left="850"/>
        <w:jc w:val="both"/>
        <w:rPr>
          <w:rStyle w:val="normaltextrun"/>
          <w:rFonts w:eastAsia="Times New Roman"/>
          <w:noProof/>
        </w:rPr>
      </w:pPr>
      <w:r>
        <w:rPr>
          <w:noProof/>
        </w:rPr>
        <w:t>Reforma C6.1 R7 – Utilizarea circulară a deșeurilor din construcții provenite din clădiri cu statut de bun cultural: un proiect-pilot care analizează posibilitățile de schimb și de comerț</w:t>
      </w:r>
    </w:p>
    <w:p w14:paraId="68E469C8" w14:textId="0C13630C" w:rsidR="00FA7C11" w:rsidRDefault="00D84965">
      <w:pPr>
        <w:pStyle w:val="paragraph"/>
        <w:spacing w:after="0"/>
        <w:jc w:val="both"/>
        <w:rPr>
          <w:rStyle w:val="normaltextrun"/>
          <w:noProof/>
          <w:color w:val="000000"/>
          <w:szCs w:val="24"/>
        </w:rPr>
      </w:pPr>
      <w:r>
        <w:rPr>
          <w:rStyle w:val="normaltextrun"/>
          <w:noProof/>
          <w:color w:val="000000"/>
          <w:szCs w:val="24"/>
        </w:rPr>
        <w:t>Obiectivul măsurii este de a examina posibilitățile de utilizare circulară a deșeurilor din construcții provenite din clădiri cu statut de bun cultural. Această măsură constă în punerea în aplicare a unor proiecte-pilot și în adoptarea unor orientări naționale privind utilizarea circulară a deșeurilor din construcții provenite din clădirile cu statut de bun cultural.</w:t>
      </w:r>
    </w:p>
    <w:p w14:paraId="1DBB1565" w14:textId="77777777" w:rsidR="00FA7C11" w:rsidRDefault="00D84965">
      <w:pPr>
        <w:pStyle w:val="P68B1DB1-Normal82"/>
        <w:tabs>
          <w:tab w:val="left" w:pos="1100"/>
        </w:tabs>
        <w:ind w:left="851"/>
        <w:rPr>
          <w:noProof/>
        </w:rPr>
      </w:pPr>
      <w:r>
        <w:rPr>
          <w:noProof/>
        </w:rPr>
        <w:t>Investiția C6.1 R1 – I4 Renovarea energetică a clădirilor cu statut de bun cultural</w:t>
      </w:r>
    </w:p>
    <w:p w14:paraId="2D308136" w14:textId="77777777" w:rsidR="00FA7C11" w:rsidRDefault="00D84965">
      <w:pPr>
        <w:pStyle w:val="P68B1DB1-Normal46"/>
        <w:tabs>
          <w:tab w:val="left" w:pos="1100"/>
        </w:tabs>
        <w:jc w:val="both"/>
        <w:rPr>
          <w:rFonts w:eastAsia="Times New Roman"/>
          <w:noProof/>
        </w:rPr>
      </w:pPr>
      <w:r>
        <w:rPr>
          <w:noProof/>
        </w:rPr>
        <w:t>Obiectivul acestei măsuri este de a spori nivelul de ambiție al măsurii existente C6.1 R1-I3 Renovarea energetică a clădirilor cu statut de bun cultural. Orientările pentru renovarea energetică a clădirilor cu statut de bun cultural se elaborează și se publică pe site-ul oficial al Ministerului Culturii și Mass-mediei. Orientările oferă recomandări privind măsurile de renovare energetică, soluțiile tehnice și materialele moderne și clarifică procedurile de pregătire a documentației și de obținere a autorizațiilor necesare.</w:t>
      </w:r>
    </w:p>
    <w:p w14:paraId="38D9ACF7" w14:textId="77777777" w:rsidR="00FA7C11" w:rsidRDefault="00D84965">
      <w:pPr>
        <w:pStyle w:val="P68B1DB1-Normal83"/>
        <w:tabs>
          <w:tab w:val="left" w:pos="1100"/>
        </w:tabs>
        <w:rPr>
          <w:noProof/>
        </w:rPr>
      </w:pPr>
      <w:r>
        <w:rPr>
          <w:noProof/>
        </w:rPr>
        <w:t>Punerea în aplicare a măsurii se finalizează până la 31 decembrie 2023.</w:t>
      </w:r>
    </w:p>
    <w:p w14:paraId="11CD49FD" w14:textId="77777777" w:rsidR="00FA7C11" w:rsidRDefault="00D84965">
      <w:pPr>
        <w:pStyle w:val="P68B1DB1-Normal46"/>
        <w:tabs>
          <w:tab w:val="left" w:pos="1100"/>
        </w:tabs>
        <w:rPr>
          <w:noProof/>
        </w:rPr>
        <w:sectPr w:rsidR="00FA7C11" w:rsidSect="00FA29B2">
          <w:headerReference w:type="even" r:id="rId398"/>
          <w:headerReference w:type="default" r:id="rId399"/>
          <w:footerReference w:type="even" r:id="rId400"/>
          <w:footerReference w:type="default" r:id="rId401"/>
          <w:headerReference w:type="first" r:id="rId402"/>
          <w:footerReference w:type="first" r:id="rId403"/>
          <w:pgSz w:w="11907" w:h="16839"/>
          <w:pgMar w:top="1134" w:right="1134" w:bottom="1134" w:left="1134" w:header="567" w:footer="567" w:gutter="0"/>
          <w:cols w:space="708"/>
          <w:docGrid w:linePitch="360"/>
        </w:sectPr>
      </w:pPr>
      <w:r>
        <w:rPr>
          <w:noProof/>
        </w:rPr>
        <w:tab/>
      </w:r>
    </w:p>
    <w:p w14:paraId="0B9C229D" w14:textId="410A855A" w:rsidR="00FA7C11" w:rsidRDefault="00D84965">
      <w:pPr>
        <w:pStyle w:val="P68B1DB1-Normal57"/>
        <w:keepNext/>
        <w:tabs>
          <w:tab w:val="num" w:pos="284"/>
        </w:tabs>
        <w:spacing w:before="40" w:after="0"/>
        <w:jc w:val="both"/>
        <w:outlineLvl w:val="1"/>
        <w:rPr>
          <w:noProof/>
        </w:rPr>
      </w:pPr>
      <w:r>
        <w:rPr>
          <w:noProof/>
        </w:rPr>
        <w:t xml:space="preserve">V.4. </w:t>
      </w:r>
      <w:r>
        <w:rPr>
          <w:noProof/>
        </w:rPr>
        <w:tab/>
        <w:t xml:space="preserve">Jaloane, ținte, indicatori și calendarul de monitorizare și implementare aplicabile împrumutului </w:t>
      </w:r>
    </w:p>
    <w:tbl>
      <w:tblPr>
        <w:tblpPr w:leftFromText="180" w:rightFromText="180" w:vertAnchor="text" w:horzAnchor="page" w:tblpX="415" w:tblpY="37"/>
        <w:tblW w:w="1587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46"/>
        <w:gridCol w:w="1488"/>
        <w:gridCol w:w="1021"/>
        <w:gridCol w:w="1895"/>
        <w:gridCol w:w="2126"/>
        <w:gridCol w:w="993"/>
        <w:gridCol w:w="850"/>
        <w:gridCol w:w="851"/>
        <w:gridCol w:w="725"/>
        <w:gridCol w:w="960"/>
        <w:gridCol w:w="4116"/>
      </w:tblGrid>
      <w:tr w:rsidR="00FA7C11" w14:paraId="48DA4C71" w14:textId="77777777">
        <w:trPr>
          <w:trHeight w:val="688"/>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E8A13F" w14:textId="77777777" w:rsidR="00FA7C11" w:rsidRDefault="00D84965">
            <w:pPr>
              <w:pStyle w:val="P68B1DB1-Normal58"/>
              <w:spacing w:after="0" w:line="240" w:lineRule="auto"/>
              <w:jc w:val="center"/>
              <w:textAlignment w:val="baseline"/>
              <w:rPr>
                <w:noProof/>
              </w:rPr>
            </w:pPr>
            <w:r>
              <w:rPr>
                <w:noProof/>
              </w:rPr>
              <w:t>Număr</w:t>
            </w:r>
          </w:p>
        </w:tc>
        <w:tc>
          <w:tcPr>
            <w:tcW w:w="14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7EE147" w14:textId="77777777" w:rsidR="00FA7C11" w:rsidRDefault="00D84965">
            <w:pPr>
              <w:pStyle w:val="P68B1DB1-Normal58"/>
              <w:spacing w:after="0" w:line="240" w:lineRule="auto"/>
              <w:jc w:val="center"/>
              <w:textAlignment w:val="baseline"/>
              <w:rPr>
                <w:noProof/>
              </w:rPr>
            </w:pPr>
            <w:r>
              <w:rPr>
                <w:noProof/>
              </w:rPr>
              <w:t xml:space="preserve">Măsură </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953025"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18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64BCA1" w14:textId="77777777" w:rsidR="00FA7C11" w:rsidRDefault="00D84965">
            <w:pPr>
              <w:pStyle w:val="P68B1DB1-Normal76"/>
              <w:spacing w:after="0" w:line="240" w:lineRule="auto"/>
              <w:jc w:val="center"/>
              <w:textAlignment w:val="baseline"/>
              <w:rPr>
                <w:noProof/>
              </w:rPr>
            </w:pPr>
            <w:r>
              <w:rPr>
                <w:b/>
                <w:noProof/>
              </w:rPr>
              <w:t>Nume</w:t>
            </w:r>
            <w:r>
              <w:rPr>
                <w:noProof/>
              </w:rPr>
              <w:t>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A54761" w14:textId="6B0FB9C7" w:rsidR="00FA7C11" w:rsidRDefault="00D84965">
            <w:pPr>
              <w:pStyle w:val="P68B1DB1-Normal59"/>
              <w:spacing w:after="0" w:line="240" w:lineRule="auto"/>
              <w:jc w:val="center"/>
              <w:textAlignment w:val="baseline"/>
              <w:rPr>
                <w:rFonts w:ascii="Times New Roman" w:eastAsia="Times New Roman" w:hAnsi="Times New Roman" w:cs="Times New Roman"/>
                <w:noProof/>
              </w:rPr>
            </w:pPr>
            <w:r>
              <w:rPr>
                <w:rFonts w:ascii="Times New Roman" w:eastAsia="Times New Roman" w:hAnsi="Times New Roman" w:cs="Times New Roman"/>
                <w:b/>
                <w:noProof/>
              </w:rPr>
              <w:t>Indicatori calitativi</w:t>
            </w:r>
            <w:r>
              <w:rPr>
                <w:rFonts w:ascii="Times New Roman" w:hAnsi="Times New Roman" w:cs="Times New Roman"/>
                <w:noProof/>
              </w:rPr>
              <w:br/>
            </w:r>
            <w:r>
              <w:rPr>
                <w:rFonts w:ascii="Times New Roman" w:eastAsia="Times New Roman" w:hAnsi="Times New Roman" w:cs="Times New Roman"/>
                <w:b/>
                <w:noProof/>
              </w:rPr>
              <w:t>(pentru jaloane)</w:t>
            </w:r>
            <w:r>
              <w:rPr>
                <w:rFonts w:ascii="Times New Roman" w:eastAsia="Times New Roman" w:hAnsi="Times New Roman" w:cs="Times New Roman"/>
                <w:noProof/>
              </w:rPr>
              <w:t xml:space="preserve"> </w:t>
            </w:r>
          </w:p>
        </w:tc>
        <w:tc>
          <w:tcPr>
            <w:tcW w:w="2694" w:type="dxa"/>
            <w:gridSpan w:val="3"/>
            <w:tcBorders>
              <w:top w:val="single" w:sz="6" w:space="0" w:color="auto"/>
              <w:left w:val="single" w:sz="4" w:space="0" w:color="auto"/>
              <w:bottom w:val="single" w:sz="6" w:space="0" w:color="auto"/>
              <w:right w:val="single" w:sz="6" w:space="0" w:color="auto"/>
            </w:tcBorders>
            <w:shd w:val="clear" w:color="auto" w:fill="BDD7EE"/>
            <w:vAlign w:val="center"/>
            <w:hideMark/>
          </w:tcPr>
          <w:p w14:paraId="5CB01460" w14:textId="0520D7D3" w:rsidR="00FA7C11" w:rsidRDefault="00D84965">
            <w:pPr>
              <w:pStyle w:val="P68B1DB1-Normal76"/>
              <w:spacing w:after="0" w:line="240" w:lineRule="auto"/>
              <w:jc w:val="center"/>
              <w:textAlignment w:val="baseline"/>
              <w:rPr>
                <w:noProof/>
              </w:rPr>
            </w:pPr>
            <w:r>
              <w:rPr>
                <w:b/>
                <w:noProof/>
              </w:rPr>
              <w:t>Indicatori cantitativi</w:t>
            </w:r>
            <w:r>
              <w:rPr>
                <w:noProof/>
              </w:rPr>
              <w:br/>
            </w:r>
            <w:r>
              <w:rPr>
                <w:b/>
                <w:noProof/>
              </w:rPr>
              <w:t>(pentru obiective)</w:t>
            </w:r>
            <w:r>
              <w:rPr>
                <w:noProof/>
              </w:rPr>
              <w:t> </w:t>
            </w:r>
          </w:p>
        </w:tc>
        <w:tc>
          <w:tcPr>
            <w:tcW w:w="1685" w:type="dxa"/>
            <w:gridSpan w:val="2"/>
            <w:tcBorders>
              <w:top w:val="single" w:sz="6" w:space="0" w:color="auto"/>
              <w:left w:val="nil"/>
              <w:bottom w:val="single" w:sz="6" w:space="0" w:color="auto"/>
              <w:right w:val="single" w:sz="4" w:space="0" w:color="auto"/>
            </w:tcBorders>
            <w:shd w:val="clear" w:color="auto" w:fill="BDD7EE"/>
            <w:vAlign w:val="center"/>
            <w:hideMark/>
          </w:tcPr>
          <w:p w14:paraId="6A0A934B" w14:textId="3B968B46" w:rsidR="00FA7C11" w:rsidRDefault="00D84965">
            <w:pPr>
              <w:pStyle w:val="P68B1DB1-Normal58"/>
              <w:spacing w:after="0" w:line="240" w:lineRule="auto"/>
              <w:jc w:val="center"/>
              <w:textAlignment w:val="baseline"/>
              <w:rPr>
                <w:noProof/>
              </w:rPr>
            </w:pPr>
            <w:r>
              <w:rPr>
                <w:noProof/>
              </w:rPr>
              <w:t xml:space="preserve">Timp </w:t>
            </w:r>
          </w:p>
        </w:tc>
        <w:tc>
          <w:tcPr>
            <w:tcW w:w="4116" w:type="dxa"/>
            <w:vMerge w:val="restart"/>
            <w:tcBorders>
              <w:top w:val="single" w:sz="4" w:space="0" w:color="auto"/>
              <w:left w:val="single" w:sz="4" w:space="0" w:color="auto"/>
              <w:right w:val="single" w:sz="4" w:space="0" w:color="auto"/>
            </w:tcBorders>
            <w:shd w:val="clear" w:color="auto" w:fill="BDD7EE"/>
            <w:vAlign w:val="center"/>
            <w:hideMark/>
          </w:tcPr>
          <w:p w14:paraId="32C19E15" w14:textId="77777777" w:rsidR="00FA7C11" w:rsidRDefault="00D84965">
            <w:pPr>
              <w:pStyle w:val="P68B1DB1-Normal76"/>
              <w:spacing w:after="0" w:line="240" w:lineRule="auto"/>
              <w:jc w:val="center"/>
              <w:textAlignment w:val="baseline"/>
              <w:rPr>
                <w:noProof/>
              </w:rPr>
            </w:pPr>
            <w:r>
              <w:rPr>
                <w:b/>
                <w:noProof/>
              </w:rPr>
              <w:t>Descrierea fiecărui jalon și a fiecărei ținte</w:t>
            </w:r>
            <w:r>
              <w:rPr>
                <w:noProof/>
              </w:rPr>
              <w:t> </w:t>
            </w:r>
          </w:p>
        </w:tc>
      </w:tr>
      <w:tr w:rsidR="00FA7C11" w14:paraId="0F8E95FB" w14:textId="77777777">
        <w:trPr>
          <w:trHeight w:val="589"/>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9B36975" w14:textId="77777777" w:rsidR="00FA7C11" w:rsidRDefault="00FA7C11">
            <w:pPr>
              <w:spacing w:after="0" w:line="240" w:lineRule="auto"/>
              <w:rPr>
                <w:rFonts w:ascii="Times New Roman" w:eastAsia="Times New Roman" w:hAnsi="Times New Roman" w:cs="Times New Roman"/>
                <w:noProof/>
                <w:sz w:val="20"/>
                <w:szCs w:val="20"/>
              </w:rPr>
            </w:pPr>
          </w:p>
        </w:tc>
        <w:tc>
          <w:tcPr>
            <w:tcW w:w="1488" w:type="dxa"/>
            <w:vMerge/>
            <w:tcBorders>
              <w:top w:val="single" w:sz="4" w:space="0" w:color="auto"/>
              <w:left w:val="single" w:sz="4" w:space="0" w:color="auto"/>
              <w:bottom w:val="single" w:sz="4" w:space="0" w:color="auto"/>
              <w:right w:val="single" w:sz="4" w:space="0" w:color="auto"/>
            </w:tcBorders>
            <w:vAlign w:val="center"/>
            <w:hideMark/>
          </w:tcPr>
          <w:p w14:paraId="72E1A89C" w14:textId="77777777" w:rsidR="00FA7C11" w:rsidRDefault="00FA7C11">
            <w:pPr>
              <w:spacing w:after="0" w:line="240" w:lineRule="auto"/>
              <w:rPr>
                <w:rFonts w:ascii="Times New Roman" w:eastAsia="Times New Roman" w:hAnsi="Times New Roman" w:cs="Times New Roman"/>
                <w:noProof/>
                <w:sz w:val="20"/>
                <w:szCs w:val="20"/>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560E534B" w14:textId="77777777" w:rsidR="00FA7C11" w:rsidRDefault="00FA7C11">
            <w:pPr>
              <w:spacing w:after="0" w:line="240" w:lineRule="auto"/>
              <w:rPr>
                <w:rFonts w:ascii="Times New Roman" w:eastAsia="Times New Roman" w:hAnsi="Times New Roman" w:cs="Times New Roman"/>
                <w:noProof/>
                <w:sz w:val="20"/>
                <w:szCs w:val="20"/>
              </w:rPr>
            </w:pPr>
          </w:p>
        </w:tc>
        <w:tc>
          <w:tcPr>
            <w:tcW w:w="1895" w:type="dxa"/>
            <w:vMerge/>
            <w:tcBorders>
              <w:top w:val="single" w:sz="4" w:space="0" w:color="auto"/>
              <w:left w:val="single" w:sz="4" w:space="0" w:color="auto"/>
              <w:bottom w:val="single" w:sz="4" w:space="0" w:color="auto"/>
              <w:right w:val="single" w:sz="4" w:space="0" w:color="auto"/>
            </w:tcBorders>
            <w:vAlign w:val="center"/>
            <w:hideMark/>
          </w:tcPr>
          <w:p w14:paraId="7E9E505D" w14:textId="77777777" w:rsidR="00FA7C11" w:rsidRDefault="00FA7C11">
            <w:pPr>
              <w:spacing w:after="0" w:line="240" w:lineRule="auto"/>
              <w:rPr>
                <w:rFonts w:ascii="Times New Roman" w:eastAsia="Times New Roman" w:hAnsi="Times New Roman" w:cs="Times New Roman"/>
                <w:noProof/>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A7E041C" w14:textId="77777777" w:rsidR="00FA7C11" w:rsidRDefault="00FA7C11">
            <w:pPr>
              <w:spacing w:after="0" w:line="240" w:lineRule="auto"/>
              <w:rPr>
                <w:rFonts w:ascii="Times New Roman" w:eastAsia="Times New Roman" w:hAnsi="Times New Roman" w:cs="Times New Roman"/>
                <w:noProof/>
                <w:sz w:val="20"/>
                <w:szCs w:val="20"/>
              </w:rPr>
            </w:pPr>
          </w:p>
        </w:tc>
        <w:tc>
          <w:tcPr>
            <w:tcW w:w="993" w:type="dxa"/>
            <w:tcBorders>
              <w:top w:val="nil"/>
              <w:left w:val="single" w:sz="4" w:space="0" w:color="auto"/>
              <w:bottom w:val="single" w:sz="4" w:space="0" w:color="auto"/>
              <w:right w:val="single" w:sz="6" w:space="0" w:color="auto"/>
            </w:tcBorders>
            <w:shd w:val="clear" w:color="auto" w:fill="BDD7EE"/>
            <w:vAlign w:val="center"/>
            <w:hideMark/>
          </w:tcPr>
          <w:p w14:paraId="6F70779E" w14:textId="77777777" w:rsidR="00FA7C11" w:rsidRDefault="00D84965">
            <w:pPr>
              <w:pStyle w:val="P68B1DB1-Normal76"/>
              <w:spacing w:after="0" w:line="240" w:lineRule="auto"/>
              <w:jc w:val="center"/>
              <w:textAlignment w:val="baseline"/>
              <w:rPr>
                <w:noProof/>
              </w:rPr>
            </w:pPr>
            <w:r>
              <w:rPr>
                <w:b/>
                <w:noProof/>
              </w:rPr>
              <w:t>Unitate</w:t>
            </w:r>
            <w:r>
              <w:rPr>
                <w:noProof/>
              </w:rPr>
              <w:t> </w:t>
            </w:r>
          </w:p>
        </w:tc>
        <w:tc>
          <w:tcPr>
            <w:tcW w:w="850" w:type="dxa"/>
            <w:tcBorders>
              <w:top w:val="nil"/>
              <w:left w:val="nil"/>
              <w:bottom w:val="single" w:sz="6" w:space="0" w:color="auto"/>
              <w:right w:val="single" w:sz="6" w:space="0" w:color="auto"/>
            </w:tcBorders>
            <w:shd w:val="clear" w:color="auto" w:fill="BDD7EE"/>
            <w:vAlign w:val="center"/>
            <w:hideMark/>
          </w:tcPr>
          <w:p w14:paraId="48A9D33F" w14:textId="0D08BE56" w:rsidR="00FA7C11" w:rsidRDefault="00D84965">
            <w:pPr>
              <w:pStyle w:val="P68B1DB1-Normal58"/>
              <w:spacing w:after="0" w:line="240" w:lineRule="auto"/>
              <w:jc w:val="center"/>
              <w:textAlignment w:val="baseline"/>
              <w:rPr>
                <w:noProof/>
              </w:rPr>
            </w:pPr>
            <w:r>
              <w:rPr>
                <w:noProof/>
              </w:rPr>
              <w:t xml:space="preserve">Situația de referință </w:t>
            </w:r>
          </w:p>
        </w:tc>
        <w:tc>
          <w:tcPr>
            <w:tcW w:w="851" w:type="dxa"/>
            <w:tcBorders>
              <w:top w:val="nil"/>
              <w:left w:val="nil"/>
              <w:bottom w:val="single" w:sz="6" w:space="0" w:color="auto"/>
              <w:right w:val="single" w:sz="6" w:space="0" w:color="auto"/>
            </w:tcBorders>
            <w:shd w:val="clear" w:color="auto" w:fill="BDD7EE"/>
            <w:vAlign w:val="center"/>
            <w:hideMark/>
          </w:tcPr>
          <w:p w14:paraId="3619F2A0" w14:textId="31E3B021" w:rsidR="00FA7C11" w:rsidRDefault="00D84965">
            <w:pPr>
              <w:pStyle w:val="P68B1DB1-Normal58"/>
              <w:spacing w:after="0" w:line="240" w:lineRule="auto"/>
              <w:jc w:val="center"/>
              <w:textAlignment w:val="baseline"/>
              <w:rPr>
                <w:noProof/>
              </w:rPr>
            </w:pPr>
            <w:r>
              <w:rPr>
                <w:noProof/>
              </w:rPr>
              <w:t xml:space="preserve">Obiectiv </w:t>
            </w:r>
          </w:p>
        </w:tc>
        <w:tc>
          <w:tcPr>
            <w:tcW w:w="725" w:type="dxa"/>
            <w:tcBorders>
              <w:top w:val="nil"/>
              <w:left w:val="nil"/>
              <w:bottom w:val="single" w:sz="6" w:space="0" w:color="auto"/>
              <w:right w:val="single" w:sz="6" w:space="0" w:color="auto"/>
            </w:tcBorders>
            <w:shd w:val="clear" w:color="auto" w:fill="BDD7EE"/>
            <w:vAlign w:val="center"/>
            <w:hideMark/>
          </w:tcPr>
          <w:p w14:paraId="1C7DBCB1" w14:textId="77777777" w:rsidR="00FA7C11" w:rsidRDefault="00D84965">
            <w:pPr>
              <w:pStyle w:val="P68B1DB1-Normal76"/>
              <w:spacing w:after="0" w:line="240" w:lineRule="auto"/>
              <w:jc w:val="center"/>
              <w:textAlignment w:val="baseline"/>
              <w:rPr>
                <w:noProof/>
              </w:rPr>
            </w:pPr>
            <w:r>
              <w:rPr>
                <w:b/>
                <w:noProof/>
              </w:rPr>
              <w:t>Trimestru</w:t>
            </w:r>
            <w:r>
              <w:rPr>
                <w:noProof/>
              </w:rPr>
              <w:t> </w:t>
            </w:r>
          </w:p>
        </w:tc>
        <w:tc>
          <w:tcPr>
            <w:tcW w:w="960" w:type="dxa"/>
            <w:tcBorders>
              <w:top w:val="nil"/>
              <w:left w:val="nil"/>
              <w:bottom w:val="single" w:sz="6" w:space="0" w:color="auto"/>
              <w:right w:val="single" w:sz="4" w:space="0" w:color="auto"/>
            </w:tcBorders>
            <w:shd w:val="clear" w:color="auto" w:fill="BDD7EE"/>
            <w:vAlign w:val="center"/>
            <w:hideMark/>
          </w:tcPr>
          <w:p w14:paraId="1EBCA09A" w14:textId="77777777" w:rsidR="00FA7C11" w:rsidRDefault="00D84965">
            <w:pPr>
              <w:pStyle w:val="P68B1DB1-Normal76"/>
              <w:spacing w:after="0" w:line="240" w:lineRule="auto"/>
              <w:jc w:val="center"/>
              <w:textAlignment w:val="baseline"/>
              <w:rPr>
                <w:noProof/>
              </w:rPr>
            </w:pPr>
            <w:r>
              <w:rPr>
                <w:b/>
                <w:noProof/>
              </w:rPr>
              <w:t>Anul</w:t>
            </w:r>
            <w:r>
              <w:rPr>
                <w:noProof/>
              </w:rPr>
              <w:t> </w:t>
            </w:r>
          </w:p>
        </w:tc>
        <w:tc>
          <w:tcPr>
            <w:tcW w:w="4116" w:type="dxa"/>
            <w:vMerge/>
            <w:vAlign w:val="center"/>
            <w:hideMark/>
          </w:tcPr>
          <w:p w14:paraId="456A06AB" w14:textId="77777777" w:rsidR="00FA7C11" w:rsidRDefault="00FA7C11">
            <w:pPr>
              <w:spacing w:after="0" w:line="240" w:lineRule="auto"/>
              <w:rPr>
                <w:rFonts w:ascii="Times New Roman" w:eastAsia="Times New Roman" w:hAnsi="Times New Roman" w:cs="Times New Roman"/>
                <w:noProof/>
                <w:sz w:val="20"/>
                <w:szCs w:val="20"/>
              </w:rPr>
            </w:pPr>
          </w:p>
        </w:tc>
      </w:tr>
      <w:tr w:rsidR="00FA7C11" w14:paraId="774C4BD2" w14:textId="77777777">
        <w:trPr>
          <w:trHeight w:val="301"/>
        </w:trPr>
        <w:tc>
          <w:tcPr>
            <w:tcW w:w="846" w:type="dxa"/>
            <w:tcBorders>
              <w:top w:val="single" w:sz="4" w:space="0" w:color="auto"/>
              <w:left w:val="single" w:sz="6" w:space="0" w:color="auto"/>
              <w:bottom w:val="single" w:sz="6" w:space="0" w:color="auto"/>
              <w:right w:val="single" w:sz="6" w:space="0" w:color="auto"/>
            </w:tcBorders>
            <w:shd w:val="clear" w:color="auto" w:fill="C6EFCE"/>
            <w:hideMark/>
          </w:tcPr>
          <w:p w14:paraId="6C1C7913" w14:textId="77777777" w:rsidR="00FA7C11" w:rsidRDefault="00D84965">
            <w:pPr>
              <w:pStyle w:val="P68B1DB1-Normal76"/>
              <w:spacing w:after="0" w:line="240" w:lineRule="auto"/>
              <w:jc w:val="center"/>
              <w:textAlignment w:val="baseline"/>
              <w:rPr>
                <w:noProof/>
              </w:rPr>
            </w:pPr>
            <w:r>
              <w:rPr>
                <w:noProof/>
              </w:rPr>
              <w:t>402</w:t>
            </w:r>
          </w:p>
        </w:tc>
        <w:tc>
          <w:tcPr>
            <w:tcW w:w="1488" w:type="dxa"/>
            <w:tcBorders>
              <w:top w:val="single" w:sz="4" w:space="0" w:color="auto"/>
              <w:left w:val="nil"/>
              <w:bottom w:val="single" w:sz="6" w:space="0" w:color="auto"/>
              <w:right w:val="single" w:sz="6" w:space="0" w:color="auto"/>
            </w:tcBorders>
            <w:shd w:val="clear" w:color="auto" w:fill="C6EFCE"/>
            <w:hideMark/>
          </w:tcPr>
          <w:p w14:paraId="1B5DC544" w14:textId="77777777" w:rsidR="00FA7C11" w:rsidRDefault="00D84965">
            <w:pPr>
              <w:pStyle w:val="P68B1DB1-Normal76"/>
              <w:spacing w:after="0" w:line="240" w:lineRule="auto"/>
              <w:jc w:val="center"/>
              <w:textAlignment w:val="baseline"/>
              <w:rPr>
                <w:noProof/>
              </w:rPr>
            </w:pPr>
            <w:r>
              <w:rPr>
                <w:noProof/>
              </w:rPr>
              <w:t>C6.1. R7</w:t>
            </w:r>
          </w:p>
          <w:p w14:paraId="776582D0" w14:textId="77777777" w:rsidR="00FA7C11" w:rsidRDefault="00FA7C11">
            <w:pPr>
              <w:spacing w:after="0" w:line="240" w:lineRule="auto"/>
              <w:jc w:val="center"/>
              <w:textAlignment w:val="baseline"/>
              <w:rPr>
                <w:rFonts w:ascii="Times New Roman" w:eastAsia="Times New Roman" w:hAnsi="Times New Roman" w:cs="Times New Roman"/>
                <w:noProof/>
                <w:sz w:val="20"/>
                <w:szCs w:val="20"/>
              </w:rPr>
            </w:pPr>
          </w:p>
        </w:tc>
        <w:tc>
          <w:tcPr>
            <w:tcW w:w="1021" w:type="dxa"/>
            <w:tcBorders>
              <w:top w:val="single" w:sz="4" w:space="0" w:color="auto"/>
              <w:left w:val="nil"/>
              <w:bottom w:val="single" w:sz="6" w:space="0" w:color="auto"/>
              <w:right w:val="single" w:sz="6" w:space="0" w:color="auto"/>
            </w:tcBorders>
            <w:shd w:val="clear" w:color="auto" w:fill="C6EFCE"/>
          </w:tcPr>
          <w:p w14:paraId="0C585FD9" w14:textId="77777777" w:rsidR="00FA7C11" w:rsidRDefault="00D84965">
            <w:pPr>
              <w:pStyle w:val="P68B1DB1-Normal76"/>
              <w:spacing w:after="0" w:line="240" w:lineRule="auto"/>
              <w:jc w:val="center"/>
              <w:textAlignment w:val="baseline"/>
              <w:rPr>
                <w:noProof/>
              </w:rPr>
            </w:pPr>
            <w:r>
              <w:rPr>
                <w:noProof/>
              </w:rPr>
              <w:t>M</w:t>
            </w:r>
          </w:p>
        </w:tc>
        <w:tc>
          <w:tcPr>
            <w:tcW w:w="1895" w:type="dxa"/>
            <w:tcBorders>
              <w:top w:val="single" w:sz="4" w:space="0" w:color="auto"/>
              <w:left w:val="nil"/>
              <w:bottom w:val="single" w:sz="6" w:space="0" w:color="auto"/>
              <w:right w:val="single" w:sz="6" w:space="0" w:color="auto"/>
            </w:tcBorders>
            <w:shd w:val="clear" w:color="auto" w:fill="C6EFCE"/>
          </w:tcPr>
          <w:p w14:paraId="3561CC18" w14:textId="278EFBCE" w:rsidR="00FA7C11" w:rsidRDefault="00D84965">
            <w:pPr>
              <w:pStyle w:val="P68B1DB1-Normal76"/>
              <w:spacing w:after="0" w:line="240" w:lineRule="auto"/>
              <w:textAlignment w:val="baseline"/>
              <w:rPr>
                <w:b/>
                <w:bCs/>
                <w:noProof/>
              </w:rPr>
            </w:pPr>
            <w:r>
              <w:rPr>
                <w:noProof/>
              </w:rPr>
              <w:t xml:space="preserve">Acorduri semnate privind punerea în aplicare a proiectelor-pilot </w:t>
            </w:r>
          </w:p>
        </w:tc>
        <w:tc>
          <w:tcPr>
            <w:tcW w:w="2126" w:type="dxa"/>
            <w:tcBorders>
              <w:top w:val="single" w:sz="4" w:space="0" w:color="auto"/>
              <w:left w:val="nil"/>
              <w:bottom w:val="single" w:sz="6" w:space="0" w:color="auto"/>
              <w:right w:val="single" w:sz="4" w:space="0" w:color="auto"/>
            </w:tcBorders>
            <w:shd w:val="clear" w:color="auto" w:fill="C6EFCE"/>
          </w:tcPr>
          <w:p w14:paraId="03DF7A68" w14:textId="77777777" w:rsidR="00FA7C11" w:rsidRDefault="00D84965">
            <w:pPr>
              <w:pStyle w:val="P68B1DB1-Normal76"/>
              <w:spacing w:after="0" w:line="240" w:lineRule="auto"/>
              <w:textAlignment w:val="baseline"/>
              <w:rPr>
                <w:noProof/>
              </w:rPr>
            </w:pPr>
            <w:r>
              <w:rPr>
                <w:noProof/>
              </w:rPr>
              <w:t xml:space="preserve">Acorduri semnate pentru punerea în aplicare a proiectelor-pilot </w:t>
            </w:r>
          </w:p>
        </w:tc>
        <w:tc>
          <w:tcPr>
            <w:tcW w:w="993" w:type="dxa"/>
            <w:tcBorders>
              <w:top w:val="single" w:sz="4" w:space="0" w:color="auto"/>
              <w:left w:val="single" w:sz="4" w:space="0" w:color="auto"/>
              <w:bottom w:val="single" w:sz="4" w:space="0" w:color="auto"/>
              <w:right w:val="single" w:sz="4" w:space="0" w:color="auto"/>
            </w:tcBorders>
            <w:shd w:val="clear" w:color="auto" w:fill="C6EFCE"/>
            <w:hideMark/>
          </w:tcPr>
          <w:p w14:paraId="2F679869" w14:textId="77777777" w:rsidR="00FA7C11" w:rsidRDefault="00FA7C11">
            <w:pPr>
              <w:spacing w:after="0" w:line="240" w:lineRule="auto"/>
              <w:jc w:val="center"/>
              <w:textAlignment w:val="baseline"/>
              <w:rPr>
                <w:rFonts w:ascii="Times New Roman" w:eastAsia="Times New Roman" w:hAnsi="Times New Roman" w:cs="Times New Roman"/>
                <w:noProof/>
                <w:sz w:val="20"/>
                <w:szCs w:val="20"/>
              </w:rPr>
            </w:pPr>
          </w:p>
        </w:tc>
        <w:tc>
          <w:tcPr>
            <w:tcW w:w="850" w:type="dxa"/>
            <w:tcBorders>
              <w:top w:val="nil"/>
              <w:left w:val="single" w:sz="4" w:space="0" w:color="auto"/>
              <w:bottom w:val="single" w:sz="6" w:space="0" w:color="auto"/>
              <w:right w:val="single" w:sz="6" w:space="0" w:color="auto"/>
            </w:tcBorders>
            <w:shd w:val="clear" w:color="auto" w:fill="C6EFCE"/>
            <w:hideMark/>
          </w:tcPr>
          <w:p w14:paraId="344EC990" w14:textId="77777777" w:rsidR="00FA7C11" w:rsidRDefault="00FA7C11">
            <w:pPr>
              <w:spacing w:after="0" w:line="240" w:lineRule="auto"/>
              <w:jc w:val="center"/>
              <w:textAlignment w:val="baseline"/>
              <w:rPr>
                <w:rFonts w:ascii="Times New Roman" w:eastAsia="Times New Roman" w:hAnsi="Times New Roman" w:cs="Times New Roman"/>
                <w:noProof/>
                <w:sz w:val="20"/>
                <w:szCs w:val="20"/>
              </w:rPr>
            </w:pPr>
          </w:p>
        </w:tc>
        <w:tc>
          <w:tcPr>
            <w:tcW w:w="851" w:type="dxa"/>
            <w:tcBorders>
              <w:top w:val="nil"/>
              <w:left w:val="nil"/>
              <w:bottom w:val="single" w:sz="6" w:space="0" w:color="auto"/>
              <w:right w:val="single" w:sz="6" w:space="0" w:color="auto"/>
            </w:tcBorders>
            <w:shd w:val="clear" w:color="auto" w:fill="C6EFCE"/>
            <w:hideMark/>
          </w:tcPr>
          <w:p w14:paraId="4D9775D9" w14:textId="77777777" w:rsidR="00FA7C11" w:rsidRDefault="00FA7C11">
            <w:pPr>
              <w:spacing w:after="0" w:line="240" w:lineRule="auto"/>
              <w:jc w:val="center"/>
              <w:textAlignment w:val="baseline"/>
              <w:rPr>
                <w:rFonts w:ascii="Times New Roman" w:eastAsia="Times New Roman" w:hAnsi="Times New Roman" w:cs="Times New Roman"/>
                <w:noProof/>
                <w:sz w:val="20"/>
                <w:szCs w:val="20"/>
              </w:rPr>
            </w:pPr>
          </w:p>
        </w:tc>
        <w:tc>
          <w:tcPr>
            <w:tcW w:w="725" w:type="dxa"/>
            <w:tcBorders>
              <w:top w:val="nil"/>
              <w:left w:val="nil"/>
              <w:bottom w:val="single" w:sz="6" w:space="0" w:color="auto"/>
              <w:right w:val="single" w:sz="6" w:space="0" w:color="auto"/>
            </w:tcBorders>
            <w:shd w:val="clear" w:color="auto" w:fill="C6EFCE"/>
            <w:hideMark/>
          </w:tcPr>
          <w:p w14:paraId="4690EC2F" w14:textId="77777777" w:rsidR="00FA7C11" w:rsidRDefault="00D84965">
            <w:pPr>
              <w:pStyle w:val="P68B1DB1-Normal76"/>
              <w:spacing w:after="0" w:line="240" w:lineRule="auto"/>
              <w:jc w:val="center"/>
              <w:textAlignment w:val="baseline"/>
              <w:rPr>
                <w:noProof/>
              </w:rPr>
            </w:pPr>
            <w:r>
              <w:rPr>
                <w:noProof/>
              </w:rPr>
              <w:t>Î3</w:t>
            </w:r>
          </w:p>
        </w:tc>
        <w:tc>
          <w:tcPr>
            <w:tcW w:w="960" w:type="dxa"/>
            <w:tcBorders>
              <w:top w:val="nil"/>
              <w:left w:val="nil"/>
              <w:bottom w:val="single" w:sz="6" w:space="0" w:color="auto"/>
              <w:right w:val="single" w:sz="6" w:space="0" w:color="auto"/>
            </w:tcBorders>
            <w:shd w:val="clear" w:color="auto" w:fill="C6EFCE"/>
            <w:hideMark/>
          </w:tcPr>
          <w:p w14:paraId="40C1A58F" w14:textId="77777777" w:rsidR="00FA7C11" w:rsidRDefault="00D84965">
            <w:pPr>
              <w:pStyle w:val="P68B1DB1-Normal76"/>
              <w:spacing w:after="0" w:line="240" w:lineRule="auto"/>
              <w:jc w:val="center"/>
              <w:textAlignment w:val="baseline"/>
              <w:rPr>
                <w:noProof/>
              </w:rPr>
            </w:pPr>
            <w:r>
              <w:rPr>
                <w:noProof/>
              </w:rPr>
              <w:t>2024</w:t>
            </w:r>
          </w:p>
        </w:tc>
        <w:tc>
          <w:tcPr>
            <w:tcW w:w="4116" w:type="dxa"/>
            <w:tcBorders>
              <w:top w:val="single" w:sz="4" w:space="0" w:color="auto"/>
              <w:left w:val="nil"/>
              <w:bottom w:val="single" w:sz="6" w:space="0" w:color="auto"/>
              <w:right w:val="single" w:sz="6" w:space="0" w:color="auto"/>
            </w:tcBorders>
            <w:shd w:val="clear" w:color="auto" w:fill="C6EFCE"/>
            <w:hideMark/>
          </w:tcPr>
          <w:p w14:paraId="5FF93AA9" w14:textId="77777777" w:rsidR="00FA7C11" w:rsidRDefault="00D84965">
            <w:pPr>
              <w:pStyle w:val="P68B1DB1-Normal76"/>
              <w:spacing w:after="0" w:line="240" w:lineRule="auto"/>
              <w:textAlignment w:val="baseline"/>
              <w:rPr>
                <w:noProof/>
              </w:rPr>
            </w:pPr>
            <w:r>
              <w:rPr>
                <w:noProof/>
              </w:rPr>
              <w:t>Acordurile pentru punerea în aplicare a proiectelor-pilot se semnează cu unitățile locale autonome.</w:t>
            </w:r>
          </w:p>
        </w:tc>
      </w:tr>
      <w:tr w:rsidR="00FA7C11" w14:paraId="1AA53B77" w14:textId="77777777">
        <w:trPr>
          <w:trHeight w:val="301"/>
        </w:trPr>
        <w:tc>
          <w:tcPr>
            <w:tcW w:w="846" w:type="dxa"/>
            <w:tcBorders>
              <w:top w:val="nil"/>
              <w:left w:val="single" w:sz="6" w:space="0" w:color="auto"/>
              <w:bottom w:val="single" w:sz="6" w:space="0" w:color="auto"/>
              <w:right w:val="single" w:sz="6" w:space="0" w:color="auto"/>
            </w:tcBorders>
            <w:shd w:val="clear" w:color="auto" w:fill="C6EFCE"/>
            <w:hideMark/>
          </w:tcPr>
          <w:p w14:paraId="45059CBE" w14:textId="77777777" w:rsidR="00FA7C11" w:rsidRDefault="00D84965">
            <w:pPr>
              <w:pStyle w:val="P68B1DB1-Normal76"/>
              <w:spacing w:after="0" w:line="240" w:lineRule="auto"/>
              <w:jc w:val="center"/>
              <w:textAlignment w:val="baseline"/>
              <w:rPr>
                <w:noProof/>
              </w:rPr>
            </w:pPr>
            <w:r>
              <w:rPr>
                <w:noProof/>
              </w:rPr>
              <w:t>403</w:t>
            </w:r>
          </w:p>
        </w:tc>
        <w:tc>
          <w:tcPr>
            <w:tcW w:w="1488" w:type="dxa"/>
            <w:tcBorders>
              <w:top w:val="nil"/>
              <w:left w:val="nil"/>
              <w:bottom w:val="single" w:sz="6" w:space="0" w:color="auto"/>
              <w:right w:val="single" w:sz="6" w:space="0" w:color="auto"/>
            </w:tcBorders>
            <w:shd w:val="clear" w:color="auto" w:fill="C6EFCE"/>
            <w:hideMark/>
          </w:tcPr>
          <w:p w14:paraId="035AFCC5" w14:textId="77777777" w:rsidR="00FA7C11" w:rsidRDefault="00D84965">
            <w:pPr>
              <w:pStyle w:val="P68B1DB1-Normal76"/>
              <w:spacing w:after="0" w:line="240" w:lineRule="auto"/>
              <w:jc w:val="center"/>
              <w:textAlignment w:val="baseline"/>
              <w:rPr>
                <w:noProof/>
              </w:rPr>
            </w:pPr>
            <w:r>
              <w:rPr>
                <w:noProof/>
              </w:rPr>
              <w:t>C6.1. R7</w:t>
            </w:r>
          </w:p>
          <w:p w14:paraId="549FB994" w14:textId="77777777" w:rsidR="00FA7C11" w:rsidRDefault="00FA7C11">
            <w:pPr>
              <w:spacing w:after="0" w:line="240" w:lineRule="auto"/>
              <w:jc w:val="center"/>
              <w:textAlignment w:val="baseline"/>
              <w:rPr>
                <w:rFonts w:ascii="Times New Roman" w:eastAsia="Times New Roman" w:hAnsi="Times New Roman" w:cs="Times New Roman"/>
                <w:noProof/>
                <w:sz w:val="20"/>
                <w:szCs w:val="20"/>
              </w:rPr>
            </w:pPr>
          </w:p>
        </w:tc>
        <w:tc>
          <w:tcPr>
            <w:tcW w:w="1021" w:type="dxa"/>
            <w:tcBorders>
              <w:top w:val="nil"/>
              <w:left w:val="nil"/>
              <w:bottom w:val="single" w:sz="6" w:space="0" w:color="auto"/>
              <w:right w:val="single" w:sz="6" w:space="0" w:color="auto"/>
            </w:tcBorders>
            <w:shd w:val="clear" w:color="auto" w:fill="C6EFCE"/>
            <w:hideMark/>
          </w:tcPr>
          <w:p w14:paraId="0E9F3C75" w14:textId="77777777" w:rsidR="00FA7C11" w:rsidRDefault="00D84965">
            <w:pPr>
              <w:pStyle w:val="P68B1DB1-Normal76"/>
              <w:spacing w:after="0" w:line="240" w:lineRule="auto"/>
              <w:jc w:val="center"/>
              <w:textAlignment w:val="baseline"/>
              <w:rPr>
                <w:noProof/>
              </w:rPr>
            </w:pPr>
            <w:r>
              <w:rPr>
                <w:noProof/>
              </w:rPr>
              <w:t>T</w:t>
            </w:r>
          </w:p>
        </w:tc>
        <w:tc>
          <w:tcPr>
            <w:tcW w:w="1895" w:type="dxa"/>
            <w:tcBorders>
              <w:top w:val="nil"/>
              <w:left w:val="nil"/>
              <w:bottom w:val="single" w:sz="6" w:space="0" w:color="auto"/>
              <w:right w:val="single" w:sz="6" w:space="0" w:color="auto"/>
            </w:tcBorders>
            <w:shd w:val="clear" w:color="auto" w:fill="C6EFCE"/>
            <w:hideMark/>
          </w:tcPr>
          <w:p w14:paraId="0DDF183E" w14:textId="77777777" w:rsidR="00FA7C11" w:rsidRDefault="00D84965">
            <w:pPr>
              <w:pStyle w:val="P68B1DB1-Normal76"/>
              <w:spacing w:after="0" w:line="240" w:lineRule="auto"/>
              <w:textAlignment w:val="baseline"/>
              <w:rPr>
                <w:noProof/>
              </w:rPr>
            </w:pPr>
            <w:r>
              <w:rPr>
                <w:noProof/>
              </w:rPr>
              <w:t>Proiecte-pilot finalizate</w:t>
            </w:r>
          </w:p>
        </w:tc>
        <w:tc>
          <w:tcPr>
            <w:tcW w:w="2126" w:type="dxa"/>
            <w:tcBorders>
              <w:top w:val="nil"/>
              <w:left w:val="nil"/>
              <w:bottom w:val="single" w:sz="6" w:space="0" w:color="auto"/>
              <w:right w:val="single" w:sz="6" w:space="0" w:color="auto"/>
            </w:tcBorders>
            <w:shd w:val="clear" w:color="auto" w:fill="C6EFCE"/>
            <w:hideMark/>
          </w:tcPr>
          <w:p w14:paraId="42B1BDCB" w14:textId="77777777" w:rsidR="00FA7C11" w:rsidRDefault="00D84965">
            <w:pPr>
              <w:pStyle w:val="P68B1DB1-Normal76"/>
              <w:spacing w:after="0" w:line="240" w:lineRule="auto"/>
              <w:textAlignment w:val="baseline"/>
              <w:rPr>
                <w:noProof/>
              </w:rPr>
            </w:pPr>
            <w:r>
              <w:rPr>
                <w:noProof/>
              </w:rPr>
              <w:t xml:space="preserve"> Finalizarea proiectelor-pilot cu amplasamente de infrastructură echipate și operaționale.</w:t>
            </w:r>
          </w:p>
        </w:tc>
        <w:tc>
          <w:tcPr>
            <w:tcW w:w="993" w:type="dxa"/>
            <w:tcBorders>
              <w:top w:val="single" w:sz="4" w:space="0" w:color="auto"/>
              <w:left w:val="nil"/>
              <w:bottom w:val="single" w:sz="6" w:space="0" w:color="auto"/>
              <w:right w:val="single" w:sz="6" w:space="0" w:color="auto"/>
            </w:tcBorders>
            <w:shd w:val="clear" w:color="auto" w:fill="C6EFCE"/>
            <w:hideMark/>
          </w:tcPr>
          <w:p w14:paraId="37CAE239" w14:textId="77777777" w:rsidR="00FA7C11" w:rsidRDefault="00D84965">
            <w:pPr>
              <w:pStyle w:val="P68B1DB1-Normal76"/>
              <w:spacing w:after="0" w:line="240" w:lineRule="auto"/>
              <w:jc w:val="center"/>
              <w:textAlignment w:val="baseline"/>
              <w:rPr>
                <w:noProof/>
              </w:rPr>
            </w:pPr>
            <w:r>
              <w:rPr>
                <w:noProof/>
              </w:rPr>
              <w:t>Număr</w:t>
            </w:r>
          </w:p>
        </w:tc>
        <w:tc>
          <w:tcPr>
            <w:tcW w:w="850" w:type="dxa"/>
            <w:tcBorders>
              <w:top w:val="nil"/>
              <w:left w:val="nil"/>
              <w:bottom w:val="single" w:sz="6" w:space="0" w:color="auto"/>
              <w:right w:val="single" w:sz="6" w:space="0" w:color="auto"/>
            </w:tcBorders>
            <w:shd w:val="clear" w:color="auto" w:fill="C6EFCE"/>
            <w:hideMark/>
          </w:tcPr>
          <w:p w14:paraId="7D557780" w14:textId="77777777" w:rsidR="00FA7C11" w:rsidRDefault="00D84965">
            <w:pPr>
              <w:pStyle w:val="P68B1DB1-Normal76"/>
              <w:spacing w:after="0" w:line="240" w:lineRule="auto"/>
              <w:jc w:val="center"/>
              <w:textAlignment w:val="baseline"/>
              <w:rPr>
                <w:noProof/>
              </w:rPr>
            </w:pPr>
            <w:r>
              <w:rPr>
                <w:noProof/>
              </w:rPr>
              <w:t>0</w:t>
            </w:r>
          </w:p>
        </w:tc>
        <w:tc>
          <w:tcPr>
            <w:tcW w:w="851" w:type="dxa"/>
            <w:tcBorders>
              <w:top w:val="nil"/>
              <w:left w:val="nil"/>
              <w:bottom w:val="single" w:sz="6" w:space="0" w:color="auto"/>
              <w:right w:val="single" w:sz="6" w:space="0" w:color="auto"/>
            </w:tcBorders>
            <w:shd w:val="clear" w:color="auto" w:fill="C6EFCE"/>
            <w:hideMark/>
          </w:tcPr>
          <w:p w14:paraId="52D65EB0" w14:textId="77777777" w:rsidR="00FA7C11" w:rsidRDefault="00D84965">
            <w:pPr>
              <w:pStyle w:val="P68B1DB1-Normal76"/>
              <w:spacing w:after="0" w:line="240" w:lineRule="auto"/>
              <w:jc w:val="center"/>
              <w:textAlignment w:val="baseline"/>
              <w:rPr>
                <w:noProof/>
              </w:rPr>
            </w:pPr>
            <w:r>
              <w:rPr>
                <w:noProof/>
              </w:rPr>
              <w:t>2</w:t>
            </w:r>
          </w:p>
        </w:tc>
        <w:tc>
          <w:tcPr>
            <w:tcW w:w="725" w:type="dxa"/>
            <w:tcBorders>
              <w:top w:val="nil"/>
              <w:left w:val="nil"/>
              <w:bottom w:val="single" w:sz="6" w:space="0" w:color="auto"/>
              <w:right w:val="single" w:sz="6" w:space="0" w:color="auto"/>
            </w:tcBorders>
            <w:shd w:val="clear" w:color="auto" w:fill="C6EFCE"/>
            <w:hideMark/>
          </w:tcPr>
          <w:p w14:paraId="04FB6314" w14:textId="77777777" w:rsidR="00FA7C11" w:rsidRDefault="00D84965">
            <w:pPr>
              <w:pStyle w:val="P68B1DB1-Normal76"/>
              <w:spacing w:after="0" w:line="240" w:lineRule="auto"/>
              <w:jc w:val="center"/>
              <w:textAlignment w:val="baseline"/>
              <w:rPr>
                <w:noProof/>
              </w:rPr>
            </w:pPr>
            <w:r>
              <w:rPr>
                <w:noProof/>
              </w:rPr>
              <w:t>Î1</w:t>
            </w:r>
          </w:p>
        </w:tc>
        <w:tc>
          <w:tcPr>
            <w:tcW w:w="960" w:type="dxa"/>
            <w:tcBorders>
              <w:top w:val="nil"/>
              <w:left w:val="nil"/>
              <w:bottom w:val="single" w:sz="6" w:space="0" w:color="auto"/>
              <w:right w:val="single" w:sz="6" w:space="0" w:color="auto"/>
            </w:tcBorders>
            <w:shd w:val="clear" w:color="auto" w:fill="C6EFCE"/>
            <w:hideMark/>
          </w:tcPr>
          <w:p w14:paraId="3B14A146" w14:textId="77777777" w:rsidR="00FA7C11" w:rsidRDefault="00D84965">
            <w:pPr>
              <w:pStyle w:val="P68B1DB1-Normal76"/>
              <w:spacing w:after="0" w:line="240" w:lineRule="auto"/>
              <w:jc w:val="center"/>
              <w:textAlignment w:val="baseline"/>
              <w:rPr>
                <w:noProof/>
              </w:rPr>
            </w:pPr>
            <w:r>
              <w:rPr>
                <w:noProof/>
              </w:rPr>
              <w:t>2026</w:t>
            </w:r>
          </w:p>
        </w:tc>
        <w:tc>
          <w:tcPr>
            <w:tcW w:w="4116" w:type="dxa"/>
            <w:tcBorders>
              <w:top w:val="nil"/>
              <w:left w:val="nil"/>
              <w:bottom w:val="single" w:sz="6" w:space="0" w:color="auto"/>
              <w:right w:val="single" w:sz="6" w:space="0" w:color="auto"/>
            </w:tcBorders>
            <w:shd w:val="clear" w:color="auto" w:fill="C6EFCE"/>
            <w:hideMark/>
          </w:tcPr>
          <w:p w14:paraId="217BDE50" w14:textId="77777777" w:rsidR="00FA7C11" w:rsidRDefault="00D84965">
            <w:pPr>
              <w:pStyle w:val="P68B1DB1-Normal76"/>
              <w:spacing w:after="0" w:line="240" w:lineRule="auto"/>
              <w:textAlignment w:val="baseline"/>
              <w:rPr>
                <w:noProof/>
              </w:rPr>
            </w:pPr>
            <w:r>
              <w:rPr>
                <w:noProof/>
              </w:rPr>
              <w:t>Se vor finaliza proiecte-pilot în două unități selectate ale administrației publice locale, axate pe reutilizarea deșeurilor din construcții provenite din clădirile de patrimoniu cultural.</w:t>
            </w:r>
          </w:p>
          <w:p w14:paraId="280C5B69" w14:textId="77777777" w:rsidR="00FA7C11" w:rsidRDefault="00D84965">
            <w:pPr>
              <w:pStyle w:val="P68B1DB1-Normal76"/>
              <w:spacing w:after="0" w:line="240" w:lineRule="auto"/>
              <w:textAlignment w:val="baseline"/>
              <w:rPr>
                <w:noProof/>
              </w:rPr>
            </w:pPr>
            <w:r>
              <w:rPr>
                <w:noProof/>
              </w:rPr>
              <w:t>Două instalații de gestionare a deșeurilor din construcții sunt echipate și puse în funcțiune.</w:t>
            </w:r>
          </w:p>
          <w:p w14:paraId="7D1B9565" w14:textId="77777777" w:rsidR="00FA7C11" w:rsidRDefault="00D84965">
            <w:pPr>
              <w:pStyle w:val="P68B1DB1-Normal76"/>
              <w:spacing w:after="0" w:line="240" w:lineRule="auto"/>
              <w:textAlignment w:val="baseline"/>
              <w:rPr>
                <w:noProof/>
              </w:rPr>
            </w:pPr>
            <w:r>
              <w:rPr>
                <w:noProof/>
              </w:rPr>
              <w:t xml:space="preserve">Proiectele sunt puse în aplicare în conformitate cu principiile DNSH. </w:t>
            </w:r>
          </w:p>
          <w:p w14:paraId="263F441F" w14:textId="77777777" w:rsidR="00FA7C11" w:rsidRDefault="00D84965">
            <w:pPr>
              <w:pStyle w:val="P68B1DB1-Normal76"/>
              <w:spacing w:after="0" w:line="240" w:lineRule="auto"/>
              <w:textAlignment w:val="baseline"/>
              <w:rPr>
                <w:noProof/>
              </w:rPr>
            </w:pPr>
            <w:r>
              <w:rPr>
                <w:noProof/>
              </w:rPr>
              <w:t>În cazul achiziționării de vehicule, se acordă sprijin exclusiv pentru vehiculele cu emisii zero și/sau vehiculele hibride reîncărcabile care emit mai puțin de 50 g CO2/km sau pentru vehiculele cu destinație specială bazate pe cele mai bune tehnologii disponibile, în conformitate cu normele privind achizițiile publice.</w:t>
            </w:r>
          </w:p>
          <w:p w14:paraId="642519A0" w14:textId="77777777" w:rsidR="00FA7C11" w:rsidRDefault="00D84965">
            <w:pPr>
              <w:pStyle w:val="P68B1DB1-Normal76"/>
              <w:spacing w:after="0" w:line="240" w:lineRule="auto"/>
              <w:textAlignment w:val="baseline"/>
              <w:rPr>
                <w:noProof/>
              </w:rPr>
            </w:pPr>
            <w:r>
              <w:rPr>
                <w:noProof/>
              </w:rPr>
              <w:t xml:space="preserve">Se întocmește un inventar al clădirilor selectate cu statut de bun cultural pentru ambele unități ale administrației publice locale. </w:t>
            </w:r>
          </w:p>
          <w:p w14:paraId="7E54EA16" w14:textId="77777777" w:rsidR="00FA7C11" w:rsidRDefault="00FA7C11">
            <w:pPr>
              <w:spacing w:after="0" w:line="240" w:lineRule="auto"/>
              <w:textAlignment w:val="baseline"/>
              <w:rPr>
                <w:rFonts w:ascii="Times New Roman" w:eastAsia="Times New Roman" w:hAnsi="Times New Roman" w:cs="Times New Roman"/>
                <w:noProof/>
                <w:sz w:val="20"/>
                <w:szCs w:val="20"/>
              </w:rPr>
            </w:pPr>
          </w:p>
        </w:tc>
      </w:tr>
      <w:tr w:rsidR="00FA7C11" w14:paraId="1D5E5CA6" w14:textId="77777777">
        <w:trPr>
          <w:trHeight w:val="301"/>
        </w:trPr>
        <w:tc>
          <w:tcPr>
            <w:tcW w:w="846" w:type="dxa"/>
            <w:tcBorders>
              <w:top w:val="nil"/>
              <w:left w:val="single" w:sz="6" w:space="0" w:color="auto"/>
              <w:bottom w:val="single" w:sz="6" w:space="0" w:color="auto"/>
              <w:right w:val="single" w:sz="6" w:space="0" w:color="auto"/>
            </w:tcBorders>
            <w:shd w:val="clear" w:color="auto" w:fill="C6EFCE"/>
            <w:hideMark/>
          </w:tcPr>
          <w:p w14:paraId="4FE7063E" w14:textId="77777777" w:rsidR="00FA7C11" w:rsidRDefault="00D84965">
            <w:pPr>
              <w:pStyle w:val="P68B1DB1-Normal76"/>
              <w:spacing w:after="0" w:line="240" w:lineRule="auto"/>
              <w:jc w:val="center"/>
              <w:textAlignment w:val="baseline"/>
              <w:rPr>
                <w:noProof/>
              </w:rPr>
            </w:pPr>
            <w:r>
              <w:rPr>
                <w:noProof/>
              </w:rPr>
              <w:t> 404</w:t>
            </w:r>
          </w:p>
        </w:tc>
        <w:tc>
          <w:tcPr>
            <w:tcW w:w="1488" w:type="dxa"/>
            <w:tcBorders>
              <w:top w:val="nil"/>
              <w:left w:val="nil"/>
              <w:bottom w:val="single" w:sz="6" w:space="0" w:color="auto"/>
              <w:right w:val="single" w:sz="6" w:space="0" w:color="auto"/>
            </w:tcBorders>
            <w:shd w:val="clear" w:color="auto" w:fill="C6EFCE"/>
            <w:hideMark/>
          </w:tcPr>
          <w:p w14:paraId="6CE75356" w14:textId="77777777" w:rsidR="00FA7C11" w:rsidRDefault="00D84965">
            <w:pPr>
              <w:pStyle w:val="P68B1DB1-Normal76"/>
              <w:spacing w:after="0" w:line="240" w:lineRule="auto"/>
              <w:jc w:val="center"/>
              <w:textAlignment w:val="baseline"/>
              <w:rPr>
                <w:noProof/>
              </w:rPr>
            </w:pPr>
            <w:r>
              <w:rPr>
                <w:noProof/>
              </w:rPr>
              <w:t> C6.1. R7</w:t>
            </w:r>
          </w:p>
        </w:tc>
        <w:tc>
          <w:tcPr>
            <w:tcW w:w="1021" w:type="dxa"/>
            <w:tcBorders>
              <w:top w:val="nil"/>
              <w:left w:val="nil"/>
              <w:bottom w:val="single" w:sz="6" w:space="0" w:color="auto"/>
              <w:right w:val="single" w:sz="6" w:space="0" w:color="auto"/>
            </w:tcBorders>
            <w:shd w:val="clear" w:color="auto" w:fill="C6EFCE"/>
            <w:hideMark/>
          </w:tcPr>
          <w:p w14:paraId="0174E9C8" w14:textId="77777777" w:rsidR="00FA7C11" w:rsidRDefault="00D84965">
            <w:pPr>
              <w:pStyle w:val="P68B1DB1-Normal76"/>
              <w:spacing w:after="0" w:line="240" w:lineRule="auto"/>
              <w:jc w:val="center"/>
              <w:textAlignment w:val="baseline"/>
              <w:rPr>
                <w:noProof/>
              </w:rPr>
            </w:pPr>
            <w:r>
              <w:rPr>
                <w:noProof/>
                <w:color w:val="006100"/>
              </w:rPr>
              <w:t xml:space="preserve"> </w:t>
            </w:r>
            <w:r>
              <w:rPr>
                <w:noProof/>
              </w:rPr>
              <w:t>M</w:t>
            </w:r>
          </w:p>
        </w:tc>
        <w:tc>
          <w:tcPr>
            <w:tcW w:w="1895" w:type="dxa"/>
            <w:tcBorders>
              <w:top w:val="nil"/>
              <w:left w:val="nil"/>
              <w:bottom w:val="single" w:sz="6" w:space="0" w:color="auto"/>
              <w:right w:val="single" w:sz="6" w:space="0" w:color="auto"/>
            </w:tcBorders>
            <w:shd w:val="clear" w:color="auto" w:fill="C6EFCE"/>
            <w:hideMark/>
          </w:tcPr>
          <w:p w14:paraId="7D39418B" w14:textId="77777777" w:rsidR="00FA7C11" w:rsidRDefault="00D84965">
            <w:pPr>
              <w:pStyle w:val="P68B1DB1-Normal76"/>
              <w:spacing w:after="0" w:line="240" w:lineRule="auto"/>
              <w:textAlignment w:val="baseline"/>
              <w:rPr>
                <w:noProof/>
              </w:rPr>
            </w:pPr>
            <w:r>
              <w:rPr>
                <w:noProof/>
              </w:rPr>
              <w:t xml:space="preserve"> Orientări naționale privind utilizarea circulară a deșeurilor din construcții provenite din clădiri cu statut de bun cultural </w:t>
            </w:r>
          </w:p>
        </w:tc>
        <w:tc>
          <w:tcPr>
            <w:tcW w:w="2126" w:type="dxa"/>
            <w:tcBorders>
              <w:top w:val="nil"/>
              <w:left w:val="nil"/>
              <w:bottom w:val="single" w:sz="6" w:space="0" w:color="auto"/>
              <w:right w:val="single" w:sz="6" w:space="0" w:color="auto"/>
            </w:tcBorders>
            <w:shd w:val="clear" w:color="auto" w:fill="C6EFCE"/>
            <w:hideMark/>
          </w:tcPr>
          <w:p w14:paraId="189471ED" w14:textId="77777777" w:rsidR="00FA7C11" w:rsidRDefault="00D84965">
            <w:pPr>
              <w:pStyle w:val="P68B1DB1-Normal76"/>
              <w:spacing w:after="0" w:line="240" w:lineRule="auto"/>
              <w:textAlignment w:val="baseline"/>
              <w:rPr>
                <w:noProof/>
              </w:rPr>
            </w:pPr>
            <w:r>
              <w:rPr>
                <w:noProof/>
              </w:rPr>
              <w:t xml:space="preserve">Publicarea orientărilor naționale privind utilizarea circulară a deșeurilor din construcții din clădirile cu statut de bun cultural </w:t>
            </w:r>
          </w:p>
        </w:tc>
        <w:tc>
          <w:tcPr>
            <w:tcW w:w="993" w:type="dxa"/>
            <w:tcBorders>
              <w:top w:val="nil"/>
              <w:left w:val="nil"/>
              <w:bottom w:val="single" w:sz="6" w:space="0" w:color="auto"/>
              <w:right w:val="single" w:sz="6" w:space="0" w:color="auto"/>
            </w:tcBorders>
            <w:shd w:val="clear" w:color="auto" w:fill="C6EFCE"/>
            <w:hideMark/>
          </w:tcPr>
          <w:p w14:paraId="11E35CDA" w14:textId="77777777" w:rsidR="00FA7C11" w:rsidRDefault="00D84965">
            <w:pPr>
              <w:pStyle w:val="P68B1DB1-Normal135"/>
              <w:spacing w:after="0" w:line="240" w:lineRule="auto"/>
              <w:jc w:val="center"/>
              <w:textAlignment w:val="baseline"/>
              <w:rPr>
                <w:noProof/>
              </w:rPr>
            </w:pPr>
            <w:r>
              <w:rPr>
                <w:noProof/>
              </w:rPr>
              <w:t> </w:t>
            </w:r>
          </w:p>
        </w:tc>
        <w:tc>
          <w:tcPr>
            <w:tcW w:w="850" w:type="dxa"/>
            <w:tcBorders>
              <w:top w:val="nil"/>
              <w:left w:val="nil"/>
              <w:bottom w:val="single" w:sz="6" w:space="0" w:color="auto"/>
              <w:right w:val="single" w:sz="6" w:space="0" w:color="auto"/>
            </w:tcBorders>
            <w:shd w:val="clear" w:color="auto" w:fill="C6EFCE"/>
            <w:hideMark/>
          </w:tcPr>
          <w:p w14:paraId="5A6DE32C" w14:textId="77777777" w:rsidR="00FA7C11" w:rsidRDefault="00D84965">
            <w:pPr>
              <w:pStyle w:val="P68B1DB1-Normal76"/>
              <w:spacing w:after="0" w:line="240" w:lineRule="auto"/>
              <w:jc w:val="center"/>
              <w:textAlignment w:val="baseline"/>
              <w:rPr>
                <w:noProof/>
              </w:rPr>
            </w:pPr>
            <w:r>
              <w:rPr>
                <w:noProof/>
              </w:rPr>
              <w:t> </w:t>
            </w:r>
          </w:p>
        </w:tc>
        <w:tc>
          <w:tcPr>
            <w:tcW w:w="851" w:type="dxa"/>
            <w:tcBorders>
              <w:top w:val="nil"/>
              <w:left w:val="nil"/>
              <w:bottom w:val="single" w:sz="6" w:space="0" w:color="auto"/>
              <w:right w:val="single" w:sz="6" w:space="0" w:color="auto"/>
            </w:tcBorders>
            <w:shd w:val="clear" w:color="auto" w:fill="C6EFCE"/>
            <w:hideMark/>
          </w:tcPr>
          <w:p w14:paraId="44B0EFDE" w14:textId="77777777" w:rsidR="00FA7C11" w:rsidRDefault="00D84965">
            <w:pPr>
              <w:pStyle w:val="P68B1DB1-Normal76"/>
              <w:spacing w:after="0" w:line="240" w:lineRule="auto"/>
              <w:jc w:val="center"/>
              <w:textAlignment w:val="baseline"/>
              <w:rPr>
                <w:noProof/>
              </w:rPr>
            </w:pPr>
            <w:r>
              <w:rPr>
                <w:noProof/>
              </w:rPr>
              <w:t> </w:t>
            </w:r>
          </w:p>
        </w:tc>
        <w:tc>
          <w:tcPr>
            <w:tcW w:w="725" w:type="dxa"/>
            <w:tcBorders>
              <w:top w:val="nil"/>
              <w:left w:val="nil"/>
              <w:bottom w:val="single" w:sz="6" w:space="0" w:color="auto"/>
              <w:right w:val="single" w:sz="6" w:space="0" w:color="auto"/>
            </w:tcBorders>
            <w:shd w:val="clear" w:color="auto" w:fill="C6EFCE"/>
            <w:hideMark/>
          </w:tcPr>
          <w:p w14:paraId="52EEEC2B" w14:textId="77777777" w:rsidR="00FA7C11" w:rsidRDefault="00D84965">
            <w:pPr>
              <w:pStyle w:val="P68B1DB1-Normal76"/>
              <w:spacing w:after="0" w:line="240" w:lineRule="auto"/>
              <w:jc w:val="center"/>
              <w:textAlignment w:val="baseline"/>
              <w:rPr>
                <w:noProof/>
              </w:rPr>
            </w:pPr>
            <w:r>
              <w:rPr>
                <w:noProof/>
              </w:rPr>
              <w:t>  Î1</w:t>
            </w:r>
          </w:p>
        </w:tc>
        <w:tc>
          <w:tcPr>
            <w:tcW w:w="960" w:type="dxa"/>
            <w:tcBorders>
              <w:top w:val="nil"/>
              <w:left w:val="nil"/>
              <w:bottom w:val="single" w:sz="6" w:space="0" w:color="auto"/>
              <w:right w:val="single" w:sz="6" w:space="0" w:color="auto"/>
            </w:tcBorders>
            <w:shd w:val="clear" w:color="auto" w:fill="C6EFCE"/>
            <w:hideMark/>
          </w:tcPr>
          <w:p w14:paraId="32E70344" w14:textId="77777777" w:rsidR="00FA7C11" w:rsidRDefault="00D84965">
            <w:pPr>
              <w:pStyle w:val="P68B1DB1-Normal76"/>
              <w:spacing w:after="0" w:line="240" w:lineRule="auto"/>
              <w:jc w:val="center"/>
              <w:textAlignment w:val="baseline"/>
              <w:rPr>
                <w:noProof/>
              </w:rPr>
            </w:pPr>
            <w:r>
              <w:rPr>
                <w:noProof/>
              </w:rPr>
              <w:t>  2026</w:t>
            </w:r>
          </w:p>
        </w:tc>
        <w:tc>
          <w:tcPr>
            <w:tcW w:w="4116" w:type="dxa"/>
            <w:tcBorders>
              <w:top w:val="nil"/>
              <w:left w:val="nil"/>
              <w:bottom w:val="single" w:sz="6" w:space="0" w:color="auto"/>
              <w:right w:val="single" w:sz="6" w:space="0" w:color="auto"/>
            </w:tcBorders>
            <w:shd w:val="clear" w:color="auto" w:fill="C6EFCE"/>
            <w:hideMark/>
          </w:tcPr>
          <w:p w14:paraId="637512C8" w14:textId="77777777" w:rsidR="00FA7C11" w:rsidRDefault="00D84965">
            <w:pPr>
              <w:pStyle w:val="P68B1DB1-Normal89"/>
              <w:spacing w:after="0" w:line="240" w:lineRule="auto"/>
              <w:textAlignment w:val="baseline"/>
              <w:rPr>
                <w:rFonts w:eastAsia="Times New Roman"/>
                <w:noProof/>
              </w:rPr>
            </w:pPr>
            <w:r>
              <w:rPr>
                <w:noProof/>
              </w:rPr>
              <w:t>Se publică orientări privind utilizarea circulară a deșeurilor din construcții provenite din clădiri cu statut de bun cultural. Se instituie o platformă digitală privind inventarul clădirilor cu statut de bun cultural.</w:t>
            </w:r>
          </w:p>
        </w:tc>
      </w:tr>
      <w:tr w:rsidR="00FA7C11" w14:paraId="2E7C674C" w14:textId="77777777">
        <w:trPr>
          <w:trHeight w:val="301"/>
        </w:trPr>
        <w:tc>
          <w:tcPr>
            <w:tcW w:w="846" w:type="dxa"/>
            <w:tcBorders>
              <w:top w:val="single" w:sz="6" w:space="0" w:color="auto"/>
              <w:left w:val="single" w:sz="6" w:space="0" w:color="auto"/>
              <w:bottom w:val="single" w:sz="6" w:space="0" w:color="auto"/>
              <w:right w:val="single" w:sz="6" w:space="0" w:color="auto"/>
            </w:tcBorders>
            <w:shd w:val="clear" w:color="auto" w:fill="C6EFCE"/>
          </w:tcPr>
          <w:p w14:paraId="4815058D" w14:textId="77777777" w:rsidR="00FA7C11" w:rsidRDefault="00D84965">
            <w:pPr>
              <w:pStyle w:val="P68B1DB1-Normal76"/>
              <w:spacing w:after="0" w:line="240" w:lineRule="auto"/>
              <w:jc w:val="center"/>
              <w:textAlignment w:val="baseline"/>
              <w:rPr>
                <w:noProof/>
              </w:rPr>
            </w:pPr>
            <w:r>
              <w:rPr>
                <w:noProof/>
              </w:rPr>
              <w:t>405</w:t>
            </w:r>
          </w:p>
        </w:tc>
        <w:tc>
          <w:tcPr>
            <w:tcW w:w="1488" w:type="dxa"/>
            <w:tcBorders>
              <w:top w:val="single" w:sz="6" w:space="0" w:color="auto"/>
              <w:left w:val="single" w:sz="6" w:space="0" w:color="auto"/>
              <w:bottom w:val="single" w:sz="6" w:space="0" w:color="auto"/>
              <w:right w:val="single" w:sz="6" w:space="0" w:color="auto"/>
            </w:tcBorders>
            <w:shd w:val="clear" w:color="auto" w:fill="C6EFCE"/>
          </w:tcPr>
          <w:p w14:paraId="6982C35E" w14:textId="77777777" w:rsidR="00FA7C11" w:rsidRDefault="00D84965">
            <w:pPr>
              <w:pStyle w:val="P68B1DB1-Normal76"/>
              <w:spacing w:after="0" w:line="240" w:lineRule="auto"/>
              <w:jc w:val="center"/>
              <w:textAlignment w:val="baseline"/>
              <w:rPr>
                <w:noProof/>
              </w:rPr>
            </w:pPr>
            <w:r>
              <w:rPr>
                <w:noProof/>
              </w:rPr>
              <w:t>C6.1. R1 – I4</w:t>
            </w:r>
          </w:p>
        </w:tc>
        <w:tc>
          <w:tcPr>
            <w:tcW w:w="1021" w:type="dxa"/>
            <w:tcBorders>
              <w:top w:val="single" w:sz="6" w:space="0" w:color="auto"/>
              <w:left w:val="single" w:sz="6" w:space="0" w:color="auto"/>
              <w:bottom w:val="single" w:sz="6" w:space="0" w:color="auto"/>
              <w:right w:val="single" w:sz="6" w:space="0" w:color="auto"/>
            </w:tcBorders>
            <w:shd w:val="clear" w:color="auto" w:fill="C6EFCE"/>
          </w:tcPr>
          <w:p w14:paraId="588DE27C" w14:textId="77777777" w:rsidR="00FA7C11" w:rsidRDefault="00D84965">
            <w:pPr>
              <w:pStyle w:val="P68B1DB1-Normal76"/>
              <w:spacing w:after="0" w:line="240" w:lineRule="auto"/>
              <w:jc w:val="center"/>
              <w:textAlignment w:val="baseline"/>
              <w:rPr>
                <w:noProof/>
              </w:rPr>
            </w:pPr>
            <w:r>
              <w:rPr>
                <w:noProof/>
              </w:rPr>
              <w:t>M</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56369A1E" w14:textId="77777777" w:rsidR="00FA7C11" w:rsidRDefault="00D84965">
            <w:pPr>
              <w:pStyle w:val="P68B1DB1-Normal76"/>
              <w:spacing w:after="0" w:line="240" w:lineRule="auto"/>
              <w:textAlignment w:val="baseline"/>
              <w:rPr>
                <w:noProof/>
              </w:rPr>
            </w:pPr>
            <w:r>
              <w:rPr>
                <w:noProof/>
              </w:rPr>
              <w:t>Orientări pentru renovarea energetică a clădirilor cu statut de bun cultural</w:t>
            </w:r>
          </w:p>
        </w:tc>
        <w:tc>
          <w:tcPr>
            <w:tcW w:w="2126" w:type="dxa"/>
            <w:tcBorders>
              <w:top w:val="single" w:sz="6" w:space="0" w:color="auto"/>
              <w:left w:val="single" w:sz="6" w:space="0" w:color="auto"/>
              <w:bottom w:val="single" w:sz="6" w:space="0" w:color="auto"/>
              <w:right w:val="single" w:sz="6" w:space="0" w:color="auto"/>
            </w:tcBorders>
            <w:shd w:val="clear" w:color="auto" w:fill="C6EFCE"/>
          </w:tcPr>
          <w:p w14:paraId="07C36065" w14:textId="77777777" w:rsidR="00FA7C11" w:rsidRDefault="00D84965">
            <w:pPr>
              <w:pStyle w:val="P68B1DB1-Normal76"/>
              <w:spacing w:after="0" w:line="240" w:lineRule="auto"/>
              <w:textAlignment w:val="baseline"/>
              <w:rPr>
                <w:noProof/>
              </w:rPr>
            </w:pPr>
            <w:r>
              <w:rPr>
                <w:noProof/>
              </w:rPr>
              <w:t>Publicare pe site-ul oficial al Ministerului Culturii și Mass-mediei</w:t>
            </w:r>
          </w:p>
        </w:tc>
        <w:tc>
          <w:tcPr>
            <w:tcW w:w="993" w:type="dxa"/>
            <w:tcBorders>
              <w:top w:val="single" w:sz="6" w:space="0" w:color="auto"/>
              <w:left w:val="single" w:sz="6" w:space="0" w:color="auto"/>
              <w:bottom w:val="single" w:sz="6" w:space="0" w:color="auto"/>
              <w:right w:val="single" w:sz="6" w:space="0" w:color="auto"/>
            </w:tcBorders>
            <w:shd w:val="clear" w:color="auto" w:fill="C6EFCE"/>
          </w:tcPr>
          <w:p w14:paraId="6D55C0F4" w14:textId="77777777" w:rsidR="00FA7C11" w:rsidRDefault="00FA7C11">
            <w:pPr>
              <w:spacing w:after="0" w:line="240" w:lineRule="auto"/>
              <w:jc w:val="center"/>
              <w:textAlignment w:val="baseline"/>
              <w:rPr>
                <w:rFonts w:ascii="Times New Roman" w:eastAsia="Times New Roman" w:hAnsi="Times New Roman" w:cs="Times New Roman"/>
                <w:noProof/>
                <w:sz w:val="20"/>
                <w:szCs w:val="20"/>
              </w:rPr>
            </w:pPr>
          </w:p>
        </w:tc>
        <w:tc>
          <w:tcPr>
            <w:tcW w:w="850" w:type="dxa"/>
            <w:tcBorders>
              <w:top w:val="single" w:sz="6" w:space="0" w:color="auto"/>
              <w:left w:val="single" w:sz="6" w:space="0" w:color="auto"/>
              <w:bottom w:val="single" w:sz="6" w:space="0" w:color="auto"/>
              <w:right w:val="single" w:sz="6" w:space="0" w:color="auto"/>
            </w:tcBorders>
            <w:shd w:val="clear" w:color="auto" w:fill="C6EFCE"/>
          </w:tcPr>
          <w:p w14:paraId="0DD84EAC" w14:textId="77777777" w:rsidR="00FA7C11" w:rsidRDefault="00FA7C11">
            <w:pPr>
              <w:spacing w:after="0" w:line="240" w:lineRule="auto"/>
              <w:jc w:val="center"/>
              <w:textAlignment w:val="baseline"/>
              <w:rPr>
                <w:rFonts w:ascii="Times New Roman" w:eastAsia="Times New Roman" w:hAnsi="Times New Roman" w:cs="Times New Roman"/>
                <w:noProof/>
                <w:sz w:val="20"/>
                <w:szCs w:val="20"/>
              </w:rPr>
            </w:pPr>
          </w:p>
        </w:tc>
        <w:tc>
          <w:tcPr>
            <w:tcW w:w="851" w:type="dxa"/>
            <w:tcBorders>
              <w:top w:val="single" w:sz="6" w:space="0" w:color="auto"/>
              <w:left w:val="single" w:sz="6" w:space="0" w:color="auto"/>
              <w:bottom w:val="single" w:sz="6" w:space="0" w:color="auto"/>
              <w:right w:val="single" w:sz="6" w:space="0" w:color="auto"/>
            </w:tcBorders>
            <w:shd w:val="clear" w:color="auto" w:fill="C6EFCE"/>
          </w:tcPr>
          <w:p w14:paraId="3E4EE40B" w14:textId="77777777" w:rsidR="00FA7C11" w:rsidRDefault="00FA7C11">
            <w:pPr>
              <w:spacing w:after="0" w:line="240" w:lineRule="auto"/>
              <w:jc w:val="center"/>
              <w:textAlignment w:val="baseline"/>
              <w:rPr>
                <w:rFonts w:ascii="Times New Roman" w:eastAsia="Times New Roman" w:hAnsi="Times New Roman" w:cs="Times New Roman"/>
                <w:noProof/>
                <w:sz w:val="20"/>
                <w:szCs w:val="20"/>
              </w:rPr>
            </w:pPr>
          </w:p>
        </w:tc>
        <w:tc>
          <w:tcPr>
            <w:tcW w:w="725" w:type="dxa"/>
            <w:tcBorders>
              <w:top w:val="single" w:sz="6" w:space="0" w:color="auto"/>
              <w:left w:val="single" w:sz="6" w:space="0" w:color="auto"/>
              <w:bottom w:val="single" w:sz="6" w:space="0" w:color="auto"/>
              <w:right w:val="single" w:sz="6" w:space="0" w:color="auto"/>
            </w:tcBorders>
            <w:shd w:val="clear" w:color="auto" w:fill="C6EFCE"/>
          </w:tcPr>
          <w:p w14:paraId="738F3F60" w14:textId="77777777" w:rsidR="00FA7C11" w:rsidRDefault="00D84965">
            <w:pPr>
              <w:pStyle w:val="P68B1DB1-Normal76"/>
              <w:spacing w:after="0" w:line="240" w:lineRule="auto"/>
              <w:jc w:val="center"/>
              <w:textAlignment w:val="baseline"/>
              <w:rPr>
                <w:noProof/>
              </w:rPr>
            </w:pPr>
            <w:r>
              <w:rPr>
                <w:noProof/>
              </w:rPr>
              <w:t>Î4</w:t>
            </w:r>
          </w:p>
        </w:tc>
        <w:tc>
          <w:tcPr>
            <w:tcW w:w="960" w:type="dxa"/>
            <w:tcBorders>
              <w:top w:val="single" w:sz="6" w:space="0" w:color="auto"/>
              <w:left w:val="single" w:sz="6" w:space="0" w:color="auto"/>
              <w:bottom w:val="single" w:sz="6" w:space="0" w:color="auto"/>
              <w:right w:val="single" w:sz="6" w:space="0" w:color="auto"/>
            </w:tcBorders>
            <w:shd w:val="clear" w:color="auto" w:fill="C6EFCE"/>
          </w:tcPr>
          <w:p w14:paraId="597F4DB8" w14:textId="77777777" w:rsidR="00FA7C11" w:rsidRDefault="00D84965">
            <w:pPr>
              <w:pStyle w:val="P68B1DB1-Normal76"/>
              <w:spacing w:after="0" w:line="240" w:lineRule="auto"/>
              <w:jc w:val="center"/>
              <w:textAlignment w:val="baseline"/>
              <w:rPr>
                <w:noProof/>
              </w:rPr>
            </w:pPr>
            <w:r>
              <w:rPr>
                <w:noProof/>
              </w:rPr>
              <w:t>2023</w:t>
            </w:r>
          </w:p>
        </w:tc>
        <w:tc>
          <w:tcPr>
            <w:tcW w:w="4116" w:type="dxa"/>
            <w:tcBorders>
              <w:top w:val="single" w:sz="6" w:space="0" w:color="auto"/>
              <w:left w:val="single" w:sz="6" w:space="0" w:color="auto"/>
              <w:bottom w:val="single" w:sz="6" w:space="0" w:color="auto"/>
              <w:right w:val="single" w:sz="6" w:space="0" w:color="auto"/>
            </w:tcBorders>
            <w:shd w:val="clear" w:color="auto" w:fill="C6EFCE"/>
          </w:tcPr>
          <w:p w14:paraId="03D571D3" w14:textId="77777777" w:rsidR="00FA7C11" w:rsidRDefault="00D84965">
            <w:pPr>
              <w:pStyle w:val="P68B1DB1-Normal76"/>
              <w:spacing w:after="0" w:line="240" w:lineRule="auto"/>
              <w:textAlignment w:val="baseline"/>
              <w:rPr>
                <w:noProof/>
              </w:rPr>
            </w:pPr>
            <w:r>
              <w:rPr>
                <w:noProof/>
              </w:rPr>
              <w:t>Orientările pentru renovarea energetică a clădirilor cu statut de bun cultural se elaborează și se publică pe site-ul oficial al Ministerului Culturii și Mass-mediei. Orientările oferă recomandări privind măsurile de renovare energetică, soluțiile tehnice și materialele moderne și clarifică procedurile de pregătire a documentației și de obținere a autorizațiilor necesare.</w:t>
            </w:r>
          </w:p>
        </w:tc>
      </w:tr>
    </w:tbl>
    <w:p w14:paraId="75939890" w14:textId="77777777" w:rsidR="00FA7C11" w:rsidRDefault="00FA7C11">
      <w:pPr>
        <w:keepNext/>
        <w:tabs>
          <w:tab w:val="left" w:pos="284"/>
        </w:tabs>
        <w:spacing w:after="200" w:line="276" w:lineRule="auto"/>
        <w:ind w:left="850" w:firstLine="1"/>
        <w:jc w:val="both"/>
        <w:outlineLvl w:val="0"/>
        <w:rPr>
          <w:rFonts w:eastAsia="Calibri"/>
          <w:b/>
          <w:noProof/>
          <w:szCs w:val="24"/>
        </w:rPr>
        <w:sectPr w:rsidR="00FA7C11" w:rsidSect="00FA29B2">
          <w:headerReference w:type="even" r:id="rId404"/>
          <w:headerReference w:type="default" r:id="rId405"/>
          <w:footerReference w:type="even" r:id="rId406"/>
          <w:footerReference w:type="default" r:id="rId407"/>
          <w:headerReference w:type="first" r:id="rId408"/>
          <w:footerReference w:type="first" r:id="rId409"/>
          <w:pgSz w:w="16839" w:h="11907" w:orient="landscape"/>
          <w:pgMar w:top="1134" w:right="1134" w:bottom="1134" w:left="1134" w:header="567" w:footer="567" w:gutter="0"/>
          <w:cols w:space="708"/>
          <w:docGrid w:linePitch="360"/>
        </w:sectPr>
      </w:pPr>
    </w:p>
    <w:p w14:paraId="3A50B0DE" w14:textId="77777777" w:rsidR="00FA7C11" w:rsidRDefault="00D84965">
      <w:pPr>
        <w:pStyle w:val="P68B1DB1-Normal136"/>
        <w:keepNext/>
        <w:tabs>
          <w:tab w:val="left" w:pos="284"/>
        </w:tabs>
        <w:spacing w:after="200" w:line="276" w:lineRule="auto"/>
        <w:ind w:left="850" w:firstLine="1"/>
        <w:jc w:val="both"/>
        <w:outlineLvl w:val="0"/>
        <w:rPr>
          <w:smallCaps/>
          <w:noProof/>
        </w:rPr>
      </w:pPr>
      <w:r>
        <w:rPr>
          <w:noProof/>
        </w:rPr>
        <w:t>W. COMPONENTA 7.1: Energie ȘI TRANSPORTURI DURABILE (REPowerEU</w:t>
      </w:r>
      <w:r>
        <w:rPr>
          <w:smallCaps/>
          <w:noProof/>
        </w:rPr>
        <w:t xml:space="preserve"> COMPONENT)</w:t>
      </w:r>
    </w:p>
    <w:p w14:paraId="7D45B299" w14:textId="77777777" w:rsidR="00FA7C11" w:rsidRDefault="00D84965">
      <w:pPr>
        <w:pStyle w:val="paragraph"/>
        <w:spacing w:before="0" w:beforeAutospacing="0" w:after="0" w:afterAutospacing="0"/>
        <w:jc w:val="both"/>
        <w:textAlignment w:val="baseline"/>
        <w:rPr>
          <w:noProof/>
        </w:rPr>
      </w:pPr>
      <w:r>
        <w:rPr>
          <w:noProof/>
        </w:rPr>
        <w:t>Principalul obiectiv al acestei componente este de a reduce dependența de combustibilii fosili, în special de cei din Rusia, și de a accelera tranziția verde în întreaga economie.</w:t>
      </w:r>
      <w:r>
        <w:rPr>
          <w:noProof/>
          <w:color w:val="000000" w:themeColor="text1"/>
        </w:rPr>
        <w:t xml:space="preserve"> Acest lucru este planificat să fie realizat prin măsuri </w:t>
      </w:r>
      <w:r>
        <w:rPr>
          <w:noProof/>
        </w:rPr>
        <w:t xml:space="preserve">legate de rețelele energetice, infrastructura de gaze naturale lichefiate și de gaze, adoptarea surselor regenerabile de energie, transportul cu emisii zero și hidrogenul din surse regenerabile. Măsurile menționate sunt menite să contribuie la îmbunătățirea securității aprovizionării și a diversificării aprovizionării Uniunii cu gaze, să reducă dependența de combustibilii fosili prin creșterea producției și a utilizării surselor regenerabile de energie, cum ar fi biometanul durabil, hidrogenul din surse regenerabile și energia geotermală, să crească ponderea energiei din surse regenerabile și să accelereze utilizarea acesteia, să contribuie la creșterea securității energetice, să abordeze blocajele din distribuția energiei electrice și să sprijine transportul cu emisii zero. </w:t>
      </w:r>
    </w:p>
    <w:p w14:paraId="75E19323" w14:textId="77777777" w:rsidR="00FA7C11" w:rsidRDefault="00FA7C11">
      <w:pPr>
        <w:pStyle w:val="paragraph"/>
        <w:spacing w:before="0" w:beforeAutospacing="0" w:after="0" w:afterAutospacing="0"/>
        <w:jc w:val="both"/>
        <w:textAlignment w:val="baseline"/>
        <w:rPr>
          <w:noProof/>
        </w:rPr>
      </w:pPr>
    </w:p>
    <w:p w14:paraId="69D693C8" w14:textId="77777777" w:rsidR="00FA7C11" w:rsidRDefault="00D84965">
      <w:pPr>
        <w:pStyle w:val="paragraph"/>
        <w:spacing w:before="0" w:beforeAutospacing="0" w:after="0" w:afterAutospacing="0"/>
        <w:jc w:val="both"/>
        <w:textAlignment w:val="baseline"/>
        <w:rPr>
          <w:noProof/>
          <w:color w:val="000000" w:themeColor="text1"/>
        </w:rPr>
      </w:pPr>
      <w:r>
        <w:rPr>
          <w:noProof/>
        </w:rPr>
        <w:t xml:space="preserve">Dintre cele nouă măsuri din cadrul acestei componente, opt au o dimensiune transfrontalieră sau multinațională. Cele mai mari investiții cu o dimensiune transfrontalieră sau multinațională se referă la creșterea capacității terminalului GNL de pe insula Krk și la consolidarea infrastructurii de gaze, precum și la </w:t>
      </w:r>
      <w:r>
        <w:rPr>
          <w:noProof/>
          <w:color w:val="000000" w:themeColor="text1"/>
        </w:rPr>
        <w:t>consolidarea capacităților de transport și distribuție ale rețelei de</w:t>
      </w:r>
      <w:r>
        <w:rPr>
          <w:noProof/>
          <w:color w:val="000000" w:themeColor="text1"/>
          <w:u w:val="single"/>
        </w:rPr>
        <w:t xml:space="preserve"> </w:t>
      </w:r>
      <w:r>
        <w:rPr>
          <w:noProof/>
          <w:color w:val="000000" w:themeColor="text1"/>
        </w:rPr>
        <w:t xml:space="preserve">energie electrică. Alte investiții notabile cu dimensiune </w:t>
      </w:r>
      <w:r>
        <w:rPr>
          <w:noProof/>
        </w:rPr>
        <w:t>transfrontalieră sau multinațională</w:t>
      </w:r>
      <w:r>
        <w:rPr>
          <w:noProof/>
          <w:color w:val="000000" w:themeColor="text1"/>
        </w:rPr>
        <w:t xml:space="preserve"> se referă la utilizarea sporită a surselor regenerabile de energie, cum ar fi hidrogenul din surse regenerabile, biometanul durabil și energia geotermală, precum și la investițiile în vehicule alimentate cu combustibili alternativi pentru transportul public regulat urban și suburban și la dezvoltarea de infrastructuri pentru combustibili alternativi în transportul rutier.</w:t>
      </w:r>
    </w:p>
    <w:p w14:paraId="67F0596A" w14:textId="77777777" w:rsidR="00FA7C11" w:rsidRDefault="00FA7C11">
      <w:pPr>
        <w:pStyle w:val="paragraph"/>
        <w:spacing w:before="0" w:beforeAutospacing="0" w:after="0" w:afterAutospacing="0"/>
        <w:jc w:val="both"/>
        <w:textAlignment w:val="baseline"/>
        <w:rPr>
          <w:noProof/>
          <w:color w:val="000000" w:themeColor="text1"/>
        </w:rPr>
      </w:pPr>
    </w:p>
    <w:p w14:paraId="0AA317B8" w14:textId="77777777" w:rsidR="00FA7C11" w:rsidRDefault="00D84965">
      <w:pPr>
        <w:pStyle w:val="paragraph"/>
        <w:spacing w:before="0" w:beforeAutospacing="0" w:after="0" w:afterAutospacing="0"/>
        <w:jc w:val="both"/>
        <w:textAlignment w:val="baseline"/>
        <w:rPr>
          <w:noProof/>
          <w:color w:val="000000" w:themeColor="text1"/>
        </w:rPr>
      </w:pPr>
      <w:r>
        <w:rPr>
          <w:noProof/>
          <w:color w:val="000000" w:themeColor="text1"/>
        </w:rPr>
        <w:t>Investițiile și reformele contribuie la abordarea recomandărilor specifice fiecărei țări adresate Croației cu privire la necesitatea de a moderniza rețelele de transport și distribuție a energiei electrice (recomandările specifice de țară</w:t>
      </w:r>
      <w:r>
        <w:rPr>
          <w:noProof/>
        </w:rPr>
        <w:t xml:space="preserve"> 2022.3.3 și 2023.3.4), de a spori implementarea și utilizarea surselor regenerabile de energie (recomandările specifice de țară 2019.3.3, 2020.3.8, 2022.3.2, 2023.3.1 și 3.2), de a diversifica importurile de combustibili fosili (recomandarea specifică de țară 2022.3.1) și de a reduce dependența de combustibilii fosili în transporturi și de a promova transportul cu emisii zero (recomandările specifice de țară 2019.3.3, 2020.3.7, 2022.3.5, 2023.3.1 și 3.6).</w:t>
      </w:r>
    </w:p>
    <w:p w14:paraId="2DD1AA03" w14:textId="77777777" w:rsidR="00FA7C11" w:rsidRDefault="00FA7C11">
      <w:pPr>
        <w:pStyle w:val="paragraph"/>
        <w:spacing w:before="0" w:beforeAutospacing="0" w:after="0" w:afterAutospacing="0"/>
        <w:jc w:val="both"/>
        <w:textAlignment w:val="baseline"/>
        <w:rPr>
          <w:noProof/>
          <w:color w:val="000000" w:themeColor="text1"/>
        </w:rPr>
      </w:pPr>
    </w:p>
    <w:p w14:paraId="5F740975" w14:textId="77777777" w:rsidR="00FA7C11" w:rsidRDefault="00D84965">
      <w:pPr>
        <w:pStyle w:val="paragraph"/>
        <w:spacing w:before="0" w:beforeAutospacing="0" w:after="0" w:afterAutospacing="0"/>
        <w:jc w:val="both"/>
        <w:textAlignment w:val="baseline"/>
        <w:rPr>
          <w:noProof/>
          <w:color w:val="000000" w:themeColor="text1"/>
        </w:rPr>
      </w:pPr>
      <w:r>
        <w:rPr>
          <w:noProof/>
          <w:color w:val="000000" w:themeColor="text1"/>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de „a nu prejudicia în mod semnificativ” [</w:t>
      </w:r>
      <w:r>
        <w:rPr>
          <w:rFonts w:eastAsia="Calibri"/>
          <w:noProof/>
        </w:rPr>
        <w:t>C (2023) 6454 final]</w:t>
      </w:r>
      <w:r>
        <w:rPr>
          <w:noProof/>
          <w:color w:val="000000" w:themeColor="text1"/>
        </w:rPr>
        <w:t>, în timp ce principiul de „a nu prejudicia în mod semnificativ” nu se aplică investiției C7.1 I3 – Creșterea capacității terminalului GNL de pe insula Krk și consolidarea infrastructurii de gaze, în conformitate cu articolul 21c alineatul (6) din Regulamentul (UE) 2021/241.</w:t>
      </w:r>
    </w:p>
    <w:p w14:paraId="019BBB94" w14:textId="77777777" w:rsidR="00FA7C11" w:rsidRDefault="00FA7C11">
      <w:pPr>
        <w:pStyle w:val="paragraph"/>
        <w:spacing w:before="0" w:beforeAutospacing="0" w:after="0" w:afterAutospacing="0"/>
        <w:jc w:val="both"/>
        <w:textAlignment w:val="baseline"/>
        <w:rPr>
          <w:noProof/>
        </w:rPr>
      </w:pPr>
    </w:p>
    <w:p w14:paraId="4E77C9B9" w14:textId="77777777" w:rsidR="00FA7C11" w:rsidRDefault="00D84965">
      <w:pPr>
        <w:pStyle w:val="paragraph"/>
        <w:spacing w:before="0" w:beforeAutospacing="0" w:after="0" w:afterAutospacing="0"/>
        <w:jc w:val="both"/>
        <w:textAlignment w:val="baseline"/>
        <w:rPr>
          <w:noProof/>
        </w:rPr>
      </w:pPr>
      <w:r>
        <w:rPr>
          <w:rStyle w:val="normaltextrun"/>
          <w:b/>
          <w:noProof/>
          <w:u w:val="single"/>
        </w:rPr>
        <w:t xml:space="preserve">W.1. </w:t>
      </w:r>
      <w:r>
        <w:rPr>
          <w:rStyle w:val="tabchar"/>
          <w:noProof/>
          <w:u w:val="single"/>
        </w:rPr>
        <w:t xml:space="preserve"> </w:t>
      </w:r>
      <w:r>
        <w:rPr>
          <w:rStyle w:val="normaltextrun"/>
          <w:b/>
          <w:noProof/>
          <w:u w:val="single"/>
        </w:rPr>
        <w:t>Descrierea reformelor și a investițiilor pentru sprijinul financiar nerambursabil</w:t>
      </w:r>
      <w:r>
        <w:rPr>
          <w:rStyle w:val="eop"/>
          <w:noProof/>
        </w:rPr>
        <w:t> </w:t>
      </w:r>
    </w:p>
    <w:p w14:paraId="64829772" w14:textId="77777777" w:rsidR="00FA7C11" w:rsidRDefault="00FA7C11">
      <w:pPr>
        <w:pStyle w:val="paragraph"/>
        <w:spacing w:before="0" w:beforeAutospacing="0" w:after="0" w:afterAutospacing="0"/>
        <w:jc w:val="both"/>
        <w:textAlignment w:val="baseline"/>
        <w:rPr>
          <w:rStyle w:val="normaltextrun"/>
          <w:noProof/>
        </w:rPr>
      </w:pPr>
    </w:p>
    <w:p w14:paraId="00F8E289" w14:textId="77777777" w:rsidR="00FA7C11" w:rsidRDefault="00D84965">
      <w:pPr>
        <w:pStyle w:val="P68B1DB1-paragraph57"/>
        <w:spacing w:before="0" w:beforeAutospacing="0" w:after="0" w:afterAutospacing="0"/>
        <w:ind w:firstLine="720"/>
        <w:jc w:val="both"/>
        <w:textAlignment w:val="baseline"/>
        <w:rPr>
          <w:bCs/>
          <w:noProof/>
          <w:color w:val="000000" w:themeColor="text1"/>
        </w:rPr>
      </w:pPr>
      <w:r>
        <w:rPr>
          <w:noProof/>
          <w:color w:val="000000" w:themeColor="text1"/>
        </w:rPr>
        <w:t xml:space="preserve">Reforma C7.1 R1 – </w:t>
      </w:r>
      <w:r>
        <w:rPr>
          <w:noProof/>
        </w:rPr>
        <w:t>Măsură extinsă</w:t>
      </w:r>
      <w:r>
        <w:rPr>
          <w:noProof/>
          <w:color w:val="000000" w:themeColor="text1"/>
        </w:rPr>
        <w:t>: Decarbonizarea sectorului energetic</w:t>
      </w:r>
    </w:p>
    <w:p w14:paraId="67174762" w14:textId="77777777" w:rsidR="00FA7C11" w:rsidRDefault="00FA7C11">
      <w:pPr>
        <w:pStyle w:val="paragraph"/>
        <w:spacing w:before="0" w:beforeAutospacing="0" w:after="0" w:afterAutospacing="0"/>
        <w:ind w:firstLine="720"/>
        <w:jc w:val="both"/>
        <w:textAlignment w:val="baseline"/>
        <w:rPr>
          <w:bCs/>
          <w:noProof/>
          <w:color w:val="000000" w:themeColor="text1"/>
          <w:u w:val="single"/>
        </w:rPr>
      </w:pPr>
    </w:p>
    <w:p w14:paraId="031A5B7D" w14:textId="77777777" w:rsidR="00FA7C11" w:rsidRDefault="00D84965">
      <w:pPr>
        <w:pStyle w:val="paragraph"/>
        <w:spacing w:before="0" w:beforeAutospacing="0" w:after="0" w:afterAutospacing="0"/>
        <w:jc w:val="both"/>
        <w:textAlignment w:val="baseline"/>
        <w:rPr>
          <w:noProof/>
        </w:rPr>
      </w:pPr>
      <w:r>
        <w:rPr>
          <w:noProof/>
        </w:rPr>
        <w:t xml:space="preserve">Obiectivul </w:t>
      </w:r>
      <w:r>
        <w:rPr>
          <w:rFonts w:eastAsia="Calibri"/>
          <w:noProof/>
        </w:rPr>
        <w:t>acestei măsuri este de a extinde reforma</w:t>
      </w:r>
      <w:r>
        <w:rPr>
          <w:noProof/>
        </w:rPr>
        <w:t xml:space="preserve"> C1.2 R1: </w:t>
      </w:r>
      <w:r>
        <w:rPr>
          <w:noProof/>
          <w:color w:val="000000"/>
        </w:rPr>
        <w:t xml:space="preserve">Decarbonizarea sectorului energetic în </w:t>
      </w:r>
      <w:r>
        <w:rPr>
          <w:noProof/>
        </w:rPr>
        <w:t xml:space="preserve">cadrul componentei 1.2 (Tranziția energetică pentru o economie durabilă). </w:t>
      </w:r>
    </w:p>
    <w:p w14:paraId="25348408" w14:textId="77777777" w:rsidR="00FA7C11" w:rsidRDefault="00D84965">
      <w:pPr>
        <w:pStyle w:val="paragraph"/>
        <w:spacing w:before="0" w:beforeAutospacing="0" w:after="0" w:afterAutospacing="0"/>
        <w:jc w:val="both"/>
        <w:textAlignment w:val="baseline"/>
        <w:rPr>
          <w:noProof/>
        </w:rPr>
      </w:pPr>
      <w:r>
        <w:rPr>
          <w:noProof/>
        </w:rPr>
        <w:t xml:space="preserve">Măsura constă </w:t>
      </w:r>
      <w:r>
        <w:rPr>
          <w:rFonts w:eastAsia="Calibri"/>
          <w:noProof/>
        </w:rPr>
        <w:t>într-un sistem n</w:t>
      </w:r>
      <w:r>
        <w:rPr>
          <w:noProof/>
        </w:rPr>
        <w:t xml:space="preserve"> ew de autoconsum pentru instalațiile de producere a energiei în autoaprovizionare.</w:t>
      </w:r>
    </w:p>
    <w:p w14:paraId="6AB9F488" w14:textId="77777777" w:rsidR="00FA7C11" w:rsidRDefault="00FA7C11">
      <w:pPr>
        <w:pStyle w:val="paragraph"/>
        <w:spacing w:before="0" w:beforeAutospacing="0" w:after="0" w:afterAutospacing="0"/>
        <w:jc w:val="both"/>
        <w:textAlignment w:val="baseline"/>
        <w:rPr>
          <w:bCs/>
          <w:noProof/>
          <w:color w:val="000000" w:themeColor="text1"/>
          <w:u w:val="single"/>
        </w:rPr>
      </w:pPr>
    </w:p>
    <w:p w14:paraId="7AE6FD23" w14:textId="77777777" w:rsidR="00FA7C11" w:rsidRDefault="00D84965">
      <w:pPr>
        <w:pStyle w:val="P68B1DB1-paragraph57"/>
        <w:spacing w:before="0" w:beforeAutospacing="0" w:after="0" w:afterAutospacing="0"/>
        <w:ind w:left="720"/>
        <w:jc w:val="both"/>
        <w:textAlignment w:val="baseline"/>
        <w:rPr>
          <w:bCs/>
          <w:noProof/>
          <w:color w:val="000000" w:themeColor="text1"/>
        </w:rPr>
      </w:pPr>
      <w:r>
        <w:rPr>
          <w:noProof/>
          <w:color w:val="000000" w:themeColor="text1"/>
        </w:rPr>
        <w:t>Investiția C7.1 R1-I1 – Utilizarea hidrogenului și noile tehnologii (investiția C1.2.R1-I3</w:t>
      </w:r>
      <w:r>
        <w:rPr>
          <w:noProof/>
        </w:rPr>
        <w:t xml:space="preserve"> transferată din decizia de punere în aplicare a Consiliului deja adoptată)</w:t>
      </w:r>
    </w:p>
    <w:p w14:paraId="0A8A31F6" w14:textId="77777777" w:rsidR="00FA7C11" w:rsidRDefault="00FA7C11">
      <w:pPr>
        <w:pStyle w:val="paragraph"/>
        <w:spacing w:before="0" w:beforeAutospacing="0" w:after="0" w:afterAutospacing="0"/>
        <w:jc w:val="both"/>
        <w:textAlignment w:val="baseline"/>
        <w:rPr>
          <w:bCs/>
          <w:noProof/>
          <w:color w:val="000000" w:themeColor="text1"/>
        </w:rPr>
      </w:pPr>
    </w:p>
    <w:p w14:paraId="72AB62C9" w14:textId="77777777" w:rsidR="00FA7C11" w:rsidRDefault="00D84965">
      <w:pPr>
        <w:pStyle w:val="P68B1DB1-Normal33"/>
        <w:spacing w:line="240" w:lineRule="auto"/>
        <w:jc w:val="both"/>
        <w:rPr>
          <w:noProof/>
        </w:rPr>
      </w:pPr>
      <w:r>
        <w:rPr>
          <w:noProof/>
        </w:rPr>
        <w:t xml:space="preserve">Obiectivul acestei investiții este de a spori utilizarea hidrogenului în Croația. </w:t>
      </w:r>
    </w:p>
    <w:p w14:paraId="33F9B09B" w14:textId="0FE7DE94" w:rsidR="00FA7C11" w:rsidRDefault="00D84965">
      <w:pPr>
        <w:pStyle w:val="P68B1DB1-Normal34"/>
        <w:spacing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constă în finanțarea unui proiect privind hidrogenul </w:t>
      </w:r>
      <w:r>
        <w:rPr>
          <w:rFonts w:ascii="Times New Roman" w:hAnsi="Times New Roman" w:cs="Times New Roman"/>
          <w:noProof/>
          <w:color w:val="000000" w:themeColor="text1"/>
        </w:rPr>
        <w:t xml:space="preserve">din surse regenerabile </w:t>
      </w:r>
      <w:r>
        <w:rPr>
          <w:rFonts w:ascii="Times New Roman" w:eastAsia="Calibri" w:hAnsi="Times New Roman" w:cs="Times New Roman"/>
          <w:noProof/>
        </w:rPr>
        <w:t xml:space="preserve">și a unor studii privind stocarea geologică a carbonului. </w:t>
      </w:r>
    </w:p>
    <w:p w14:paraId="478B7E34" w14:textId="77777777" w:rsidR="00FA7C11" w:rsidRDefault="00D84965">
      <w:pPr>
        <w:pStyle w:val="P68B1DB1-paragraph59"/>
        <w:spacing w:before="0" w:beforeAutospacing="0" w:after="0" w:afterAutospacing="0"/>
        <w:ind w:left="720"/>
        <w:jc w:val="both"/>
        <w:textAlignment w:val="baseline"/>
        <w:rPr>
          <w:bCs/>
          <w:noProof/>
        </w:rPr>
      </w:pPr>
      <w:r>
        <w:rPr>
          <w:noProof/>
        </w:rPr>
        <w:t xml:space="preserve">Investiția C7.1 R1-I2 – Crearea unei economii bazate pe hidrogen </w:t>
      </w:r>
    </w:p>
    <w:p w14:paraId="4D755A65" w14:textId="77777777" w:rsidR="00FA7C11" w:rsidRDefault="00FA7C11">
      <w:pPr>
        <w:pStyle w:val="paragraph"/>
        <w:spacing w:before="0" w:beforeAutospacing="0" w:after="0" w:afterAutospacing="0"/>
        <w:jc w:val="both"/>
        <w:textAlignment w:val="baseline"/>
        <w:rPr>
          <w:bCs/>
          <w:noProof/>
          <w:color w:val="000000" w:themeColor="text1"/>
        </w:rPr>
      </w:pPr>
    </w:p>
    <w:p w14:paraId="2A19B5CD" w14:textId="77777777" w:rsidR="00FA7C11" w:rsidRDefault="00D84965">
      <w:pPr>
        <w:pStyle w:val="P68B1DB1-paragraph58"/>
        <w:spacing w:before="0" w:beforeAutospacing="0" w:after="0" w:afterAutospacing="0"/>
        <w:jc w:val="both"/>
        <w:textAlignment w:val="baseline"/>
        <w:rPr>
          <w:bCs/>
          <w:noProof/>
        </w:rPr>
      </w:pPr>
      <w:r>
        <w:rPr>
          <w:noProof/>
        </w:rPr>
        <w:t>Obiectivul investiției este de a spori gradul de adoptare a producției și de utilizare a hidrogenului din surse regenerabile.</w:t>
      </w:r>
    </w:p>
    <w:p w14:paraId="37603C89" w14:textId="77777777" w:rsidR="00FA7C11" w:rsidRDefault="00D84965">
      <w:pPr>
        <w:pStyle w:val="paragraph"/>
        <w:spacing w:before="0" w:beforeAutospacing="0" w:after="0" w:afterAutospacing="0"/>
        <w:jc w:val="both"/>
        <w:textAlignment w:val="baseline"/>
        <w:rPr>
          <w:bCs/>
          <w:noProof/>
          <w:color w:val="000000" w:themeColor="text1"/>
        </w:rPr>
      </w:pPr>
      <w:r>
        <w:rPr>
          <w:noProof/>
          <w:color w:val="000000" w:themeColor="text1"/>
        </w:rPr>
        <w:t xml:space="preserve">Investiția constă în desemnarea </w:t>
      </w:r>
      <w:r>
        <w:rPr>
          <w:noProof/>
        </w:rPr>
        <w:t>Agenției croate pentru hidrocarburi ca organism de coordonare pentru hidrogen în Croația și în acceptarea Studiului privind Planul de dezvoltare și punere în aplicare a Strategiei croate pentru hidrogen până în 2050 de către Agenția croată pentru hidrocarburi</w:t>
      </w:r>
      <w:r>
        <w:rPr>
          <w:rFonts w:eastAsia="Calibri"/>
          <w:noProof/>
        </w:rPr>
        <w:t xml:space="preserve">. </w:t>
      </w:r>
    </w:p>
    <w:p w14:paraId="01FF1D0E" w14:textId="77777777" w:rsidR="00FA7C11" w:rsidRDefault="00FA7C11">
      <w:pPr>
        <w:pStyle w:val="paragraph"/>
        <w:spacing w:before="0" w:beforeAutospacing="0" w:after="0" w:afterAutospacing="0"/>
        <w:jc w:val="both"/>
        <w:textAlignment w:val="baseline"/>
        <w:rPr>
          <w:noProof/>
          <w:color w:val="000000" w:themeColor="text1"/>
        </w:rPr>
      </w:pPr>
    </w:p>
    <w:p w14:paraId="330A47ED" w14:textId="77777777" w:rsidR="00FA7C11" w:rsidRDefault="00D84965">
      <w:pPr>
        <w:pStyle w:val="P68B1DB1-paragraph57"/>
        <w:spacing w:before="0" w:beforeAutospacing="0" w:after="0" w:afterAutospacing="0"/>
        <w:ind w:left="720"/>
        <w:jc w:val="both"/>
        <w:textAlignment w:val="baseline"/>
        <w:rPr>
          <w:rStyle w:val="eop"/>
          <w:bCs/>
          <w:noProof/>
        </w:rPr>
      </w:pPr>
      <w:r>
        <w:rPr>
          <w:noProof/>
          <w:color w:val="000000" w:themeColor="text1"/>
        </w:rPr>
        <w:t>Investiția C7.1 R1-I3</w:t>
      </w:r>
      <w:r>
        <w:rPr>
          <w:noProof/>
        </w:rPr>
        <w:t xml:space="preserve"> – </w:t>
      </w:r>
      <w:r>
        <w:rPr>
          <w:noProof/>
          <w:color w:val="000000" w:themeColor="text1"/>
        </w:rPr>
        <w:t>Consolidarea utilizării surselor regenerabile de energie în transporturi și încălzire</w:t>
      </w:r>
    </w:p>
    <w:p w14:paraId="2C761E87" w14:textId="77777777" w:rsidR="00FA7C11" w:rsidRDefault="00FA7C11">
      <w:pPr>
        <w:pStyle w:val="paragraph"/>
        <w:spacing w:before="0" w:beforeAutospacing="0" w:after="0" w:afterAutospacing="0"/>
        <w:jc w:val="both"/>
        <w:textAlignment w:val="baseline"/>
        <w:rPr>
          <w:rStyle w:val="eop"/>
          <w:bCs/>
          <w:noProof/>
        </w:rPr>
      </w:pPr>
    </w:p>
    <w:p w14:paraId="4A7DD9D7" w14:textId="77777777" w:rsidR="00FA7C11" w:rsidRDefault="00D84965">
      <w:pPr>
        <w:pStyle w:val="paragraph"/>
        <w:spacing w:before="0" w:beforeAutospacing="0" w:after="0" w:afterAutospacing="0"/>
        <w:jc w:val="both"/>
        <w:textAlignment w:val="baseline"/>
        <w:rPr>
          <w:noProof/>
        </w:rPr>
      </w:pPr>
      <w:r>
        <w:rPr>
          <w:rStyle w:val="eop"/>
          <w:noProof/>
        </w:rPr>
        <w:t xml:space="preserve">Obiectivul investiției este de a spori gradul de utilizare a </w:t>
      </w:r>
      <w:r>
        <w:rPr>
          <w:noProof/>
          <w:color w:val="000000" w:themeColor="text1"/>
        </w:rPr>
        <w:t>surselor regenerabile de</w:t>
      </w:r>
      <w:r>
        <w:rPr>
          <w:rStyle w:val="eop"/>
          <w:noProof/>
        </w:rPr>
        <w:t xml:space="preserve"> energie</w:t>
      </w:r>
      <w:r>
        <w:rPr>
          <w:noProof/>
        </w:rPr>
        <w:t>.</w:t>
      </w:r>
    </w:p>
    <w:p w14:paraId="591ADACE" w14:textId="77777777" w:rsidR="00FA7C11" w:rsidRDefault="00FA7C11">
      <w:pPr>
        <w:pStyle w:val="paragraph"/>
        <w:spacing w:before="0" w:beforeAutospacing="0" w:after="0" w:afterAutospacing="0"/>
        <w:jc w:val="both"/>
        <w:textAlignment w:val="baseline"/>
        <w:rPr>
          <w:noProof/>
        </w:rPr>
      </w:pPr>
    </w:p>
    <w:p w14:paraId="7648F889" w14:textId="77777777" w:rsidR="00FA7C11" w:rsidRDefault="00D84965">
      <w:pPr>
        <w:pStyle w:val="paragraph"/>
        <w:spacing w:before="0" w:beforeAutospacing="0" w:after="0" w:afterAutospacing="0"/>
        <w:jc w:val="both"/>
        <w:textAlignment w:val="baseline"/>
        <w:rPr>
          <w:rStyle w:val="eop"/>
          <w:bCs/>
          <w:noProof/>
        </w:rPr>
      </w:pPr>
      <w:r>
        <w:rPr>
          <w:noProof/>
        </w:rPr>
        <w:t xml:space="preserve">Investițiile constau în lucrări de foraj geotermal efectuate și în adoptarea Planului de dezvoltare a potențialului geotermal. </w:t>
      </w:r>
    </w:p>
    <w:p w14:paraId="68738898" w14:textId="77777777" w:rsidR="00FA7C11" w:rsidRDefault="00FA7C11">
      <w:pPr>
        <w:pStyle w:val="paragraph"/>
        <w:spacing w:before="0" w:beforeAutospacing="0" w:after="0" w:afterAutospacing="0"/>
        <w:jc w:val="both"/>
        <w:textAlignment w:val="baseline"/>
        <w:rPr>
          <w:noProof/>
          <w:color w:val="000000" w:themeColor="text1"/>
        </w:rPr>
      </w:pPr>
    </w:p>
    <w:p w14:paraId="334C0D8E" w14:textId="77777777" w:rsidR="00FA7C11" w:rsidRDefault="00D84965">
      <w:pPr>
        <w:pStyle w:val="P68B1DB1-paragraph137"/>
        <w:spacing w:before="0" w:beforeAutospacing="0" w:after="0" w:afterAutospacing="0"/>
        <w:ind w:left="720"/>
        <w:jc w:val="both"/>
        <w:textAlignment w:val="baseline"/>
        <w:rPr>
          <w:bCs/>
          <w:noProof/>
          <w:color w:val="000000" w:themeColor="text1"/>
        </w:rPr>
      </w:pPr>
      <w:r>
        <w:rPr>
          <w:noProof/>
        </w:rPr>
        <w:t>Investiția C7.1 I4 – Achiziționarea de vehicule pe bază de combustibili alternativi pentru transportul public regulat urban și suburban</w:t>
      </w:r>
    </w:p>
    <w:p w14:paraId="07B0CE5E" w14:textId="77777777" w:rsidR="00FA7C11" w:rsidRDefault="00FA7C11">
      <w:pPr>
        <w:keepNext/>
        <w:tabs>
          <w:tab w:val="num" w:pos="850"/>
        </w:tabs>
        <w:spacing w:after="200" w:line="240" w:lineRule="auto"/>
        <w:jc w:val="both"/>
        <w:outlineLvl w:val="2"/>
        <w:rPr>
          <w:rFonts w:ascii="Times New Roman" w:eastAsia="Calibri" w:hAnsi="Times New Roman" w:cs="Times New Roman"/>
          <w:noProof/>
          <w:sz w:val="24"/>
          <w:szCs w:val="24"/>
        </w:rPr>
      </w:pPr>
    </w:p>
    <w:p w14:paraId="24E98E18" w14:textId="77777777" w:rsidR="00FA7C11" w:rsidRDefault="00D84965">
      <w:pPr>
        <w:pStyle w:val="P68B1DB1-Normal83"/>
        <w:spacing w:line="240" w:lineRule="auto"/>
        <w:jc w:val="both"/>
        <w:rPr>
          <w:noProof/>
        </w:rPr>
      </w:pPr>
      <w:r>
        <w:rPr>
          <w:noProof/>
        </w:rPr>
        <w:t xml:space="preserve">Obiectivul investiției este de a moderniza transportul public regulat urban și suburban de călători și de a spori utilizarea vehiculelor cu zero emisii. </w:t>
      </w:r>
    </w:p>
    <w:p w14:paraId="2EFCED0F" w14:textId="77777777" w:rsidR="00FA7C11" w:rsidRDefault="00D84965">
      <w:pPr>
        <w:pStyle w:val="P68B1DB1-paragraph138"/>
        <w:spacing w:before="0" w:beforeAutospacing="0" w:after="0" w:afterAutospacing="0"/>
        <w:jc w:val="both"/>
        <w:textAlignment w:val="baseline"/>
        <w:rPr>
          <w:noProof/>
        </w:rPr>
      </w:pPr>
      <w:r>
        <w:rPr>
          <w:noProof/>
        </w:rPr>
        <w:t>Investiția constă în achiziționarea de autobuze alimentate cu combustibili alternativi (electrice și/sau pe bază de hidrogen).</w:t>
      </w:r>
    </w:p>
    <w:p w14:paraId="381F3716" w14:textId="77777777" w:rsidR="00FA7C11" w:rsidRDefault="00FA7C11">
      <w:pPr>
        <w:pStyle w:val="paragraph"/>
        <w:spacing w:before="0" w:beforeAutospacing="0" w:after="0" w:afterAutospacing="0"/>
        <w:jc w:val="both"/>
        <w:textAlignment w:val="baseline"/>
        <w:rPr>
          <w:noProof/>
          <w:color w:val="000000" w:themeColor="text1"/>
        </w:rPr>
      </w:pPr>
    </w:p>
    <w:p w14:paraId="20910A48" w14:textId="77777777" w:rsidR="00FA7C11" w:rsidRDefault="00D84965">
      <w:pPr>
        <w:pStyle w:val="P68B1DB1-paragraph57"/>
        <w:spacing w:before="0" w:beforeAutospacing="0" w:after="0" w:afterAutospacing="0"/>
        <w:ind w:left="720"/>
        <w:jc w:val="both"/>
        <w:textAlignment w:val="baseline"/>
        <w:rPr>
          <w:bCs/>
          <w:noProof/>
          <w:color w:val="000000" w:themeColor="text1"/>
        </w:rPr>
      </w:pPr>
      <w:r>
        <w:rPr>
          <w:noProof/>
          <w:color w:val="000000" w:themeColor="text1"/>
        </w:rPr>
        <w:t xml:space="preserve">Investiția C7.1 I1 – </w:t>
      </w:r>
      <w:r>
        <w:rPr>
          <w:noProof/>
        </w:rPr>
        <w:t>Măsură extinsă</w:t>
      </w:r>
      <w:r>
        <w:rPr>
          <w:noProof/>
          <w:color w:val="000000" w:themeColor="text1"/>
        </w:rPr>
        <w:t>: Achiziționarea de vehicule pe bază de combustibili alternativi pentru transportul public regulat urban și suburban</w:t>
      </w:r>
    </w:p>
    <w:p w14:paraId="774423FA" w14:textId="77777777" w:rsidR="00FA7C11" w:rsidRDefault="00FA7C11">
      <w:pPr>
        <w:pStyle w:val="paragraph"/>
        <w:spacing w:before="0" w:beforeAutospacing="0" w:after="0" w:afterAutospacing="0"/>
        <w:jc w:val="both"/>
        <w:textAlignment w:val="baseline"/>
        <w:rPr>
          <w:bCs/>
          <w:noProof/>
          <w:color w:val="000000" w:themeColor="text1"/>
        </w:rPr>
      </w:pPr>
    </w:p>
    <w:p w14:paraId="0C251407" w14:textId="4F5FB2B8" w:rsidR="00FA7C11" w:rsidRDefault="00D84965">
      <w:pPr>
        <w:pStyle w:val="P68B1DB1-Normal46"/>
        <w:spacing w:line="240" w:lineRule="auto"/>
        <w:jc w:val="both"/>
        <w:rPr>
          <w:rFonts w:eastAsia="Times New Roman"/>
          <w:noProof/>
        </w:rPr>
      </w:pPr>
      <w:r>
        <w:rPr>
          <w:noProof/>
        </w:rPr>
        <w:t xml:space="preserve">Obiectivul acestei măsuri este de a extinde investiția C7.1 I4: Achiziționarea de vehicule pe bază de combustibili alternativi pentru transportul public regulat urban și suburban în cadrul componentei 7.1 [Energie și transport </w:t>
      </w:r>
      <w:r w:rsidR="008A0E13">
        <w:rPr>
          <w:noProof/>
        </w:rPr>
        <w:t>sustenabil</w:t>
      </w:r>
      <w:r>
        <w:rPr>
          <w:noProof/>
        </w:rPr>
        <w:t xml:space="preserve"> (componenta REPowerEU)]. </w:t>
      </w:r>
    </w:p>
    <w:p w14:paraId="057DFABB" w14:textId="77777777" w:rsidR="00FA7C11" w:rsidRDefault="00D84965">
      <w:pPr>
        <w:pStyle w:val="P68B1DB1-Normal83"/>
        <w:rPr>
          <w:bCs/>
          <w:noProof/>
          <w:color w:val="000000" w:themeColor="text1"/>
        </w:rPr>
      </w:pPr>
      <w:r>
        <w:rPr>
          <w:noProof/>
        </w:rPr>
        <w:t xml:space="preserve">Investiția constă în achiziționarea de autobuze alimentate cu combustibili alternativi (electrice și/sau pe bază de hidrogen) și de unități de energie pe bază de hidrogen pentru alimentarea locomotivelor electrice. </w:t>
      </w:r>
    </w:p>
    <w:p w14:paraId="6CD6F13C" w14:textId="77777777" w:rsidR="00FA7C11" w:rsidRDefault="00FA7C11">
      <w:pPr>
        <w:pStyle w:val="paragraph"/>
        <w:spacing w:before="0" w:beforeAutospacing="0" w:after="0" w:afterAutospacing="0"/>
        <w:jc w:val="both"/>
        <w:textAlignment w:val="baseline"/>
        <w:rPr>
          <w:bCs/>
          <w:noProof/>
          <w:color w:val="000000" w:themeColor="text1"/>
          <w:szCs w:val="24"/>
        </w:rPr>
      </w:pPr>
    </w:p>
    <w:p w14:paraId="0CF16996" w14:textId="77777777" w:rsidR="00FA7C11" w:rsidRDefault="00FA7C11">
      <w:pPr>
        <w:pStyle w:val="paragraph"/>
        <w:spacing w:before="0" w:beforeAutospacing="0" w:after="0" w:afterAutospacing="0"/>
        <w:jc w:val="both"/>
        <w:textAlignment w:val="baseline"/>
        <w:rPr>
          <w:noProof/>
          <w:szCs w:val="24"/>
        </w:rPr>
      </w:pPr>
    </w:p>
    <w:p w14:paraId="246C4A6E" w14:textId="77777777" w:rsidR="00FA7C11" w:rsidRDefault="00FA7C11">
      <w:pPr>
        <w:pStyle w:val="paragraph"/>
        <w:spacing w:before="0" w:beforeAutospacing="0" w:after="0" w:afterAutospacing="0"/>
        <w:jc w:val="both"/>
        <w:textAlignment w:val="baseline"/>
        <w:rPr>
          <w:rStyle w:val="normaltextrun"/>
          <w:b/>
          <w:bCs/>
          <w:noProof/>
          <w:u w:val="single"/>
        </w:rPr>
        <w:sectPr w:rsidR="00FA7C11" w:rsidSect="00FA29B2">
          <w:headerReference w:type="even" r:id="rId410"/>
          <w:headerReference w:type="default" r:id="rId411"/>
          <w:footerReference w:type="even" r:id="rId412"/>
          <w:footerReference w:type="default" r:id="rId413"/>
          <w:headerReference w:type="first" r:id="rId414"/>
          <w:footerReference w:type="first" r:id="rId415"/>
          <w:pgSz w:w="11906" w:h="16838"/>
          <w:pgMar w:top="1134" w:right="1134" w:bottom="1134" w:left="1134" w:header="567" w:footer="567" w:gutter="0"/>
          <w:cols w:space="708"/>
          <w:docGrid w:linePitch="360"/>
        </w:sectPr>
      </w:pPr>
    </w:p>
    <w:p w14:paraId="69701482" w14:textId="77777777" w:rsidR="00FA7C11" w:rsidRDefault="00D84965">
      <w:pPr>
        <w:pStyle w:val="P68B1DB1-Normal57"/>
        <w:keepNext/>
        <w:tabs>
          <w:tab w:val="num" w:pos="284"/>
        </w:tabs>
        <w:spacing w:before="40" w:after="0"/>
        <w:jc w:val="both"/>
        <w:outlineLvl w:val="1"/>
        <w:rPr>
          <w:noProof/>
        </w:rPr>
      </w:pPr>
      <w:r>
        <w:rPr>
          <w:noProof/>
        </w:rPr>
        <w:t xml:space="preserve">W.2. </w:t>
      </w:r>
      <w:r>
        <w:rPr>
          <w:noProof/>
        </w:rPr>
        <w:tab/>
        <w:t>Jaloane, ținte, indicatori și calendarul de monitorizare și implementare aplicabile sprijinului financiar nerambursabil </w:t>
      </w:r>
    </w:p>
    <w:p w14:paraId="0BCFA20F" w14:textId="77777777" w:rsidR="00FA7C11" w:rsidRDefault="00FA7C11">
      <w:pPr>
        <w:keepNext/>
        <w:tabs>
          <w:tab w:val="num" w:pos="284"/>
        </w:tabs>
        <w:spacing w:before="40" w:after="0"/>
        <w:jc w:val="both"/>
        <w:outlineLvl w:val="1"/>
        <w:rPr>
          <w:rFonts w:ascii="Times New Roman" w:eastAsia="SimSun" w:hAnsi="Times New Roman" w:cs="Times New Roman"/>
          <w:b/>
          <w:noProof/>
          <w:sz w:val="24"/>
          <w:szCs w:val="24"/>
          <w:u w:val="single"/>
        </w:rPr>
      </w:pPr>
    </w:p>
    <w:tbl>
      <w:tblPr>
        <w:tblW w:w="15432" w:type="dxa"/>
        <w:jc w:val="center"/>
        <w:tblCellMar>
          <w:top w:w="28" w:type="dxa"/>
          <w:left w:w="28" w:type="dxa"/>
          <w:bottom w:w="28" w:type="dxa"/>
          <w:right w:w="28" w:type="dxa"/>
        </w:tblCellMar>
        <w:tblLook w:val="04A0" w:firstRow="1" w:lastRow="0" w:firstColumn="1" w:lastColumn="0" w:noHBand="0" w:noVBand="1"/>
      </w:tblPr>
      <w:tblGrid>
        <w:gridCol w:w="846"/>
        <w:gridCol w:w="1437"/>
        <w:gridCol w:w="1345"/>
        <w:gridCol w:w="2228"/>
        <w:gridCol w:w="2193"/>
        <w:gridCol w:w="917"/>
        <w:gridCol w:w="851"/>
        <w:gridCol w:w="779"/>
        <w:gridCol w:w="919"/>
        <w:gridCol w:w="850"/>
        <w:gridCol w:w="3754"/>
      </w:tblGrid>
      <w:tr w:rsidR="00FA7C11" w14:paraId="2DE10307" w14:textId="77777777">
        <w:trPr>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88E354" w14:textId="77777777" w:rsidR="00FA7C11" w:rsidRDefault="00D84965">
            <w:pPr>
              <w:pStyle w:val="P68B1DB1-Normal58"/>
              <w:spacing w:after="0" w:line="276" w:lineRule="auto"/>
              <w:jc w:val="center"/>
              <w:rPr>
                <w:bCs/>
                <w:noProof/>
              </w:rPr>
            </w:pPr>
            <w:r>
              <w:rPr>
                <w:noProof/>
              </w:rPr>
              <w:t>Număr</w:t>
            </w:r>
          </w:p>
        </w:tc>
        <w:tc>
          <w:tcPr>
            <w:tcW w:w="14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85EB1B" w14:textId="77777777" w:rsidR="00FA7C11" w:rsidRDefault="00D84965">
            <w:pPr>
              <w:pStyle w:val="P68B1DB1-Normal58"/>
              <w:spacing w:after="0" w:line="276" w:lineRule="auto"/>
              <w:jc w:val="center"/>
              <w:rPr>
                <w:bCs/>
                <w:noProof/>
              </w:rPr>
            </w:pPr>
            <w:r>
              <w:rPr>
                <w:noProof/>
              </w:rPr>
              <w:t>Măsură</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991944" w14:textId="77777777" w:rsidR="00FA7C11" w:rsidRDefault="00D84965">
            <w:pPr>
              <w:pStyle w:val="P68B1DB1-Normal58"/>
              <w:spacing w:after="0" w:line="276" w:lineRule="auto"/>
              <w:jc w:val="center"/>
              <w:rPr>
                <w:bCs/>
                <w:noProof/>
              </w:rPr>
            </w:pPr>
            <w:r>
              <w:rPr>
                <w:noProof/>
              </w:rPr>
              <w:t>Etapă/Obiectiv</w:t>
            </w:r>
          </w:p>
        </w:tc>
        <w:tc>
          <w:tcPr>
            <w:tcW w:w="22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96B10DC" w14:textId="77777777" w:rsidR="00FA7C11" w:rsidRDefault="00D84965">
            <w:pPr>
              <w:pStyle w:val="P68B1DB1-Normal58"/>
              <w:spacing w:after="0" w:line="276" w:lineRule="auto"/>
              <w:jc w:val="center"/>
              <w:rPr>
                <w:bCs/>
                <w:noProof/>
              </w:rPr>
            </w:pPr>
            <w:r>
              <w:rPr>
                <w:noProof/>
              </w:rPr>
              <w:t>Nume</w:t>
            </w:r>
          </w:p>
        </w:tc>
        <w:tc>
          <w:tcPr>
            <w:tcW w:w="21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728285"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4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305DD71"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425" w:type="dxa"/>
            <w:gridSpan w:val="2"/>
            <w:tcBorders>
              <w:top w:val="single" w:sz="4" w:space="0" w:color="auto"/>
              <w:left w:val="nil"/>
              <w:bottom w:val="single" w:sz="4" w:space="0" w:color="auto"/>
              <w:right w:val="single" w:sz="4" w:space="0" w:color="auto"/>
            </w:tcBorders>
            <w:shd w:val="clear" w:color="auto" w:fill="BDD7EE"/>
            <w:vAlign w:val="center"/>
            <w:hideMark/>
          </w:tcPr>
          <w:p w14:paraId="530D0992" w14:textId="77777777" w:rsidR="00FA7C11" w:rsidRDefault="00D84965">
            <w:pPr>
              <w:pStyle w:val="P68B1DB1-Normal58"/>
              <w:spacing w:after="0" w:line="276" w:lineRule="auto"/>
              <w:jc w:val="center"/>
              <w:rPr>
                <w:bCs/>
                <w:noProof/>
              </w:rPr>
            </w:pPr>
            <w:r>
              <w:rPr>
                <w:noProof/>
              </w:rPr>
              <w:t>Timp</w:t>
            </w:r>
          </w:p>
        </w:tc>
        <w:tc>
          <w:tcPr>
            <w:tcW w:w="375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3517DB"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02AC1684" w14:textId="77777777">
        <w:trPr>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2C3DEE8C"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437" w:type="dxa"/>
            <w:vMerge/>
            <w:tcBorders>
              <w:top w:val="single" w:sz="4" w:space="0" w:color="auto"/>
              <w:left w:val="single" w:sz="4" w:space="0" w:color="auto"/>
              <w:bottom w:val="single" w:sz="4" w:space="0" w:color="auto"/>
              <w:right w:val="single" w:sz="4" w:space="0" w:color="auto"/>
            </w:tcBorders>
            <w:hideMark/>
          </w:tcPr>
          <w:p w14:paraId="5EF543E1"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72" w:type="dxa"/>
            <w:vMerge/>
            <w:tcBorders>
              <w:top w:val="single" w:sz="4" w:space="0" w:color="auto"/>
              <w:left w:val="single" w:sz="4" w:space="0" w:color="auto"/>
              <w:bottom w:val="single" w:sz="4" w:space="0" w:color="auto"/>
              <w:right w:val="single" w:sz="4" w:space="0" w:color="auto"/>
            </w:tcBorders>
            <w:hideMark/>
          </w:tcPr>
          <w:p w14:paraId="0239F279"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228" w:type="dxa"/>
            <w:vMerge/>
            <w:tcBorders>
              <w:top w:val="single" w:sz="4" w:space="0" w:color="auto"/>
              <w:left w:val="single" w:sz="4" w:space="0" w:color="auto"/>
              <w:bottom w:val="single" w:sz="4" w:space="0" w:color="auto"/>
              <w:right w:val="single" w:sz="4" w:space="0" w:color="auto"/>
            </w:tcBorders>
            <w:hideMark/>
          </w:tcPr>
          <w:p w14:paraId="0417B65F" w14:textId="77777777" w:rsidR="00FA7C11" w:rsidRDefault="00FA7C11">
            <w:pPr>
              <w:spacing w:after="0" w:line="276" w:lineRule="auto"/>
              <w:rPr>
                <w:rFonts w:ascii="Times New Roman" w:eastAsia="Times New Roman" w:hAnsi="Times New Roman" w:cs="Times New Roman"/>
                <w:b/>
                <w:noProof/>
                <w:sz w:val="20"/>
                <w:szCs w:val="20"/>
              </w:rPr>
            </w:pPr>
          </w:p>
        </w:tc>
        <w:tc>
          <w:tcPr>
            <w:tcW w:w="2193" w:type="dxa"/>
            <w:vMerge/>
            <w:tcBorders>
              <w:top w:val="single" w:sz="4" w:space="0" w:color="auto"/>
              <w:left w:val="single" w:sz="4" w:space="0" w:color="auto"/>
              <w:bottom w:val="single" w:sz="4" w:space="0" w:color="auto"/>
              <w:right w:val="single" w:sz="4" w:space="0" w:color="auto"/>
            </w:tcBorders>
            <w:hideMark/>
          </w:tcPr>
          <w:p w14:paraId="1CBC06A6" w14:textId="77777777" w:rsidR="00FA7C11" w:rsidRDefault="00FA7C11">
            <w:pPr>
              <w:spacing w:after="0" w:line="276" w:lineRule="auto"/>
              <w:rPr>
                <w:rFonts w:ascii="Times New Roman" w:eastAsia="Times New Roman" w:hAnsi="Times New Roman" w:cs="Times New Roman"/>
                <w:b/>
                <w:noProof/>
                <w:sz w:val="20"/>
                <w:szCs w:val="20"/>
              </w:rPr>
            </w:pPr>
          </w:p>
        </w:tc>
        <w:tc>
          <w:tcPr>
            <w:tcW w:w="917" w:type="dxa"/>
            <w:tcBorders>
              <w:top w:val="single" w:sz="4" w:space="0" w:color="auto"/>
              <w:left w:val="single" w:sz="4" w:space="0" w:color="auto"/>
              <w:bottom w:val="single" w:sz="4" w:space="0" w:color="auto"/>
              <w:right w:val="single" w:sz="4" w:space="0" w:color="auto"/>
            </w:tcBorders>
            <w:shd w:val="clear" w:color="auto" w:fill="BDD7EE"/>
            <w:hideMark/>
          </w:tcPr>
          <w:p w14:paraId="7457D83F" w14:textId="77777777" w:rsidR="00FA7C11" w:rsidRDefault="00D84965">
            <w:pPr>
              <w:pStyle w:val="P68B1DB1-Normal58"/>
              <w:spacing w:after="0" w:line="276" w:lineRule="auto"/>
              <w:jc w:val="center"/>
              <w:rPr>
                <w:bCs/>
                <w:noProof/>
              </w:rPr>
            </w:pPr>
            <w:r>
              <w:rPr>
                <w:noProof/>
              </w:rPr>
              <w:t>Unitate</w:t>
            </w:r>
          </w:p>
        </w:tc>
        <w:tc>
          <w:tcPr>
            <w:tcW w:w="851" w:type="dxa"/>
            <w:tcBorders>
              <w:top w:val="single" w:sz="4" w:space="0" w:color="auto"/>
              <w:left w:val="single" w:sz="4" w:space="0" w:color="auto"/>
              <w:bottom w:val="single" w:sz="4" w:space="0" w:color="auto"/>
              <w:right w:val="single" w:sz="4" w:space="0" w:color="auto"/>
            </w:tcBorders>
            <w:shd w:val="clear" w:color="auto" w:fill="BDD7EE"/>
            <w:hideMark/>
          </w:tcPr>
          <w:p w14:paraId="690FE48E" w14:textId="77777777" w:rsidR="00FA7C11" w:rsidRDefault="00D84965">
            <w:pPr>
              <w:pStyle w:val="P68B1DB1-Normal58"/>
              <w:spacing w:after="0" w:line="276" w:lineRule="auto"/>
              <w:jc w:val="center"/>
              <w:rPr>
                <w:bCs/>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7EE"/>
            <w:hideMark/>
          </w:tcPr>
          <w:p w14:paraId="21C000F7" w14:textId="77777777" w:rsidR="00FA7C11" w:rsidRDefault="00D84965">
            <w:pPr>
              <w:pStyle w:val="P68B1DB1-Normal58"/>
              <w:spacing w:after="0" w:line="276" w:lineRule="auto"/>
              <w:jc w:val="center"/>
              <w:rPr>
                <w:bCs/>
                <w:noProof/>
              </w:rPr>
            </w:pPr>
            <w:r>
              <w:rPr>
                <w:noProof/>
              </w:rPr>
              <w:t>Obiectiv</w:t>
            </w:r>
          </w:p>
        </w:tc>
        <w:tc>
          <w:tcPr>
            <w:tcW w:w="575" w:type="dxa"/>
            <w:tcBorders>
              <w:top w:val="single" w:sz="4" w:space="0" w:color="auto"/>
              <w:left w:val="single" w:sz="4" w:space="0" w:color="auto"/>
              <w:bottom w:val="single" w:sz="4" w:space="0" w:color="auto"/>
              <w:right w:val="single" w:sz="4" w:space="0" w:color="auto"/>
            </w:tcBorders>
            <w:shd w:val="clear" w:color="auto" w:fill="BDD7EE"/>
            <w:hideMark/>
          </w:tcPr>
          <w:p w14:paraId="5DF1D45A" w14:textId="77777777" w:rsidR="00FA7C11" w:rsidRDefault="00D84965">
            <w:pPr>
              <w:pStyle w:val="P68B1DB1-Normal58"/>
              <w:spacing w:after="0" w:line="276" w:lineRule="auto"/>
              <w:jc w:val="center"/>
              <w:rPr>
                <w:bCs/>
                <w:noProof/>
              </w:rPr>
            </w:pPr>
            <w:r>
              <w:rPr>
                <w:noProof/>
              </w:rPr>
              <w:t>Trimestru</w:t>
            </w:r>
          </w:p>
        </w:tc>
        <w:tc>
          <w:tcPr>
            <w:tcW w:w="850" w:type="dxa"/>
            <w:tcBorders>
              <w:top w:val="single" w:sz="4" w:space="0" w:color="auto"/>
              <w:left w:val="single" w:sz="4" w:space="0" w:color="auto"/>
              <w:bottom w:val="single" w:sz="4" w:space="0" w:color="auto"/>
              <w:right w:val="single" w:sz="4" w:space="0" w:color="auto"/>
            </w:tcBorders>
            <w:shd w:val="clear" w:color="auto" w:fill="BDD7EE"/>
            <w:hideMark/>
          </w:tcPr>
          <w:p w14:paraId="216C6B9F" w14:textId="77777777" w:rsidR="00FA7C11" w:rsidRDefault="00D84965">
            <w:pPr>
              <w:pStyle w:val="P68B1DB1-Normal58"/>
              <w:spacing w:after="0" w:line="276" w:lineRule="auto"/>
              <w:jc w:val="center"/>
              <w:rPr>
                <w:bCs/>
                <w:noProof/>
              </w:rPr>
            </w:pPr>
            <w:r>
              <w:rPr>
                <w:noProof/>
              </w:rPr>
              <w:t>Anul</w:t>
            </w:r>
          </w:p>
        </w:tc>
        <w:tc>
          <w:tcPr>
            <w:tcW w:w="3754" w:type="dxa"/>
            <w:vMerge/>
            <w:tcBorders>
              <w:top w:val="single" w:sz="4" w:space="0" w:color="auto"/>
              <w:left w:val="single" w:sz="4" w:space="0" w:color="auto"/>
              <w:bottom w:val="single" w:sz="4" w:space="0" w:color="auto"/>
              <w:right w:val="single" w:sz="4" w:space="0" w:color="auto"/>
            </w:tcBorders>
            <w:hideMark/>
          </w:tcPr>
          <w:p w14:paraId="57696DF4"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4DD77C9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EE87682" w14:textId="77777777" w:rsidR="00FA7C11" w:rsidRDefault="00D84965">
            <w:pPr>
              <w:pStyle w:val="P68B1DB1-Normal89"/>
              <w:spacing w:after="0" w:line="276" w:lineRule="auto"/>
              <w:jc w:val="center"/>
              <w:rPr>
                <w:rFonts w:eastAsia="Calibri"/>
                <w:noProof/>
              </w:rPr>
            </w:pPr>
            <w:r>
              <w:rPr>
                <w:noProof/>
              </w:rPr>
              <w:t>406</w:t>
            </w:r>
          </w:p>
        </w:tc>
        <w:tc>
          <w:tcPr>
            <w:tcW w:w="1437" w:type="dxa"/>
            <w:tcBorders>
              <w:top w:val="single" w:sz="4" w:space="0" w:color="auto"/>
              <w:left w:val="nil"/>
              <w:bottom w:val="single" w:sz="4" w:space="0" w:color="auto"/>
              <w:right w:val="single" w:sz="4" w:space="0" w:color="auto"/>
            </w:tcBorders>
            <w:shd w:val="clear" w:color="auto" w:fill="C6EFCE"/>
            <w:noWrap/>
          </w:tcPr>
          <w:p w14:paraId="571727AE" w14:textId="77777777" w:rsidR="00FA7C11" w:rsidRDefault="00D84965">
            <w:pPr>
              <w:pStyle w:val="P68B1DB1-Normal102"/>
              <w:spacing w:after="200" w:line="276" w:lineRule="auto"/>
              <w:jc w:val="center"/>
              <w:rPr>
                <w:rFonts w:eastAsia="Calibri"/>
                <w:noProof/>
              </w:rPr>
            </w:pPr>
            <w:r>
              <w:rPr>
                <w:noProof/>
              </w:rPr>
              <w:t>C7.1. R1</w:t>
            </w:r>
          </w:p>
        </w:tc>
        <w:tc>
          <w:tcPr>
            <w:tcW w:w="1072" w:type="dxa"/>
            <w:tcBorders>
              <w:top w:val="single" w:sz="4" w:space="0" w:color="auto"/>
              <w:left w:val="nil"/>
              <w:bottom w:val="single" w:sz="4" w:space="0" w:color="auto"/>
              <w:right w:val="single" w:sz="4" w:space="0" w:color="auto"/>
            </w:tcBorders>
            <w:shd w:val="clear" w:color="auto" w:fill="C6EFCE"/>
            <w:noWrap/>
          </w:tcPr>
          <w:p w14:paraId="2E5A0F82" w14:textId="77777777" w:rsidR="00FA7C11" w:rsidRDefault="00D84965">
            <w:pPr>
              <w:pStyle w:val="P68B1DB1-Normal70"/>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5011CB23" w14:textId="77777777" w:rsidR="00FA7C11" w:rsidRDefault="00D84965">
            <w:pPr>
              <w:pStyle w:val="P68B1DB1-Normal70"/>
              <w:spacing w:after="200" w:line="276" w:lineRule="auto"/>
              <w:rPr>
                <w:noProof/>
              </w:rPr>
            </w:pPr>
            <w:r>
              <w:rPr>
                <w:noProof/>
              </w:rPr>
              <w:t>Intrarea în vigoare a legislației de instituire a noului sistem de autoconsum</w:t>
            </w:r>
          </w:p>
        </w:tc>
        <w:tc>
          <w:tcPr>
            <w:tcW w:w="2193" w:type="dxa"/>
            <w:tcBorders>
              <w:top w:val="single" w:sz="4" w:space="0" w:color="auto"/>
              <w:left w:val="nil"/>
              <w:bottom w:val="single" w:sz="4" w:space="0" w:color="auto"/>
              <w:right w:val="single" w:sz="4" w:space="0" w:color="auto"/>
            </w:tcBorders>
            <w:shd w:val="clear" w:color="auto" w:fill="C6EFCE"/>
            <w:noWrap/>
          </w:tcPr>
          <w:p w14:paraId="55AAE08B" w14:textId="77777777" w:rsidR="00FA7C11" w:rsidRDefault="00D84965">
            <w:pPr>
              <w:pStyle w:val="P68B1DB1-Normal66"/>
              <w:rPr>
                <w:noProof/>
              </w:rPr>
            </w:pPr>
            <w:r>
              <w:rPr>
                <w:noProof/>
              </w:rPr>
              <w:t>Dispoziție dintr-un act juridic care instituie noul sistem de autoconsum, indicând intrarea sa în vigoare</w:t>
            </w:r>
          </w:p>
        </w:tc>
        <w:tc>
          <w:tcPr>
            <w:tcW w:w="917" w:type="dxa"/>
            <w:tcBorders>
              <w:top w:val="single" w:sz="4" w:space="0" w:color="auto"/>
              <w:left w:val="nil"/>
              <w:bottom w:val="single" w:sz="4" w:space="0" w:color="auto"/>
              <w:right w:val="single" w:sz="4" w:space="0" w:color="auto"/>
            </w:tcBorders>
            <w:shd w:val="clear" w:color="auto" w:fill="C6EFCE"/>
            <w:noWrap/>
          </w:tcPr>
          <w:p w14:paraId="177524BE"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040F4440" w14:textId="77777777" w:rsidR="00FA7C11" w:rsidRDefault="00FA7C11">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58B9F9B4" w14:textId="77777777" w:rsidR="00FA7C11" w:rsidRDefault="00FA7C11">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71AD5FE7" w14:textId="77777777" w:rsidR="00FA7C11" w:rsidRDefault="00D84965">
            <w:pPr>
              <w:pStyle w:val="P68B1DB1-Normal70"/>
              <w:spacing w:after="200" w:line="276" w:lineRule="auto"/>
              <w:jc w:val="center"/>
              <w:rPr>
                <w:noProof/>
              </w:rPr>
            </w:pPr>
            <w:r>
              <w:rPr>
                <w:noProof/>
              </w:rPr>
              <w:t>Î1</w:t>
            </w:r>
          </w:p>
        </w:tc>
        <w:tc>
          <w:tcPr>
            <w:tcW w:w="850" w:type="dxa"/>
            <w:tcBorders>
              <w:top w:val="single" w:sz="4" w:space="0" w:color="auto"/>
              <w:left w:val="nil"/>
              <w:bottom w:val="single" w:sz="4" w:space="0" w:color="auto"/>
              <w:right w:val="single" w:sz="4" w:space="0" w:color="auto"/>
            </w:tcBorders>
            <w:shd w:val="clear" w:color="auto" w:fill="C6EFCE"/>
            <w:noWrap/>
          </w:tcPr>
          <w:p w14:paraId="2345283E" w14:textId="77777777" w:rsidR="00FA7C11" w:rsidRDefault="00D84965">
            <w:pPr>
              <w:pStyle w:val="P68B1DB1-Normal70"/>
              <w:spacing w:after="200" w:line="276" w:lineRule="auto"/>
              <w:jc w:val="center"/>
              <w:rPr>
                <w:noProof/>
              </w:rPr>
            </w:pPr>
            <w:r>
              <w:rPr>
                <w:noProof/>
              </w:rPr>
              <w:t>2025</w:t>
            </w:r>
          </w:p>
        </w:tc>
        <w:tc>
          <w:tcPr>
            <w:tcW w:w="3754" w:type="dxa"/>
            <w:tcBorders>
              <w:top w:val="single" w:sz="4" w:space="0" w:color="auto"/>
              <w:left w:val="nil"/>
              <w:bottom w:val="single" w:sz="4" w:space="0" w:color="auto"/>
              <w:right w:val="single" w:sz="4" w:space="0" w:color="auto"/>
            </w:tcBorders>
            <w:shd w:val="clear" w:color="auto" w:fill="C6EFCE"/>
            <w:noWrap/>
          </w:tcPr>
          <w:p w14:paraId="2F2587CC" w14:textId="77777777"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rPr>
              <w:t xml:space="preserve">Noul sistem de autoconsum pentru </w:t>
            </w:r>
            <w:r>
              <w:rPr>
                <w:rFonts w:ascii="Times New Roman" w:hAnsi="Times New Roman" w:cs="Times New Roman"/>
                <w:noProof/>
                <w:color w:val="000000" w:themeColor="text1"/>
              </w:rPr>
              <w:t>instalațiile de producere a energiei în autoaprovizionare</w:t>
            </w:r>
            <w:r>
              <w:rPr>
                <w:rFonts w:ascii="Times New Roman" w:eastAsia="Calibri" w:hAnsi="Times New Roman" w:cs="Times New Roman"/>
                <w:noProof/>
              </w:rPr>
              <w:t xml:space="preserve"> se instituie și se aplică de la 1 ianuarie 2026. Noul sistem de autoconsum asigură egalitatea de tratament între toți clienții în ceea ce privește accesul la rețeaua de distribuție și taxele de rețea. Noul sistem reproiectează modul de calculare a remunerației pentru energia electrică autoprodusă injectată în rețea; toate taxele și comisioanele, inclusiv tarifele de rețea, trebuie să reflecte costurile, să fie proporționale și nediscriminatorii. În același timp, noul sistem creează stimulente pentru ca consumatorii să devină autoconsumatori, precum și pentru autoconsum. Nu se impun taxe și comisioane pentru energia electrică autoprodusă care rămâne la sediul autoconsumatorului.</w:t>
            </w:r>
          </w:p>
        </w:tc>
      </w:tr>
      <w:tr w:rsidR="00FA7C11" w14:paraId="50D789DB"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ED2B040" w14:textId="77777777" w:rsidR="00FA7C11" w:rsidRDefault="00D84965">
            <w:pPr>
              <w:pStyle w:val="P68B1DB1-Normal89"/>
              <w:spacing w:after="0" w:line="276" w:lineRule="auto"/>
              <w:jc w:val="center"/>
              <w:rPr>
                <w:rFonts w:eastAsia="Calibri"/>
                <w:noProof/>
              </w:rPr>
            </w:pPr>
            <w:r>
              <w:rPr>
                <w:noProof/>
              </w:rPr>
              <w:t>51</w:t>
            </w:r>
          </w:p>
        </w:tc>
        <w:tc>
          <w:tcPr>
            <w:tcW w:w="1437" w:type="dxa"/>
            <w:tcBorders>
              <w:top w:val="single" w:sz="4" w:space="0" w:color="auto"/>
              <w:left w:val="nil"/>
              <w:bottom w:val="single" w:sz="4" w:space="0" w:color="auto"/>
              <w:right w:val="single" w:sz="4" w:space="0" w:color="auto"/>
            </w:tcBorders>
            <w:shd w:val="clear" w:color="auto" w:fill="C6EFCE"/>
            <w:noWrap/>
          </w:tcPr>
          <w:p w14:paraId="53C05E77" w14:textId="77777777" w:rsidR="00FA7C11" w:rsidRDefault="00D84965">
            <w:pPr>
              <w:pStyle w:val="P68B1DB1-Normal102"/>
              <w:spacing w:after="200" w:line="276" w:lineRule="auto"/>
              <w:jc w:val="center"/>
              <w:rPr>
                <w:rFonts w:eastAsia="Calibri"/>
                <w:noProof/>
              </w:rPr>
            </w:pPr>
            <w:r>
              <w:rPr>
                <w:noProof/>
              </w:rPr>
              <w:t>C7.1. R1-I1</w:t>
            </w:r>
          </w:p>
        </w:tc>
        <w:tc>
          <w:tcPr>
            <w:tcW w:w="1072" w:type="dxa"/>
            <w:tcBorders>
              <w:top w:val="single" w:sz="4" w:space="0" w:color="auto"/>
              <w:left w:val="nil"/>
              <w:bottom w:val="single" w:sz="4" w:space="0" w:color="auto"/>
              <w:right w:val="single" w:sz="4" w:space="0" w:color="auto"/>
            </w:tcBorders>
            <w:shd w:val="clear" w:color="auto" w:fill="C6EFCE"/>
            <w:noWrap/>
          </w:tcPr>
          <w:p w14:paraId="15F4E58E" w14:textId="77777777" w:rsidR="00FA7C11" w:rsidRDefault="00D84965">
            <w:pPr>
              <w:pStyle w:val="P68B1DB1-Normal66"/>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6F1748C2" w14:textId="77777777" w:rsidR="00FA7C11" w:rsidRDefault="00D84965">
            <w:pPr>
              <w:pStyle w:val="P68B1DB1-Normal66"/>
              <w:spacing w:after="200" w:line="276" w:lineRule="auto"/>
              <w:rPr>
                <w:noProof/>
              </w:rPr>
            </w:pPr>
            <w:r>
              <w:rPr>
                <w:noProof/>
              </w:rPr>
              <w:t xml:space="preserve">Finanțarea unui proiect privind hidrogenul din surse regenerabile </w:t>
            </w:r>
          </w:p>
        </w:tc>
        <w:tc>
          <w:tcPr>
            <w:tcW w:w="2193" w:type="dxa"/>
            <w:tcBorders>
              <w:top w:val="single" w:sz="4" w:space="0" w:color="auto"/>
              <w:left w:val="nil"/>
              <w:bottom w:val="single" w:sz="4" w:space="0" w:color="auto"/>
              <w:right w:val="single" w:sz="4" w:space="0" w:color="auto"/>
            </w:tcBorders>
            <w:shd w:val="clear" w:color="auto" w:fill="C6EFCE"/>
            <w:noWrap/>
          </w:tcPr>
          <w:p w14:paraId="6B4F21F3" w14:textId="50754C7B" w:rsidR="00FA7C11" w:rsidRDefault="00D84965">
            <w:pPr>
              <w:pStyle w:val="P68B1DB1-Normal66"/>
              <w:spacing w:after="200" w:line="276" w:lineRule="auto"/>
              <w:rPr>
                <w:noProof/>
              </w:rPr>
            </w:pPr>
            <w:r>
              <w:rPr>
                <w:noProof/>
              </w:rPr>
              <w:t xml:space="preserve">Atribuirea unui grant pentru un proiect privind hidrogenul din surse regenerabile, livrarea electrolizorului, instalarea unui plan privind energia fotovoltaică și contractul semnat pentru instalarea electrolizorului </w:t>
            </w:r>
          </w:p>
        </w:tc>
        <w:tc>
          <w:tcPr>
            <w:tcW w:w="917" w:type="dxa"/>
            <w:tcBorders>
              <w:top w:val="single" w:sz="4" w:space="0" w:color="auto"/>
              <w:left w:val="nil"/>
              <w:bottom w:val="single" w:sz="4" w:space="0" w:color="auto"/>
              <w:right w:val="single" w:sz="4" w:space="0" w:color="auto"/>
            </w:tcBorders>
            <w:shd w:val="clear" w:color="auto" w:fill="C6EFCE"/>
            <w:noWrap/>
          </w:tcPr>
          <w:p w14:paraId="55D661A2"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1C6C7585" w14:textId="77777777" w:rsidR="00FA7C11" w:rsidRDefault="00FA7C11">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07E537DA" w14:textId="77777777" w:rsidR="00FA7C11" w:rsidRDefault="00FA7C11">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7F9C5313" w14:textId="77777777" w:rsidR="00FA7C11" w:rsidRDefault="00D84965">
            <w:pPr>
              <w:pStyle w:val="P68B1DB1-Normal66"/>
              <w:spacing w:after="200" w:line="276" w:lineRule="auto"/>
              <w:jc w:val="center"/>
              <w:rPr>
                <w:noProof/>
              </w:rPr>
            </w:pPr>
            <w:r>
              <w:rPr>
                <w:noProof/>
              </w:rPr>
              <w:t>Î4</w:t>
            </w:r>
          </w:p>
        </w:tc>
        <w:tc>
          <w:tcPr>
            <w:tcW w:w="850" w:type="dxa"/>
            <w:tcBorders>
              <w:top w:val="single" w:sz="4" w:space="0" w:color="auto"/>
              <w:left w:val="nil"/>
              <w:bottom w:val="single" w:sz="4" w:space="0" w:color="auto"/>
              <w:right w:val="single" w:sz="4" w:space="0" w:color="auto"/>
            </w:tcBorders>
            <w:shd w:val="clear" w:color="auto" w:fill="C6EFCE"/>
            <w:noWrap/>
          </w:tcPr>
          <w:p w14:paraId="2B2BF88A" w14:textId="77777777" w:rsidR="00FA7C11" w:rsidRDefault="00D84965">
            <w:pPr>
              <w:pStyle w:val="P68B1DB1-Normal66"/>
              <w:spacing w:after="200" w:line="276" w:lineRule="auto"/>
              <w:jc w:val="center"/>
              <w:rPr>
                <w:noProof/>
              </w:rPr>
            </w:pPr>
            <w:r>
              <w:rPr>
                <w:noProof/>
              </w:rPr>
              <w:t>2025</w:t>
            </w:r>
          </w:p>
        </w:tc>
        <w:tc>
          <w:tcPr>
            <w:tcW w:w="3754" w:type="dxa"/>
            <w:tcBorders>
              <w:top w:val="single" w:sz="4" w:space="0" w:color="auto"/>
              <w:left w:val="nil"/>
              <w:bottom w:val="single" w:sz="4" w:space="0" w:color="auto"/>
              <w:right w:val="single" w:sz="4" w:space="0" w:color="auto"/>
            </w:tcBorders>
            <w:shd w:val="clear" w:color="auto" w:fill="C6EFCE"/>
            <w:noWrap/>
          </w:tcPr>
          <w:p w14:paraId="50EA8AB1" w14:textId="14F52840" w:rsidR="00FA7C11" w:rsidRDefault="00D84965">
            <w:pPr>
              <w:pStyle w:val="P68B1DB1-Normal59"/>
              <w:spacing w:after="200" w:line="276" w:lineRule="auto"/>
              <w:rPr>
                <w:rFonts w:ascii="Times New Roman" w:eastAsia="Calibri" w:hAnsi="Times New Roman" w:cs="Times New Roman"/>
                <w:noProof/>
              </w:rPr>
            </w:pPr>
            <w:r>
              <w:rPr>
                <w:rFonts w:ascii="Times New Roman" w:eastAsia="Calibri" w:hAnsi="Times New Roman" w:cs="Times New Roman"/>
                <w:noProof/>
                <w:color w:val="000000" w:themeColor="text1"/>
              </w:rPr>
              <w:t>Grant acordat în valoare de 15 milioane EUR pentru finanțarea unui proiect integrat privind hidrogenul din surse regenerabile, care include livrarea la fața locului a electrolizorului cu o capacitate de cel puțin 10 MW de hidrogen din surse regenerabile, instalarea unei centrale fotovoltaice și contractul semnat pentru instalarea electrolizorului.</w:t>
            </w:r>
            <w:r>
              <w:rPr>
                <w:rFonts w:ascii="Times New Roman" w:hAnsi="Times New Roman" w:cs="Times New Roman"/>
                <w:noProof/>
              </w:rPr>
              <w:br/>
            </w:r>
            <w:r>
              <w:rPr>
                <w:rFonts w:ascii="Times New Roman" w:eastAsia="Calibri" w:hAnsi="Times New Roman" w:cs="Times New Roman"/>
                <w:noProof/>
                <w:color w:val="000000" w:themeColor="text1"/>
              </w:rPr>
              <w:t>Proiectul respectă condițiile prevăzute în Directiva (UE) 2018/2001 privind energia din surse regenerabile și în actele delegate relevante (UE) 2023/1185 și (UE) 2023/1184.</w:t>
            </w:r>
          </w:p>
        </w:tc>
      </w:tr>
      <w:tr w:rsidR="00FA7C11" w14:paraId="3AC1C258"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7D0836D" w14:textId="77777777" w:rsidR="00FA7C11" w:rsidRDefault="00D84965">
            <w:pPr>
              <w:pStyle w:val="P68B1DB1-Normal89"/>
              <w:spacing w:after="0" w:line="276" w:lineRule="auto"/>
              <w:jc w:val="center"/>
              <w:rPr>
                <w:noProof/>
              </w:rPr>
            </w:pPr>
            <w:r>
              <w:rPr>
                <w:noProof/>
              </w:rPr>
              <w:t>52</w:t>
            </w:r>
          </w:p>
        </w:tc>
        <w:tc>
          <w:tcPr>
            <w:tcW w:w="1437" w:type="dxa"/>
            <w:tcBorders>
              <w:top w:val="single" w:sz="4" w:space="0" w:color="auto"/>
              <w:left w:val="nil"/>
              <w:bottom w:val="single" w:sz="4" w:space="0" w:color="auto"/>
              <w:right w:val="single" w:sz="4" w:space="0" w:color="auto"/>
            </w:tcBorders>
            <w:shd w:val="clear" w:color="auto" w:fill="C6EFCE"/>
            <w:noWrap/>
          </w:tcPr>
          <w:p w14:paraId="154EE9E1" w14:textId="77777777" w:rsidR="00FA7C11" w:rsidRDefault="00D84965">
            <w:pPr>
              <w:pStyle w:val="P68B1DB1-Normal102"/>
              <w:spacing w:after="200" w:line="276" w:lineRule="auto"/>
              <w:jc w:val="center"/>
              <w:rPr>
                <w:rFonts w:eastAsia="Calibri"/>
                <w:noProof/>
              </w:rPr>
            </w:pPr>
            <w:r>
              <w:rPr>
                <w:noProof/>
              </w:rPr>
              <w:t>C7.1. R1-I1</w:t>
            </w:r>
          </w:p>
        </w:tc>
        <w:tc>
          <w:tcPr>
            <w:tcW w:w="1072" w:type="dxa"/>
            <w:tcBorders>
              <w:top w:val="single" w:sz="4" w:space="0" w:color="auto"/>
              <w:left w:val="nil"/>
              <w:bottom w:val="single" w:sz="4" w:space="0" w:color="auto"/>
              <w:right w:val="single" w:sz="4" w:space="0" w:color="auto"/>
            </w:tcBorders>
            <w:shd w:val="clear" w:color="auto" w:fill="C6EFCE"/>
            <w:noWrap/>
          </w:tcPr>
          <w:p w14:paraId="0F6F2B31" w14:textId="77777777" w:rsidR="00FA7C11" w:rsidRDefault="00D84965">
            <w:pPr>
              <w:pStyle w:val="P68B1DB1-Normal66"/>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36D8B119" w14:textId="77777777" w:rsidR="00FA7C11" w:rsidRDefault="00D84965">
            <w:pPr>
              <w:pStyle w:val="P68B1DB1-Normal66"/>
              <w:spacing w:after="200" w:line="276" w:lineRule="auto"/>
              <w:rPr>
                <w:noProof/>
              </w:rPr>
            </w:pPr>
            <w:r>
              <w:rPr>
                <w:noProof/>
              </w:rPr>
              <w:t xml:space="preserve">Licitație publică lansată pentru o capacitate suplimentară de hidrogen </w:t>
            </w:r>
          </w:p>
        </w:tc>
        <w:tc>
          <w:tcPr>
            <w:tcW w:w="2193" w:type="dxa"/>
            <w:tcBorders>
              <w:top w:val="single" w:sz="4" w:space="0" w:color="auto"/>
              <w:left w:val="nil"/>
              <w:bottom w:val="single" w:sz="4" w:space="0" w:color="auto"/>
              <w:right w:val="single" w:sz="4" w:space="0" w:color="auto"/>
            </w:tcBorders>
            <w:shd w:val="clear" w:color="auto" w:fill="C6EFCE"/>
            <w:noWrap/>
          </w:tcPr>
          <w:p w14:paraId="320ECBB3" w14:textId="77777777" w:rsidR="00FA7C11" w:rsidRDefault="00D84965">
            <w:pPr>
              <w:pStyle w:val="P68B1DB1-Normal66"/>
              <w:spacing w:after="200" w:line="276" w:lineRule="auto"/>
              <w:rPr>
                <w:noProof/>
              </w:rPr>
            </w:pPr>
            <w:r>
              <w:rPr>
                <w:noProof/>
              </w:rPr>
              <w:t>Licitație publică lansată pentru o capacitate suplimentară de hidrogen</w:t>
            </w:r>
          </w:p>
        </w:tc>
        <w:tc>
          <w:tcPr>
            <w:tcW w:w="917" w:type="dxa"/>
            <w:tcBorders>
              <w:top w:val="single" w:sz="4" w:space="0" w:color="auto"/>
              <w:left w:val="nil"/>
              <w:bottom w:val="single" w:sz="4" w:space="0" w:color="auto"/>
              <w:right w:val="single" w:sz="4" w:space="0" w:color="auto"/>
            </w:tcBorders>
            <w:shd w:val="clear" w:color="auto" w:fill="C6EFCE"/>
            <w:noWrap/>
          </w:tcPr>
          <w:p w14:paraId="7CA94DAB" w14:textId="77777777" w:rsidR="00FA7C11" w:rsidRDefault="00D84965">
            <w:pPr>
              <w:pStyle w:val="P68B1DB1-Normal66"/>
              <w:spacing w:after="200" w:line="276" w:lineRule="auto"/>
              <w:jc w:val="center"/>
              <w:rPr>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06158971" w14:textId="77777777" w:rsidR="00FA7C11" w:rsidRDefault="00D84965">
            <w:pPr>
              <w:pStyle w:val="P68B1DB1-Normal66"/>
              <w:spacing w:after="200" w:line="276" w:lineRule="auto"/>
              <w:jc w:val="center"/>
              <w:rPr>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03467252" w14:textId="77777777" w:rsidR="00FA7C11" w:rsidRDefault="00FA7C11">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409C6518" w14:textId="77777777" w:rsidR="00FA7C11" w:rsidRDefault="00D84965">
            <w:pPr>
              <w:pStyle w:val="P68B1DB1-Normal66"/>
              <w:spacing w:after="200" w:line="276" w:lineRule="auto"/>
              <w:jc w:val="center"/>
              <w:rPr>
                <w:noProof/>
              </w:rPr>
            </w:pPr>
            <w:r>
              <w:rPr>
                <w:noProof/>
              </w:rPr>
              <w:t>Î2</w:t>
            </w:r>
          </w:p>
        </w:tc>
        <w:tc>
          <w:tcPr>
            <w:tcW w:w="850" w:type="dxa"/>
            <w:tcBorders>
              <w:top w:val="single" w:sz="4" w:space="0" w:color="auto"/>
              <w:left w:val="nil"/>
              <w:bottom w:val="single" w:sz="4" w:space="0" w:color="auto"/>
              <w:right w:val="single" w:sz="4" w:space="0" w:color="auto"/>
            </w:tcBorders>
            <w:shd w:val="clear" w:color="auto" w:fill="C6EFCE"/>
            <w:noWrap/>
          </w:tcPr>
          <w:p w14:paraId="4ADF1121" w14:textId="77777777" w:rsidR="00FA7C11" w:rsidRDefault="00D84965">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6AA0ED70" w14:textId="77777777" w:rsidR="00FA7C11" w:rsidRDefault="00D84965">
            <w:pPr>
              <w:pStyle w:val="P68B1DB1-Normal66"/>
              <w:spacing w:after="200" w:line="276" w:lineRule="auto"/>
              <w:rPr>
                <w:noProof/>
              </w:rPr>
            </w:pPr>
            <w:r>
              <w:rPr>
                <w:noProof/>
              </w:rPr>
              <w:t>Licitație publică lansată pentru construirea unei instalații care va instala o capacitate de producție de energie electrică pe bază de hidrogen din surse regenerabile de 20 MW, prin electroliză.</w:t>
            </w:r>
          </w:p>
        </w:tc>
      </w:tr>
      <w:tr w:rsidR="00FA7C11" w14:paraId="6F775ED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49A4B05" w14:textId="77777777" w:rsidR="00FA7C11" w:rsidRDefault="00D84965">
            <w:pPr>
              <w:pStyle w:val="P68B1DB1-Normal89"/>
              <w:spacing w:after="0" w:line="276" w:lineRule="auto"/>
              <w:jc w:val="center"/>
              <w:rPr>
                <w:noProof/>
              </w:rPr>
            </w:pPr>
            <w:r>
              <w:rPr>
                <w:noProof/>
              </w:rPr>
              <w:t>54</w:t>
            </w:r>
          </w:p>
        </w:tc>
        <w:tc>
          <w:tcPr>
            <w:tcW w:w="1437" w:type="dxa"/>
            <w:tcBorders>
              <w:top w:val="single" w:sz="4" w:space="0" w:color="auto"/>
              <w:left w:val="nil"/>
              <w:bottom w:val="single" w:sz="4" w:space="0" w:color="auto"/>
              <w:right w:val="single" w:sz="4" w:space="0" w:color="auto"/>
            </w:tcBorders>
            <w:shd w:val="clear" w:color="auto" w:fill="C6EFCE"/>
            <w:noWrap/>
          </w:tcPr>
          <w:p w14:paraId="3E3CE4F2" w14:textId="77777777" w:rsidR="00FA7C11" w:rsidRDefault="00D84965">
            <w:pPr>
              <w:pStyle w:val="P68B1DB1-Normal102"/>
              <w:spacing w:after="200" w:line="276" w:lineRule="auto"/>
              <w:jc w:val="center"/>
              <w:rPr>
                <w:noProof/>
                <w:color w:val="000000" w:themeColor="text1"/>
              </w:rPr>
            </w:pPr>
            <w:r>
              <w:rPr>
                <w:noProof/>
              </w:rPr>
              <w:t>C7.1. R1-I1</w:t>
            </w:r>
          </w:p>
        </w:tc>
        <w:tc>
          <w:tcPr>
            <w:tcW w:w="1072" w:type="dxa"/>
            <w:tcBorders>
              <w:top w:val="single" w:sz="4" w:space="0" w:color="auto"/>
              <w:left w:val="nil"/>
              <w:bottom w:val="single" w:sz="4" w:space="0" w:color="auto"/>
              <w:right w:val="single" w:sz="4" w:space="0" w:color="auto"/>
            </w:tcBorders>
            <w:shd w:val="clear" w:color="auto" w:fill="C6EFCE"/>
            <w:noWrap/>
          </w:tcPr>
          <w:p w14:paraId="4127E17E" w14:textId="77777777" w:rsidR="00FA7C11" w:rsidRDefault="00D84965">
            <w:pPr>
              <w:pStyle w:val="P68B1DB1-Normal66"/>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320286DA" w14:textId="77777777" w:rsidR="00FA7C11" w:rsidRDefault="00D84965">
            <w:pPr>
              <w:pStyle w:val="P68B1DB1-Normal66"/>
              <w:spacing w:after="200" w:line="276" w:lineRule="auto"/>
              <w:rPr>
                <w:noProof/>
              </w:rPr>
            </w:pPr>
            <w:r>
              <w:rPr>
                <w:noProof/>
              </w:rPr>
              <w:t>Studii privind stocarea geologică a carbonului</w:t>
            </w:r>
          </w:p>
        </w:tc>
        <w:tc>
          <w:tcPr>
            <w:tcW w:w="2193" w:type="dxa"/>
            <w:tcBorders>
              <w:top w:val="single" w:sz="4" w:space="0" w:color="auto"/>
              <w:left w:val="nil"/>
              <w:bottom w:val="single" w:sz="4" w:space="0" w:color="auto"/>
              <w:right w:val="single" w:sz="4" w:space="0" w:color="auto"/>
            </w:tcBorders>
            <w:shd w:val="clear" w:color="auto" w:fill="C6EFCE"/>
            <w:noWrap/>
          </w:tcPr>
          <w:p w14:paraId="25FC1823" w14:textId="77777777" w:rsidR="00FA7C11" w:rsidRDefault="00D84965">
            <w:pPr>
              <w:pStyle w:val="P68B1DB1-Normal66"/>
              <w:spacing w:after="200" w:line="276" w:lineRule="auto"/>
              <w:rPr>
                <w:noProof/>
              </w:rPr>
            </w:pPr>
            <w:r>
              <w:rPr>
                <w:noProof/>
              </w:rPr>
              <w:t xml:space="preserve">Publicarea rezumatelor tehnice ale studiilor privind stocarea geologică a carbonului </w:t>
            </w:r>
          </w:p>
        </w:tc>
        <w:tc>
          <w:tcPr>
            <w:tcW w:w="917" w:type="dxa"/>
            <w:tcBorders>
              <w:top w:val="single" w:sz="4" w:space="0" w:color="auto"/>
              <w:left w:val="nil"/>
              <w:bottom w:val="single" w:sz="4" w:space="0" w:color="auto"/>
              <w:right w:val="single" w:sz="4" w:space="0" w:color="auto"/>
            </w:tcBorders>
            <w:shd w:val="clear" w:color="auto" w:fill="C6EFCE"/>
            <w:noWrap/>
          </w:tcPr>
          <w:p w14:paraId="5336C05E"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767EC530"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785FC9FB"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0DD492A8" w14:textId="77777777" w:rsidR="00FA7C11" w:rsidRDefault="00D84965">
            <w:pPr>
              <w:pStyle w:val="P68B1DB1-Normal66"/>
              <w:spacing w:after="200" w:line="276" w:lineRule="auto"/>
              <w:jc w:val="center"/>
              <w:rPr>
                <w:noProof/>
              </w:rPr>
            </w:pPr>
            <w:r>
              <w:rPr>
                <w:noProof/>
              </w:rPr>
              <w:t>Î2</w:t>
            </w:r>
          </w:p>
        </w:tc>
        <w:tc>
          <w:tcPr>
            <w:tcW w:w="850" w:type="dxa"/>
            <w:tcBorders>
              <w:top w:val="single" w:sz="4" w:space="0" w:color="auto"/>
              <w:left w:val="nil"/>
              <w:bottom w:val="single" w:sz="4" w:space="0" w:color="auto"/>
              <w:right w:val="single" w:sz="4" w:space="0" w:color="auto"/>
            </w:tcBorders>
            <w:shd w:val="clear" w:color="auto" w:fill="C6EFCE"/>
            <w:noWrap/>
          </w:tcPr>
          <w:p w14:paraId="2F0ADCDF" w14:textId="77777777" w:rsidR="00FA7C11" w:rsidRDefault="00D84965">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4EC8266F" w14:textId="1C15D0C8" w:rsidR="00FA7C11" w:rsidRDefault="00D84965">
            <w:pPr>
              <w:pStyle w:val="P68B1DB1-Normal59"/>
              <w:spacing w:after="200" w:line="276"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Publicarea unui set de rezumate tehnice ale studiilor care abordează potențialul de stocare geologică subterană a CO2 în Croația (onshore și offshore). Studiile includ cartografierea structurilor geologice acceptabile pentru eliminarea permanentă a dioxidului de carbon și un studiu integrat de fezabilitate privind eliminarea permanentă a dioxidului de carbon în situl Bockovac. </w:t>
            </w:r>
          </w:p>
        </w:tc>
      </w:tr>
      <w:tr w:rsidR="00FA7C11" w14:paraId="6497F98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17E5B3C" w14:textId="77777777" w:rsidR="00FA7C11" w:rsidRDefault="00D84965">
            <w:pPr>
              <w:pStyle w:val="P68B1DB1-Normal89"/>
              <w:spacing w:after="0" w:line="276" w:lineRule="auto"/>
              <w:jc w:val="center"/>
              <w:rPr>
                <w:noProof/>
              </w:rPr>
            </w:pPr>
            <w:r>
              <w:rPr>
                <w:noProof/>
              </w:rPr>
              <w:t>407</w:t>
            </w:r>
          </w:p>
        </w:tc>
        <w:tc>
          <w:tcPr>
            <w:tcW w:w="1437" w:type="dxa"/>
            <w:tcBorders>
              <w:top w:val="single" w:sz="4" w:space="0" w:color="auto"/>
              <w:left w:val="nil"/>
              <w:bottom w:val="single" w:sz="4" w:space="0" w:color="auto"/>
              <w:right w:val="single" w:sz="4" w:space="0" w:color="auto"/>
            </w:tcBorders>
            <w:shd w:val="clear" w:color="auto" w:fill="C6EFCE"/>
            <w:noWrap/>
          </w:tcPr>
          <w:p w14:paraId="777EF3D2" w14:textId="77777777" w:rsidR="00FA7C11" w:rsidRDefault="00D84965">
            <w:pPr>
              <w:pStyle w:val="P68B1DB1-Normal102"/>
              <w:spacing w:after="200" w:line="276" w:lineRule="auto"/>
              <w:jc w:val="center"/>
              <w:rPr>
                <w:noProof/>
                <w:color w:val="000000" w:themeColor="text1"/>
              </w:rPr>
            </w:pPr>
            <w:r>
              <w:rPr>
                <w:noProof/>
              </w:rPr>
              <w:t>C7.1. R1-I2</w:t>
            </w:r>
          </w:p>
        </w:tc>
        <w:tc>
          <w:tcPr>
            <w:tcW w:w="1072" w:type="dxa"/>
            <w:tcBorders>
              <w:top w:val="single" w:sz="4" w:space="0" w:color="auto"/>
              <w:left w:val="nil"/>
              <w:bottom w:val="single" w:sz="4" w:space="0" w:color="auto"/>
              <w:right w:val="single" w:sz="4" w:space="0" w:color="auto"/>
            </w:tcBorders>
            <w:shd w:val="clear" w:color="auto" w:fill="C6EFCE"/>
            <w:noWrap/>
          </w:tcPr>
          <w:p w14:paraId="5C5CB620" w14:textId="77777777" w:rsidR="00FA7C11" w:rsidRDefault="00D84965">
            <w:pPr>
              <w:pStyle w:val="P68B1DB1-Normal70"/>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6BC3C6C2" w14:textId="77777777" w:rsidR="00FA7C11" w:rsidRDefault="00D84965">
            <w:pPr>
              <w:pStyle w:val="P68B1DB1-Normal70"/>
              <w:spacing w:after="200" w:line="276" w:lineRule="auto"/>
              <w:rPr>
                <w:noProof/>
              </w:rPr>
            </w:pPr>
            <w:r>
              <w:rPr>
                <w:noProof/>
              </w:rPr>
              <w:t>Organismul de coordonare pentru hidrogen</w:t>
            </w:r>
          </w:p>
        </w:tc>
        <w:tc>
          <w:tcPr>
            <w:tcW w:w="2193" w:type="dxa"/>
            <w:tcBorders>
              <w:top w:val="single" w:sz="4" w:space="0" w:color="auto"/>
              <w:left w:val="nil"/>
              <w:bottom w:val="single" w:sz="4" w:space="0" w:color="auto"/>
              <w:right w:val="single" w:sz="4" w:space="0" w:color="auto"/>
            </w:tcBorders>
            <w:shd w:val="clear" w:color="auto" w:fill="C6EFCE"/>
            <w:noWrap/>
          </w:tcPr>
          <w:p w14:paraId="50ACF836" w14:textId="77777777" w:rsidR="00FA7C11" w:rsidRDefault="00D84965">
            <w:pPr>
              <w:pStyle w:val="P68B1DB1-Normal70"/>
              <w:spacing w:after="200" w:line="276" w:lineRule="auto"/>
              <w:rPr>
                <w:noProof/>
              </w:rPr>
            </w:pPr>
            <w:r>
              <w:rPr>
                <w:noProof/>
              </w:rPr>
              <w:t>Dispoziție dintr-un act juridic care indică intrarea sa în vigoare</w:t>
            </w:r>
          </w:p>
        </w:tc>
        <w:tc>
          <w:tcPr>
            <w:tcW w:w="917" w:type="dxa"/>
            <w:tcBorders>
              <w:top w:val="single" w:sz="4" w:space="0" w:color="auto"/>
              <w:left w:val="nil"/>
              <w:bottom w:val="single" w:sz="4" w:space="0" w:color="auto"/>
              <w:right w:val="single" w:sz="4" w:space="0" w:color="auto"/>
            </w:tcBorders>
            <w:shd w:val="clear" w:color="auto" w:fill="C6EFCE"/>
            <w:noWrap/>
          </w:tcPr>
          <w:p w14:paraId="16BB13A6"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21ED8D97"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315D9BDE"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6F316E75" w14:textId="77777777" w:rsidR="00FA7C11" w:rsidRDefault="00D84965">
            <w:pPr>
              <w:pStyle w:val="P68B1DB1-Normal70"/>
              <w:spacing w:after="200" w:line="276" w:lineRule="auto"/>
              <w:jc w:val="center"/>
              <w:rPr>
                <w:noProof/>
              </w:rPr>
            </w:pPr>
            <w:r>
              <w:rPr>
                <w:noProof/>
              </w:rPr>
              <w:t>Î1</w:t>
            </w:r>
          </w:p>
        </w:tc>
        <w:tc>
          <w:tcPr>
            <w:tcW w:w="850" w:type="dxa"/>
            <w:tcBorders>
              <w:top w:val="single" w:sz="4" w:space="0" w:color="auto"/>
              <w:left w:val="nil"/>
              <w:bottom w:val="single" w:sz="4" w:space="0" w:color="auto"/>
              <w:right w:val="single" w:sz="4" w:space="0" w:color="auto"/>
            </w:tcBorders>
            <w:shd w:val="clear" w:color="auto" w:fill="C6EFCE"/>
            <w:noWrap/>
          </w:tcPr>
          <w:p w14:paraId="56678466" w14:textId="77777777" w:rsidR="00FA7C11" w:rsidRDefault="00D84965">
            <w:pPr>
              <w:pStyle w:val="P68B1DB1-Normal70"/>
              <w:spacing w:after="200" w:line="276" w:lineRule="auto"/>
              <w:jc w:val="center"/>
              <w:rPr>
                <w:noProof/>
              </w:rPr>
            </w:pPr>
            <w:r>
              <w:rPr>
                <w:noProof/>
              </w:rPr>
              <w:t>2024</w:t>
            </w:r>
          </w:p>
        </w:tc>
        <w:tc>
          <w:tcPr>
            <w:tcW w:w="3754" w:type="dxa"/>
            <w:tcBorders>
              <w:top w:val="single" w:sz="4" w:space="0" w:color="auto"/>
              <w:left w:val="nil"/>
              <w:bottom w:val="single" w:sz="4" w:space="0" w:color="auto"/>
              <w:right w:val="single" w:sz="4" w:space="0" w:color="auto"/>
            </w:tcBorders>
            <w:shd w:val="clear" w:color="auto" w:fill="C6EFCE"/>
            <w:noWrap/>
          </w:tcPr>
          <w:p w14:paraId="5C4F2DAC" w14:textId="77777777" w:rsidR="00FA7C11" w:rsidRDefault="00D84965">
            <w:pPr>
              <w:pStyle w:val="P68B1DB1-Normal70"/>
              <w:spacing w:after="200" w:line="276" w:lineRule="auto"/>
              <w:rPr>
                <w:noProof/>
              </w:rPr>
            </w:pPr>
            <w:r>
              <w:rPr>
                <w:noProof/>
              </w:rPr>
              <w:t>Intră în vigoare un act juridic prin care Agenția croată pentru hidrocarburi este desemnată drept organism de coordonare pentru hidrogen în Croația.</w:t>
            </w:r>
          </w:p>
        </w:tc>
      </w:tr>
      <w:tr w:rsidR="00FA7C11" w14:paraId="399B9595"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354D5670" w14:textId="77777777" w:rsidR="00FA7C11" w:rsidRDefault="00D84965">
            <w:pPr>
              <w:pStyle w:val="P68B1DB1-Normal89"/>
              <w:spacing w:after="0" w:line="276" w:lineRule="auto"/>
              <w:jc w:val="center"/>
              <w:rPr>
                <w:noProof/>
                <w:color w:val="000000"/>
                <w:shd w:val="clear" w:color="auto" w:fill="FFFF00"/>
              </w:rPr>
            </w:pPr>
            <w:r>
              <w:rPr>
                <w:noProof/>
              </w:rPr>
              <w:t>408</w:t>
            </w:r>
          </w:p>
        </w:tc>
        <w:tc>
          <w:tcPr>
            <w:tcW w:w="1437" w:type="dxa"/>
            <w:tcBorders>
              <w:top w:val="single" w:sz="4" w:space="0" w:color="auto"/>
              <w:left w:val="nil"/>
              <w:bottom w:val="single" w:sz="4" w:space="0" w:color="auto"/>
              <w:right w:val="single" w:sz="4" w:space="0" w:color="auto"/>
            </w:tcBorders>
            <w:shd w:val="clear" w:color="auto" w:fill="C6EFCE"/>
            <w:noWrap/>
          </w:tcPr>
          <w:p w14:paraId="72F9D3B6" w14:textId="77777777" w:rsidR="00FA7C11" w:rsidRDefault="00D84965">
            <w:pPr>
              <w:pStyle w:val="P68B1DB1-Normal102"/>
              <w:spacing w:after="200" w:line="276" w:lineRule="auto"/>
              <w:jc w:val="center"/>
              <w:rPr>
                <w:noProof/>
                <w:color w:val="000000" w:themeColor="text1"/>
              </w:rPr>
            </w:pPr>
            <w:r>
              <w:rPr>
                <w:noProof/>
              </w:rPr>
              <w:t>C7.1. R1-I2</w:t>
            </w:r>
          </w:p>
        </w:tc>
        <w:tc>
          <w:tcPr>
            <w:tcW w:w="1072" w:type="dxa"/>
            <w:tcBorders>
              <w:top w:val="single" w:sz="4" w:space="0" w:color="auto"/>
              <w:left w:val="nil"/>
              <w:bottom w:val="single" w:sz="4" w:space="0" w:color="auto"/>
              <w:right w:val="single" w:sz="4" w:space="0" w:color="auto"/>
            </w:tcBorders>
            <w:shd w:val="clear" w:color="auto" w:fill="C6EFCE"/>
            <w:noWrap/>
          </w:tcPr>
          <w:p w14:paraId="753BE2D4" w14:textId="77777777" w:rsidR="00FA7C11" w:rsidRDefault="00D84965">
            <w:pPr>
              <w:pStyle w:val="P68B1DB1-Normal102"/>
              <w:spacing w:after="200" w:line="276" w:lineRule="auto"/>
              <w:jc w:val="center"/>
              <w:rPr>
                <w:rFonts w:eastAsia="Calibri"/>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1579C6A5" w14:textId="77777777" w:rsidR="00FA7C11" w:rsidRDefault="00D84965">
            <w:pPr>
              <w:pStyle w:val="P68B1DB1-Normal102"/>
              <w:spacing w:after="200" w:line="276" w:lineRule="auto"/>
              <w:rPr>
                <w:rFonts w:eastAsia="Calibri"/>
                <w:noProof/>
              </w:rPr>
            </w:pPr>
            <w:r>
              <w:rPr>
                <w:noProof/>
              </w:rPr>
              <w:t>Studiul Planului de dezvoltare și punere în aplicare a Strategiei croate privind hidrogenul până în 2050</w:t>
            </w:r>
          </w:p>
        </w:tc>
        <w:tc>
          <w:tcPr>
            <w:tcW w:w="2193" w:type="dxa"/>
            <w:tcBorders>
              <w:top w:val="single" w:sz="4" w:space="0" w:color="auto"/>
              <w:left w:val="nil"/>
              <w:bottom w:val="single" w:sz="4" w:space="0" w:color="auto"/>
              <w:right w:val="single" w:sz="4" w:space="0" w:color="auto"/>
            </w:tcBorders>
            <w:shd w:val="clear" w:color="auto" w:fill="C6EFCE"/>
            <w:noWrap/>
          </w:tcPr>
          <w:p w14:paraId="7BC66382" w14:textId="77777777" w:rsidR="00FA7C11" w:rsidRDefault="00D84965">
            <w:pPr>
              <w:pStyle w:val="P68B1DB1-Normal102"/>
              <w:spacing w:after="200" w:line="276" w:lineRule="auto"/>
              <w:rPr>
                <w:rFonts w:eastAsia="Calibri"/>
                <w:noProof/>
              </w:rPr>
            </w:pPr>
            <w:r>
              <w:rPr>
                <w:noProof/>
              </w:rPr>
              <w:t>Studiul Planului de dezvoltare și punere în aplicare a Strategiei croate privind hidrogenul până în 2050 acceptat de Agenția croată pentru hidrocarburi</w:t>
            </w:r>
          </w:p>
        </w:tc>
        <w:tc>
          <w:tcPr>
            <w:tcW w:w="917" w:type="dxa"/>
            <w:tcBorders>
              <w:top w:val="single" w:sz="4" w:space="0" w:color="auto"/>
              <w:left w:val="nil"/>
              <w:bottom w:val="single" w:sz="4" w:space="0" w:color="auto"/>
              <w:right w:val="single" w:sz="4" w:space="0" w:color="auto"/>
            </w:tcBorders>
            <w:shd w:val="clear" w:color="auto" w:fill="C6EFCE"/>
            <w:noWrap/>
          </w:tcPr>
          <w:p w14:paraId="04E45B94" w14:textId="77777777" w:rsidR="00FA7C11" w:rsidRDefault="00D84965">
            <w:pPr>
              <w:pStyle w:val="P68B1DB1-Normal102"/>
              <w:spacing w:after="200" w:line="276" w:lineRule="auto"/>
              <w:jc w:val="center"/>
              <w:rPr>
                <w:rFonts w:eastAsia="Calibri"/>
                <w:noProof/>
              </w:rPr>
            </w:pPr>
            <w:r>
              <w:rPr>
                <w:noProof/>
              </w:rPr>
              <w:t> </w:t>
            </w:r>
          </w:p>
        </w:tc>
        <w:tc>
          <w:tcPr>
            <w:tcW w:w="851" w:type="dxa"/>
            <w:tcBorders>
              <w:top w:val="single" w:sz="4" w:space="0" w:color="auto"/>
              <w:left w:val="nil"/>
              <w:bottom w:val="single" w:sz="4" w:space="0" w:color="auto"/>
              <w:right w:val="single" w:sz="4" w:space="0" w:color="auto"/>
            </w:tcBorders>
            <w:shd w:val="clear" w:color="auto" w:fill="C6EFCE"/>
            <w:noWrap/>
          </w:tcPr>
          <w:p w14:paraId="4799FF3A" w14:textId="77777777" w:rsidR="00FA7C11" w:rsidRDefault="00D84965">
            <w:pPr>
              <w:pStyle w:val="P68B1DB1-Normal102"/>
              <w:spacing w:after="200" w:line="276" w:lineRule="auto"/>
              <w:jc w:val="center"/>
              <w:rPr>
                <w:rFonts w:eastAsia="Calibri"/>
                <w:noProof/>
              </w:rPr>
            </w:pPr>
            <w:r>
              <w:rPr>
                <w:noProof/>
              </w:rPr>
              <w:t> </w:t>
            </w:r>
          </w:p>
        </w:tc>
        <w:tc>
          <w:tcPr>
            <w:tcW w:w="709" w:type="dxa"/>
            <w:tcBorders>
              <w:top w:val="single" w:sz="4" w:space="0" w:color="auto"/>
              <w:left w:val="nil"/>
              <w:bottom w:val="single" w:sz="4" w:space="0" w:color="auto"/>
              <w:right w:val="single" w:sz="4" w:space="0" w:color="auto"/>
            </w:tcBorders>
            <w:shd w:val="clear" w:color="auto" w:fill="C6EFCE"/>
            <w:noWrap/>
          </w:tcPr>
          <w:p w14:paraId="79E13254" w14:textId="77777777" w:rsidR="00FA7C11" w:rsidRDefault="00D84965">
            <w:pPr>
              <w:pStyle w:val="P68B1DB1-Normal102"/>
              <w:spacing w:after="200" w:line="276" w:lineRule="auto"/>
              <w:jc w:val="center"/>
              <w:rPr>
                <w:rFonts w:eastAsia="Calibri"/>
                <w:noProof/>
              </w:rPr>
            </w:pPr>
            <w:r>
              <w:rPr>
                <w:noProof/>
              </w:rPr>
              <w:t> </w:t>
            </w:r>
          </w:p>
        </w:tc>
        <w:tc>
          <w:tcPr>
            <w:tcW w:w="575" w:type="dxa"/>
            <w:tcBorders>
              <w:top w:val="single" w:sz="4" w:space="0" w:color="auto"/>
              <w:left w:val="nil"/>
              <w:bottom w:val="single" w:sz="4" w:space="0" w:color="auto"/>
              <w:right w:val="single" w:sz="4" w:space="0" w:color="auto"/>
            </w:tcBorders>
            <w:shd w:val="clear" w:color="auto" w:fill="C6EFCE"/>
            <w:noWrap/>
          </w:tcPr>
          <w:p w14:paraId="4F54ADAF" w14:textId="77777777" w:rsidR="00FA7C11" w:rsidRDefault="00D84965">
            <w:pPr>
              <w:pStyle w:val="P68B1DB1-Normal102"/>
              <w:spacing w:after="200" w:line="276" w:lineRule="auto"/>
              <w:jc w:val="center"/>
              <w:rPr>
                <w:rFonts w:eastAsia="Calibri"/>
                <w:noProof/>
              </w:rPr>
            </w:pPr>
            <w:r>
              <w:rPr>
                <w:noProof/>
              </w:rPr>
              <w:t>Î1</w:t>
            </w:r>
          </w:p>
        </w:tc>
        <w:tc>
          <w:tcPr>
            <w:tcW w:w="850" w:type="dxa"/>
            <w:tcBorders>
              <w:top w:val="single" w:sz="4" w:space="0" w:color="auto"/>
              <w:left w:val="nil"/>
              <w:bottom w:val="single" w:sz="4" w:space="0" w:color="auto"/>
              <w:right w:val="single" w:sz="4" w:space="0" w:color="auto"/>
            </w:tcBorders>
            <w:shd w:val="clear" w:color="auto" w:fill="C6EFCE"/>
            <w:noWrap/>
          </w:tcPr>
          <w:p w14:paraId="7E980570" w14:textId="77777777" w:rsidR="00FA7C11" w:rsidRDefault="00D84965">
            <w:pPr>
              <w:pStyle w:val="P68B1DB1-Normal102"/>
              <w:spacing w:after="200" w:line="276" w:lineRule="auto"/>
              <w:jc w:val="center"/>
              <w:rPr>
                <w:rFonts w:eastAsia="Calibri"/>
                <w:noProof/>
              </w:rPr>
            </w:pPr>
            <w:r>
              <w:rPr>
                <w:noProof/>
              </w:rPr>
              <w:t>2025</w:t>
            </w:r>
          </w:p>
        </w:tc>
        <w:tc>
          <w:tcPr>
            <w:tcW w:w="3754" w:type="dxa"/>
            <w:tcBorders>
              <w:top w:val="single" w:sz="4" w:space="0" w:color="auto"/>
              <w:left w:val="nil"/>
              <w:bottom w:val="single" w:sz="4" w:space="0" w:color="auto"/>
              <w:right w:val="single" w:sz="4" w:space="0" w:color="auto"/>
            </w:tcBorders>
            <w:shd w:val="clear" w:color="auto" w:fill="C6EFCE"/>
            <w:noWrap/>
          </w:tcPr>
          <w:p w14:paraId="291584FD" w14:textId="77777777" w:rsidR="00FA7C11" w:rsidRDefault="00D84965">
            <w:pPr>
              <w:pStyle w:val="P68B1DB1-Normal102"/>
              <w:spacing w:after="200" w:line="276" w:lineRule="auto"/>
              <w:rPr>
                <w:rFonts w:eastAsia="Calibri"/>
                <w:noProof/>
              </w:rPr>
            </w:pPr>
            <w:r>
              <w:rPr>
                <w:noProof/>
              </w:rPr>
              <w:t xml:space="preserve">Studiul Planului de dezvoltare și punere în aplicare a Strategiei croate privind hidrogenul până în 2050 analizează cea mai adecvată utilizare a hidrogenului în decarbonizarea economiei croate, punând accentul pe utilizarea hidrogenului pentru decarbonizarea sectoarelor dificil de electrificat, cum ar fi industria (procesele la temperatură înaltă), vehiculele grele, transportul maritim și feroviar, înainte de a lua în considerare alte sectoare. </w:t>
            </w:r>
          </w:p>
        </w:tc>
      </w:tr>
      <w:tr w:rsidR="00FA7C11" w14:paraId="29543989"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0C64D66" w14:textId="77777777" w:rsidR="00FA7C11" w:rsidRDefault="00D84965">
            <w:pPr>
              <w:pStyle w:val="P68B1DB1-Normal89"/>
              <w:spacing w:after="0" w:line="276" w:lineRule="auto"/>
              <w:jc w:val="center"/>
              <w:rPr>
                <w:noProof/>
              </w:rPr>
            </w:pPr>
            <w:r>
              <w:rPr>
                <w:noProof/>
              </w:rPr>
              <w:t>412</w:t>
            </w:r>
          </w:p>
        </w:tc>
        <w:tc>
          <w:tcPr>
            <w:tcW w:w="1437" w:type="dxa"/>
            <w:tcBorders>
              <w:top w:val="single" w:sz="4" w:space="0" w:color="auto"/>
              <w:left w:val="nil"/>
              <w:bottom w:val="single" w:sz="4" w:space="0" w:color="auto"/>
              <w:right w:val="single" w:sz="4" w:space="0" w:color="auto"/>
            </w:tcBorders>
            <w:shd w:val="clear" w:color="auto" w:fill="C6EFCE"/>
            <w:noWrap/>
          </w:tcPr>
          <w:p w14:paraId="7293F47B" w14:textId="77777777" w:rsidR="00FA7C11" w:rsidRDefault="00D84965">
            <w:pPr>
              <w:pStyle w:val="P68B1DB1-Normal102"/>
              <w:spacing w:after="200" w:line="276" w:lineRule="auto"/>
              <w:jc w:val="center"/>
              <w:rPr>
                <w:noProof/>
                <w:color w:val="000000" w:themeColor="text1"/>
              </w:rPr>
            </w:pPr>
            <w:r>
              <w:rPr>
                <w:noProof/>
              </w:rPr>
              <w:t>C7.1. R1-I3</w:t>
            </w:r>
          </w:p>
        </w:tc>
        <w:tc>
          <w:tcPr>
            <w:tcW w:w="1072" w:type="dxa"/>
            <w:tcBorders>
              <w:top w:val="single" w:sz="4" w:space="0" w:color="auto"/>
              <w:left w:val="nil"/>
              <w:bottom w:val="single" w:sz="4" w:space="0" w:color="auto"/>
              <w:right w:val="single" w:sz="4" w:space="0" w:color="auto"/>
            </w:tcBorders>
            <w:shd w:val="clear" w:color="auto" w:fill="C6EFCE"/>
            <w:noWrap/>
          </w:tcPr>
          <w:p w14:paraId="3116F5E4" w14:textId="77777777" w:rsidR="00FA7C11" w:rsidRDefault="00D84965">
            <w:pPr>
              <w:pStyle w:val="P68B1DB1-Normal70"/>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58E3F22F" w14:textId="77777777" w:rsidR="00FA7C11" w:rsidRDefault="00D84965">
            <w:pPr>
              <w:pStyle w:val="P68B1DB1-Normal70"/>
              <w:spacing w:after="200" w:line="276" w:lineRule="auto"/>
              <w:rPr>
                <w:noProof/>
                <w:color w:val="000000"/>
              </w:rPr>
            </w:pPr>
            <w:r>
              <w:rPr>
                <w:noProof/>
              </w:rPr>
              <w:t>Planul de dezvoltare a potențialului geotermal</w:t>
            </w:r>
          </w:p>
        </w:tc>
        <w:tc>
          <w:tcPr>
            <w:tcW w:w="2193" w:type="dxa"/>
            <w:tcBorders>
              <w:top w:val="single" w:sz="4" w:space="0" w:color="auto"/>
              <w:left w:val="nil"/>
              <w:bottom w:val="single" w:sz="4" w:space="0" w:color="auto"/>
              <w:right w:val="single" w:sz="4" w:space="0" w:color="auto"/>
            </w:tcBorders>
            <w:shd w:val="clear" w:color="auto" w:fill="C6EFCE"/>
            <w:noWrap/>
          </w:tcPr>
          <w:p w14:paraId="3BCEE46B" w14:textId="77777777" w:rsidR="00FA7C11" w:rsidRDefault="00D84965">
            <w:pPr>
              <w:pStyle w:val="P68B1DB1-Normal70"/>
              <w:spacing w:after="200" w:line="276" w:lineRule="auto"/>
              <w:rPr>
                <w:noProof/>
                <w:color w:val="000000"/>
              </w:rPr>
            </w:pPr>
            <w:r>
              <w:rPr>
                <w:noProof/>
              </w:rPr>
              <w:t>Adoptarea și publicarea Planului de dezvoltare a potențialului geotermal de către Ministerul Economiei și Dezvoltării Durabile</w:t>
            </w:r>
          </w:p>
        </w:tc>
        <w:tc>
          <w:tcPr>
            <w:tcW w:w="917" w:type="dxa"/>
            <w:tcBorders>
              <w:top w:val="single" w:sz="4" w:space="0" w:color="auto"/>
              <w:left w:val="nil"/>
              <w:bottom w:val="single" w:sz="4" w:space="0" w:color="auto"/>
              <w:right w:val="single" w:sz="4" w:space="0" w:color="auto"/>
            </w:tcBorders>
            <w:shd w:val="clear" w:color="auto" w:fill="C6EFCE"/>
            <w:noWrap/>
          </w:tcPr>
          <w:p w14:paraId="0B1DB391"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0D7E7B39"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484A005D"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59FCD4A3" w14:textId="77777777" w:rsidR="00FA7C11" w:rsidRDefault="00D84965">
            <w:pPr>
              <w:pStyle w:val="P68B1DB1-Normal70"/>
              <w:spacing w:after="200" w:line="276" w:lineRule="auto"/>
              <w:jc w:val="center"/>
              <w:rPr>
                <w:noProof/>
                <w:color w:val="000000"/>
              </w:rPr>
            </w:pPr>
            <w:r>
              <w:rPr>
                <w:noProof/>
              </w:rPr>
              <w:t>Î1</w:t>
            </w:r>
          </w:p>
        </w:tc>
        <w:tc>
          <w:tcPr>
            <w:tcW w:w="850" w:type="dxa"/>
            <w:tcBorders>
              <w:top w:val="single" w:sz="4" w:space="0" w:color="auto"/>
              <w:left w:val="nil"/>
              <w:bottom w:val="single" w:sz="4" w:space="0" w:color="auto"/>
              <w:right w:val="single" w:sz="4" w:space="0" w:color="auto"/>
            </w:tcBorders>
            <w:shd w:val="clear" w:color="auto" w:fill="C6EFCE"/>
            <w:noWrap/>
          </w:tcPr>
          <w:p w14:paraId="53765DC9" w14:textId="77777777" w:rsidR="00FA7C11" w:rsidRDefault="00D84965">
            <w:pPr>
              <w:pStyle w:val="P68B1DB1-Normal70"/>
              <w:spacing w:after="200" w:line="276" w:lineRule="auto"/>
              <w:jc w:val="center"/>
              <w:rPr>
                <w:noProof/>
                <w:color w:val="000000"/>
              </w:rPr>
            </w:pPr>
            <w:r>
              <w:rPr>
                <w:noProof/>
              </w:rPr>
              <w:t>2024</w:t>
            </w:r>
          </w:p>
        </w:tc>
        <w:tc>
          <w:tcPr>
            <w:tcW w:w="3754" w:type="dxa"/>
            <w:tcBorders>
              <w:top w:val="single" w:sz="4" w:space="0" w:color="auto"/>
              <w:left w:val="nil"/>
              <w:bottom w:val="single" w:sz="4" w:space="0" w:color="auto"/>
              <w:right w:val="single" w:sz="4" w:space="0" w:color="auto"/>
            </w:tcBorders>
            <w:shd w:val="clear" w:color="auto" w:fill="C6EFCE"/>
            <w:noWrap/>
          </w:tcPr>
          <w:p w14:paraId="7EF8C96C" w14:textId="77777777" w:rsidR="00FA7C11" w:rsidRDefault="00D84965">
            <w:pPr>
              <w:pStyle w:val="P68B1DB1-Normal70"/>
              <w:spacing w:after="200" w:line="276" w:lineRule="auto"/>
              <w:rPr>
                <w:noProof/>
                <w:color w:val="000000"/>
              </w:rPr>
            </w:pPr>
            <w:r>
              <w:rPr>
                <w:noProof/>
              </w:rPr>
              <w:t>Planul de dezvoltare a potențialului geotermal se adoptă și se publică. Planul stabilește zonele din Republica Croația în care se preconizează explorarea, dezvoltarea și exploatarea potențialului geotermal.</w:t>
            </w:r>
          </w:p>
        </w:tc>
      </w:tr>
      <w:tr w:rsidR="00FA7C11" w14:paraId="0E9E929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F2FF5A4" w14:textId="77777777" w:rsidR="00FA7C11" w:rsidRDefault="00D84965">
            <w:pPr>
              <w:pStyle w:val="P68B1DB1-Normal89"/>
              <w:spacing w:after="0" w:line="276" w:lineRule="auto"/>
              <w:jc w:val="center"/>
              <w:rPr>
                <w:noProof/>
              </w:rPr>
            </w:pPr>
            <w:r>
              <w:rPr>
                <w:noProof/>
              </w:rPr>
              <w:t>413</w:t>
            </w:r>
          </w:p>
        </w:tc>
        <w:tc>
          <w:tcPr>
            <w:tcW w:w="1437" w:type="dxa"/>
            <w:tcBorders>
              <w:top w:val="single" w:sz="4" w:space="0" w:color="auto"/>
              <w:left w:val="nil"/>
              <w:bottom w:val="single" w:sz="4" w:space="0" w:color="auto"/>
              <w:right w:val="single" w:sz="4" w:space="0" w:color="auto"/>
            </w:tcBorders>
            <w:shd w:val="clear" w:color="auto" w:fill="C6EFCE"/>
            <w:noWrap/>
          </w:tcPr>
          <w:p w14:paraId="0DEF6940" w14:textId="77777777" w:rsidR="00FA7C11" w:rsidRDefault="00D84965">
            <w:pPr>
              <w:pStyle w:val="P68B1DB1-Normal102"/>
              <w:spacing w:after="200" w:line="276" w:lineRule="auto"/>
              <w:jc w:val="center"/>
              <w:rPr>
                <w:noProof/>
                <w:color w:val="000000" w:themeColor="text1"/>
              </w:rPr>
            </w:pPr>
            <w:r>
              <w:rPr>
                <w:noProof/>
              </w:rPr>
              <w:t>C7.1. R1-I3</w:t>
            </w:r>
          </w:p>
        </w:tc>
        <w:tc>
          <w:tcPr>
            <w:tcW w:w="1072" w:type="dxa"/>
            <w:tcBorders>
              <w:top w:val="single" w:sz="4" w:space="0" w:color="auto"/>
              <w:left w:val="nil"/>
              <w:bottom w:val="single" w:sz="4" w:space="0" w:color="auto"/>
              <w:right w:val="single" w:sz="4" w:space="0" w:color="auto"/>
            </w:tcBorders>
            <w:shd w:val="clear" w:color="auto" w:fill="C6EFCE"/>
            <w:noWrap/>
          </w:tcPr>
          <w:p w14:paraId="34A57978" w14:textId="77777777" w:rsidR="00FA7C11" w:rsidRDefault="00D84965">
            <w:pPr>
              <w:pStyle w:val="P68B1DB1-Normal70"/>
              <w:spacing w:after="200" w:line="276" w:lineRule="auto"/>
              <w:jc w:val="center"/>
              <w:rPr>
                <w:noProof/>
              </w:rPr>
            </w:pPr>
            <w:r>
              <w:rPr>
                <w:noProof/>
              </w:rPr>
              <w:t>T</w:t>
            </w:r>
          </w:p>
        </w:tc>
        <w:tc>
          <w:tcPr>
            <w:tcW w:w="2228" w:type="dxa"/>
            <w:tcBorders>
              <w:top w:val="single" w:sz="4" w:space="0" w:color="auto"/>
              <w:left w:val="nil"/>
              <w:bottom w:val="single" w:sz="4" w:space="0" w:color="auto"/>
              <w:right w:val="single" w:sz="4" w:space="0" w:color="auto"/>
            </w:tcBorders>
            <w:shd w:val="clear" w:color="auto" w:fill="C6EFCE"/>
            <w:noWrap/>
          </w:tcPr>
          <w:p w14:paraId="4B31B36E" w14:textId="77777777" w:rsidR="00FA7C11" w:rsidRDefault="00D84965">
            <w:pPr>
              <w:pStyle w:val="P68B1DB1-Normal66"/>
              <w:spacing w:after="200" w:line="276" w:lineRule="auto"/>
              <w:rPr>
                <w:noProof/>
              </w:rPr>
            </w:pPr>
            <w:r>
              <w:rPr>
                <w:noProof/>
              </w:rPr>
              <w:t>Lucrări de foraj geotermal efectuate</w:t>
            </w:r>
          </w:p>
        </w:tc>
        <w:tc>
          <w:tcPr>
            <w:tcW w:w="2193" w:type="dxa"/>
            <w:tcBorders>
              <w:top w:val="single" w:sz="4" w:space="0" w:color="auto"/>
              <w:left w:val="nil"/>
              <w:bottom w:val="single" w:sz="4" w:space="0" w:color="auto"/>
              <w:right w:val="single" w:sz="4" w:space="0" w:color="auto"/>
            </w:tcBorders>
            <w:shd w:val="clear" w:color="auto" w:fill="C6EFCE"/>
            <w:noWrap/>
          </w:tcPr>
          <w:p w14:paraId="4CBD5DB3" w14:textId="77777777" w:rsidR="00FA7C11" w:rsidRDefault="00FA7C11">
            <w:pPr>
              <w:spacing w:after="200" w:line="276" w:lineRule="auto"/>
              <w:rPr>
                <w:rFonts w:ascii="Times New Roman" w:eastAsia="Calibri" w:hAnsi="Times New Roman" w:cs="Times New Roman"/>
                <w:noProof/>
                <w:color w:val="000000"/>
                <w:sz w:val="20"/>
                <w:szCs w:val="20"/>
              </w:rPr>
            </w:pPr>
          </w:p>
        </w:tc>
        <w:tc>
          <w:tcPr>
            <w:tcW w:w="917" w:type="dxa"/>
            <w:tcBorders>
              <w:top w:val="single" w:sz="4" w:space="0" w:color="auto"/>
              <w:left w:val="nil"/>
              <w:bottom w:val="single" w:sz="4" w:space="0" w:color="auto"/>
              <w:right w:val="single" w:sz="4" w:space="0" w:color="auto"/>
            </w:tcBorders>
            <w:shd w:val="clear" w:color="auto" w:fill="C6EFCE"/>
            <w:noWrap/>
          </w:tcPr>
          <w:p w14:paraId="17C07498"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4D45B985" w14:textId="77777777" w:rsidR="00FA7C11" w:rsidRDefault="00D84965">
            <w:pPr>
              <w:pStyle w:val="P68B1DB1-Normal70"/>
              <w:spacing w:after="200" w:line="276" w:lineRule="auto"/>
              <w:jc w:val="center"/>
              <w:rPr>
                <w:noProof/>
                <w:color w:val="000000"/>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6EAF60B" w14:textId="77777777" w:rsidR="00FA7C11" w:rsidRDefault="00D84965">
            <w:pPr>
              <w:pStyle w:val="P68B1DB1-Normal70"/>
              <w:spacing w:after="200" w:line="276" w:lineRule="auto"/>
              <w:jc w:val="center"/>
              <w:rPr>
                <w:noProof/>
                <w:color w:val="000000"/>
              </w:rPr>
            </w:pPr>
            <w:r>
              <w:rPr>
                <w:noProof/>
              </w:rPr>
              <w:t>2</w:t>
            </w:r>
          </w:p>
        </w:tc>
        <w:tc>
          <w:tcPr>
            <w:tcW w:w="575" w:type="dxa"/>
            <w:tcBorders>
              <w:top w:val="single" w:sz="4" w:space="0" w:color="auto"/>
              <w:left w:val="nil"/>
              <w:bottom w:val="single" w:sz="4" w:space="0" w:color="auto"/>
              <w:right w:val="single" w:sz="4" w:space="0" w:color="auto"/>
            </w:tcBorders>
            <w:shd w:val="clear" w:color="auto" w:fill="C6EFCE"/>
            <w:noWrap/>
          </w:tcPr>
          <w:p w14:paraId="7EEDA57C" w14:textId="77777777" w:rsidR="00FA7C11" w:rsidRDefault="00D84965">
            <w:pPr>
              <w:pStyle w:val="P68B1DB1-Normal70"/>
              <w:spacing w:after="200" w:line="276" w:lineRule="auto"/>
              <w:jc w:val="center"/>
              <w:rPr>
                <w:noProof/>
                <w:color w:val="000000"/>
              </w:rPr>
            </w:pPr>
            <w:r>
              <w:rPr>
                <w:noProof/>
              </w:rPr>
              <w:t>Î2</w:t>
            </w:r>
          </w:p>
        </w:tc>
        <w:tc>
          <w:tcPr>
            <w:tcW w:w="850" w:type="dxa"/>
            <w:tcBorders>
              <w:top w:val="single" w:sz="4" w:space="0" w:color="auto"/>
              <w:left w:val="nil"/>
              <w:bottom w:val="single" w:sz="4" w:space="0" w:color="auto"/>
              <w:right w:val="single" w:sz="4" w:space="0" w:color="auto"/>
            </w:tcBorders>
            <w:shd w:val="clear" w:color="auto" w:fill="C6EFCE"/>
            <w:noWrap/>
          </w:tcPr>
          <w:p w14:paraId="7DF28DAA" w14:textId="77777777" w:rsidR="00FA7C11" w:rsidRDefault="00D84965">
            <w:pPr>
              <w:pStyle w:val="P68B1DB1-Normal70"/>
              <w:spacing w:after="200" w:line="276" w:lineRule="auto"/>
              <w:jc w:val="center"/>
              <w:rPr>
                <w:noProof/>
                <w:color w:val="000000"/>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5D31AA44" w14:textId="77777777" w:rsidR="00FA7C11" w:rsidRDefault="00D84965">
            <w:pPr>
              <w:pStyle w:val="P68B1DB1-Normal66"/>
              <w:spacing w:after="200" w:line="276" w:lineRule="auto"/>
              <w:rPr>
                <w:noProof/>
              </w:rPr>
            </w:pPr>
            <w:r>
              <w:rPr>
                <w:noProof/>
              </w:rPr>
              <w:t xml:space="preserve">Se efectuează forarea a două puțuri geotermale de explorare într-o locație selectată. </w:t>
            </w:r>
          </w:p>
          <w:p w14:paraId="555DE81D" w14:textId="77777777" w:rsidR="00FA7C11" w:rsidRDefault="00D84965">
            <w:pPr>
              <w:pStyle w:val="P68B1DB1-Normal66"/>
              <w:spacing w:after="200" w:line="276" w:lineRule="auto"/>
              <w:rPr>
                <w:noProof/>
              </w:rPr>
            </w:pPr>
            <w:r>
              <w:rPr>
                <w:noProof/>
              </w:rPr>
              <w:t>Forajul nu include explorarea sau extracția de petrol sau gaze. Nu trebuie să existe echipamente achiziționate sau utilizate în astfel de scopuri.</w:t>
            </w:r>
            <w:r>
              <w:rPr>
                <w:noProof/>
              </w:rPr>
              <w:br/>
              <w:t xml:space="preserve">Se asigură faptul că emisiile de metan sunt reduse la minimum și rămân cu mult sub pragul de 20,000 de tone de echivalent CO2/an. De asemenea, se asigură faptul că forajul geotermal nu are niciun impact dăunător asupra deficitului de apă și a calității apei. </w:t>
            </w:r>
            <w:r>
              <w:rPr>
                <w:noProof/>
              </w:rPr>
              <w:br/>
              <w:t>Această măsură nu sprijină sistemele de încălzire centralizată care utilizează surse de energie fosile sau investițiile în instalații care intră în domeniul de aplicare al schemei UE de comercializare a certificatelor de emisii (ETS).</w:t>
            </w:r>
          </w:p>
        </w:tc>
      </w:tr>
      <w:tr w:rsidR="00FA7C11" w14:paraId="4E4DBB66"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469FCC6" w14:textId="77777777" w:rsidR="00FA7C11" w:rsidRDefault="00D84965">
            <w:pPr>
              <w:pStyle w:val="P68B1DB1-Normal66"/>
              <w:spacing w:after="0" w:line="276" w:lineRule="auto"/>
              <w:jc w:val="center"/>
              <w:rPr>
                <w:noProof/>
              </w:rPr>
            </w:pPr>
            <w:r>
              <w:rPr>
                <w:noProof/>
              </w:rPr>
              <w:t>116</w:t>
            </w:r>
          </w:p>
        </w:tc>
        <w:tc>
          <w:tcPr>
            <w:tcW w:w="1437" w:type="dxa"/>
            <w:tcBorders>
              <w:top w:val="single" w:sz="4" w:space="0" w:color="auto"/>
              <w:left w:val="nil"/>
              <w:bottom w:val="single" w:sz="4" w:space="0" w:color="auto"/>
              <w:right w:val="single" w:sz="4" w:space="0" w:color="auto"/>
            </w:tcBorders>
            <w:shd w:val="clear" w:color="auto" w:fill="C6EFCE"/>
            <w:noWrap/>
          </w:tcPr>
          <w:p w14:paraId="21131CEF" w14:textId="77777777" w:rsidR="00FA7C11" w:rsidRDefault="00D84965">
            <w:pPr>
              <w:pStyle w:val="P68B1DB1-Normal66"/>
              <w:spacing w:after="200" w:line="276" w:lineRule="auto"/>
              <w:jc w:val="center"/>
              <w:rPr>
                <w:noProof/>
                <w:color w:val="000000" w:themeColor="text1"/>
              </w:rPr>
            </w:pPr>
            <w:r>
              <w:rPr>
                <w:noProof/>
              </w:rPr>
              <w:t>C1.4. R4-I1</w:t>
            </w:r>
          </w:p>
        </w:tc>
        <w:tc>
          <w:tcPr>
            <w:tcW w:w="1072" w:type="dxa"/>
            <w:tcBorders>
              <w:top w:val="single" w:sz="4" w:space="0" w:color="auto"/>
              <w:left w:val="nil"/>
              <w:bottom w:val="single" w:sz="4" w:space="0" w:color="auto"/>
              <w:right w:val="single" w:sz="4" w:space="0" w:color="auto"/>
            </w:tcBorders>
            <w:shd w:val="clear" w:color="auto" w:fill="C6EFCE"/>
            <w:noWrap/>
          </w:tcPr>
          <w:p w14:paraId="7549D0F7" w14:textId="77777777" w:rsidR="00FA7C11" w:rsidRDefault="00D84965">
            <w:pPr>
              <w:pStyle w:val="P68B1DB1-Normal66"/>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2BE29343" w14:textId="77777777" w:rsidR="00FA7C11" w:rsidRDefault="00D84965">
            <w:pPr>
              <w:pStyle w:val="P68B1DB1-Normal66"/>
              <w:spacing w:after="200" w:line="276" w:lineRule="auto"/>
              <w:rPr>
                <w:noProof/>
              </w:rPr>
            </w:pPr>
            <w:r>
              <w:rPr>
                <w:noProof/>
              </w:rPr>
              <w:t xml:space="preserve">70 autobuze alimentate cu combustibili alternativi (electrice și/sau pe bază de hidrogen) </w:t>
            </w:r>
          </w:p>
        </w:tc>
        <w:tc>
          <w:tcPr>
            <w:tcW w:w="2193" w:type="dxa"/>
            <w:tcBorders>
              <w:top w:val="single" w:sz="4" w:space="0" w:color="auto"/>
              <w:left w:val="nil"/>
              <w:bottom w:val="single" w:sz="4" w:space="0" w:color="auto"/>
              <w:right w:val="single" w:sz="4" w:space="0" w:color="auto"/>
            </w:tcBorders>
            <w:shd w:val="clear" w:color="auto" w:fill="C6EFCE"/>
            <w:noWrap/>
          </w:tcPr>
          <w:p w14:paraId="2E382AD0" w14:textId="77777777" w:rsidR="00FA7C11" w:rsidRDefault="00D84965">
            <w:pPr>
              <w:pStyle w:val="P68B1DB1-Normal66"/>
              <w:spacing w:after="200" w:line="276" w:lineRule="auto"/>
              <w:rPr>
                <w:noProof/>
              </w:rPr>
            </w:pPr>
            <w:r>
              <w:rPr>
                <w:noProof/>
              </w:rPr>
              <w:t>70 autobuze pe bază de combustibili alternativi (electrice și/sau pe bază de hidrogen) acceptate provizoriu din punct de vedere tehnic</w:t>
            </w:r>
          </w:p>
        </w:tc>
        <w:tc>
          <w:tcPr>
            <w:tcW w:w="917" w:type="dxa"/>
            <w:tcBorders>
              <w:top w:val="single" w:sz="4" w:space="0" w:color="auto"/>
              <w:left w:val="nil"/>
              <w:bottom w:val="single" w:sz="4" w:space="0" w:color="auto"/>
              <w:right w:val="single" w:sz="4" w:space="0" w:color="auto"/>
            </w:tcBorders>
            <w:shd w:val="clear" w:color="auto" w:fill="C6EFCE"/>
            <w:noWrap/>
          </w:tcPr>
          <w:p w14:paraId="3BCF2D41"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1607D93A"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46254BE7" w14:textId="77777777" w:rsidR="00FA7C11" w:rsidRDefault="00FA7C11">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1FDDC1D9" w14:textId="77777777" w:rsidR="00FA7C11" w:rsidRDefault="00D84965">
            <w:pPr>
              <w:pStyle w:val="P68B1DB1-Normal66"/>
              <w:spacing w:after="200" w:line="276" w:lineRule="auto"/>
              <w:jc w:val="center"/>
              <w:rPr>
                <w:noProof/>
              </w:rPr>
            </w:pPr>
            <w:r>
              <w:rPr>
                <w:noProof/>
              </w:rPr>
              <w:t>Î2</w:t>
            </w:r>
          </w:p>
        </w:tc>
        <w:tc>
          <w:tcPr>
            <w:tcW w:w="850" w:type="dxa"/>
            <w:tcBorders>
              <w:top w:val="single" w:sz="4" w:space="0" w:color="auto"/>
              <w:left w:val="nil"/>
              <w:bottom w:val="single" w:sz="4" w:space="0" w:color="auto"/>
              <w:right w:val="single" w:sz="4" w:space="0" w:color="auto"/>
            </w:tcBorders>
            <w:shd w:val="clear" w:color="auto" w:fill="C6EFCE"/>
            <w:noWrap/>
          </w:tcPr>
          <w:p w14:paraId="19626F03" w14:textId="77777777" w:rsidR="00FA7C11" w:rsidRDefault="00D84965">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70497D02" w14:textId="77777777" w:rsidR="00FA7C11" w:rsidRDefault="00D84965">
            <w:pPr>
              <w:pStyle w:val="P68B1DB1-Normal66"/>
              <w:spacing w:after="200" w:line="276" w:lineRule="auto"/>
              <w:rPr>
                <w:noProof/>
              </w:rPr>
            </w:pPr>
            <w:r>
              <w:rPr>
                <w:noProof/>
              </w:rPr>
              <w:t>Se prezintă dovada acceptării tehnice provizorii după construirea a 70 autobuze noi cu propulsie alternativă (electrice și/sau pe bază de hidrogen).</w:t>
            </w:r>
          </w:p>
        </w:tc>
      </w:tr>
      <w:tr w:rsidR="00FA7C11" w14:paraId="0B99B81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71B13B2" w14:textId="77777777" w:rsidR="00FA7C11" w:rsidRDefault="00D84965">
            <w:pPr>
              <w:pStyle w:val="P68B1DB1-Normal89"/>
              <w:spacing w:after="0" w:line="276" w:lineRule="auto"/>
              <w:jc w:val="center"/>
              <w:rPr>
                <w:noProof/>
              </w:rPr>
            </w:pPr>
            <w:r>
              <w:rPr>
                <w:noProof/>
              </w:rPr>
              <w:t>414</w:t>
            </w:r>
          </w:p>
        </w:tc>
        <w:tc>
          <w:tcPr>
            <w:tcW w:w="1437" w:type="dxa"/>
            <w:tcBorders>
              <w:top w:val="single" w:sz="4" w:space="0" w:color="auto"/>
              <w:left w:val="nil"/>
              <w:bottom w:val="single" w:sz="4" w:space="0" w:color="auto"/>
              <w:right w:val="single" w:sz="4" w:space="0" w:color="auto"/>
            </w:tcBorders>
            <w:shd w:val="clear" w:color="auto" w:fill="C6EFCE"/>
            <w:noWrap/>
          </w:tcPr>
          <w:p w14:paraId="04CF4CC3" w14:textId="77777777" w:rsidR="00FA7C11" w:rsidRDefault="00D84965">
            <w:pPr>
              <w:pStyle w:val="P68B1DB1-Normal102"/>
              <w:spacing w:after="200" w:line="276" w:lineRule="auto"/>
              <w:jc w:val="center"/>
              <w:rPr>
                <w:rFonts w:eastAsia="Calibri"/>
                <w:noProof/>
              </w:rPr>
            </w:pPr>
            <w:r>
              <w:rPr>
                <w:noProof/>
              </w:rPr>
              <w:t>C7.1. I1</w:t>
            </w:r>
          </w:p>
        </w:tc>
        <w:tc>
          <w:tcPr>
            <w:tcW w:w="1072" w:type="dxa"/>
            <w:tcBorders>
              <w:top w:val="single" w:sz="4" w:space="0" w:color="auto"/>
              <w:left w:val="nil"/>
              <w:bottom w:val="single" w:sz="4" w:space="0" w:color="auto"/>
              <w:right w:val="single" w:sz="4" w:space="0" w:color="auto"/>
            </w:tcBorders>
            <w:shd w:val="clear" w:color="auto" w:fill="C6EFCE"/>
            <w:noWrap/>
          </w:tcPr>
          <w:p w14:paraId="1FC0980E" w14:textId="77777777" w:rsidR="00FA7C11" w:rsidRDefault="00D84965">
            <w:pPr>
              <w:pStyle w:val="P68B1DB1-Normal70"/>
              <w:spacing w:after="200" w:line="276" w:lineRule="auto"/>
              <w:jc w:val="center"/>
              <w:rPr>
                <w:noProof/>
              </w:rPr>
            </w:pPr>
            <w:r>
              <w:rPr>
                <w:noProof/>
              </w:rPr>
              <w:t>M</w:t>
            </w:r>
          </w:p>
        </w:tc>
        <w:tc>
          <w:tcPr>
            <w:tcW w:w="2228" w:type="dxa"/>
            <w:tcBorders>
              <w:top w:val="single" w:sz="4" w:space="0" w:color="auto"/>
              <w:left w:val="nil"/>
              <w:bottom w:val="single" w:sz="4" w:space="0" w:color="auto"/>
              <w:right w:val="single" w:sz="4" w:space="0" w:color="auto"/>
            </w:tcBorders>
            <w:shd w:val="clear" w:color="auto" w:fill="C6EFCE"/>
            <w:noWrap/>
          </w:tcPr>
          <w:p w14:paraId="3A9601F1" w14:textId="77777777" w:rsidR="00FA7C11" w:rsidRDefault="00D84965">
            <w:pPr>
              <w:pStyle w:val="P68B1DB1-Normal66"/>
              <w:spacing w:after="200" w:line="276" w:lineRule="auto"/>
              <w:rPr>
                <w:noProof/>
              </w:rPr>
            </w:pPr>
            <w:r>
              <w:rPr>
                <w:noProof/>
              </w:rPr>
              <w:t xml:space="preserve">103 autobuze alimentate cu combustibili alternativi (electrice și/sau pe bază de hidrogen) </w:t>
            </w:r>
          </w:p>
        </w:tc>
        <w:tc>
          <w:tcPr>
            <w:tcW w:w="2193" w:type="dxa"/>
            <w:tcBorders>
              <w:top w:val="single" w:sz="4" w:space="0" w:color="auto"/>
              <w:left w:val="nil"/>
              <w:bottom w:val="single" w:sz="4" w:space="0" w:color="auto"/>
              <w:right w:val="single" w:sz="4" w:space="0" w:color="auto"/>
            </w:tcBorders>
            <w:shd w:val="clear" w:color="auto" w:fill="C6EFCE"/>
            <w:noWrap/>
          </w:tcPr>
          <w:p w14:paraId="27D53E83" w14:textId="77777777" w:rsidR="00FA7C11" w:rsidRDefault="00D84965">
            <w:pPr>
              <w:pStyle w:val="P68B1DB1-Normal66"/>
              <w:spacing w:after="200" w:line="276" w:lineRule="auto"/>
              <w:rPr>
                <w:noProof/>
              </w:rPr>
            </w:pPr>
            <w:r>
              <w:rPr>
                <w:noProof/>
              </w:rPr>
              <w:t>103 autobuze pe bază de combustibili alternativi (electrice și/sau pe bază de hidrogen) acceptate provizoriu din punct de vedere tehnic</w:t>
            </w:r>
          </w:p>
        </w:tc>
        <w:tc>
          <w:tcPr>
            <w:tcW w:w="917" w:type="dxa"/>
            <w:tcBorders>
              <w:top w:val="single" w:sz="4" w:space="0" w:color="auto"/>
              <w:left w:val="nil"/>
              <w:bottom w:val="single" w:sz="4" w:space="0" w:color="auto"/>
              <w:right w:val="single" w:sz="4" w:space="0" w:color="auto"/>
            </w:tcBorders>
            <w:shd w:val="clear" w:color="auto" w:fill="C6EFCE"/>
            <w:noWrap/>
          </w:tcPr>
          <w:p w14:paraId="3ACBF7C4"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Pr>
          <w:p w14:paraId="3DECDB51" w14:textId="77777777" w:rsidR="00FA7C11" w:rsidRDefault="00FA7C11">
            <w:pPr>
              <w:spacing w:after="200" w:line="276" w:lineRule="auto"/>
              <w:jc w:val="center"/>
              <w:rPr>
                <w:rFonts w:ascii="Times New Roman" w:eastAsia="Calibri" w:hAnsi="Times New Roman" w:cs="Times New Roman"/>
                <w:noProof/>
                <w:sz w:val="20"/>
                <w:szCs w:val="20"/>
              </w:rPr>
            </w:pPr>
          </w:p>
        </w:tc>
        <w:tc>
          <w:tcPr>
            <w:tcW w:w="709" w:type="dxa"/>
            <w:tcBorders>
              <w:top w:val="single" w:sz="4" w:space="0" w:color="auto"/>
              <w:left w:val="nil"/>
              <w:bottom w:val="single" w:sz="4" w:space="0" w:color="auto"/>
              <w:right w:val="single" w:sz="4" w:space="0" w:color="auto"/>
            </w:tcBorders>
            <w:shd w:val="clear" w:color="auto" w:fill="C6EFCE"/>
            <w:noWrap/>
          </w:tcPr>
          <w:p w14:paraId="42A68658" w14:textId="77777777" w:rsidR="00FA7C11" w:rsidRDefault="00FA7C11">
            <w:pPr>
              <w:spacing w:after="200" w:line="276" w:lineRule="auto"/>
              <w:jc w:val="center"/>
              <w:rPr>
                <w:rFonts w:ascii="Times New Roman" w:eastAsia="Calibri" w:hAnsi="Times New Roman" w:cs="Times New Roman"/>
                <w:noProof/>
                <w:sz w:val="20"/>
                <w:szCs w:val="20"/>
              </w:rPr>
            </w:pPr>
          </w:p>
        </w:tc>
        <w:tc>
          <w:tcPr>
            <w:tcW w:w="575" w:type="dxa"/>
            <w:tcBorders>
              <w:top w:val="single" w:sz="4" w:space="0" w:color="auto"/>
              <w:left w:val="nil"/>
              <w:bottom w:val="single" w:sz="4" w:space="0" w:color="auto"/>
              <w:right w:val="single" w:sz="4" w:space="0" w:color="auto"/>
            </w:tcBorders>
            <w:shd w:val="clear" w:color="auto" w:fill="C6EFCE"/>
            <w:noWrap/>
          </w:tcPr>
          <w:p w14:paraId="097CC898" w14:textId="77777777" w:rsidR="00FA7C11" w:rsidRDefault="00D84965">
            <w:pPr>
              <w:pStyle w:val="P68B1DB1-Normal66"/>
              <w:spacing w:after="200" w:line="276" w:lineRule="auto"/>
              <w:jc w:val="center"/>
              <w:rPr>
                <w:noProof/>
              </w:rPr>
            </w:pPr>
            <w:r>
              <w:rPr>
                <w:noProof/>
              </w:rPr>
              <w:t>Î2</w:t>
            </w:r>
          </w:p>
        </w:tc>
        <w:tc>
          <w:tcPr>
            <w:tcW w:w="850" w:type="dxa"/>
            <w:tcBorders>
              <w:top w:val="single" w:sz="4" w:space="0" w:color="auto"/>
              <w:left w:val="nil"/>
              <w:bottom w:val="single" w:sz="4" w:space="0" w:color="auto"/>
              <w:right w:val="single" w:sz="4" w:space="0" w:color="auto"/>
            </w:tcBorders>
            <w:shd w:val="clear" w:color="auto" w:fill="C6EFCE"/>
            <w:noWrap/>
          </w:tcPr>
          <w:p w14:paraId="132834E8" w14:textId="77777777" w:rsidR="00FA7C11" w:rsidRDefault="00D84965">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088258EA" w14:textId="77777777" w:rsidR="00FA7C11" w:rsidRDefault="00D84965">
            <w:pPr>
              <w:pStyle w:val="P68B1DB1-Normal66"/>
              <w:spacing w:after="200" w:line="276" w:lineRule="auto"/>
              <w:rPr>
                <w:noProof/>
              </w:rPr>
            </w:pPr>
            <w:r>
              <w:rPr>
                <w:noProof/>
              </w:rPr>
              <w:t xml:space="preserve">Se prezintă dovada acceptării tehnice provizorii după construirea a 103 autobuze noi cu propulsie alternativă (electrice și/sau pe bază de hidrogen). </w:t>
            </w:r>
          </w:p>
        </w:tc>
      </w:tr>
      <w:tr w:rsidR="00FA7C11" w14:paraId="470462A6"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3371A5A" w14:textId="77777777" w:rsidR="00FA7C11" w:rsidRDefault="00D84965">
            <w:pPr>
              <w:pStyle w:val="P68B1DB1-Normal89"/>
              <w:spacing w:after="0" w:line="276" w:lineRule="auto"/>
              <w:jc w:val="center"/>
              <w:rPr>
                <w:noProof/>
              </w:rPr>
            </w:pPr>
            <w:r>
              <w:rPr>
                <w:noProof/>
              </w:rPr>
              <w:t>415</w:t>
            </w:r>
          </w:p>
        </w:tc>
        <w:tc>
          <w:tcPr>
            <w:tcW w:w="1437" w:type="dxa"/>
            <w:tcBorders>
              <w:top w:val="single" w:sz="4" w:space="0" w:color="auto"/>
              <w:left w:val="nil"/>
              <w:bottom w:val="single" w:sz="4" w:space="0" w:color="auto"/>
              <w:right w:val="single" w:sz="4" w:space="0" w:color="auto"/>
            </w:tcBorders>
            <w:shd w:val="clear" w:color="auto" w:fill="C6EFCE"/>
            <w:noWrap/>
          </w:tcPr>
          <w:p w14:paraId="13FAAEB0" w14:textId="77777777" w:rsidR="00FA7C11" w:rsidRDefault="00D84965">
            <w:pPr>
              <w:pStyle w:val="P68B1DB1-Normal102"/>
              <w:spacing w:after="200" w:line="276" w:lineRule="auto"/>
              <w:jc w:val="center"/>
              <w:rPr>
                <w:noProof/>
                <w:color w:val="000000" w:themeColor="text1"/>
              </w:rPr>
            </w:pPr>
            <w:r>
              <w:rPr>
                <w:noProof/>
              </w:rPr>
              <w:t>C7.1. I1</w:t>
            </w:r>
          </w:p>
        </w:tc>
        <w:tc>
          <w:tcPr>
            <w:tcW w:w="1072" w:type="dxa"/>
            <w:tcBorders>
              <w:top w:val="single" w:sz="4" w:space="0" w:color="auto"/>
              <w:left w:val="nil"/>
              <w:bottom w:val="single" w:sz="4" w:space="0" w:color="auto"/>
              <w:right w:val="single" w:sz="4" w:space="0" w:color="auto"/>
            </w:tcBorders>
            <w:shd w:val="clear" w:color="auto" w:fill="C6EFCE"/>
            <w:noWrap/>
          </w:tcPr>
          <w:p w14:paraId="130C4E10" w14:textId="77777777" w:rsidR="00FA7C11" w:rsidRDefault="00D84965">
            <w:pPr>
              <w:pStyle w:val="P68B1DB1-Normal70"/>
              <w:spacing w:after="200" w:line="276" w:lineRule="auto"/>
              <w:jc w:val="center"/>
              <w:rPr>
                <w:noProof/>
              </w:rPr>
            </w:pPr>
            <w:r>
              <w:rPr>
                <w:noProof/>
              </w:rPr>
              <w:t>T</w:t>
            </w:r>
          </w:p>
        </w:tc>
        <w:tc>
          <w:tcPr>
            <w:tcW w:w="2228" w:type="dxa"/>
            <w:tcBorders>
              <w:top w:val="single" w:sz="4" w:space="0" w:color="auto"/>
              <w:left w:val="nil"/>
              <w:bottom w:val="single" w:sz="4" w:space="0" w:color="auto"/>
              <w:right w:val="single" w:sz="4" w:space="0" w:color="auto"/>
            </w:tcBorders>
            <w:shd w:val="clear" w:color="auto" w:fill="C6EFCE"/>
            <w:noWrap/>
          </w:tcPr>
          <w:p w14:paraId="5A1B7129" w14:textId="77777777" w:rsidR="00FA7C11" w:rsidRDefault="00D84965">
            <w:pPr>
              <w:pStyle w:val="P68B1DB1-Normal70"/>
              <w:spacing w:after="200" w:line="276" w:lineRule="auto"/>
              <w:rPr>
                <w:noProof/>
              </w:rPr>
            </w:pPr>
            <w:r>
              <w:rPr>
                <w:noProof/>
              </w:rPr>
              <w:t>O unitate de energie pe bază de hidrogen pentru alimentarea locomotivelor electrice situate într-un vagon separat (HERMES)</w:t>
            </w:r>
          </w:p>
        </w:tc>
        <w:tc>
          <w:tcPr>
            <w:tcW w:w="2193" w:type="dxa"/>
            <w:tcBorders>
              <w:top w:val="single" w:sz="4" w:space="0" w:color="auto"/>
              <w:left w:val="nil"/>
              <w:bottom w:val="single" w:sz="4" w:space="0" w:color="auto"/>
              <w:right w:val="single" w:sz="4" w:space="0" w:color="auto"/>
            </w:tcBorders>
            <w:shd w:val="clear" w:color="auto" w:fill="C6EFCE"/>
            <w:noWrap/>
          </w:tcPr>
          <w:p w14:paraId="69D11852" w14:textId="77777777" w:rsidR="00FA7C11" w:rsidRDefault="00FA7C11">
            <w:pPr>
              <w:spacing w:after="200" w:line="276" w:lineRule="auto"/>
              <w:rPr>
                <w:rFonts w:ascii="Times New Roman" w:eastAsia="Calibri" w:hAnsi="Times New Roman" w:cs="Times New Roman"/>
                <w:noProof/>
                <w:sz w:val="20"/>
                <w:szCs w:val="20"/>
              </w:rPr>
            </w:pPr>
          </w:p>
        </w:tc>
        <w:tc>
          <w:tcPr>
            <w:tcW w:w="917" w:type="dxa"/>
            <w:tcBorders>
              <w:top w:val="single" w:sz="4" w:space="0" w:color="auto"/>
              <w:left w:val="nil"/>
              <w:bottom w:val="single" w:sz="4" w:space="0" w:color="auto"/>
              <w:right w:val="single" w:sz="4" w:space="0" w:color="auto"/>
            </w:tcBorders>
            <w:shd w:val="clear" w:color="auto" w:fill="C6EFCE"/>
            <w:noWrap/>
          </w:tcPr>
          <w:p w14:paraId="159EE73F" w14:textId="77777777" w:rsidR="00FA7C11" w:rsidRDefault="00D84965">
            <w:pPr>
              <w:pStyle w:val="P68B1DB1-Normal66"/>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0C1A0D1E" w14:textId="77777777" w:rsidR="00FA7C11" w:rsidRDefault="00D84965">
            <w:pPr>
              <w:pStyle w:val="P68B1DB1-Normal66"/>
              <w:spacing w:after="200" w:line="276" w:lineRule="auto"/>
              <w:jc w:val="center"/>
              <w:rPr>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E75F856" w14:textId="77777777" w:rsidR="00FA7C11" w:rsidRDefault="00D84965">
            <w:pPr>
              <w:pStyle w:val="P68B1DB1-Normal66"/>
              <w:spacing w:after="200" w:line="276" w:lineRule="auto"/>
              <w:jc w:val="center"/>
              <w:rPr>
                <w:noProof/>
              </w:rPr>
            </w:pPr>
            <w:r>
              <w:rPr>
                <w:noProof/>
              </w:rPr>
              <w:t>1</w:t>
            </w:r>
          </w:p>
        </w:tc>
        <w:tc>
          <w:tcPr>
            <w:tcW w:w="575" w:type="dxa"/>
            <w:tcBorders>
              <w:top w:val="single" w:sz="4" w:space="0" w:color="auto"/>
              <w:left w:val="nil"/>
              <w:bottom w:val="single" w:sz="4" w:space="0" w:color="auto"/>
              <w:right w:val="single" w:sz="4" w:space="0" w:color="auto"/>
            </w:tcBorders>
            <w:shd w:val="clear" w:color="auto" w:fill="C6EFCE"/>
            <w:noWrap/>
          </w:tcPr>
          <w:p w14:paraId="6EC4DD2C" w14:textId="77777777" w:rsidR="00FA7C11" w:rsidRDefault="00D84965">
            <w:pPr>
              <w:pStyle w:val="P68B1DB1-Normal66"/>
              <w:spacing w:after="200" w:line="276" w:lineRule="auto"/>
              <w:jc w:val="center"/>
              <w:rPr>
                <w:noProof/>
              </w:rPr>
            </w:pPr>
            <w:r>
              <w:rPr>
                <w:noProof/>
              </w:rPr>
              <w:t>Î2</w:t>
            </w:r>
          </w:p>
        </w:tc>
        <w:tc>
          <w:tcPr>
            <w:tcW w:w="850" w:type="dxa"/>
            <w:tcBorders>
              <w:top w:val="single" w:sz="4" w:space="0" w:color="auto"/>
              <w:left w:val="nil"/>
              <w:bottom w:val="single" w:sz="4" w:space="0" w:color="auto"/>
              <w:right w:val="single" w:sz="4" w:space="0" w:color="auto"/>
            </w:tcBorders>
            <w:shd w:val="clear" w:color="auto" w:fill="C6EFCE"/>
            <w:noWrap/>
          </w:tcPr>
          <w:p w14:paraId="1165CA56" w14:textId="77777777" w:rsidR="00FA7C11" w:rsidRDefault="00D84965">
            <w:pPr>
              <w:pStyle w:val="P68B1DB1-Normal66"/>
              <w:spacing w:after="200" w:line="276" w:lineRule="auto"/>
              <w:jc w:val="center"/>
              <w:rPr>
                <w:noProof/>
              </w:rPr>
            </w:pPr>
            <w:r>
              <w:rPr>
                <w:noProof/>
              </w:rPr>
              <w:t>2026</w:t>
            </w:r>
          </w:p>
        </w:tc>
        <w:tc>
          <w:tcPr>
            <w:tcW w:w="3754" w:type="dxa"/>
            <w:tcBorders>
              <w:top w:val="single" w:sz="4" w:space="0" w:color="auto"/>
              <w:left w:val="nil"/>
              <w:bottom w:val="single" w:sz="4" w:space="0" w:color="auto"/>
              <w:right w:val="single" w:sz="4" w:space="0" w:color="auto"/>
            </w:tcBorders>
            <w:shd w:val="clear" w:color="auto" w:fill="C6EFCE"/>
            <w:noWrap/>
          </w:tcPr>
          <w:p w14:paraId="091007B5" w14:textId="77777777" w:rsidR="00FA7C11" w:rsidRDefault="00D84965">
            <w:pPr>
              <w:pStyle w:val="P68B1DB1-Normal70"/>
              <w:spacing w:after="200" w:line="276" w:lineRule="auto"/>
              <w:rPr>
                <w:noProof/>
              </w:rPr>
            </w:pPr>
            <w:r>
              <w:rPr>
                <w:noProof/>
              </w:rPr>
              <w:t xml:space="preserve">Trebuie instalată o unitate de energie pe bază de hidrogen pentru alimentarea locomotivelor electrice situate într-un vagon separat (HERMES). </w:t>
            </w:r>
          </w:p>
        </w:tc>
      </w:tr>
    </w:tbl>
    <w:p w14:paraId="27F15C65" w14:textId="77777777" w:rsidR="00FA7C11" w:rsidRDefault="00FA7C11">
      <w:pPr>
        <w:pStyle w:val="paragraph"/>
        <w:spacing w:before="0" w:beforeAutospacing="0" w:after="0" w:afterAutospacing="0"/>
        <w:jc w:val="both"/>
        <w:textAlignment w:val="baseline"/>
        <w:rPr>
          <w:noProof/>
          <w:sz w:val="20"/>
        </w:rPr>
      </w:pPr>
    </w:p>
    <w:p w14:paraId="71724E4E" w14:textId="77777777" w:rsidR="00FA7C11" w:rsidRDefault="00FA7C11">
      <w:pPr>
        <w:rPr>
          <w:noProof/>
        </w:rPr>
        <w:sectPr w:rsidR="00FA7C11" w:rsidSect="00FA29B2">
          <w:headerReference w:type="even" r:id="rId416"/>
          <w:headerReference w:type="default" r:id="rId417"/>
          <w:footerReference w:type="even" r:id="rId418"/>
          <w:footerReference w:type="default" r:id="rId419"/>
          <w:headerReference w:type="first" r:id="rId420"/>
          <w:footerReference w:type="first" r:id="rId421"/>
          <w:pgSz w:w="16838" w:h="11906" w:orient="landscape"/>
          <w:pgMar w:top="1134" w:right="1134" w:bottom="1134" w:left="1134" w:header="567" w:footer="567" w:gutter="0"/>
          <w:cols w:space="708"/>
          <w:docGrid w:linePitch="360"/>
        </w:sectPr>
      </w:pPr>
    </w:p>
    <w:p w14:paraId="4932E858" w14:textId="5738F411" w:rsidR="00FA7C11" w:rsidRDefault="00D84965">
      <w:pPr>
        <w:pStyle w:val="paragraph"/>
        <w:spacing w:before="0" w:beforeAutospacing="0" w:after="0" w:afterAutospacing="0"/>
        <w:ind w:firstLine="851"/>
        <w:jc w:val="both"/>
        <w:textAlignment w:val="baseline"/>
        <w:rPr>
          <w:rFonts w:ascii="Segoe UI" w:hAnsi="Segoe UI" w:cs="Segoe UI"/>
          <w:noProof/>
          <w:sz w:val="18"/>
          <w:szCs w:val="18"/>
          <w:u w:val="single"/>
        </w:rPr>
      </w:pPr>
      <w:r>
        <w:rPr>
          <w:rStyle w:val="normaltextrun"/>
          <w:b/>
          <w:noProof/>
          <w:u w:val="single"/>
        </w:rPr>
        <w:t xml:space="preserve">W.3. Descrierea reformelor și a investițiilor pentru împrumut </w:t>
      </w:r>
    </w:p>
    <w:p w14:paraId="410841EC" w14:textId="77777777" w:rsidR="00FA7C11" w:rsidRDefault="00FA7C11">
      <w:pPr>
        <w:pStyle w:val="paragraph"/>
        <w:spacing w:before="0" w:beforeAutospacing="0" w:after="0" w:afterAutospacing="0"/>
        <w:jc w:val="both"/>
        <w:textAlignment w:val="baseline"/>
        <w:rPr>
          <w:bCs/>
          <w:noProof/>
          <w:color w:val="000000" w:themeColor="text1"/>
        </w:rPr>
      </w:pPr>
    </w:p>
    <w:p w14:paraId="74D5DF49" w14:textId="77777777" w:rsidR="00FA7C11" w:rsidRDefault="00D84965">
      <w:pPr>
        <w:pStyle w:val="P68B1DB1-paragraph57"/>
        <w:spacing w:before="0" w:beforeAutospacing="0" w:after="0" w:afterAutospacing="0"/>
        <w:ind w:left="720"/>
        <w:jc w:val="both"/>
        <w:textAlignment w:val="baseline"/>
        <w:rPr>
          <w:rStyle w:val="eop"/>
          <w:bCs/>
          <w:noProof/>
        </w:rPr>
      </w:pPr>
      <w:r>
        <w:rPr>
          <w:noProof/>
          <w:color w:val="000000" w:themeColor="text1"/>
        </w:rPr>
        <w:t>Investiția C7.1 R1-I4</w:t>
      </w:r>
      <w:r>
        <w:rPr>
          <w:noProof/>
        </w:rPr>
        <w:t xml:space="preserve"> – </w:t>
      </w:r>
      <w:r>
        <w:rPr>
          <w:noProof/>
          <w:color w:val="000000" w:themeColor="text1"/>
        </w:rPr>
        <w:t>Consolidarea utilizării surselor regenerabile de energie în transporturi și încălzire</w:t>
      </w:r>
    </w:p>
    <w:p w14:paraId="4BE3EA95" w14:textId="77777777" w:rsidR="00FA7C11" w:rsidRDefault="00FA7C11">
      <w:pPr>
        <w:pStyle w:val="paragraph"/>
        <w:spacing w:before="0" w:beforeAutospacing="0" w:after="0" w:afterAutospacing="0"/>
        <w:jc w:val="both"/>
        <w:textAlignment w:val="baseline"/>
        <w:rPr>
          <w:rStyle w:val="eop"/>
          <w:noProof/>
        </w:rPr>
      </w:pPr>
    </w:p>
    <w:p w14:paraId="01AB21BC" w14:textId="77777777" w:rsidR="00FA7C11" w:rsidRDefault="00D84965">
      <w:pPr>
        <w:pStyle w:val="paragraph"/>
        <w:spacing w:before="0" w:beforeAutospacing="0" w:after="0" w:afterAutospacing="0"/>
        <w:jc w:val="both"/>
        <w:textAlignment w:val="baseline"/>
        <w:rPr>
          <w:noProof/>
        </w:rPr>
      </w:pPr>
      <w:r>
        <w:rPr>
          <w:rStyle w:val="eop"/>
          <w:noProof/>
        </w:rPr>
        <w:t>Obiectivul investiției este de a spori gradul de utilizare</w:t>
      </w:r>
      <w:r>
        <w:rPr>
          <w:noProof/>
        </w:rPr>
        <w:t xml:space="preserve"> </w:t>
      </w:r>
      <w:r>
        <w:rPr>
          <w:noProof/>
          <w:color w:val="000000" w:themeColor="text1"/>
          <w:u w:val="single"/>
        </w:rPr>
        <w:t>a surselor regenerabile de energie</w:t>
      </w:r>
      <w:r>
        <w:rPr>
          <w:noProof/>
        </w:rPr>
        <w:t>.</w:t>
      </w:r>
    </w:p>
    <w:p w14:paraId="1D39E757" w14:textId="77777777" w:rsidR="00FA7C11" w:rsidRDefault="00FA7C11">
      <w:pPr>
        <w:pStyle w:val="paragraph"/>
        <w:spacing w:before="0" w:beforeAutospacing="0" w:after="0" w:afterAutospacing="0"/>
        <w:jc w:val="both"/>
        <w:textAlignment w:val="baseline"/>
        <w:rPr>
          <w:noProof/>
        </w:rPr>
      </w:pPr>
    </w:p>
    <w:p w14:paraId="516CB75E" w14:textId="77777777" w:rsidR="00FA7C11" w:rsidRDefault="00D84965">
      <w:pPr>
        <w:pStyle w:val="paragraph"/>
        <w:spacing w:before="0" w:beforeAutospacing="0" w:after="0" w:afterAutospacing="0"/>
        <w:jc w:val="both"/>
        <w:textAlignment w:val="baseline"/>
        <w:rPr>
          <w:rStyle w:val="eop"/>
          <w:bCs/>
          <w:strike/>
          <w:noProof/>
        </w:rPr>
      </w:pPr>
      <w:r>
        <w:rPr>
          <w:noProof/>
        </w:rPr>
        <w:t xml:space="preserve">Investiția constă în construirea infrastructurii de încărcare pentru autobuzele electrice. </w:t>
      </w:r>
    </w:p>
    <w:p w14:paraId="52C37BEC" w14:textId="77777777" w:rsidR="00FA7C11" w:rsidRDefault="00FA7C11">
      <w:pPr>
        <w:pStyle w:val="paragraph"/>
        <w:spacing w:before="0" w:beforeAutospacing="0" w:after="0" w:afterAutospacing="0"/>
        <w:jc w:val="both"/>
        <w:textAlignment w:val="baseline"/>
        <w:rPr>
          <w:bCs/>
          <w:noProof/>
          <w:color w:val="000000" w:themeColor="text1"/>
          <w:u w:val="single"/>
        </w:rPr>
      </w:pPr>
    </w:p>
    <w:p w14:paraId="3075E05B" w14:textId="77777777" w:rsidR="00FA7C11" w:rsidRDefault="00D84965">
      <w:pPr>
        <w:pStyle w:val="P68B1DB1-paragraph57"/>
        <w:spacing w:before="0" w:beforeAutospacing="0" w:after="0" w:afterAutospacing="0"/>
        <w:ind w:left="720"/>
        <w:jc w:val="both"/>
        <w:textAlignment w:val="baseline"/>
        <w:rPr>
          <w:rStyle w:val="eop"/>
          <w:bCs/>
          <w:noProof/>
        </w:rPr>
      </w:pPr>
      <w:r>
        <w:rPr>
          <w:noProof/>
          <w:color w:val="000000" w:themeColor="text1"/>
        </w:rPr>
        <w:t xml:space="preserve">Investiția C7.1 R1-I5 – Utilizarea biocombustibililor în transporturi (investiția C1.2.R1-I4  transferată din decizia de punere în </w:t>
      </w:r>
      <w:r>
        <w:rPr>
          <w:noProof/>
        </w:rPr>
        <w:t>aplicare a Consiliului deja adoptată)</w:t>
      </w:r>
    </w:p>
    <w:p w14:paraId="352CD1CF" w14:textId="77777777" w:rsidR="00FA7C11" w:rsidRDefault="00FA7C11">
      <w:pPr>
        <w:pStyle w:val="paragraph"/>
        <w:spacing w:before="0" w:beforeAutospacing="0" w:after="0" w:afterAutospacing="0"/>
        <w:jc w:val="both"/>
        <w:textAlignment w:val="baseline"/>
        <w:rPr>
          <w:rStyle w:val="eop"/>
          <w:bCs/>
          <w:noProof/>
        </w:rPr>
      </w:pPr>
    </w:p>
    <w:p w14:paraId="1379C85F" w14:textId="77777777" w:rsidR="00FA7C11" w:rsidRDefault="00D84965">
      <w:pPr>
        <w:pStyle w:val="P68B1DB1-Normal33"/>
        <w:spacing w:line="240" w:lineRule="auto"/>
        <w:jc w:val="both"/>
        <w:rPr>
          <w:noProof/>
        </w:rPr>
      </w:pPr>
      <w:r>
        <w:rPr>
          <w:noProof/>
        </w:rPr>
        <w:t>Obiectivul acestei investiții este de a crește ponderea energiei din surse regenerabile în transporturi.</w:t>
      </w:r>
    </w:p>
    <w:p w14:paraId="420893A4" w14:textId="77777777" w:rsidR="00FA7C11" w:rsidRDefault="00D84965">
      <w:pPr>
        <w:pStyle w:val="P68B1DB1-Normal33"/>
        <w:spacing w:line="240" w:lineRule="auto"/>
        <w:jc w:val="both"/>
        <w:rPr>
          <w:noProof/>
        </w:rPr>
      </w:pPr>
      <w:r>
        <w:rPr>
          <w:noProof/>
        </w:rPr>
        <w:t xml:space="preserve">Investiția constă în adoptarea planului pentru producția și utilizarea biocombustibililor în transporturi. </w:t>
      </w:r>
    </w:p>
    <w:p w14:paraId="5E14DE15" w14:textId="77777777" w:rsidR="00FA7C11" w:rsidRDefault="00FA7C11">
      <w:pPr>
        <w:pStyle w:val="paragraph"/>
        <w:spacing w:before="0" w:beforeAutospacing="0" w:after="0" w:afterAutospacing="0"/>
        <w:jc w:val="both"/>
        <w:textAlignment w:val="baseline"/>
        <w:rPr>
          <w:rStyle w:val="eop"/>
          <w:bCs/>
          <w:noProof/>
        </w:rPr>
      </w:pPr>
    </w:p>
    <w:p w14:paraId="6198ADDC" w14:textId="0BF73E9C" w:rsidR="00FA7C11" w:rsidRDefault="00D84965">
      <w:pPr>
        <w:pStyle w:val="P68B1DB1-paragraph57"/>
        <w:spacing w:before="0" w:beforeAutospacing="0" w:after="0" w:afterAutospacing="0"/>
        <w:ind w:left="720"/>
        <w:jc w:val="both"/>
        <w:textAlignment w:val="baseline"/>
        <w:rPr>
          <w:bCs/>
          <w:noProof/>
          <w:color w:val="000000" w:themeColor="text1"/>
        </w:rPr>
      </w:pPr>
      <w:r>
        <w:rPr>
          <w:noProof/>
          <w:color w:val="000000" w:themeColor="text1"/>
        </w:rPr>
        <w:t>Investiția C7.1 R1-I6</w:t>
      </w:r>
      <w:r>
        <w:rPr>
          <w:noProof/>
        </w:rPr>
        <w:t xml:space="preserve"> – </w:t>
      </w:r>
      <w:r>
        <w:rPr>
          <w:noProof/>
          <w:color w:val="000000" w:themeColor="text1"/>
        </w:rPr>
        <w:t>Consolidarea capacităților de transport ale rețelei de energie electrică</w:t>
      </w:r>
    </w:p>
    <w:p w14:paraId="3952AFC8" w14:textId="77777777" w:rsidR="00FA7C11" w:rsidRDefault="00FA7C11">
      <w:pPr>
        <w:pStyle w:val="paragraph"/>
        <w:spacing w:before="0" w:beforeAutospacing="0" w:after="0" w:afterAutospacing="0"/>
        <w:jc w:val="both"/>
        <w:textAlignment w:val="baseline"/>
        <w:rPr>
          <w:bCs/>
          <w:noProof/>
          <w:color w:val="000000" w:themeColor="text1"/>
        </w:rPr>
      </w:pPr>
    </w:p>
    <w:p w14:paraId="342E63D9" w14:textId="77777777" w:rsidR="00FA7C11" w:rsidRDefault="00D84965">
      <w:pPr>
        <w:pStyle w:val="P68B1DB1-paragraph24"/>
        <w:spacing w:before="0" w:beforeAutospacing="0" w:after="0" w:afterAutospacing="0"/>
        <w:jc w:val="both"/>
        <w:textAlignment w:val="baseline"/>
        <w:rPr>
          <w:noProof/>
        </w:rPr>
      </w:pPr>
      <w:r>
        <w:rPr>
          <w:noProof/>
        </w:rPr>
        <w:t>Obiectivul acestei investiții este de a sprijini electrificarea și decarbonizarea sectorului energetic.</w:t>
      </w:r>
    </w:p>
    <w:p w14:paraId="72B94DA7" w14:textId="77777777" w:rsidR="00FA7C11" w:rsidRDefault="00FA7C11">
      <w:pPr>
        <w:pStyle w:val="paragraph"/>
        <w:spacing w:before="0" w:beforeAutospacing="0" w:after="0" w:afterAutospacing="0"/>
        <w:jc w:val="both"/>
        <w:textAlignment w:val="baseline"/>
        <w:rPr>
          <w:rFonts w:eastAsia="Calibri"/>
          <w:noProof/>
        </w:rPr>
      </w:pPr>
    </w:p>
    <w:p w14:paraId="49E4E6FE" w14:textId="77777777" w:rsidR="00FA7C11" w:rsidRDefault="00D84965">
      <w:pPr>
        <w:pStyle w:val="P68B1DB1-paragraph24"/>
        <w:spacing w:before="0" w:beforeAutospacing="0" w:after="0" w:afterAutospacing="0"/>
        <w:jc w:val="both"/>
        <w:textAlignment w:val="baseline"/>
        <w:rPr>
          <w:noProof/>
        </w:rPr>
      </w:pPr>
      <w:r>
        <w:rPr>
          <w:noProof/>
        </w:rPr>
        <w:t>Investiția constă în înlocuirea transformatoarelor electrice vechi și reconstrucția substațiilor electrice.</w:t>
      </w:r>
    </w:p>
    <w:p w14:paraId="6D7E8AB1" w14:textId="77777777" w:rsidR="00FA7C11" w:rsidRDefault="00FA7C11">
      <w:pPr>
        <w:pStyle w:val="paragraph"/>
        <w:spacing w:before="0" w:beforeAutospacing="0" w:after="0" w:afterAutospacing="0"/>
        <w:jc w:val="both"/>
        <w:textAlignment w:val="baseline"/>
        <w:rPr>
          <w:bCs/>
          <w:noProof/>
          <w:color w:val="000000" w:themeColor="text1"/>
        </w:rPr>
      </w:pPr>
    </w:p>
    <w:p w14:paraId="2A9BA223" w14:textId="77777777" w:rsidR="00FA7C11" w:rsidRDefault="00D84965">
      <w:pPr>
        <w:pStyle w:val="P68B1DB1-paragraph59"/>
        <w:spacing w:before="0" w:beforeAutospacing="0" w:after="0" w:afterAutospacing="0"/>
        <w:ind w:left="720"/>
        <w:jc w:val="both"/>
        <w:textAlignment w:val="baseline"/>
        <w:rPr>
          <w:rStyle w:val="eop"/>
          <w:bCs/>
          <w:noProof/>
        </w:rPr>
      </w:pPr>
      <w:r>
        <w:rPr>
          <w:noProof/>
        </w:rPr>
        <w:t>Investiția C7.1 I3 – Creșterea capacității terminalului GNL de pe insula Krk și consolidarea infrastructurii de gaze</w:t>
      </w:r>
    </w:p>
    <w:p w14:paraId="2FA7D9AE" w14:textId="77777777" w:rsidR="00FA7C11" w:rsidRDefault="00FA7C11">
      <w:pPr>
        <w:pStyle w:val="paragraph"/>
        <w:spacing w:before="0" w:beforeAutospacing="0" w:after="0" w:afterAutospacing="0"/>
        <w:jc w:val="both"/>
        <w:textAlignment w:val="baseline"/>
        <w:rPr>
          <w:rStyle w:val="eop"/>
          <w:bCs/>
          <w:noProof/>
        </w:rPr>
      </w:pPr>
    </w:p>
    <w:p w14:paraId="5556AE31" w14:textId="77777777" w:rsidR="00FA7C11" w:rsidRDefault="00D84965">
      <w:pPr>
        <w:pStyle w:val="P68B1DB1-paragraph58"/>
        <w:spacing w:before="0" w:beforeAutospacing="0" w:after="0" w:afterAutospacing="0"/>
        <w:jc w:val="both"/>
        <w:textAlignment w:val="baseline"/>
        <w:rPr>
          <w:bCs/>
          <w:noProof/>
        </w:rPr>
      </w:pPr>
      <w:r>
        <w:rPr>
          <w:noProof/>
        </w:rPr>
        <w:t>Obiectivul investiției este de a spori diversificarea aprovizionării cu gaze a Uniunii și de a spori securitatea aprovizionării cu gaze a statelor membre învecinate cu Croația.</w:t>
      </w:r>
    </w:p>
    <w:p w14:paraId="796580AA" w14:textId="77777777" w:rsidR="00FA7C11" w:rsidRDefault="00FA7C11">
      <w:pPr>
        <w:pStyle w:val="paragraph"/>
        <w:spacing w:before="0" w:beforeAutospacing="0" w:after="0" w:afterAutospacing="0"/>
        <w:jc w:val="both"/>
        <w:textAlignment w:val="baseline"/>
        <w:rPr>
          <w:bCs/>
          <w:noProof/>
          <w:color w:val="000000" w:themeColor="text1"/>
        </w:rPr>
      </w:pPr>
    </w:p>
    <w:p w14:paraId="4605E50E" w14:textId="00C983F7" w:rsidR="00FA7C11" w:rsidRDefault="00D84965">
      <w:pPr>
        <w:pStyle w:val="paragraph"/>
        <w:spacing w:before="0" w:beforeAutospacing="0" w:after="0" w:afterAutospacing="0"/>
        <w:jc w:val="both"/>
        <w:textAlignment w:val="baseline"/>
        <w:rPr>
          <w:rFonts w:cstheme="minorHAnsi"/>
          <w:noProof/>
          <w:color w:val="000000"/>
        </w:rPr>
      </w:pPr>
      <w:r>
        <w:rPr>
          <w:noProof/>
          <w:color w:val="000000" w:themeColor="text1"/>
        </w:rPr>
        <w:t>Investiția constă în extinderea capacității terminalului GNL de pe insula Krk</w:t>
      </w:r>
      <w:r>
        <w:rPr>
          <w:noProof/>
        </w:rPr>
        <w:t xml:space="preserve">, extinderea conductei </w:t>
      </w:r>
      <w:r>
        <w:rPr>
          <w:rFonts w:cstheme="minorHAnsi"/>
          <w:noProof/>
          <w:color w:val="000000"/>
        </w:rPr>
        <w:t xml:space="preserve">Zlobin – Bosiljevo, </w:t>
      </w:r>
      <w:r>
        <w:rPr>
          <w:noProof/>
        </w:rPr>
        <w:t xml:space="preserve">a conductei Bosiljevo </w:t>
      </w:r>
      <w:r>
        <w:rPr>
          <w:rFonts w:cstheme="minorHAnsi"/>
          <w:noProof/>
          <w:color w:val="000000"/>
        </w:rPr>
        <w:t xml:space="preserve">– Sisak – Kozarac, precum și a tronsonului Lučko – Zabok al conductei de interconectare Croația-Slovenia. </w:t>
      </w:r>
    </w:p>
    <w:p w14:paraId="6B31281E" w14:textId="77777777" w:rsidR="00FA7C11" w:rsidRDefault="00FA7C11">
      <w:pPr>
        <w:pStyle w:val="paragraph"/>
        <w:spacing w:before="0" w:beforeAutospacing="0" w:after="0" w:afterAutospacing="0"/>
        <w:jc w:val="both"/>
        <w:textAlignment w:val="baseline"/>
        <w:rPr>
          <w:rStyle w:val="normaltextrun"/>
          <w:b/>
          <w:bCs/>
          <w:noProof/>
        </w:rPr>
      </w:pPr>
    </w:p>
    <w:p w14:paraId="57DD0587" w14:textId="77777777" w:rsidR="00FA7C11" w:rsidRDefault="00FA7C11">
      <w:pPr>
        <w:rPr>
          <w:noProof/>
        </w:rPr>
      </w:pPr>
    </w:p>
    <w:p w14:paraId="5529E4FB" w14:textId="77777777" w:rsidR="00FA7C11" w:rsidRDefault="00D84965">
      <w:pPr>
        <w:tabs>
          <w:tab w:val="center" w:pos="4819"/>
        </w:tabs>
        <w:rPr>
          <w:noProof/>
        </w:rPr>
        <w:sectPr w:rsidR="00FA7C11" w:rsidSect="00FA29B2">
          <w:headerReference w:type="even" r:id="rId422"/>
          <w:headerReference w:type="default" r:id="rId423"/>
          <w:footerReference w:type="even" r:id="rId424"/>
          <w:footerReference w:type="default" r:id="rId425"/>
          <w:headerReference w:type="first" r:id="rId426"/>
          <w:footerReference w:type="first" r:id="rId427"/>
          <w:pgSz w:w="11907" w:h="16839"/>
          <w:pgMar w:top="1134" w:right="1134" w:bottom="1134" w:left="1134" w:header="567" w:footer="567" w:gutter="0"/>
          <w:cols w:space="708"/>
          <w:docGrid w:linePitch="360"/>
        </w:sectPr>
      </w:pPr>
      <w:r>
        <w:rPr>
          <w:noProof/>
        </w:rPr>
        <w:tab/>
      </w:r>
    </w:p>
    <w:p w14:paraId="43426253" w14:textId="4E8AD745" w:rsidR="00FA7C11" w:rsidRDefault="00D84965">
      <w:pPr>
        <w:pStyle w:val="paragraph"/>
        <w:spacing w:before="0" w:beforeAutospacing="0" w:after="0" w:afterAutospacing="0"/>
        <w:jc w:val="both"/>
        <w:textAlignment w:val="baseline"/>
        <w:rPr>
          <w:rFonts w:ascii="Segoe UI" w:hAnsi="Segoe UI" w:cs="Segoe UI"/>
          <w:noProof/>
          <w:sz w:val="18"/>
          <w:szCs w:val="18"/>
          <w:u w:val="single"/>
        </w:rPr>
      </w:pPr>
      <w:r>
        <w:rPr>
          <w:rStyle w:val="normaltextrun"/>
          <w:b/>
          <w:noProof/>
          <w:u w:val="single"/>
        </w:rPr>
        <w:t xml:space="preserve">W.4. Jaloane, ținte, indicatori și calendarul de monitorizare și implementare aplicabile împrumutului </w:t>
      </w:r>
    </w:p>
    <w:p w14:paraId="64C2EEA1" w14:textId="77777777" w:rsidR="00FA7C11" w:rsidRDefault="00FA7C11">
      <w:pPr>
        <w:pStyle w:val="paragraph"/>
        <w:spacing w:before="0" w:beforeAutospacing="0" w:after="0" w:afterAutospacing="0"/>
        <w:jc w:val="both"/>
        <w:textAlignment w:val="baseline"/>
        <w:rPr>
          <w:rStyle w:val="eop"/>
          <w:noProof/>
          <w:color w:val="4F81BD"/>
        </w:rPr>
      </w:pPr>
    </w:p>
    <w:tbl>
      <w:tblPr>
        <w:tblW w:w="15588" w:type="dxa"/>
        <w:jc w:val="center"/>
        <w:tblCellMar>
          <w:top w:w="28" w:type="dxa"/>
          <w:left w:w="28" w:type="dxa"/>
          <w:bottom w:w="28" w:type="dxa"/>
          <w:right w:w="28" w:type="dxa"/>
        </w:tblCellMar>
        <w:tblLook w:val="04A0" w:firstRow="1" w:lastRow="0" w:firstColumn="1" w:lastColumn="0" w:noHBand="0" w:noVBand="1"/>
      </w:tblPr>
      <w:tblGrid>
        <w:gridCol w:w="846"/>
        <w:gridCol w:w="1205"/>
        <w:gridCol w:w="1345"/>
        <w:gridCol w:w="2378"/>
        <w:gridCol w:w="1952"/>
        <w:gridCol w:w="1131"/>
        <w:gridCol w:w="868"/>
        <w:gridCol w:w="850"/>
        <w:gridCol w:w="919"/>
        <w:gridCol w:w="567"/>
        <w:gridCol w:w="4160"/>
      </w:tblGrid>
      <w:tr w:rsidR="00FA7C11" w14:paraId="5501A2F3" w14:textId="77777777">
        <w:trPr>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498695" w14:textId="77777777" w:rsidR="00FA7C11" w:rsidRDefault="00D84965">
            <w:pPr>
              <w:pStyle w:val="P68B1DB1-Normal58"/>
              <w:spacing w:after="0" w:line="276" w:lineRule="auto"/>
              <w:jc w:val="center"/>
              <w:rPr>
                <w:bCs/>
                <w:noProof/>
              </w:rPr>
            </w:pPr>
            <w:r>
              <w:rPr>
                <w:noProof/>
              </w:rPr>
              <w:t>Număr</w:t>
            </w:r>
          </w:p>
        </w:tc>
        <w:tc>
          <w:tcPr>
            <w:tcW w:w="12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BCD1C8" w14:textId="77777777" w:rsidR="00FA7C11" w:rsidRDefault="00D84965">
            <w:pPr>
              <w:pStyle w:val="P68B1DB1-Normal58"/>
              <w:spacing w:after="0" w:line="276" w:lineRule="auto"/>
              <w:jc w:val="center"/>
              <w:rPr>
                <w:bCs/>
                <w:noProof/>
              </w:rPr>
            </w:pPr>
            <w:r>
              <w:rPr>
                <w:noProof/>
              </w:rPr>
              <w:t>Măsură</w:t>
            </w:r>
          </w:p>
        </w:tc>
        <w:tc>
          <w:tcPr>
            <w:tcW w:w="106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C89C5B" w14:textId="77777777" w:rsidR="00FA7C11" w:rsidRDefault="00D84965">
            <w:pPr>
              <w:pStyle w:val="P68B1DB1-Normal58"/>
              <w:spacing w:after="0" w:line="276" w:lineRule="auto"/>
              <w:jc w:val="center"/>
              <w:rPr>
                <w:bCs/>
                <w:noProof/>
              </w:rPr>
            </w:pPr>
            <w:r>
              <w:rPr>
                <w:noProof/>
              </w:rPr>
              <w:t>Etapă/Obiectiv</w:t>
            </w:r>
          </w:p>
        </w:tc>
        <w:tc>
          <w:tcPr>
            <w:tcW w:w="23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231976" w14:textId="77777777" w:rsidR="00FA7C11" w:rsidRDefault="00D84965">
            <w:pPr>
              <w:pStyle w:val="P68B1DB1-Normal58"/>
              <w:spacing w:after="0" w:line="276" w:lineRule="auto"/>
              <w:jc w:val="center"/>
              <w:rPr>
                <w:bCs/>
                <w:noProof/>
              </w:rPr>
            </w:pPr>
            <w:r>
              <w:rPr>
                <w:noProof/>
              </w:rPr>
              <w:t>Nume</w:t>
            </w:r>
          </w:p>
        </w:tc>
        <w:tc>
          <w:tcPr>
            <w:tcW w:w="19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94ABDE"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84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C9241FB"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134" w:type="dxa"/>
            <w:gridSpan w:val="2"/>
            <w:tcBorders>
              <w:top w:val="single" w:sz="4" w:space="0" w:color="auto"/>
              <w:left w:val="nil"/>
              <w:bottom w:val="single" w:sz="4" w:space="0" w:color="auto"/>
              <w:right w:val="single" w:sz="4" w:space="0" w:color="auto"/>
            </w:tcBorders>
            <w:shd w:val="clear" w:color="auto" w:fill="BDD7EE"/>
            <w:vAlign w:val="center"/>
            <w:hideMark/>
          </w:tcPr>
          <w:p w14:paraId="11FA2E53" w14:textId="77777777" w:rsidR="00FA7C11" w:rsidRDefault="00D84965">
            <w:pPr>
              <w:pStyle w:val="P68B1DB1-Normal58"/>
              <w:spacing w:after="0" w:line="276" w:lineRule="auto"/>
              <w:jc w:val="center"/>
              <w:rPr>
                <w:bCs/>
                <w:noProof/>
              </w:rPr>
            </w:pPr>
            <w:r>
              <w:rPr>
                <w:noProof/>
              </w:rPr>
              <w:t>Timp</w:t>
            </w:r>
          </w:p>
        </w:tc>
        <w:tc>
          <w:tcPr>
            <w:tcW w:w="41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CFEE9C"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79C03EF7" w14:textId="77777777">
        <w:trPr>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3AD51AAC"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205" w:type="dxa"/>
            <w:vMerge/>
            <w:tcBorders>
              <w:top w:val="single" w:sz="4" w:space="0" w:color="auto"/>
              <w:left w:val="single" w:sz="4" w:space="0" w:color="auto"/>
              <w:bottom w:val="single" w:sz="4" w:space="0" w:color="auto"/>
              <w:right w:val="single" w:sz="4" w:space="0" w:color="auto"/>
            </w:tcBorders>
            <w:hideMark/>
          </w:tcPr>
          <w:p w14:paraId="1C6CFC8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64" w:type="dxa"/>
            <w:vMerge/>
            <w:tcBorders>
              <w:top w:val="single" w:sz="4" w:space="0" w:color="auto"/>
              <w:left w:val="single" w:sz="4" w:space="0" w:color="auto"/>
              <w:bottom w:val="single" w:sz="4" w:space="0" w:color="auto"/>
              <w:right w:val="single" w:sz="4" w:space="0" w:color="auto"/>
            </w:tcBorders>
            <w:hideMark/>
          </w:tcPr>
          <w:p w14:paraId="1C205176"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378" w:type="dxa"/>
            <w:vMerge/>
            <w:tcBorders>
              <w:top w:val="single" w:sz="4" w:space="0" w:color="auto"/>
              <w:left w:val="single" w:sz="4" w:space="0" w:color="auto"/>
              <w:bottom w:val="single" w:sz="4" w:space="0" w:color="auto"/>
              <w:right w:val="single" w:sz="4" w:space="0" w:color="auto"/>
            </w:tcBorders>
            <w:hideMark/>
          </w:tcPr>
          <w:p w14:paraId="1EE1D8DC" w14:textId="77777777" w:rsidR="00FA7C11" w:rsidRDefault="00FA7C11">
            <w:pPr>
              <w:spacing w:after="0" w:line="276" w:lineRule="auto"/>
              <w:rPr>
                <w:rFonts w:ascii="Times New Roman" w:eastAsia="Times New Roman" w:hAnsi="Times New Roman" w:cs="Times New Roman"/>
                <w:b/>
                <w:noProof/>
                <w:sz w:val="20"/>
                <w:szCs w:val="20"/>
              </w:rPr>
            </w:pPr>
          </w:p>
        </w:tc>
        <w:tc>
          <w:tcPr>
            <w:tcW w:w="1952" w:type="dxa"/>
            <w:vMerge/>
            <w:tcBorders>
              <w:top w:val="single" w:sz="4" w:space="0" w:color="auto"/>
              <w:left w:val="single" w:sz="4" w:space="0" w:color="auto"/>
              <w:bottom w:val="single" w:sz="4" w:space="0" w:color="auto"/>
              <w:right w:val="single" w:sz="4" w:space="0" w:color="auto"/>
            </w:tcBorders>
            <w:hideMark/>
          </w:tcPr>
          <w:p w14:paraId="59494437" w14:textId="77777777" w:rsidR="00FA7C11" w:rsidRDefault="00FA7C11">
            <w:pPr>
              <w:spacing w:after="0" w:line="276" w:lineRule="auto"/>
              <w:rPr>
                <w:rFonts w:ascii="Times New Roman" w:eastAsia="Times New Roman" w:hAnsi="Times New Roman" w:cs="Times New Roman"/>
                <w:b/>
                <w:noProof/>
                <w:sz w:val="20"/>
                <w:szCs w:val="20"/>
              </w:rPr>
            </w:pPr>
          </w:p>
        </w:tc>
        <w:tc>
          <w:tcPr>
            <w:tcW w:w="1131" w:type="dxa"/>
            <w:tcBorders>
              <w:top w:val="nil"/>
              <w:left w:val="single" w:sz="4" w:space="0" w:color="auto"/>
              <w:bottom w:val="single" w:sz="4" w:space="0" w:color="auto"/>
              <w:right w:val="single" w:sz="4" w:space="0" w:color="auto"/>
            </w:tcBorders>
            <w:shd w:val="clear" w:color="auto" w:fill="BDD7EE"/>
            <w:hideMark/>
          </w:tcPr>
          <w:p w14:paraId="6ACAD914" w14:textId="77777777" w:rsidR="00FA7C11" w:rsidRDefault="00D84965">
            <w:pPr>
              <w:pStyle w:val="P68B1DB1-Normal58"/>
              <w:spacing w:after="0" w:line="276" w:lineRule="auto"/>
              <w:jc w:val="center"/>
              <w:rPr>
                <w:bCs/>
                <w:noProof/>
              </w:rPr>
            </w:pPr>
            <w:r>
              <w:rPr>
                <w:noProof/>
              </w:rPr>
              <w:t>Unitate</w:t>
            </w:r>
          </w:p>
        </w:tc>
        <w:tc>
          <w:tcPr>
            <w:tcW w:w="868" w:type="dxa"/>
            <w:tcBorders>
              <w:top w:val="nil"/>
              <w:left w:val="nil"/>
              <w:bottom w:val="single" w:sz="4" w:space="0" w:color="auto"/>
              <w:right w:val="single" w:sz="4" w:space="0" w:color="auto"/>
            </w:tcBorders>
            <w:shd w:val="clear" w:color="auto" w:fill="BDD7EE"/>
            <w:hideMark/>
          </w:tcPr>
          <w:p w14:paraId="02F6D213" w14:textId="77777777" w:rsidR="00FA7C11" w:rsidRDefault="00D84965">
            <w:pPr>
              <w:pStyle w:val="P68B1DB1-Normal58"/>
              <w:spacing w:after="0" w:line="276" w:lineRule="auto"/>
              <w:jc w:val="center"/>
              <w:rPr>
                <w:bCs/>
                <w:noProof/>
              </w:rPr>
            </w:pPr>
            <w:r>
              <w:rPr>
                <w:noProof/>
              </w:rPr>
              <w:t>Situația de referință</w:t>
            </w:r>
          </w:p>
        </w:tc>
        <w:tc>
          <w:tcPr>
            <w:tcW w:w="850" w:type="dxa"/>
            <w:tcBorders>
              <w:top w:val="nil"/>
              <w:left w:val="nil"/>
              <w:bottom w:val="single" w:sz="4" w:space="0" w:color="auto"/>
              <w:right w:val="single" w:sz="4" w:space="0" w:color="auto"/>
            </w:tcBorders>
            <w:shd w:val="clear" w:color="auto" w:fill="BDD7EE"/>
            <w:hideMark/>
          </w:tcPr>
          <w:p w14:paraId="51E5D57A" w14:textId="77777777" w:rsidR="00FA7C11" w:rsidRDefault="00D84965">
            <w:pPr>
              <w:pStyle w:val="P68B1DB1-Normal58"/>
              <w:spacing w:after="0" w:line="276" w:lineRule="auto"/>
              <w:jc w:val="center"/>
              <w:rPr>
                <w:bCs/>
                <w:noProof/>
              </w:rPr>
            </w:pPr>
            <w:r>
              <w:rPr>
                <w:noProof/>
              </w:rPr>
              <w:t>Obiectiv</w:t>
            </w:r>
          </w:p>
        </w:tc>
        <w:tc>
          <w:tcPr>
            <w:tcW w:w="567" w:type="dxa"/>
            <w:tcBorders>
              <w:top w:val="nil"/>
              <w:left w:val="nil"/>
              <w:bottom w:val="single" w:sz="4" w:space="0" w:color="auto"/>
              <w:right w:val="single" w:sz="4" w:space="0" w:color="auto"/>
            </w:tcBorders>
            <w:shd w:val="clear" w:color="auto" w:fill="BDD7EE"/>
            <w:hideMark/>
          </w:tcPr>
          <w:p w14:paraId="793B9A76" w14:textId="77777777" w:rsidR="00FA7C11" w:rsidRDefault="00D84965">
            <w:pPr>
              <w:pStyle w:val="P68B1DB1-Normal58"/>
              <w:spacing w:after="0" w:line="276" w:lineRule="auto"/>
              <w:jc w:val="center"/>
              <w:rPr>
                <w:bCs/>
                <w:noProof/>
              </w:rPr>
            </w:pPr>
            <w:r>
              <w:rPr>
                <w:noProof/>
              </w:rPr>
              <w:t>Trimestru</w:t>
            </w:r>
          </w:p>
        </w:tc>
        <w:tc>
          <w:tcPr>
            <w:tcW w:w="567" w:type="dxa"/>
            <w:tcBorders>
              <w:top w:val="nil"/>
              <w:left w:val="nil"/>
              <w:bottom w:val="single" w:sz="4" w:space="0" w:color="auto"/>
              <w:right w:val="single" w:sz="4" w:space="0" w:color="auto"/>
            </w:tcBorders>
            <w:shd w:val="clear" w:color="auto" w:fill="BDD7EE"/>
            <w:hideMark/>
          </w:tcPr>
          <w:p w14:paraId="7EA19C58" w14:textId="77777777" w:rsidR="00FA7C11" w:rsidRDefault="00D84965">
            <w:pPr>
              <w:pStyle w:val="P68B1DB1-Normal58"/>
              <w:spacing w:after="0" w:line="276" w:lineRule="auto"/>
              <w:jc w:val="center"/>
              <w:rPr>
                <w:bCs/>
                <w:noProof/>
              </w:rPr>
            </w:pPr>
            <w:r>
              <w:rPr>
                <w:noProof/>
              </w:rPr>
              <w:t>Anul</w:t>
            </w:r>
          </w:p>
        </w:tc>
        <w:tc>
          <w:tcPr>
            <w:tcW w:w="4160" w:type="dxa"/>
            <w:vMerge/>
            <w:tcBorders>
              <w:bottom w:val="single" w:sz="4" w:space="0" w:color="auto"/>
              <w:right w:val="single" w:sz="4" w:space="0" w:color="auto"/>
            </w:tcBorders>
            <w:hideMark/>
          </w:tcPr>
          <w:p w14:paraId="18F7E95C"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6244E3B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F3C940C" w14:textId="77777777" w:rsidR="00FA7C11" w:rsidRDefault="00D84965">
            <w:pPr>
              <w:pStyle w:val="P68B1DB1-Normal89"/>
              <w:spacing w:after="0" w:line="276" w:lineRule="auto"/>
              <w:jc w:val="center"/>
              <w:rPr>
                <w:noProof/>
              </w:rPr>
            </w:pPr>
            <w:r>
              <w:rPr>
                <w:noProof/>
              </w:rPr>
              <w:t>418</w:t>
            </w:r>
          </w:p>
        </w:tc>
        <w:tc>
          <w:tcPr>
            <w:tcW w:w="1205" w:type="dxa"/>
            <w:tcBorders>
              <w:top w:val="single" w:sz="4" w:space="0" w:color="auto"/>
              <w:left w:val="nil"/>
              <w:bottom w:val="single" w:sz="4" w:space="0" w:color="auto"/>
              <w:right w:val="single" w:sz="4" w:space="0" w:color="auto"/>
            </w:tcBorders>
            <w:shd w:val="clear" w:color="auto" w:fill="C6EFCE"/>
            <w:noWrap/>
          </w:tcPr>
          <w:p w14:paraId="32087630" w14:textId="77777777" w:rsidR="00FA7C11" w:rsidRDefault="00D84965">
            <w:pPr>
              <w:pStyle w:val="P68B1DB1-Normal102"/>
              <w:spacing w:after="200" w:line="276" w:lineRule="auto"/>
              <w:jc w:val="center"/>
              <w:rPr>
                <w:noProof/>
                <w:color w:val="000000" w:themeColor="text1"/>
              </w:rPr>
            </w:pPr>
            <w:r>
              <w:rPr>
                <w:noProof/>
              </w:rPr>
              <w:t>C7.1. R1-I4</w:t>
            </w:r>
          </w:p>
        </w:tc>
        <w:tc>
          <w:tcPr>
            <w:tcW w:w="1064" w:type="dxa"/>
            <w:tcBorders>
              <w:top w:val="single" w:sz="4" w:space="0" w:color="auto"/>
              <w:left w:val="nil"/>
              <w:bottom w:val="single" w:sz="4" w:space="0" w:color="auto"/>
              <w:right w:val="single" w:sz="4" w:space="0" w:color="auto"/>
            </w:tcBorders>
            <w:shd w:val="clear" w:color="auto" w:fill="C6EFCE"/>
            <w:noWrap/>
          </w:tcPr>
          <w:p w14:paraId="09AAE383" w14:textId="77777777" w:rsidR="00FA7C11" w:rsidRDefault="00D84965">
            <w:pPr>
              <w:pStyle w:val="P68B1DB1-Normal70"/>
              <w:spacing w:after="200" w:line="276" w:lineRule="auto"/>
              <w:jc w:val="center"/>
              <w:rPr>
                <w:noProof/>
                <w:color w:val="000000"/>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7BE6C46B" w14:textId="77777777" w:rsidR="00FA7C11" w:rsidRDefault="00D84965">
            <w:pPr>
              <w:pStyle w:val="P68B1DB1-Normal70"/>
              <w:spacing w:after="200" w:line="276" w:lineRule="auto"/>
              <w:rPr>
                <w:noProof/>
                <w:color w:val="000000"/>
              </w:rPr>
            </w:pPr>
            <w:r>
              <w:rPr>
                <w:noProof/>
              </w:rPr>
              <w:t>Infrastructura de încărcare pentru autobuze electrice</w:t>
            </w:r>
          </w:p>
        </w:tc>
        <w:tc>
          <w:tcPr>
            <w:tcW w:w="1952" w:type="dxa"/>
            <w:tcBorders>
              <w:top w:val="single" w:sz="4" w:space="0" w:color="auto"/>
              <w:left w:val="nil"/>
              <w:bottom w:val="single" w:sz="4" w:space="0" w:color="auto"/>
              <w:right w:val="single" w:sz="4" w:space="0" w:color="auto"/>
            </w:tcBorders>
            <w:shd w:val="clear" w:color="auto" w:fill="C6EFCE"/>
            <w:noWrap/>
          </w:tcPr>
          <w:p w14:paraId="5F0A470A" w14:textId="77777777" w:rsidR="00FA7C11" w:rsidRDefault="00D84965">
            <w:pPr>
              <w:pStyle w:val="P68B1DB1-Normal70"/>
              <w:spacing w:after="200" w:line="276" w:lineRule="auto"/>
              <w:rPr>
                <w:noProof/>
                <w:color w:val="000000"/>
              </w:rPr>
            </w:pPr>
            <w:r>
              <w:rPr>
                <w:noProof/>
              </w:rPr>
              <w:t>Infrastructura de încărcare pentru autobuzele electrice construite</w:t>
            </w:r>
          </w:p>
        </w:tc>
        <w:tc>
          <w:tcPr>
            <w:tcW w:w="1131" w:type="dxa"/>
            <w:tcBorders>
              <w:top w:val="single" w:sz="4" w:space="0" w:color="auto"/>
              <w:left w:val="nil"/>
              <w:bottom w:val="single" w:sz="4" w:space="0" w:color="auto"/>
              <w:right w:val="single" w:sz="4" w:space="0" w:color="auto"/>
            </w:tcBorders>
            <w:shd w:val="clear" w:color="auto" w:fill="C6EFCE"/>
            <w:noWrap/>
          </w:tcPr>
          <w:p w14:paraId="28542260"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3EB78B40"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2265EFF1" w14:textId="77777777" w:rsidR="00FA7C11" w:rsidRDefault="00FA7C11">
            <w:pPr>
              <w:spacing w:after="200" w:line="276" w:lineRule="auto"/>
              <w:jc w:val="center"/>
              <w:rPr>
                <w:rFonts w:ascii="Times New Roman" w:eastAsia="Calibri" w:hAnsi="Times New Roman" w:cs="Times New Roman"/>
                <w:noProof/>
                <w:color w:val="000000"/>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3BB2B449" w14:textId="77777777" w:rsidR="00FA7C11" w:rsidRDefault="00D84965">
            <w:pPr>
              <w:pStyle w:val="P68B1DB1-Normal70"/>
              <w:spacing w:after="200" w:line="276" w:lineRule="auto"/>
              <w:jc w:val="center"/>
              <w:rPr>
                <w:noProof/>
                <w:color w:val="000000"/>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51BB3626" w14:textId="77777777" w:rsidR="00FA7C11" w:rsidRDefault="00D84965">
            <w:pPr>
              <w:pStyle w:val="P68B1DB1-Normal70"/>
              <w:spacing w:after="200" w:line="276" w:lineRule="auto"/>
              <w:jc w:val="center"/>
              <w:rPr>
                <w:noProof/>
                <w:color w:val="000000"/>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161943A6" w14:textId="4DD84EF4" w:rsidR="00FA7C11" w:rsidRDefault="00D84965">
            <w:pPr>
              <w:pStyle w:val="P68B1DB1-Normal66"/>
              <w:spacing w:after="200" w:line="276" w:lineRule="auto"/>
              <w:rPr>
                <w:noProof/>
              </w:rPr>
            </w:pPr>
            <w:r>
              <w:rPr>
                <w:noProof/>
              </w:rPr>
              <w:t>Trebuie furnizată dovada construirii a cel puțin 150 de puncte de încărcare pentru autobuzele electrice.</w:t>
            </w:r>
          </w:p>
        </w:tc>
      </w:tr>
      <w:tr w:rsidR="00FA7C11" w14:paraId="54814ECF"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7E1987D" w14:textId="77777777" w:rsidR="00FA7C11" w:rsidRDefault="00D84965">
            <w:pPr>
              <w:pStyle w:val="P68B1DB1-Normal89"/>
              <w:spacing w:after="0" w:line="276" w:lineRule="auto"/>
              <w:jc w:val="center"/>
              <w:rPr>
                <w:noProof/>
              </w:rPr>
            </w:pPr>
            <w:r>
              <w:rPr>
                <w:noProof/>
              </w:rPr>
              <w:t>55</w:t>
            </w:r>
          </w:p>
        </w:tc>
        <w:tc>
          <w:tcPr>
            <w:tcW w:w="1205" w:type="dxa"/>
            <w:tcBorders>
              <w:top w:val="single" w:sz="4" w:space="0" w:color="auto"/>
              <w:left w:val="nil"/>
              <w:bottom w:val="single" w:sz="4" w:space="0" w:color="auto"/>
              <w:right w:val="single" w:sz="4" w:space="0" w:color="auto"/>
            </w:tcBorders>
            <w:shd w:val="clear" w:color="auto" w:fill="C6EFCE"/>
            <w:noWrap/>
          </w:tcPr>
          <w:p w14:paraId="74A3AA2E" w14:textId="77777777" w:rsidR="00FA7C11" w:rsidRDefault="00D84965">
            <w:pPr>
              <w:pStyle w:val="P68B1DB1-Normal102"/>
              <w:spacing w:after="200" w:line="276" w:lineRule="auto"/>
              <w:jc w:val="center"/>
              <w:rPr>
                <w:noProof/>
                <w:color w:val="000000" w:themeColor="text1"/>
              </w:rPr>
            </w:pPr>
            <w:r>
              <w:rPr>
                <w:noProof/>
              </w:rPr>
              <w:t>C7.1. R1-I5</w:t>
            </w:r>
          </w:p>
        </w:tc>
        <w:tc>
          <w:tcPr>
            <w:tcW w:w="1064" w:type="dxa"/>
            <w:tcBorders>
              <w:top w:val="single" w:sz="4" w:space="0" w:color="auto"/>
              <w:left w:val="nil"/>
              <w:bottom w:val="single" w:sz="4" w:space="0" w:color="auto"/>
              <w:right w:val="single" w:sz="4" w:space="0" w:color="auto"/>
            </w:tcBorders>
            <w:shd w:val="clear" w:color="auto" w:fill="C6EFCE"/>
            <w:noWrap/>
          </w:tcPr>
          <w:p w14:paraId="45C49E72" w14:textId="77777777" w:rsidR="00FA7C11" w:rsidRDefault="00D84965">
            <w:pPr>
              <w:pStyle w:val="P68B1DB1-Normal66"/>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22FF5F72" w14:textId="77777777" w:rsidR="00FA7C11" w:rsidRDefault="00D84965">
            <w:pPr>
              <w:pStyle w:val="P68B1DB1-Normal66"/>
              <w:spacing w:after="200" w:line="276" w:lineRule="auto"/>
              <w:rPr>
                <w:noProof/>
              </w:rPr>
            </w:pPr>
            <w:r>
              <w:rPr>
                <w:noProof/>
              </w:rPr>
              <w:t>Adoptarea planului de producție și utilizare a biocarburanților în transporturi</w:t>
            </w:r>
          </w:p>
        </w:tc>
        <w:tc>
          <w:tcPr>
            <w:tcW w:w="1952" w:type="dxa"/>
            <w:tcBorders>
              <w:top w:val="single" w:sz="4" w:space="0" w:color="auto"/>
              <w:left w:val="nil"/>
              <w:bottom w:val="single" w:sz="4" w:space="0" w:color="auto"/>
              <w:right w:val="single" w:sz="4" w:space="0" w:color="auto"/>
            </w:tcBorders>
            <w:shd w:val="clear" w:color="auto" w:fill="C6EFCE"/>
            <w:noWrap/>
          </w:tcPr>
          <w:p w14:paraId="39FD5EB3" w14:textId="77777777" w:rsidR="00FA7C11" w:rsidRDefault="00D84965">
            <w:pPr>
              <w:pStyle w:val="P68B1DB1-Normal66"/>
              <w:spacing w:after="200" w:line="276" w:lineRule="auto"/>
              <w:rPr>
                <w:noProof/>
              </w:rPr>
            </w:pPr>
            <w:r>
              <w:rPr>
                <w:noProof/>
              </w:rPr>
              <w:t>Intrarea în vigoare a planului și a programului pentru producția și utilizarea biocombustibililor în transporturi</w:t>
            </w:r>
          </w:p>
        </w:tc>
        <w:tc>
          <w:tcPr>
            <w:tcW w:w="1131" w:type="dxa"/>
            <w:tcBorders>
              <w:top w:val="single" w:sz="4" w:space="0" w:color="auto"/>
              <w:left w:val="nil"/>
              <w:bottom w:val="single" w:sz="4" w:space="0" w:color="auto"/>
              <w:right w:val="single" w:sz="4" w:space="0" w:color="auto"/>
            </w:tcBorders>
            <w:shd w:val="clear" w:color="auto" w:fill="C6EFCE"/>
            <w:noWrap/>
          </w:tcPr>
          <w:p w14:paraId="4826BB0A" w14:textId="77777777" w:rsidR="00FA7C11" w:rsidRDefault="00D84965">
            <w:pPr>
              <w:pStyle w:val="P68B1DB1-Normal66"/>
              <w:spacing w:after="200" w:line="276" w:lineRule="auto"/>
              <w:jc w:val="center"/>
              <w:rPr>
                <w:noProof/>
              </w:rPr>
            </w:pPr>
            <w:r>
              <w:rPr>
                <w:noProof/>
              </w:rPr>
              <w:t> </w:t>
            </w:r>
          </w:p>
        </w:tc>
        <w:tc>
          <w:tcPr>
            <w:tcW w:w="868" w:type="dxa"/>
            <w:tcBorders>
              <w:top w:val="single" w:sz="4" w:space="0" w:color="auto"/>
              <w:left w:val="nil"/>
              <w:bottom w:val="single" w:sz="4" w:space="0" w:color="auto"/>
              <w:right w:val="single" w:sz="4" w:space="0" w:color="auto"/>
            </w:tcBorders>
            <w:shd w:val="clear" w:color="auto" w:fill="C6EFCE"/>
            <w:noWrap/>
          </w:tcPr>
          <w:p w14:paraId="10E24973" w14:textId="77777777" w:rsidR="00FA7C11" w:rsidRDefault="00D84965">
            <w:pPr>
              <w:pStyle w:val="P68B1DB1-Normal66"/>
              <w:spacing w:after="200" w:line="276" w:lineRule="auto"/>
              <w:jc w:val="center"/>
              <w:rPr>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542879F2" w14:textId="77777777" w:rsidR="00FA7C11" w:rsidRDefault="00D84965">
            <w:pPr>
              <w:pStyle w:val="P68B1DB1-Normal66"/>
              <w:spacing w:after="200" w:line="276" w:lineRule="auto"/>
              <w:jc w:val="center"/>
              <w:rPr>
                <w:noProof/>
              </w:rPr>
            </w:pPr>
            <w:r>
              <w:rPr>
                <w:noProof/>
              </w:rPr>
              <w:t> </w:t>
            </w:r>
          </w:p>
        </w:tc>
        <w:tc>
          <w:tcPr>
            <w:tcW w:w="567" w:type="dxa"/>
            <w:tcBorders>
              <w:top w:val="single" w:sz="4" w:space="0" w:color="auto"/>
              <w:left w:val="nil"/>
              <w:bottom w:val="single" w:sz="4" w:space="0" w:color="auto"/>
              <w:right w:val="single" w:sz="4" w:space="0" w:color="auto"/>
            </w:tcBorders>
            <w:shd w:val="clear" w:color="auto" w:fill="C6EFCE"/>
            <w:noWrap/>
          </w:tcPr>
          <w:p w14:paraId="2FDB2975" w14:textId="77777777" w:rsidR="00FA7C11" w:rsidRDefault="00D84965">
            <w:pPr>
              <w:pStyle w:val="P68B1DB1-Normal66"/>
              <w:spacing w:after="200" w:line="276" w:lineRule="auto"/>
              <w:jc w:val="center"/>
              <w:rPr>
                <w:noProof/>
              </w:rPr>
            </w:pPr>
            <w:r>
              <w:rPr>
                <w:noProof/>
              </w:rPr>
              <w:t>Î4</w:t>
            </w:r>
          </w:p>
        </w:tc>
        <w:tc>
          <w:tcPr>
            <w:tcW w:w="567" w:type="dxa"/>
            <w:tcBorders>
              <w:top w:val="single" w:sz="4" w:space="0" w:color="auto"/>
              <w:left w:val="nil"/>
              <w:bottom w:val="single" w:sz="4" w:space="0" w:color="auto"/>
              <w:right w:val="single" w:sz="4" w:space="0" w:color="auto"/>
            </w:tcBorders>
            <w:shd w:val="clear" w:color="auto" w:fill="C6EFCE"/>
            <w:noWrap/>
          </w:tcPr>
          <w:p w14:paraId="05D2409A" w14:textId="77777777" w:rsidR="00FA7C11" w:rsidRDefault="00D84965">
            <w:pPr>
              <w:pStyle w:val="P68B1DB1-Normal66"/>
              <w:spacing w:after="200" w:line="276" w:lineRule="auto"/>
              <w:jc w:val="center"/>
              <w:rPr>
                <w:noProof/>
              </w:rPr>
            </w:pPr>
            <w:r>
              <w:rPr>
                <w:noProof/>
              </w:rPr>
              <w:t>2023</w:t>
            </w:r>
          </w:p>
        </w:tc>
        <w:tc>
          <w:tcPr>
            <w:tcW w:w="4160" w:type="dxa"/>
            <w:tcBorders>
              <w:top w:val="single" w:sz="4" w:space="0" w:color="auto"/>
              <w:left w:val="nil"/>
              <w:bottom w:val="single" w:sz="4" w:space="0" w:color="auto"/>
              <w:right w:val="single" w:sz="4" w:space="0" w:color="auto"/>
            </w:tcBorders>
            <w:shd w:val="clear" w:color="auto" w:fill="C6EFCE"/>
            <w:noWrap/>
          </w:tcPr>
          <w:p w14:paraId="6E051847" w14:textId="77777777" w:rsidR="00FA7C11" w:rsidRDefault="00D84965">
            <w:pPr>
              <w:pStyle w:val="P68B1DB1-Normal66"/>
              <w:spacing w:after="200" w:line="276" w:lineRule="auto"/>
              <w:rPr>
                <w:noProof/>
              </w:rPr>
            </w:pPr>
            <w:r>
              <w:rPr>
                <w:noProof/>
              </w:rPr>
              <w:t>Planul privind producția și utilizarea biocarburanților în transporturi intră în vigoare. Planul stabilește o politică de promovare a producției și a utilizării biocombustibililor avansați în transporturi în Republica Croația. Planul include o revizuire și o evaluare continuă a situației pieței biocombustibililor, noi modele de afaceri, părți interesate, măsuri de promovare a creșterii producției și a utilizării biocombustibililor avansați în transporturi.</w:t>
            </w:r>
          </w:p>
        </w:tc>
      </w:tr>
      <w:tr w:rsidR="00FA7C11" w14:paraId="5A23141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FB92E24" w14:textId="77777777" w:rsidR="00FA7C11" w:rsidRDefault="00D84965">
            <w:pPr>
              <w:pStyle w:val="P68B1DB1-Normal89"/>
              <w:spacing w:after="0" w:line="276" w:lineRule="auto"/>
              <w:jc w:val="center"/>
              <w:rPr>
                <w:rFonts w:eastAsia="Calibri"/>
                <w:noProof/>
              </w:rPr>
            </w:pPr>
            <w:r>
              <w:rPr>
                <w:noProof/>
              </w:rPr>
              <w:t>419</w:t>
            </w:r>
          </w:p>
        </w:tc>
        <w:tc>
          <w:tcPr>
            <w:tcW w:w="1205" w:type="dxa"/>
            <w:tcBorders>
              <w:top w:val="single" w:sz="4" w:space="0" w:color="auto"/>
              <w:left w:val="nil"/>
              <w:bottom w:val="single" w:sz="4" w:space="0" w:color="auto"/>
              <w:right w:val="single" w:sz="4" w:space="0" w:color="auto"/>
            </w:tcBorders>
            <w:shd w:val="clear" w:color="auto" w:fill="C6EFCE"/>
            <w:noWrap/>
          </w:tcPr>
          <w:p w14:paraId="7E2C1E33" w14:textId="77777777" w:rsidR="00FA7C11" w:rsidRDefault="00D84965">
            <w:pPr>
              <w:pStyle w:val="P68B1DB1-Normal102"/>
              <w:spacing w:after="200" w:line="276" w:lineRule="auto"/>
              <w:jc w:val="center"/>
              <w:rPr>
                <w:rFonts w:eastAsia="Calibri"/>
                <w:noProof/>
              </w:rPr>
            </w:pPr>
            <w:r>
              <w:rPr>
                <w:noProof/>
              </w:rPr>
              <w:t>C7.1. R1-I6</w:t>
            </w:r>
          </w:p>
        </w:tc>
        <w:tc>
          <w:tcPr>
            <w:tcW w:w="1064" w:type="dxa"/>
            <w:tcBorders>
              <w:top w:val="single" w:sz="4" w:space="0" w:color="auto"/>
              <w:left w:val="nil"/>
              <w:bottom w:val="single" w:sz="4" w:space="0" w:color="auto"/>
              <w:right w:val="single" w:sz="4" w:space="0" w:color="auto"/>
            </w:tcBorders>
            <w:shd w:val="clear" w:color="auto" w:fill="C6EFCE"/>
            <w:noWrap/>
          </w:tcPr>
          <w:p w14:paraId="7D8F85EE" w14:textId="77777777" w:rsidR="00FA7C11" w:rsidRDefault="00D84965">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061201F6" w14:textId="77777777" w:rsidR="00FA7C11" w:rsidRDefault="00D84965">
            <w:pPr>
              <w:pStyle w:val="P68B1DB1-Normal70"/>
              <w:spacing w:after="200" w:line="276" w:lineRule="auto"/>
              <w:rPr>
                <w:noProof/>
              </w:rPr>
            </w:pPr>
            <w:r>
              <w:rPr>
                <w:noProof/>
              </w:rPr>
              <w:t>Înlocuirea transformatoarelor electrice</w:t>
            </w:r>
          </w:p>
        </w:tc>
        <w:tc>
          <w:tcPr>
            <w:tcW w:w="1952" w:type="dxa"/>
            <w:tcBorders>
              <w:top w:val="single" w:sz="4" w:space="0" w:color="auto"/>
              <w:left w:val="nil"/>
              <w:bottom w:val="single" w:sz="4" w:space="0" w:color="auto"/>
              <w:right w:val="single" w:sz="4" w:space="0" w:color="auto"/>
            </w:tcBorders>
            <w:shd w:val="clear" w:color="auto" w:fill="C6EFCE"/>
            <w:noWrap/>
          </w:tcPr>
          <w:p w14:paraId="7BE1EFA3" w14:textId="77777777" w:rsidR="00FA7C11" w:rsidRDefault="00FA7C11">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25B3460A" w14:textId="77777777" w:rsidR="00FA7C11" w:rsidRDefault="00D84965">
            <w:pPr>
              <w:pStyle w:val="P68B1DB1-Normal66"/>
              <w:spacing w:after="200" w:line="276" w:lineRule="auto"/>
              <w:jc w:val="center"/>
              <w:rPr>
                <w:noProof/>
              </w:rPr>
            </w:pPr>
            <w:r>
              <w:rPr>
                <w:noProof/>
              </w:rPr>
              <w:t>Număr</w:t>
            </w:r>
          </w:p>
        </w:tc>
        <w:tc>
          <w:tcPr>
            <w:tcW w:w="868" w:type="dxa"/>
            <w:tcBorders>
              <w:top w:val="single" w:sz="4" w:space="0" w:color="auto"/>
              <w:left w:val="nil"/>
              <w:bottom w:val="single" w:sz="4" w:space="0" w:color="auto"/>
              <w:right w:val="single" w:sz="4" w:space="0" w:color="auto"/>
            </w:tcBorders>
            <w:shd w:val="clear" w:color="auto" w:fill="C6EFCE"/>
            <w:noWrap/>
          </w:tcPr>
          <w:p w14:paraId="6992B0FE" w14:textId="77777777" w:rsidR="00FA7C11" w:rsidRDefault="00D84965">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3B9CE56D" w14:textId="77777777" w:rsidR="00FA7C11" w:rsidRDefault="00D84965">
            <w:pPr>
              <w:pStyle w:val="P68B1DB1-Normal70"/>
              <w:spacing w:after="200" w:line="276" w:lineRule="auto"/>
              <w:jc w:val="center"/>
              <w:rPr>
                <w:noProof/>
              </w:rPr>
            </w:pPr>
            <w:r>
              <w:rPr>
                <w:noProof/>
              </w:rPr>
              <w:t>8</w:t>
            </w:r>
          </w:p>
        </w:tc>
        <w:tc>
          <w:tcPr>
            <w:tcW w:w="567" w:type="dxa"/>
            <w:tcBorders>
              <w:top w:val="single" w:sz="4" w:space="0" w:color="auto"/>
              <w:left w:val="nil"/>
              <w:bottom w:val="single" w:sz="4" w:space="0" w:color="auto"/>
              <w:right w:val="single" w:sz="4" w:space="0" w:color="auto"/>
            </w:tcBorders>
            <w:shd w:val="clear" w:color="auto" w:fill="C6EFCE"/>
            <w:noWrap/>
          </w:tcPr>
          <w:p w14:paraId="0D1A68AF" w14:textId="77777777" w:rsidR="00FA7C11" w:rsidRDefault="00D84965">
            <w:pPr>
              <w:pStyle w:val="P68B1DB1-Normal70"/>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492EAC22" w14:textId="77777777" w:rsidR="00FA7C11" w:rsidRDefault="00D84965">
            <w:pPr>
              <w:pStyle w:val="P68B1DB1-Normal70"/>
              <w:spacing w:after="200" w:line="276" w:lineRule="auto"/>
              <w:jc w:val="center"/>
              <w:rPr>
                <w:noProof/>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1E8E74C9" w14:textId="57B243DB" w:rsidR="00FA7C11" w:rsidRDefault="00D84965">
            <w:pPr>
              <w:pStyle w:val="P68B1DB1-Normal70"/>
              <w:spacing w:after="200" w:line="276" w:lineRule="auto"/>
              <w:rPr>
                <w:noProof/>
              </w:rPr>
            </w:pPr>
            <w:r>
              <w:rPr>
                <w:noProof/>
              </w:rPr>
              <w:t>Se înlocuiesc cel puțin opt transformatoare electrice vechi din sistemul de transport.</w:t>
            </w:r>
          </w:p>
        </w:tc>
      </w:tr>
      <w:tr w:rsidR="00FA7C11" w14:paraId="6AA19A1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EC6A4BA" w14:textId="77777777" w:rsidR="00FA7C11" w:rsidRDefault="00D84965">
            <w:pPr>
              <w:pStyle w:val="P68B1DB1-Normal89"/>
              <w:spacing w:after="0" w:line="276" w:lineRule="auto"/>
              <w:jc w:val="center"/>
              <w:rPr>
                <w:noProof/>
              </w:rPr>
            </w:pPr>
            <w:r>
              <w:rPr>
                <w:noProof/>
              </w:rPr>
              <w:t>420</w:t>
            </w:r>
          </w:p>
        </w:tc>
        <w:tc>
          <w:tcPr>
            <w:tcW w:w="1205" w:type="dxa"/>
            <w:tcBorders>
              <w:top w:val="single" w:sz="4" w:space="0" w:color="auto"/>
              <w:left w:val="nil"/>
              <w:bottom w:val="single" w:sz="4" w:space="0" w:color="auto"/>
              <w:right w:val="single" w:sz="4" w:space="0" w:color="auto"/>
            </w:tcBorders>
            <w:shd w:val="clear" w:color="auto" w:fill="C6EFCE"/>
            <w:noWrap/>
          </w:tcPr>
          <w:p w14:paraId="75AA3C66" w14:textId="77777777" w:rsidR="00FA7C11" w:rsidRDefault="00D84965">
            <w:pPr>
              <w:pStyle w:val="P68B1DB1-Normal102"/>
              <w:spacing w:after="200" w:line="276" w:lineRule="auto"/>
              <w:jc w:val="center"/>
              <w:rPr>
                <w:noProof/>
                <w:color w:val="000000" w:themeColor="text1"/>
              </w:rPr>
            </w:pPr>
            <w:r>
              <w:rPr>
                <w:noProof/>
              </w:rPr>
              <w:t>C7.1. R1-I6</w:t>
            </w:r>
          </w:p>
        </w:tc>
        <w:tc>
          <w:tcPr>
            <w:tcW w:w="1064" w:type="dxa"/>
            <w:tcBorders>
              <w:top w:val="single" w:sz="4" w:space="0" w:color="auto"/>
              <w:left w:val="nil"/>
              <w:bottom w:val="single" w:sz="4" w:space="0" w:color="auto"/>
              <w:right w:val="single" w:sz="4" w:space="0" w:color="auto"/>
            </w:tcBorders>
            <w:shd w:val="clear" w:color="auto" w:fill="C6EFCE"/>
            <w:noWrap/>
          </w:tcPr>
          <w:p w14:paraId="1EDC042D" w14:textId="77777777" w:rsidR="00FA7C11" w:rsidRDefault="00D84965">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7998F435" w14:textId="6CE218E0" w:rsidR="00FA7C11" w:rsidRDefault="00D84965">
            <w:pPr>
              <w:pStyle w:val="P68B1DB1-Normal70"/>
              <w:spacing w:after="200" w:line="276" w:lineRule="auto"/>
              <w:rPr>
                <w:noProof/>
              </w:rPr>
            </w:pPr>
            <w:r>
              <w:rPr>
                <w:noProof/>
              </w:rPr>
              <w:t xml:space="preserve">Reconstrucția substațiilor </w:t>
            </w:r>
          </w:p>
        </w:tc>
        <w:tc>
          <w:tcPr>
            <w:tcW w:w="1952" w:type="dxa"/>
            <w:tcBorders>
              <w:top w:val="single" w:sz="4" w:space="0" w:color="auto"/>
              <w:left w:val="nil"/>
              <w:bottom w:val="single" w:sz="4" w:space="0" w:color="auto"/>
              <w:right w:val="single" w:sz="4" w:space="0" w:color="auto"/>
            </w:tcBorders>
            <w:shd w:val="clear" w:color="auto" w:fill="C6EFCE"/>
            <w:noWrap/>
          </w:tcPr>
          <w:p w14:paraId="7BDD887E" w14:textId="77777777" w:rsidR="00FA7C11" w:rsidRDefault="00FA7C11">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7CCA31B2" w14:textId="77777777" w:rsidR="00FA7C11" w:rsidRDefault="00D84965">
            <w:pPr>
              <w:pStyle w:val="P68B1DB1-Normal66"/>
              <w:spacing w:after="200" w:line="276" w:lineRule="auto"/>
              <w:jc w:val="center"/>
              <w:rPr>
                <w:noProof/>
              </w:rPr>
            </w:pPr>
            <w:r>
              <w:rPr>
                <w:noProof/>
              </w:rPr>
              <w:t>Număr</w:t>
            </w:r>
          </w:p>
        </w:tc>
        <w:tc>
          <w:tcPr>
            <w:tcW w:w="868" w:type="dxa"/>
            <w:tcBorders>
              <w:top w:val="single" w:sz="4" w:space="0" w:color="auto"/>
              <w:left w:val="nil"/>
              <w:bottom w:val="single" w:sz="4" w:space="0" w:color="auto"/>
              <w:right w:val="single" w:sz="4" w:space="0" w:color="auto"/>
            </w:tcBorders>
            <w:shd w:val="clear" w:color="auto" w:fill="C6EFCE"/>
            <w:noWrap/>
          </w:tcPr>
          <w:p w14:paraId="73E17777" w14:textId="77777777" w:rsidR="00FA7C11" w:rsidRDefault="00D84965">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2BB10F89" w14:textId="77777777" w:rsidR="00FA7C11" w:rsidRDefault="00D84965">
            <w:pPr>
              <w:pStyle w:val="P68B1DB1-Normal70"/>
              <w:spacing w:after="200" w:line="276" w:lineRule="auto"/>
              <w:jc w:val="center"/>
              <w:rPr>
                <w:noProof/>
              </w:rPr>
            </w:pPr>
            <w:r>
              <w:rPr>
                <w:noProof/>
              </w:rPr>
              <w:t>2</w:t>
            </w:r>
          </w:p>
        </w:tc>
        <w:tc>
          <w:tcPr>
            <w:tcW w:w="567" w:type="dxa"/>
            <w:tcBorders>
              <w:top w:val="single" w:sz="4" w:space="0" w:color="auto"/>
              <w:left w:val="nil"/>
              <w:bottom w:val="single" w:sz="4" w:space="0" w:color="auto"/>
              <w:right w:val="single" w:sz="4" w:space="0" w:color="auto"/>
            </w:tcBorders>
            <w:shd w:val="clear" w:color="auto" w:fill="C6EFCE"/>
            <w:noWrap/>
          </w:tcPr>
          <w:p w14:paraId="42ADC5A0" w14:textId="77777777" w:rsidR="00FA7C11" w:rsidRDefault="00D84965">
            <w:pPr>
              <w:pStyle w:val="P68B1DB1-Normal70"/>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1F835036" w14:textId="77777777" w:rsidR="00FA7C11" w:rsidRDefault="00D84965">
            <w:pPr>
              <w:pStyle w:val="P68B1DB1-Normal70"/>
              <w:spacing w:after="200" w:line="276" w:lineRule="auto"/>
              <w:jc w:val="center"/>
              <w:rPr>
                <w:noProof/>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0BA8ED3B" w14:textId="24988474" w:rsidR="00FA7C11" w:rsidRDefault="00D84965">
            <w:pPr>
              <w:pStyle w:val="P68B1DB1-Normal70"/>
              <w:spacing w:after="200" w:line="276" w:lineRule="auto"/>
              <w:rPr>
                <w:noProof/>
              </w:rPr>
            </w:pPr>
            <w:r>
              <w:rPr>
                <w:noProof/>
              </w:rPr>
              <w:t>Cel puțin două substații de 110 kV trebuie reconstruite.</w:t>
            </w:r>
          </w:p>
        </w:tc>
      </w:tr>
      <w:tr w:rsidR="00FA7C11" w14:paraId="10F3C3C1"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4A16442" w14:textId="77777777" w:rsidR="00FA7C11" w:rsidRDefault="00D84965">
            <w:pPr>
              <w:pStyle w:val="P68B1DB1-Normal89"/>
              <w:spacing w:after="0" w:line="276" w:lineRule="auto"/>
              <w:jc w:val="center"/>
              <w:rPr>
                <w:rFonts w:eastAsia="Calibri"/>
                <w:noProof/>
              </w:rPr>
            </w:pPr>
            <w:r>
              <w:rPr>
                <w:noProof/>
              </w:rPr>
              <w:t>421</w:t>
            </w:r>
          </w:p>
        </w:tc>
        <w:tc>
          <w:tcPr>
            <w:tcW w:w="1205" w:type="dxa"/>
            <w:tcBorders>
              <w:top w:val="single" w:sz="4" w:space="0" w:color="auto"/>
              <w:left w:val="nil"/>
              <w:bottom w:val="single" w:sz="4" w:space="0" w:color="auto"/>
              <w:right w:val="single" w:sz="4" w:space="0" w:color="auto"/>
            </w:tcBorders>
            <w:shd w:val="clear" w:color="auto" w:fill="C6EFCE"/>
            <w:noWrap/>
          </w:tcPr>
          <w:p w14:paraId="4E901423" w14:textId="77777777" w:rsidR="00FA7C11" w:rsidRDefault="00D84965">
            <w:pPr>
              <w:pStyle w:val="P68B1DB1-Normal102"/>
              <w:spacing w:after="200" w:line="276" w:lineRule="auto"/>
              <w:jc w:val="center"/>
              <w:rPr>
                <w:rFonts w:eastAsia="Calibri"/>
                <w:noProof/>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08616C98" w14:textId="77777777" w:rsidR="00FA7C11" w:rsidRDefault="00D84965">
            <w:pPr>
              <w:pStyle w:val="P68B1DB1-Normal70"/>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1C8FA996" w14:textId="77777777" w:rsidR="00FA7C11" w:rsidRDefault="00D84965">
            <w:pPr>
              <w:pStyle w:val="P68B1DB1-Normal70"/>
              <w:spacing w:after="200" w:line="276" w:lineRule="auto"/>
              <w:rPr>
                <w:noProof/>
              </w:rPr>
            </w:pPr>
            <w:r>
              <w:rPr>
                <w:noProof/>
              </w:rPr>
              <w:t>Contract pentru echipamente pentru extinderea terminalului GNL de pe insula Krk</w:t>
            </w:r>
          </w:p>
        </w:tc>
        <w:tc>
          <w:tcPr>
            <w:tcW w:w="1952" w:type="dxa"/>
            <w:tcBorders>
              <w:top w:val="single" w:sz="4" w:space="0" w:color="auto"/>
              <w:left w:val="nil"/>
              <w:bottom w:val="single" w:sz="4" w:space="0" w:color="auto"/>
              <w:right w:val="single" w:sz="4" w:space="0" w:color="auto"/>
            </w:tcBorders>
            <w:shd w:val="clear" w:color="auto" w:fill="C6EFCE"/>
            <w:noWrap/>
          </w:tcPr>
          <w:p w14:paraId="4E6992F8" w14:textId="77777777" w:rsidR="00FA7C11" w:rsidRDefault="00D84965">
            <w:pPr>
              <w:pStyle w:val="P68B1DB1-Normal70"/>
              <w:spacing w:after="200" w:line="276" w:lineRule="auto"/>
              <w:rPr>
                <w:noProof/>
              </w:rPr>
            </w:pPr>
            <w:r>
              <w:rPr>
                <w:noProof/>
              </w:rPr>
              <w:t>Semnarea contractului pentru echipamente</w:t>
            </w:r>
          </w:p>
        </w:tc>
        <w:tc>
          <w:tcPr>
            <w:tcW w:w="1131" w:type="dxa"/>
            <w:tcBorders>
              <w:top w:val="single" w:sz="4" w:space="0" w:color="auto"/>
              <w:left w:val="nil"/>
              <w:bottom w:val="single" w:sz="4" w:space="0" w:color="auto"/>
              <w:right w:val="single" w:sz="4" w:space="0" w:color="auto"/>
            </w:tcBorders>
            <w:shd w:val="clear" w:color="auto" w:fill="C6EFCE"/>
            <w:noWrap/>
          </w:tcPr>
          <w:p w14:paraId="433805C4" w14:textId="77777777" w:rsidR="00FA7C11" w:rsidRDefault="00FA7C11">
            <w:pPr>
              <w:spacing w:after="200" w:line="276" w:lineRule="auto"/>
              <w:jc w:val="center"/>
              <w:rPr>
                <w:rFonts w:ascii="Times New Roman" w:eastAsia="Calibri" w:hAnsi="Times New Roman" w:cs="Times New Roman"/>
                <w:noProof/>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57420997"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1B76DA72" w14:textId="77777777" w:rsidR="00FA7C11" w:rsidRDefault="00FA7C11">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39A7132B" w14:textId="77777777" w:rsidR="00FA7C11" w:rsidRDefault="00D84965">
            <w:pPr>
              <w:pStyle w:val="P68B1DB1-Normal70"/>
              <w:spacing w:after="200" w:line="276" w:lineRule="auto"/>
              <w:jc w:val="center"/>
              <w:rPr>
                <w:noProof/>
              </w:rPr>
            </w:pPr>
            <w:r>
              <w:rPr>
                <w:noProof/>
              </w:rPr>
              <w:t>Î4</w:t>
            </w:r>
          </w:p>
        </w:tc>
        <w:tc>
          <w:tcPr>
            <w:tcW w:w="567" w:type="dxa"/>
            <w:tcBorders>
              <w:top w:val="single" w:sz="4" w:space="0" w:color="auto"/>
              <w:left w:val="nil"/>
              <w:bottom w:val="single" w:sz="4" w:space="0" w:color="auto"/>
              <w:right w:val="single" w:sz="4" w:space="0" w:color="auto"/>
            </w:tcBorders>
            <w:shd w:val="clear" w:color="auto" w:fill="C6EFCE"/>
            <w:noWrap/>
          </w:tcPr>
          <w:p w14:paraId="59972499" w14:textId="77777777" w:rsidR="00FA7C11" w:rsidRDefault="00D84965">
            <w:pPr>
              <w:pStyle w:val="P68B1DB1-Normal70"/>
              <w:spacing w:after="200" w:line="276" w:lineRule="auto"/>
              <w:jc w:val="center"/>
              <w:rPr>
                <w:noProof/>
              </w:rPr>
            </w:pPr>
            <w:r>
              <w:rPr>
                <w:noProof/>
              </w:rPr>
              <w:t>2023</w:t>
            </w:r>
          </w:p>
        </w:tc>
        <w:tc>
          <w:tcPr>
            <w:tcW w:w="4160" w:type="dxa"/>
            <w:tcBorders>
              <w:top w:val="single" w:sz="4" w:space="0" w:color="auto"/>
              <w:left w:val="nil"/>
              <w:bottom w:val="single" w:sz="4" w:space="0" w:color="auto"/>
              <w:right w:val="single" w:sz="4" w:space="0" w:color="auto"/>
            </w:tcBorders>
            <w:shd w:val="clear" w:color="auto" w:fill="C6EFCE"/>
            <w:noWrap/>
          </w:tcPr>
          <w:p w14:paraId="1663E278" w14:textId="5B9493D3" w:rsidR="00FA7C11" w:rsidRDefault="00D84965">
            <w:pPr>
              <w:pStyle w:val="P68B1DB1-Normal70"/>
              <w:spacing w:after="200" w:line="276" w:lineRule="auto"/>
              <w:rPr>
                <w:noProof/>
              </w:rPr>
            </w:pPr>
            <w:r>
              <w:rPr>
                <w:noProof/>
              </w:rPr>
              <w:t>Se semnează un contract pentru echipamente pentru extinderea terminalului GNL Krk cu scopul de a extinde capacitatea la 700 000 m³ pe oră (m³/h).</w:t>
            </w:r>
          </w:p>
        </w:tc>
      </w:tr>
      <w:tr w:rsidR="00FA7C11" w14:paraId="249A8B5C"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2A97264" w14:textId="77777777" w:rsidR="00FA7C11" w:rsidRDefault="00D84965">
            <w:pPr>
              <w:pStyle w:val="P68B1DB1-Normal89"/>
              <w:spacing w:after="0" w:line="276" w:lineRule="auto"/>
              <w:jc w:val="center"/>
              <w:rPr>
                <w:rFonts w:eastAsia="Calibri"/>
                <w:noProof/>
              </w:rPr>
            </w:pPr>
            <w:r>
              <w:rPr>
                <w:noProof/>
              </w:rPr>
              <w:t>422</w:t>
            </w:r>
          </w:p>
        </w:tc>
        <w:tc>
          <w:tcPr>
            <w:tcW w:w="1205" w:type="dxa"/>
            <w:tcBorders>
              <w:top w:val="single" w:sz="4" w:space="0" w:color="auto"/>
              <w:left w:val="nil"/>
              <w:bottom w:val="single" w:sz="4" w:space="0" w:color="auto"/>
              <w:right w:val="single" w:sz="4" w:space="0" w:color="auto"/>
            </w:tcBorders>
            <w:shd w:val="clear" w:color="auto" w:fill="C6EFCE"/>
            <w:noWrap/>
          </w:tcPr>
          <w:p w14:paraId="699657C4" w14:textId="77777777" w:rsidR="00FA7C11" w:rsidRDefault="00D84965">
            <w:pPr>
              <w:pStyle w:val="P68B1DB1-Normal102"/>
              <w:spacing w:after="200" w:line="276" w:lineRule="auto"/>
              <w:jc w:val="center"/>
              <w:rPr>
                <w:rFonts w:eastAsia="Calibri"/>
                <w:noProof/>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47B1FAB4" w14:textId="77777777" w:rsidR="00FA7C11" w:rsidRDefault="00D84965">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11EBB8F0" w14:textId="77777777" w:rsidR="00FA7C11" w:rsidRDefault="00D84965">
            <w:pPr>
              <w:pStyle w:val="P68B1DB1-Normal70"/>
              <w:spacing w:after="200" w:line="276" w:lineRule="auto"/>
              <w:rPr>
                <w:noProof/>
              </w:rPr>
            </w:pPr>
            <w:r>
              <w:rPr>
                <w:noProof/>
              </w:rPr>
              <w:t>Extinderea terminalului GNL de pe insula Krk operațional</w:t>
            </w:r>
          </w:p>
        </w:tc>
        <w:tc>
          <w:tcPr>
            <w:tcW w:w="1952" w:type="dxa"/>
            <w:tcBorders>
              <w:top w:val="single" w:sz="4" w:space="0" w:color="auto"/>
              <w:left w:val="nil"/>
              <w:bottom w:val="single" w:sz="4" w:space="0" w:color="auto"/>
              <w:right w:val="single" w:sz="4" w:space="0" w:color="auto"/>
            </w:tcBorders>
            <w:shd w:val="clear" w:color="auto" w:fill="C6EFCE"/>
            <w:noWrap/>
          </w:tcPr>
          <w:p w14:paraId="1B229818" w14:textId="77777777" w:rsidR="00FA7C11" w:rsidRDefault="00FA7C11">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1931A072" w14:textId="77777777" w:rsidR="00FA7C11" w:rsidRDefault="00D84965">
            <w:pPr>
              <w:pStyle w:val="P68B1DB1-Normal70"/>
              <w:spacing w:after="200" w:line="276" w:lineRule="auto"/>
              <w:jc w:val="center"/>
              <w:rPr>
                <w:noProof/>
              </w:rPr>
            </w:pPr>
            <w:r>
              <w:rPr>
                <w:noProof/>
              </w:rPr>
              <w:t xml:space="preserve">m³ pe oră </w:t>
            </w:r>
          </w:p>
        </w:tc>
        <w:tc>
          <w:tcPr>
            <w:tcW w:w="868" w:type="dxa"/>
            <w:tcBorders>
              <w:top w:val="single" w:sz="4" w:space="0" w:color="auto"/>
              <w:left w:val="nil"/>
              <w:bottom w:val="single" w:sz="4" w:space="0" w:color="auto"/>
              <w:right w:val="single" w:sz="4" w:space="0" w:color="auto"/>
            </w:tcBorders>
            <w:shd w:val="clear" w:color="auto" w:fill="C6EFCE"/>
            <w:noWrap/>
          </w:tcPr>
          <w:p w14:paraId="1FE4F315" w14:textId="77777777" w:rsidR="00FA7C11" w:rsidRDefault="00D84965">
            <w:pPr>
              <w:pStyle w:val="P68B1DB1-Normal70"/>
              <w:spacing w:after="200" w:line="276" w:lineRule="auto"/>
              <w:jc w:val="center"/>
              <w:rPr>
                <w:noProof/>
              </w:rPr>
            </w:pPr>
            <w:r>
              <w:rPr>
                <w:noProof/>
              </w:rPr>
              <w:t>450 000</w:t>
            </w:r>
          </w:p>
        </w:tc>
        <w:tc>
          <w:tcPr>
            <w:tcW w:w="850" w:type="dxa"/>
            <w:tcBorders>
              <w:top w:val="single" w:sz="4" w:space="0" w:color="auto"/>
              <w:left w:val="nil"/>
              <w:bottom w:val="single" w:sz="4" w:space="0" w:color="auto"/>
              <w:right w:val="single" w:sz="4" w:space="0" w:color="auto"/>
            </w:tcBorders>
            <w:shd w:val="clear" w:color="auto" w:fill="C6EFCE"/>
            <w:noWrap/>
          </w:tcPr>
          <w:p w14:paraId="2D4E32EA" w14:textId="77777777" w:rsidR="00FA7C11" w:rsidRDefault="00D84965">
            <w:pPr>
              <w:pStyle w:val="P68B1DB1-Normal70"/>
              <w:spacing w:after="200" w:line="276" w:lineRule="auto"/>
              <w:jc w:val="center"/>
              <w:rPr>
                <w:noProof/>
              </w:rPr>
            </w:pPr>
            <w:r>
              <w:rPr>
                <w:noProof/>
              </w:rPr>
              <w:t>700 000</w:t>
            </w:r>
          </w:p>
        </w:tc>
        <w:tc>
          <w:tcPr>
            <w:tcW w:w="567" w:type="dxa"/>
            <w:tcBorders>
              <w:top w:val="single" w:sz="4" w:space="0" w:color="auto"/>
              <w:left w:val="nil"/>
              <w:bottom w:val="single" w:sz="4" w:space="0" w:color="auto"/>
              <w:right w:val="single" w:sz="4" w:space="0" w:color="auto"/>
            </w:tcBorders>
            <w:shd w:val="clear" w:color="auto" w:fill="C6EFCE"/>
            <w:noWrap/>
          </w:tcPr>
          <w:p w14:paraId="2C03FD05" w14:textId="77777777" w:rsidR="00FA7C11" w:rsidRDefault="00D84965">
            <w:pPr>
              <w:pStyle w:val="P68B1DB1-Normal70"/>
              <w:spacing w:after="200" w:line="276" w:lineRule="auto"/>
              <w:jc w:val="center"/>
              <w:rPr>
                <w:noProof/>
              </w:rPr>
            </w:pPr>
            <w:r>
              <w:rPr>
                <w:noProof/>
              </w:rPr>
              <w:t>Î3</w:t>
            </w:r>
          </w:p>
        </w:tc>
        <w:tc>
          <w:tcPr>
            <w:tcW w:w="567" w:type="dxa"/>
            <w:tcBorders>
              <w:top w:val="single" w:sz="4" w:space="0" w:color="auto"/>
              <w:left w:val="nil"/>
              <w:bottom w:val="single" w:sz="4" w:space="0" w:color="auto"/>
              <w:right w:val="single" w:sz="4" w:space="0" w:color="auto"/>
            </w:tcBorders>
            <w:shd w:val="clear" w:color="auto" w:fill="C6EFCE"/>
            <w:noWrap/>
          </w:tcPr>
          <w:p w14:paraId="300E83A1" w14:textId="77777777" w:rsidR="00FA7C11" w:rsidRDefault="00D84965">
            <w:pPr>
              <w:pStyle w:val="P68B1DB1-Normal70"/>
              <w:spacing w:after="200" w:line="276" w:lineRule="auto"/>
              <w:jc w:val="center"/>
              <w:rPr>
                <w:noProof/>
              </w:rPr>
            </w:pPr>
            <w:r>
              <w:rPr>
                <w:noProof/>
              </w:rPr>
              <w:t>2025</w:t>
            </w:r>
          </w:p>
        </w:tc>
        <w:tc>
          <w:tcPr>
            <w:tcW w:w="4160" w:type="dxa"/>
            <w:tcBorders>
              <w:top w:val="single" w:sz="4" w:space="0" w:color="auto"/>
              <w:left w:val="nil"/>
              <w:bottom w:val="single" w:sz="4" w:space="0" w:color="auto"/>
              <w:right w:val="single" w:sz="4" w:space="0" w:color="auto"/>
            </w:tcBorders>
            <w:shd w:val="clear" w:color="auto" w:fill="C6EFCE"/>
            <w:noWrap/>
          </w:tcPr>
          <w:p w14:paraId="37DC9706" w14:textId="01AC3C39" w:rsidR="00FA7C11" w:rsidRDefault="00D84965">
            <w:pPr>
              <w:pStyle w:val="P68B1DB1-Normal70"/>
              <w:spacing w:after="200" w:line="276" w:lineRule="auto"/>
              <w:rPr>
                <w:noProof/>
              </w:rPr>
            </w:pPr>
            <w:r>
              <w:rPr>
                <w:noProof/>
              </w:rPr>
              <w:t xml:space="preserve">Extinderea terminalului GNL de pe insula Krk trebuie să fie operațională cu o capacitate de gazeificare sporită de 700 000 m³/h. Capacitatea terminalului GNL de pe insula Krk trebuie să crească de la nivelul actual de 450 000 m³/h la 700 000 m³/h. </w:t>
            </w:r>
          </w:p>
        </w:tc>
      </w:tr>
      <w:tr w:rsidR="00FA7C11" w14:paraId="4D795F4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7E11B84" w14:textId="77777777" w:rsidR="00FA7C11" w:rsidRDefault="00D84965">
            <w:pPr>
              <w:pStyle w:val="P68B1DB1-Normal89"/>
              <w:spacing w:after="0" w:line="276" w:lineRule="auto"/>
              <w:jc w:val="center"/>
              <w:rPr>
                <w:rFonts w:eastAsia="Calibri"/>
                <w:noProof/>
              </w:rPr>
            </w:pPr>
            <w:r>
              <w:rPr>
                <w:noProof/>
              </w:rPr>
              <w:t>423</w:t>
            </w:r>
          </w:p>
        </w:tc>
        <w:tc>
          <w:tcPr>
            <w:tcW w:w="1205" w:type="dxa"/>
            <w:tcBorders>
              <w:top w:val="single" w:sz="4" w:space="0" w:color="auto"/>
              <w:left w:val="nil"/>
              <w:bottom w:val="single" w:sz="4" w:space="0" w:color="auto"/>
              <w:right w:val="single" w:sz="4" w:space="0" w:color="auto"/>
            </w:tcBorders>
            <w:shd w:val="clear" w:color="auto" w:fill="C6EFCE"/>
            <w:noWrap/>
          </w:tcPr>
          <w:p w14:paraId="71E981A6" w14:textId="77777777" w:rsidR="00FA7C11" w:rsidRDefault="00D84965">
            <w:pPr>
              <w:pStyle w:val="P68B1DB1-Normal102"/>
              <w:spacing w:after="200" w:line="276" w:lineRule="auto"/>
              <w:jc w:val="center"/>
              <w:rPr>
                <w:rFonts w:eastAsia="Calibri"/>
                <w:noProof/>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261FB052" w14:textId="77777777" w:rsidR="00FA7C11" w:rsidRDefault="00D84965">
            <w:pPr>
              <w:pStyle w:val="P68B1DB1-Normal70"/>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28BC0CBD" w14:textId="77777777" w:rsidR="00FA7C11" w:rsidRDefault="00D84965">
            <w:pPr>
              <w:pStyle w:val="P68B1DB1-Normal70"/>
              <w:spacing w:after="200" w:line="276" w:lineRule="auto"/>
              <w:rPr>
                <w:noProof/>
              </w:rPr>
            </w:pPr>
            <w:r>
              <w:rPr>
                <w:noProof/>
              </w:rPr>
              <w:t>Contract de lucrări de extindere a gazoductului Zlobin – Bosiljevo</w:t>
            </w:r>
          </w:p>
        </w:tc>
        <w:tc>
          <w:tcPr>
            <w:tcW w:w="1952" w:type="dxa"/>
            <w:tcBorders>
              <w:top w:val="single" w:sz="4" w:space="0" w:color="auto"/>
              <w:left w:val="nil"/>
              <w:bottom w:val="single" w:sz="4" w:space="0" w:color="auto"/>
              <w:right w:val="single" w:sz="4" w:space="0" w:color="auto"/>
            </w:tcBorders>
            <w:shd w:val="clear" w:color="auto" w:fill="C6EFCE"/>
            <w:noWrap/>
          </w:tcPr>
          <w:p w14:paraId="5141650F" w14:textId="77777777" w:rsidR="00FA7C11" w:rsidRDefault="00D84965">
            <w:pPr>
              <w:pStyle w:val="P68B1DB1-Normal70"/>
              <w:spacing w:after="200" w:line="276" w:lineRule="auto"/>
              <w:rPr>
                <w:noProof/>
              </w:rPr>
            </w:pPr>
            <w:r>
              <w:rPr>
                <w:noProof/>
              </w:rPr>
              <w:t>Semnarea contractului pentru lucrări</w:t>
            </w:r>
          </w:p>
        </w:tc>
        <w:tc>
          <w:tcPr>
            <w:tcW w:w="1131" w:type="dxa"/>
            <w:tcBorders>
              <w:top w:val="single" w:sz="4" w:space="0" w:color="auto"/>
              <w:left w:val="nil"/>
              <w:bottom w:val="single" w:sz="4" w:space="0" w:color="auto"/>
              <w:right w:val="single" w:sz="4" w:space="0" w:color="auto"/>
            </w:tcBorders>
            <w:shd w:val="clear" w:color="auto" w:fill="C6EFCE"/>
            <w:noWrap/>
          </w:tcPr>
          <w:p w14:paraId="54CEC558" w14:textId="77777777" w:rsidR="00FA7C11" w:rsidRDefault="00FA7C11">
            <w:pPr>
              <w:spacing w:after="200" w:line="276" w:lineRule="auto"/>
              <w:jc w:val="center"/>
              <w:rPr>
                <w:rFonts w:ascii="Times New Roman" w:eastAsia="Calibri" w:hAnsi="Times New Roman" w:cs="Times New Roman"/>
                <w:noProof/>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1B759318"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0898B632" w14:textId="77777777" w:rsidR="00FA7C11" w:rsidRDefault="00FA7C11">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659251A9" w14:textId="77777777" w:rsidR="00FA7C11" w:rsidRDefault="00D84965">
            <w:pPr>
              <w:pStyle w:val="P68B1DB1-Normal70"/>
              <w:spacing w:after="200" w:line="276" w:lineRule="auto"/>
              <w:jc w:val="center"/>
              <w:rPr>
                <w:noProof/>
              </w:rPr>
            </w:pPr>
            <w:r>
              <w:rPr>
                <w:noProof/>
              </w:rPr>
              <w:t>Î3</w:t>
            </w:r>
          </w:p>
        </w:tc>
        <w:tc>
          <w:tcPr>
            <w:tcW w:w="567" w:type="dxa"/>
            <w:tcBorders>
              <w:top w:val="single" w:sz="4" w:space="0" w:color="auto"/>
              <w:left w:val="nil"/>
              <w:bottom w:val="single" w:sz="4" w:space="0" w:color="auto"/>
              <w:right w:val="single" w:sz="4" w:space="0" w:color="auto"/>
            </w:tcBorders>
            <w:shd w:val="clear" w:color="auto" w:fill="C6EFCE"/>
            <w:noWrap/>
          </w:tcPr>
          <w:p w14:paraId="3953B4C2" w14:textId="77777777" w:rsidR="00FA7C11" w:rsidRDefault="00D84965">
            <w:pPr>
              <w:pStyle w:val="P68B1DB1-Normal70"/>
              <w:spacing w:after="200" w:line="276" w:lineRule="auto"/>
              <w:jc w:val="center"/>
              <w:rPr>
                <w:noProof/>
              </w:rPr>
            </w:pPr>
            <w:r>
              <w:rPr>
                <w:noProof/>
              </w:rPr>
              <w:t>2023</w:t>
            </w:r>
          </w:p>
        </w:tc>
        <w:tc>
          <w:tcPr>
            <w:tcW w:w="4160" w:type="dxa"/>
            <w:tcBorders>
              <w:top w:val="single" w:sz="4" w:space="0" w:color="auto"/>
              <w:left w:val="nil"/>
              <w:bottom w:val="single" w:sz="4" w:space="0" w:color="auto"/>
              <w:right w:val="single" w:sz="4" w:space="0" w:color="auto"/>
            </w:tcBorders>
            <w:shd w:val="clear" w:color="auto" w:fill="C6EFCE"/>
            <w:noWrap/>
          </w:tcPr>
          <w:p w14:paraId="5B4A53B0" w14:textId="77777777" w:rsidR="00FA7C11" w:rsidRDefault="00D84965">
            <w:pPr>
              <w:pStyle w:val="P68B1DB1-Normal70"/>
              <w:spacing w:after="200" w:line="276" w:lineRule="auto"/>
              <w:rPr>
                <w:noProof/>
              </w:rPr>
            </w:pPr>
            <w:r>
              <w:rPr>
                <w:noProof/>
              </w:rPr>
              <w:t>Se semnează un contract de lucrări pentru extinderea gazoductului Zlobin – Bosiljevo.</w:t>
            </w:r>
          </w:p>
        </w:tc>
      </w:tr>
      <w:tr w:rsidR="00FA7C11" w14:paraId="77F01852"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449068D" w14:textId="77777777" w:rsidR="00FA7C11" w:rsidRDefault="00D84965">
            <w:pPr>
              <w:pStyle w:val="P68B1DB1-Normal89"/>
              <w:spacing w:after="0" w:line="276" w:lineRule="auto"/>
              <w:jc w:val="center"/>
              <w:rPr>
                <w:rFonts w:eastAsia="Calibri"/>
                <w:noProof/>
              </w:rPr>
            </w:pPr>
            <w:r>
              <w:rPr>
                <w:noProof/>
              </w:rPr>
              <w:t>424</w:t>
            </w:r>
          </w:p>
        </w:tc>
        <w:tc>
          <w:tcPr>
            <w:tcW w:w="1205" w:type="dxa"/>
            <w:tcBorders>
              <w:top w:val="single" w:sz="4" w:space="0" w:color="auto"/>
              <w:left w:val="nil"/>
              <w:bottom w:val="single" w:sz="4" w:space="0" w:color="auto"/>
              <w:right w:val="single" w:sz="4" w:space="0" w:color="auto"/>
            </w:tcBorders>
            <w:shd w:val="clear" w:color="auto" w:fill="C6EFCE"/>
            <w:noWrap/>
          </w:tcPr>
          <w:p w14:paraId="408D2E4F" w14:textId="77777777" w:rsidR="00FA7C11" w:rsidRDefault="00D84965">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03365370" w14:textId="77777777" w:rsidR="00FA7C11" w:rsidRDefault="00D84965">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562B8EC8" w14:textId="77777777" w:rsidR="00FA7C11" w:rsidRDefault="00D84965">
            <w:pPr>
              <w:pStyle w:val="P68B1DB1-Normal70"/>
              <w:spacing w:after="200" w:line="276" w:lineRule="auto"/>
              <w:rPr>
                <w:noProof/>
              </w:rPr>
            </w:pPr>
            <w:r>
              <w:rPr>
                <w:noProof/>
              </w:rPr>
              <w:t xml:space="preserve">Construcția gazoductului extins Zlobin – Bosiljevo </w:t>
            </w:r>
          </w:p>
        </w:tc>
        <w:tc>
          <w:tcPr>
            <w:tcW w:w="1952" w:type="dxa"/>
            <w:tcBorders>
              <w:top w:val="single" w:sz="4" w:space="0" w:color="auto"/>
              <w:left w:val="nil"/>
              <w:bottom w:val="single" w:sz="4" w:space="0" w:color="auto"/>
              <w:right w:val="single" w:sz="4" w:space="0" w:color="auto"/>
            </w:tcBorders>
            <w:shd w:val="clear" w:color="auto" w:fill="C6EFCE"/>
            <w:noWrap/>
          </w:tcPr>
          <w:p w14:paraId="6011771B" w14:textId="77777777" w:rsidR="00FA7C11" w:rsidRDefault="00FA7C11">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19133F98" w14:textId="77777777" w:rsidR="00FA7C11" w:rsidRDefault="00D84965">
            <w:pPr>
              <w:pStyle w:val="P68B1DB1-Normal70"/>
              <w:spacing w:after="200" w:line="276" w:lineRule="auto"/>
              <w:jc w:val="center"/>
              <w:rPr>
                <w:noProof/>
              </w:rPr>
            </w:pPr>
            <w:r>
              <w:rPr>
                <w:noProof/>
              </w:rPr>
              <w:t>kilometri</w:t>
            </w:r>
          </w:p>
        </w:tc>
        <w:tc>
          <w:tcPr>
            <w:tcW w:w="868" w:type="dxa"/>
            <w:tcBorders>
              <w:top w:val="single" w:sz="4" w:space="0" w:color="auto"/>
              <w:left w:val="nil"/>
              <w:bottom w:val="single" w:sz="4" w:space="0" w:color="auto"/>
              <w:right w:val="single" w:sz="4" w:space="0" w:color="auto"/>
            </w:tcBorders>
            <w:shd w:val="clear" w:color="auto" w:fill="C6EFCE"/>
            <w:noWrap/>
          </w:tcPr>
          <w:p w14:paraId="127B7C91" w14:textId="77777777" w:rsidR="00FA7C11" w:rsidRDefault="00D84965">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2666920E" w14:textId="77777777" w:rsidR="00FA7C11" w:rsidRDefault="00D84965">
            <w:pPr>
              <w:pStyle w:val="P68B1DB1-Normal70"/>
              <w:spacing w:after="200" w:line="276" w:lineRule="auto"/>
              <w:jc w:val="center"/>
              <w:rPr>
                <w:noProof/>
              </w:rPr>
            </w:pPr>
            <w:r>
              <w:rPr>
                <w:noProof/>
              </w:rPr>
              <w:t>58</w:t>
            </w:r>
          </w:p>
        </w:tc>
        <w:tc>
          <w:tcPr>
            <w:tcW w:w="567" w:type="dxa"/>
            <w:tcBorders>
              <w:top w:val="single" w:sz="4" w:space="0" w:color="auto"/>
              <w:left w:val="nil"/>
              <w:bottom w:val="single" w:sz="4" w:space="0" w:color="auto"/>
              <w:right w:val="single" w:sz="4" w:space="0" w:color="auto"/>
            </w:tcBorders>
            <w:shd w:val="clear" w:color="auto" w:fill="C6EFCE"/>
            <w:noWrap/>
          </w:tcPr>
          <w:p w14:paraId="47FDF296" w14:textId="77777777" w:rsidR="00FA7C11" w:rsidRDefault="00D84965">
            <w:pPr>
              <w:pStyle w:val="P68B1DB1-Normal70"/>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7450339D" w14:textId="77777777" w:rsidR="00FA7C11" w:rsidRDefault="00D84965">
            <w:pPr>
              <w:pStyle w:val="P68B1DB1-Normal70"/>
              <w:spacing w:after="200" w:line="276" w:lineRule="auto"/>
              <w:jc w:val="center"/>
              <w:rPr>
                <w:noProof/>
              </w:rPr>
            </w:pPr>
            <w:r>
              <w:rPr>
                <w:noProof/>
              </w:rPr>
              <w:t>2025</w:t>
            </w:r>
          </w:p>
        </w:tc>
        <w:tc>
          <w:tcPr>
            <w:tcW w:w="4160" w:type="dxa"/>
            <w:tcBorders>
              <w:top w:val="single" w:sz="4" w:space="0" w:color="auto"/>
              <w:left w:val="nil"/>
              <w:bottom w:val="single" w:sz="4" w:space="0" w:color="auto"/>
              <w:right w:val="single" w:sz="4" w:space="0" w:color="auto"/>
            </w:tcBorders>
            <w:shd w:val="clear" w:color="auto" w:fill="C6EFCE"/>
            <w:noWrap/>
          </w:tcPr>
          <w:p w14:paraId="43D9070B" w14:textId="77777777" w:rsidR="00FA7C11" w:rsidRDefault="00D84965">
            <w:pPr>
              <w:pStyle w:val="P68B1DB1-Normal70"/>
              <w:spacing w:after="200" w:line="276" w:lineRule="auto"/>
              <w:rPr>
                <w:noProof/>
              </w:rPr>
            </w:pPr>
            <w:r>
              <w:rPr>
                <w:noProof/>
              </w:rPr>
              <w:t>Se construiește gazoductul Zlobin – Bosiljevo extins, cu o lungime de 58 km.</w:t>
            </w:r>
          </w:p>
        </w:tc>
      </w:tr>
      <w:tr w:rsidR="00FA7C11" w14:paraId="5FF6C913"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50E1EE22" w14:textId="77777777" w:rsidR="00FA7C11" w:rsidRDefault="00D84965">
            <w:pPr>
              <w:pStyle w:val="P68B1DB1-Normal89"/>
              <w:spacing w:after="0" w:line="276" w:lineRule="auto"/>
              <w:jc w:val="center"/>
              <w:rPr>
                <w:rFonts w:eastAsia="Calibri"/>
                <w:noProof/>
              </w:rPr>
            </w:pPr>
            <w:r>
              <w:rPr>
                <w:noProof/>
              </w:rPr>
              <w:t>425</w:t>
            </w:r>
          </w:p>
        </w:tc>
        <w:tc>
          <w:tcPr>
            <w:tcW w:w="1205" w:type="dxa"/>
            <w:tcBorders>
              <w:top w:val="single" w:sz="4" w:space="0" w:color="auto"/>
              <w:left w:val="nil"/>
              <w:bottom w:val="single" w:sz="4" w:space="0" w:color="auto"/>
              <w:right w:val="single" w:sz="4" w:space="0" w:color="auto"/>
            </w:tcBorders>
            <w:shd w:val="clear" w:color="auto" w:fill="C6EFCE"/>
            <w:noWrap/>
          </w:tcPr>
          <w:p w14:paraId="0679815F" w14:textId="77777777" w:rsidR="00FA7C11" w:rsidRDefault="00D84965">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7E64C604" w14:textId="77777777" w:rsidR="00FA7C11" w:rsidRDefault="00D84965">
            <w:pPr>
              <w:pStyle w:val="P68B1DB1-Normal70"/>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7B0D839B" w14:textId="77777777" w:rsidR="00FA7C11" w:rsidRDefault="00D84965">
            <w:pPr>
              <w:pStyle w:val="P68B1DB1-Normal70"/>
              <w:spacing w:after="200" w:line="276" w:lineRule="auto"/>
              <w:rPr>
                <w:noProof/>
              </w:rPr>
            </w:pPr>
            <w:r>
              <w:rPr>
                <w:noProof/>
              </w:rPr>
              <w:t>Licitație pentru achiziționarea de conducte pentru extinderea gazoductului Bosiljevo – Sisak – Kozarac</w:t>
            </w:r>
          </w:p>
        </w:tc>
        <w:tc>
          <w:tcPr>
            <w:tcW w:w="1952" w:type="dxa"/>
            <w:tcBorders>
              <w:top w:val="single" w:sz="4" w:space="0" w:color="auto"/>
              <w:left w:val="nil"/>
              <w:bottom w:val="single" w:sz="4" w:space="0" w:color="auto"/>
              <w:right w:val="single" w:sz="4" w:space="0" w:color="auto"/>
            </w:tcBorders>
            <w:shd w:val="clear" w:color="auto" w:fill="C6EFCE"/>
            <w:noWrap/>
          </w:tcPr>
          <w:p w14:paraId="507ED0C3" w14:textId="77777777" w:rsidR="00FA7C11" w:rsidRDefault="00D84965">
            <w:pPr>
              <w:pStyle w:val="P68B1DB1-Normal70"/>
              <w:spacing w:after="200" w:line="276" w:lineRule="auto"/>
              <w:rPr>
                <w:noProof/>
              </w:rPr>
            </w:pPr>
            <w:r>
              <w:rPr>
                <w:noProof/>
              </w:rPr>
              <w:t>Lansarea licitației pentru achiziționarea de țevi</w:t>
            </w:r>
          </w:p>
        </w:tc>
        <w:tc>
          <w:tcPr>
            <w:tcW w:w="1131" w:type="dxa"/>
            <w:tcBorders>
              <w:top w:val="single" w:sz="4" w:space="0" w:color="auto"/>
              <w:left w:val="nil"/>
              <w:bottom w:val="single" w:sz="4" w:space="0" w:color="auto"/>
              <w:right w:val="single" w:sz="4" w:space="0" w:color="auto"/>
            </w:tcBorders>
            <w:shd w:val="clear" w:color="auto" w:fill="C6EFCE"/>
            <w:noWrap/>
          </w:tcPr>
          <w:p w14:paraId="2C1BA1A2" w14:textId="77777777" w:rsidR="00FA7C11" w:rsidRDefault="00FA7C11">
            <w:pPr>
              <w:spacing w:after="200" w:line="276" w:lineRule="auto"/>
              <w:jc w:val="center"/>
              <w:rPr>
                <w:rFonts w:ascii="Times New Roman" w:eastAsia="Calibri" w:hAnsi="Times New Roman" w:cs="Times New Roman"/>
                <w:noProof/>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3B1480B2"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1C99F306" w14:textId="77777777" w:rsidR="00FA7C11" w:rsidRDefault="00FA7C11">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590CF629" w14:textId="77777777" w:rsidR="00FA7C11" w:rsidRDefault="00D84965">
            <w:pPr>
              <w:pStyle w:val="P68B1DB1-Normal70"/>
              <w:spacing w:after="200" w:line="276" w:lineRule="auto"/>
              <w:jc w:val="center"/>
              <w:rPr>
                <w:noProof/>
              </w:rPr>
            </w:pPr>
            <w:r>
              <w:rPr>
                <w:noProof/>
              </w:rPr>
              <w:t>Î1</w:t>
            </w:r>
          </w:p>
        </w:tc>
        <w:tc>
          <w:tcPr>
            <w:tcW w:w="567" w:type="dxa"/>
            <w:tcBorders>
              <w:top w:val="single" w:sz="4" w:space="0" w:color="auto"/>
              <w:left w:val="nil"/>
              <w:bottom w:val="single" w:sz="4" w:space="0" w:color="auto"/>
              <w:right w:val="single" w:sz="4" w:space="0" w:color="auto"/>
            </w:tcBorders>
            <w:shd w:val="clear" w:color="auto" w:fill="C6EFCE"/>
            <w:noWrap/>
          </w:tcPr>
          <w:p w14:paraId="614C5996" w14:textId="77777777" w:rsidR="00FA7C11" w:rsidRDefault="00D84965">
            <w:pPr>
              <w:pStyle w:val="P68B1DB1-Normal70"/>
              <w:spacing w:after="200" w:line="276" w:lineRule="auto"/>
              <w:jc w:val="center"/>
              <w:rPr>
                <w:noProof/>
              </w:rPr>
            </w:pPr>
            <w:r>
              <w:rPr>
                <w:noProof/>
              </w:rPr>
              <w:t>2024</w:t>
            </w:r>
          </w:p>
        </w:tc>
        <w:tc>
          <w:tcPr>
            <w:tcW w:w="4160" w:type="dxa"/>
            <w:tcBorders>
              <w:top w:val="single" w:sz="4" w:space="0" w:color="auto"/>
              <w:left w:val="nil"/>
              <w:bottom w:val="single" w:sz="4" w:space="0" w:color="auto"/>
              <w:right w:val="single" w:sz="4" w:space="0" w:color="auto"/>
            </w:tcBorders>
            <w:shd w:val="clear" w:color="auto" w:fill="C6EFCE"/>
            <w:noWrap/>
          </w:tcPr>
          <w:p w14:paraId="4915AF66" w14:textId="77777777" w:rsidR="00FA7C11" w:rsidRDefault="00D84965">
            <w:pPr>
              <w:pStyle w:val="P68B1DB1-Normal70"/>
              <w:spacing w:after="200" w:line="276" w:lineRule="auto"/>
              <w:rPr>
                <w:noProof/>
              </w:rPr>
            </w:pPr>
            <w:r>
              <w:rPr>
                <w:noProof/>
              </w:rPr>
              <w:t>Se lansează o licitație pentru achiziționarea de conducte pentru extinderea gazoductului Bosiljevo – Sisak – Kozarac.</w:t>
            </w:r>
          </w:p>
        </w:tc>
      </w:tr>
      <w:tr w:rsidR="00FA7C11" w14:paraId="204F0D7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98CC2C2" w14:textId="77777777" w:rsidR="00FA7C11" w:rsidRDefault="00D84965">
            <w:pPr>
              <w:pStyle w:val="P68B1DB1-Normal89"/>
              <w:spacing w:after="0" w:line="276" w:lineRule="auto"/>
              <w:jc w:val="center"/>
              <w:rPr>
                <w:rFonts w:eastAsia="Calibri"/>
                <w:noProof/>
              </w:rPr>
            </w:pPr>
            <w:r>
              <w:rPr>
                <w:noProof/>
              </w:rPr>
              <w:t>426</w:t>
            </w:r>
          </w:p>
        </w:tc>
        <w:tc>
          <w:tcPr>
            <w:tcW w:w="1205" w:type="dxa"/>
            <w:tcBorders>
              <w:top w:val="single" w:sz="4" w:space="0" w:color="auto"/>
              <w:left w:val="nil"/>
              <w:bottom w:val="single" w:sz="4" w:space="0" w:color="auto"/>
              <w:right w:val="single" w:sz="4" w:space="0" w:color="auto"/>
            </w:tcBorders>
            <w:shd w:val="clear" w:color="auto" w:fill="C6EFCE"/>
            <w:noWrap/>
          </w:tcPr>
          <w:p w14:paraId="481852AF" w14:textId="77777777" w:rsidR="00FA7C11" w:rsidRDefault="00D84965">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6828E4FB" w14:textId="77777777" w:rsidR="00FA7C11" w:rsidRDefault="00D84965">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03E5501F" w14:textId="0A1E1DC7" w:rsidR="00FA7C11" w:rsidRDefault="00D84965">
            <w:pPr>
              <w:pStyle w:val="P68B1DB1-Normal70"/>
              <w:spacing w:after="200" w:line="276" w:lineRule="auto"/>
              <w:rPr>
                <w:noProof/>
              </w:rPr>
            </w:pPr>
            <w:r>
              <w:rPr>
                <w:noProof/>
              </w:rPr>
              <w:t xml:space="preserve">Construirea gazoductului Bosiljevo – Sisak – Kozarac </w:t>
            </w:r>
          </w:p>
        </w:tc>
        <w:tc>
          <w:tcPr>
            <w:tcW w:w="1952" w:type="dxa"/>
            <w:tcBorders>
              <w:top w:val="single" w:sz="4" w:space="0" w:color="auto"/>
              <w:left w:val="nil"/>
              <w:bottom w:val="single" w:sz="4" w:space="0" w:color="auto"/>
              <w:right w:val="single" w:sz="4" w:space="0" w:color="auto"/>
            </w:tcBorders>
            <w:shd w:val="clear" w:color="auto" w:fill="C6EFCE"/>
            <w:noWrap/>
          </w:tcPr>
          <w:p w14:paraId="0F3F6E10" w14:textId="77777777" w:rsidR="00FA7C11" w:rsidRDefault="00FA7C11">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0F6E0327" w14:textId="77777777" w:rsidR="00FA7C11" w:rsidRDefault="00D84965">
            <w:pPr>
              <w:pStyle w:val="P68B1DB1-Normal70"/>
              <w:spacing w:after="200" w:line="276" w:lineRule="auto"/>
              <w:jc w:val="center"/>
              <w:rPr>
                <w:noProof/>
              </w:rPr>
            </w:pPr>
            <w:r>
              <w:rPr>
                <w:noProof/>
              </w:rPr>
              <w:t>kilometri</w:t>
            </w:r>
          </w:p>
        </w:tc>
        <w:tc>
          <w:tcPr>
            <w:tcW w:w="868" w:type="dxa"/>
            <w:tcBorders>
              <w:top w:val="single" w:sz="4" w:space="0" w:color="auto"/>
              <w:left w:val="nil"/>
              <w:bottom w:val="single" w:sz="4" w:space="0" w:color="auto"/>
              <w:right w:val="single" w:sz="4" w:space="0" w:color="auto"/>
            </w:tcBorders>
            <w:shd w:val="clear" w:color="auto" w:fill="C6EFCE"/>
            <w:noWrap/>
          </w:tcPr>
          <w:p w14:paraId="0A7BB082" w14:textId="77777777" w:rsidR="00FA7C11" w:rsidRDefault="00D84965">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462F2DB0" w14:textId="77777777" w:rsidR="00FA7C11" w:rsidRDefault="00D84965">
            <w:pPr>
              <w:pStyle w:val="P68B1DB1-Normal70"/>
              <w:spacing w:after="200" w:line="276" w:lineRule="auto"/>
              <w:jc w:val="center"/>
              <w:rPr>
                <w:noProof/>
              </w:rPr>
            </w:pPr>
            <w:r>
              <w:rPr>
                <w:noProof/>
              </w:rPr>
              <w:t>122</w:t>
            </w:r>
          </w:p>
        </w:tc>
        <w:tc>
          <w:tcPr>
            <w:tcW w:w="567" w:type="dxa"/>
            <w:tcBorders>
              <w:top w:val="single" w:sz="4" w:space="0" w:color="auto"/>
              <w:left w:val="nil"/>
              <w:bottom w:val="single" w:sz="4" w:space="0" w:color="auto"/>
              <w:right w:val="single" w:sz="4" w:space="0" w:color="auto"/>
            </w:tcBorders>
            <w:shd w:val="clear" w:color="auto" w:fill="C6EFCE"/>
            <w:noWrap/>
          </w:tcPr>
          <w:p w14:paraId="1AF89733" w14:textId="77777777" w:rsidR="00FA7C11" w:rsidRDefault="00D84965">
            <w:pPr>
              <w:pStyle w:val="P68B1DB1-Normal70"/>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4DCD4656" w14:textId="77777777" w:rsidR="00FA7C11" w:rsidRDefault="00D84965">
            <w:pPr>
              <w:pStyle w:val="P68B1DB1-Normal70"/>
              <w:spacing w:after="200" w:line="276" w:lineRule="auto"/>
              <w:jc w:val="center"/>
              <w:rPr>
                <w:noProof/>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57101DAB" w14:textId="34591860" w:rsidR="00FA7C11" w:rsidRDefault="00D84965">
            <w:pPr>
              <w:pStyle w:val="P68B1DB1-Normal70"/>
              <w:spacing w:after="200" w:line="276" w:lineRule="auto"/>
              <w:rPr>
                <w:noProof/>
              </w:rPr>
            </w:pPr>
            <w:r>
              <w:rPr>
                <w:noProof/>
              </w:rPr>
              <w:t>Se va construi gazoductul Bosiljevo – Sisak – Kozarac, cu o lungime de 122 km, mărind capacitatea de transport al gazelor către Ungaria la 400 000 sm3/h.</w:t>
            </w:r>
          </w:p>
        </w:tc>
      </w:tr>
      <w:tr w:rsidR="00FA7C11" w14:paraId="53313967"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3C3D6F0" w14:textId="77777777" w:rsidR="00FA7C11" w:rsidRDefault="00D84965">
            <w:pPr>
              <w:pStyle w:val="P68B1DB1-Normal89"/>
              <w:spacing w:after="0" w:line="276" w:lineRule="auto"/>
              <w:jc w:val="center"/>
              <w:rPr>
                <w:rFonts w:eastAsia="Calibri"/>
                <w:noProof/>
              </w:rPr>
            </w:pPr>
            <w:r>
              <w:rPr>
                <w:noProof/>
              </w:rPr>
              <w:t>427</w:t>
            </w:r>
          </w:p>
        </w:tc>
        <w:tc>
          <w:tcPr>
            <w:tcW w:w="1205" w:type="dxa"/>
            <w:tcBorders>
              <w:top w:val="single" w:sz="4" w:space="0" w:color="auto"/>
              <w:left w:val="nil"/>
              <w:bottom w:val="single" w:sz="4" w:space="0" w:color="auto"/>
              <w:right w:val="single" w:sz="4" w:space="0" w:color="auto"/>
            </w:tcBorders>
            <w:shd w:val="clear" w:color="auto" w:fill="C6EFCE"/>
            <w:noWrap/>
          </w:tcPr>
          <w:p w14:paraId="5B1966B7" w14:textId="77777777" w:rsidR="00FA7C11" w:rsidRDefault="00D84965">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788656CA" w14:textId="77777777" w:rsidR="00FA7C11" w:rsidRDefault="00D84965">
            <w:pPr>
              <w:pStyle w:val="P68B1DB1-Normal70"/>
              <w:spacing w:after="200" w:line="276" w:lineRule="auto"/>
              <w:jc w:val="center"/>
              <w:rPr>
                <w:noProof/>
              </w:rPr>
            </w:pPr>
            <w:r>
              <w:rPr>
                <w:noProof/>
              </w:rPr>
              <w:t>M</w:t>
            </w:r>
          </w:p>
        </w:tc>
        <w:tc>
          <w:tcPr>
            <w:tcW w:w="2378" w:type="dxa"/>
            <w:tcBorders>
              <w:top w:val="single" w:sz="4" w:space="0" w:color="auto"/>
              <w:left w:val="nil"/>
              <w:bottom w:val="single" w:sz="4" w:space="0" w:color="auto"/>
              <w:right w:val="single" w:sz="4" w:space="0" w:color="auto"/>
            </w:tcBorders>
            <w:shd w:val="clear" w:color="auto" w:fill="C6EFCE"/>
            <w:noWrap/>
          </w:tcPr>
          <w:p w14:paraId="54BC7B31" w14:textId="77777777" w:rsidR="00FA7C11" w:rsidRDefault="00D84965">
            <w:pPr>
              <w:pStyle w:val="P68B1DB1-Normal70"/>
              <w:spacing w:after="200" w:line="276" w:lineRule="auto"/>
              <w:rPr>
                <w:noProof/>
              </w:rPr>
            </w:pPr>
            <w:r>
              <w:rPr>
                <w:noProof/>
              </w:rPr>
              <w:t>Licitație pentru achiziționarea de conducte pentru extinderea tronsonului Lučko – Zabok al conductei de interconectare Croația-Slovenia</w:t>
            </w:r>
          </w:p>
        </w:tc>
        <w:tc>
          <w:tcPr>
            <w:tcW w:w="1952" w:type="dxa"/>
            <w:tcBorders>
              <w:top w:val="single" w:sz="4" w:space="0" w:color="auto"/>
              <w:left w:val="nil"/>
              <w:bottom w:val="single" w:sz="4" w:space="0" w:color="auto"/>
              <w:right w:val="single" w:sz="4" w:space="0" w:color="auto"/>
            </w:tcBorders>
            <w:shd w:val="clear" w:color="auto" w:fill="C6EFCE"/>
            <w:noWrap/>
          </w:tcPr>
          <w:p w14:paraId="5DCEF1B9" w14:textId="77777777" w:rsidR="00FA7C11" w:rsidRDefault="00D84965">
            <w:pPr>
              <w:pStyle w:val="P68B1DB1-Normal70"/>
              <w:spacing w:after="200" w:line="276" w:lineRule="auto"/>
              <w:rPr>
                <w:noProof/>
              </w:rPr>
            </w:pPr>
            <w:r>
              <w:rPr>
                <w:noProof/>
              </w:rPr>
              <w:t>Lansarea licitației pentru achiziționarea de țevi</w:t>
            </w:r>
          </w:p>
        </w:tc>
        <w:tc>
          <w:tcPr>
            <w:tcW w:w="1131" w:type="dxa"/>
            <w:tcBorders>
              <w:top w:val="single" w:sz="4" w:space="0" w:color="auto"/>
              <w:left w:val="nil"/>
              <w:bottom w:val="single" w:sz="4" w:space="0" w:color="auto"/>
              <w:right w:val="single" w:sz="4" w:space="0" w:color="auto"/>
            </w:tcBorders>
            <w:shd w:val="clear" w:color="auto" w:fill="C6EFCE"/>
            <w:noWrap/>
          </w:tcPr>
          <w:p w14:paraId="671C27C3" w14:textId="77777777" w:rsidR="00FA7C11" w:rsidRDefault="00FA7C11">
            <w:pPr>
              <w:spacing w:after="200" w:line="276" w:lineRule="auto"/>
              <w:jc w:val="center"/>
              <w:rPr>
                <w:rFonts w:ascii="Times New Roman" w:eastAsia="Calibri" w:hAnsi="Times New Roman" w:cs="Times New Roman"/>
                <w:noProof/>
                <w:sz w:val="20"/>
                <w:szCs w:val="20"/>
              </w:rPr>
            </w:pPr>
          </w:p>
        </w:tc>
        <w:tc>
          <w:tcPr>
            <w:tcW w:w="868" w:type="dxa"/>
            <w:tcBorders>
              <w:top w:val="single" w:sz="4" w:space="0" w:color="auto"/>
              <w:left w:val="nil"/>
              <w:bottom w:val="single" w:sz="4" w:space="0" w:color="auto"/>
              <w:right w:val="single" w:sz="4" w:space="0" w:color="auto"/>
            </w:tcBorders>
            <w:shd w:val="clear" w:color="auto" w:fill="C6EFCE"/>
            <w:noWrap/>
          </w:tcPr>
          <w:p w14:paraId="3E2E50B6"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11DB2D0A" w14:textId="77777777" w:rsidR="00FA7C11" w:rsidRDefault="00FA7C11">
            <w:pPr>
              <w:spacing w:after="200" w:line="276" w:lineRule="auto"/>
              <w:jc w:val="center"/>
              <w:rPr>
                <w:rFonts w:ascii="Times New Roman" w:eastAsia="Calibri" w:hAnsi="Times New Roman" w:cs="Times New Roman"/>
                <w:noProof/>
                <w:sz w:val="20"/>
                <w:szCs w:val="20"/>
              </w:rPr>
            </w:pPr>
          </w:p>
        </w:tc>
        <w:tc>
          <w:tcPr>
            <w:tcW w:w="567" w:type="dxa"/>
            <w:tcBorders>
              <w:top w:val="single" w:sz="4" w:space="0" w:color="auto"/>
              <w:left w:val="nil"/>
              <w:bottom w:val="single" w:sz="4" w:space="0" w:color="auto"/>
              <w:right w:val="single" w:sz="4" w:space="0" w:color="auto"/>
            </w:tcBorders>
            <w:shd w:val="clear" w:color="auto" w:fill="C6EFCE"/>
            <w:noWrap/>
          </w:tcPr>
          <w:p w14:paraId="205B80B9" w14:textId="77777777" w:rsidR="00FA7C11" w:rsidRDefault="00D84965">
            <w:pPr>
              <w:pStyle w:val="P68B1DB1-Normal70"/>
              <w:spacing w:after="200" w:line="276" w:lineRule="auto"/>
              <w:jc w:val="center"/>
              <w:rPr>
                <w:noProof/>
              </w:rPr>
            </w:pPr>
            <w:r>
              <w:rPr>
                <w:noProof/>
              </w:rPr>
              <w:t>Î1</w:t>
            </w:r>
          </w:p>
        </w:tc>
        <w:tc>
          <w:tcPr>
            <w:tcW w:w="567" w:type="dxa"/>
            <w:tcBorders>
              <w:top w:val="single" w:sz="4" w:space="0" w:color="auto"/>
              <w:left w:val="nil"/>
              <w:bottom w:val="single" w:sz="4" w:space="0" w:color="auto"/>
              <w:right w:val="single" w:sz="4" w:space="0" w:color="auto"/>
            </w:tcBorders>
            <w:shd w:val="clear" w:color="auto" w:fill="C6EFCE"/>
            <w:noWrap/>
          </w:tcPr>
          <w:p w14:paraId="7165F380" w14:textId="77777777" w:rsidR="00FA7C11" w:rsidRDefault="00D84965">
            <w:pPr>
              <w:pStyle w:val="P68B1DB1-Normal70"/>
              <w:spacing w:after="200" w:line="276" w:lineRule="auto"/>
              <w:jc w:val="center"/>
              <w:rPr>
                <w:noProof/>
              </w:rPr>
            </w:pPr>
            <w:r>
              <w:rPr>
                <w:noProof/>
              </w:rPr>
              <w:t>2024</w:t>
            </w:r>
          </w:p>
        </w:tc>
        <w:tc>
          <w:tcPr>
            <w:tcW w:w="4160" w:type="dxa"/>
            <w:tcBorders>
              <w:top w:val="single" w:sz="4" w:space="0" w:color="auto"/>
              <w:left w:val="nil"/>
              <w:bottom w:val="single" w:sz="4" w:space="0" w:color="auto"/>
              <w:right w:val="single" w:sz="4" w:space="0" w:color="auto"/>
            </w:tcBorders>
            <w:shd w:val="clear" w:color="auto" w:fill="C6EFCE"/>
            <w:noWrap/>
          </w:tcPr>
          <w:p w14:paraId="6F3B5B7A" w14:textId="77777777" w:rsidR="00FA7C11" w:rsidRDefault="00D84965">
            <w:pPr>
              <w:pStyle w:val="P68B1DB1-Normal70"/>
              <w:spacing w:after="200" w:line="276" w:lineRule="auto"/>
              <w:rPr>
                <w:noProof/>
              </w:rPr>
            </w:pPr>
            <w:r>
              <w:rPr>
                <w:noProof/>
              </w:rPr>
              <w:t>Se lansează o licitație pentru achiziționarea de conducte pentru extinderea tronsonului Lučko – Zabok al conductei de interconectare Croația-Slovenia.</w:t>
            </w:r>
          </w:p>
        </w:tc>
      </w:tr>
      <w:tr w:rsidR="00FA7C11" w14:paraId="1DFC5D74" w14:textId="77777777">
        <w:trPr>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273F56B" w14:textId="77777777" w:rsidR="00FA7C11" w:rsidRDefault="00D84965">
            <w:pPr>
              <w:pStyle w:val="P68B1DB1-Normal89"/>
              <w:spacing w:after="0" w:line="276" w:lineRule="auto"/>
              <w:jc w:val="center"/>
              <w:rPr>
                <w:rFonts w:eastAsia="Calibri"/>
                <w:noProof/>
              </w:rPr>
            </w:pPr>
            <w:r>
              <w:rPr>
                <w:noProof/>
              </w:rPr>
              <w:t>428</w:t>
            </w:r>
          </w:p>
        </w:tc>
        <w:tc>
          <w:tcPr>
            <w:tcW w:w="1205" w:type="dxa"/>
            <w:tcBorders>
              <w:top w:val="single" w:sz="4" w:space="0" w:color="auto"/>
              <w:left w:val="nil"/>
              <w:bottom w:val="single" w:sz="4" w:space="0" w:color="auto"/>
              <w:right w:val="single" w:sz="4" w:space="0" w:color="auto"/>
            </w:tcBorders>
            <w:shd w:val="clear" w:color="auto" w:fill="C6EFCE"/>
            <w:noWrap/>
          </w:tcPr>
          <w:p w14:paraId="559ACAE8" w14:textId="77777777" w:rsidR="00FA7C11" w:rsidRDefault="00D84965">
            <w:pPr>
              <w:pStyle w:val="P68B1DB1-Normal102"/>
              <w:spacing w:after="200" w:line="276" w:lineRule="auto"/>
              <w:jc w:val="center"/>
              <w:rPr>
                <w:noProof/>
                <w:color w:val="000000" w:themeColor="text1"/>
              </w:rPr>
            </w:pPr>
            <w:r>
              <w:rPr>
                <w:noProof/>
              </w:rPr>
              <w:t>C7.1 I3</w:t>
            </w:r>
          </w:p>
        </w:tc>
        <w:tc>
          <w:tcPr>
            <w:tcW w:w="1064" w:type="dxa"/>
            <w:tcBorders>
              <w:top w:val="single" w:sz="4" w:space="0" w:color="auto"/>
              <w:left w:val="nil"/>
              <w:bottom w:val="single" w:sz="4" w:space="0" w:color="auto"/>
              <w:right w:val="single" w:sz="4" w:space="0" w:color="auto"/>
            </w:tcBorders>
            <w:shd w:val="clear" w:color="auto" w:fill="C6EFCE"/>
            <w:noWrap/>
          </w:tcPr>
          <w:p w14:paraId="2E671999" w14:textId="77777777" w:rsidR="00FA7C11" w:rsidRDefault="00D84965">
            <w:pPr>
              <w:pStyle w:val="P68B1DB1-Normal70"/>
              <w:spacing w:after="200" w:line="276" w:lineRule="auto"/>
              <w:jc w:val="center"/>
              <w:rPr>
                <w:noProof/>
              </w:rPr>
            </w:pPr>
            <w:r>
              <w:rPr>
                <w:noProof/>
              </w:rPr>
              <w:t>T</w:t>
            </w:r>
          </w:p>
        </w:tc>
        <w:tc>
          <w:tcPr>
            <w:tcW w:w="2378" w:type="dxa"/>
            <w:tcBorders>
              <w:top w:val="single" w:sz="4" w:space="0" w:color="auto"/>
              <w:left w:val="nil"/>
              <w:bottom w:val="single" w:sz="4" w:space="0" w:color="auto"/>
              <w:right w:val="single" w:sz="4" w:space="0" w:color="auto"/>
            </w:tcBorders>
            <w:shd w:val="clear" w:color="auto" w:fill="C6EFCE"/>
            <w:noWrap/>
          </w:tcPr>
          <w:p w14:paraId="444DCAF6" w14:textId="17630485" w:rsidR="00FA7C11" w:rsidRDefault="00D84965">
            <w:pPr>
              <w:pStyle w:val="P68B1DB1-Normal70"/>
              <w:spacing w:after="200" w:line="276" w:lineRule="auto"/>
              <w:rPr>
                <w:noProof/>
              </w:rPr>
            </w:pPr>
            <w:r>
              <w:rPr>
                <w:noProof/>
              </w:rPr>
              <w:t>Construirea tronsonului Lučko – Zabok al conductei de interconectare Croația-Slovenia</w:t>
            </w:r>
          </w:p>
        </w:tc>
        <w:tc>
          <w:tcPr>
            <w:tcW w:w="1952" w:type="dxa"/>
            <w:tcBorders>
              <w:top w:val="single" w:sz="4" w:space="0" w:color="auto"/>
              <w:left w:val="nil"/>
              <w:bottom w:val="single" w:sz="4" w:space="0" w:color="auto"/>
              <w:right w:val="single" w:sz="4" w:space="0" w:color="auto"/>
            </w:tcBorders>
            <w:shd w:val="clear" w:color="auto" w:fill="C6EFCE"/>
            <w:noWrap/>
          </w:tcPr>
          <w:p w14:paraId="77702B09" w14:textId="77777777" w:rsidR="00FA7C11" w:rsidRDefault="00FA7C11">
            <w:pPr>
              <w:spacing w:after="200" w:line="276" w:lineRule="auto"/>
              <w:rPr>
                <w:rFonts w:ascii="Times New Roman" w:eastAsia="Calibri" w:hAnsi="Times New Roman" w:cs="Times New Roman"/>
                <w:noProof/>
                <w:sz w:val="20"/>
                <w:szCs w:val="20"/>
              </w:rPr>
            </w:pPr>
          </w:p>
        </w:tc>
        <w:tc>
          <w:tcPr>
            <w:tcW w:w="1131" w:type="dxa"/>
            <w:tcBorders>
              <w:top w:val="single" w:sz="4" w:space="0" w:color="auto"/>
              <w:left w:val="nil"/>
              <w:bottom w:val="single" w:sz="4" w:space="0" w:color="auto"/>
              <w:right w:val="single" w:sz="4" w:space="0" w:color="auto"/>
            </w:tcBorders>
            <w:shd w:val="clear" w:color="auto" w:fill="C6EFCE"/>
            <w:noWrap/>
          </w:tcPr>
          <w:p w14:paraId="252FF926" w14:textId="77777777" w:rsidR="00FA7C11" w:rsidRDefault="00D84965">
            <w:pPr>
              <w:pStyle w:val="P68B1DB1-Normal70"/>
              <w:spacing w:after="200" w:line="276" w:lineRule="auto"/>
              <w:jc w:val="center"/>
              <w:rPr>
                <w:noProof/>
              </w:rPr>
            </w:pPr>
            <w:r>
              <w:rPr>
                <w:noProof/>
              </w:rPr>
              <w:t>kilometri</w:t>
            </w:r>
          </w:p>
        </w:tc>
        <w:tc>
          <w:tcPr>
            <w:tcW w:w="868" w:type="dxa"/>
            <w:tcBorders>
              <w:top w:val="single" w:sz="4" w:space="0" w:color="auto"/>
              <w:left w:val="nil"/>
              <w:bottom w:val="single" w:sz="4" w:space="0" w:color="auto"/>
              <w:right w:val="single" w:sz="4" w:space="0" w:color="auto"/>
            </w:tcBorders>
            <w:shd w:val="clear" w:color="auto" w:fill="C6EFCE"/>
            <w:noWrap/>
          </w:tcPr>
          <w:p w14:paraId="3C75EA77" w14:textId="77777777" w:rsidR="00FA7C11" w:rsidRDefault="00D84965">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12B0B1E6" w14:textId="77777777" w:rsidR="00FA7C11" w:rsidRDefault="00D84965">
            <w:pPr>
              <w:pStyle w:val="P68B1DB1-Normal70"/>
              <w:spacing w:after="200" w:line="276" w:lineRule="auto"/>
              <w:jc w:val="center"/>
              <w:rPr>
                <w:noProof/>
              </w:rPr>
            </w:pPr>
            <w:r>
              <w:rPr>
                <w:noProof/>
              </w:rPr>
              <w:t>36</w:t>
            </w:r>
          </w:p>
        </w:tc>
        <w:tc>
          <w:tcPr>
            <w:tcW w:w="567" w:type="dxa"/>
            <w:tcBorders>
              <w:top w:val="single" w:sz="4" w:space="0" w:color="auto"/>
              <w:left w:val="nil"/>
              <w:bottom w:val="single" w:sz="4" w:space="0" w:color="auto"/>
              <w:right w:val="single" w:sz="4" w:space="0" w:color="auto"/>
            </w:tcBorders>
            <w:shd w:val="clear" w:color="auto" w:fill="C6EFCE"/>
            <w:noWrap/>
          </w:tcPr>
          <w:p w14:paraId="1FA56FCA" w14:textId="77777777" w:rsidR="00FA7C11" w:rsidRDefault="00D84965">
            <w:pPr>
              <w:pStyle w:val="P68B1DB1-Normal70"/>
              <w:spacing w:after="200" w:line="276" w:lineRule="auto"/>
              <w:jc w:val="center"/>
              <w:rPr>
                <w:noProof/>
              </w:rPr>
            </w:pPr>
            <w:r>
              <w:rPr>
                <w:noProof/>
              </w:rPr>
              <w:t>Î2</w:t>
            </w:r>
          </w:p>
        </w:tc>
        <w:tc>
          <w:tcPr>
            <w:tcW w:w="567" w:type="dxa"/>
            <w:tcBorders>
              <w:top w:val="single" w:sz="4" w:space="0" w:color="auto"/>
              <w:left w:val="nil"/>
              <w:bottom w:val="single" w:sz="4" w:space="0" w:color="auto"/>
              <w:right w:val="single" w:sz="4" w:space="0" w:color="auto"/>
            </w:tcBorders>
            <w:shd w:val="clear" w:color="auto" w:fill="C6EFCE"/>
            <w:noWrap/>
          </w:tcPr>
          <w:p w14:paraId="28BE6ACE" w14:textId="77777777" w:rsidR="00FA7C11" w:rsidRDefault="00D84965">
            <w:pPr>
              <w:pStyle w:val="P68B1DB1-Normal70"/>
              <w:spacing w:after="200" w:line="276" w:lineRule="auto"/>
              <w:jc w:val="center"/>
              <w:rPr>
                <w:noProof/>
              </w:rPr>
            </w:pPr>
            <w:r>
              <w:rPr>
                <w:noProof/>
              </w:rPr>
              <w:t>2026</w:t>
            </w:r>
          </w:p>
        </w:tc>
        <w:tc>
          <w:tcPr>
            <w:tcW w:w="4160" w:type="dxa"/>
            <w:tcBorders>
              <w:top w:val="single" w:sz="4" w:space="0" w:color="auto"/>
              <w:left w:val="nil"/>
              <w:bottom w:val="single" w:sz="4" w:space="0" w:color="auto"/>
              <w:right w:val="single" w:sz="4" w:space="0" w:color="auto"/>
            </w:tcBorders>
            <w:shd w:val="clear" w:color="auto" w:fill="C6EFCE"/>
            <w:noWrap/>
          </w:tcPr>
          <w:p w14:paraId="2C14332F" w14:textId="7494D551" w:rsidR="00FA7C11" w:rsidRDefault="00D84965">
            <w:pPr>
              <w:pStyle w:val="P68B1DB1-Normal70"/>
              <w:spacing w:after="200" w:line="276" w:lineRule="auto"/>
              <w:rPr>
                <w:noProof/>
              </w:rPr>
            </w:pPr>
            <w:r>
              <w:rPr>
                <w:noProof/>
              </w:rPr>
              <w:t xml:space="preserve">Se construiește tronsonul Lučko – Zabok al interconectorului de gaze Croația-Slovenia, cu o lungime de 36 km, mărind capacitatea de transport al gazelor către Slovenia la 170 000 sm3/h. </w:t>
            </w:r>
          </w:p>
        </w:tc>
      </w:tr>
    </w:tbl>
    <w:p w14:paraId="7599FAA3" w14:textId="77777777" w:rsidR="00FA7C11" w:rsidRDefault="00FA7C11">
      <w:pPr>
        <w:rPr>
          <w:rFonts w:ascii="Times New Roman" w:eastAsia="Times New Roman" w:hAnsi="Times New Roman" w:cs="Times New Roman"/>
          <w:noProof/>
          <w:sz w:val="20"/>
          <w:szCs w:val="20"/>
        </w:rPr>
      </w:pPr>
    </w:p>
    <w:p w14:paraId="0DBFB00A" w14:textId="77777777" w:rsidR="00FA7C11" w:rsidRDefault="00FA7C11">
      <w:pPr>
        <w:pStyle w:val="paragraph"/>
        <w:spacing w:before="0" w:beforeAutospacing="0" w:after="240" w:afterAutospacing="0"/>
        <w:jc w:val="both"/>
        <w:textAlignment w:val="baseline"/>
        <w:rPr>
          <w:rFonts w:eastAsia="Calibri"/>
          <w:b/>
          <w:noProof/>
        </w:rPr>
        <w:sectPr w:rsidR="00FA7C11" w:rsidSect="00FA29B2">
          <w:headerReference w:type="even" r:id="rId428"/>
          <w:headerReference w:type="default" r:id="rId429"/>
          <w:footerReference w:type="even" r:id="rId430"/>
          <w:footerReference w:type="default" r:id="rId431"/>
          <w:headerReference w:type="first" r:id="rId432"/>
          <w:footerReference w:type="first" r:id="rId433"/>
          <w:pgSz w:w="16838" w:h="11906" w:orient="landscape"/>
          <w:pgMar w:top="1134" w:right="1134" w:bottom="1134" w:left="1134" w:header="567" w:footer="567" w:gutter="0"/>
          <w:cols w:space="708"/>
          <w:docGrid w:linePitch="360"/>
        </w:sectPr>
      </w:pPr>
    </w:p>
    <w:p w14:paraId="0DD13086" w14:textId="77777777" w:rsidR="00FA7C11" w:rsidRDefault="00D84965">
      <w:pPr>
        <w:pStyle w:val="P68B1DB1-paragraph66"/>
        <w:spacing w:before="0" w:beforeAutospacing="0" w:after="240" w:afterAutospacing="0"/>
        <w:jc w:val="both"/>
        <w:textAlignment w:val="baseline"/>
        <w:rPr>
          <w:noProof/>
        </w:rPr>
      </w:pPr>
      <w:r>
        <w:rPr>
          <w:noProof/>
        </w:rPr>
        <w:t>X. COMPONENTA 7.2: Consumul DE BILIZĂRI DE ENERGIE (CAPITOLUL REPowerEU)</w:t>
      </w:r>
    </w:p>
    <w:p w14:paraId="2D3F43B2" w14:textId="77777777" w:rsidR="00FA7C11" w:rsidRDefault="00D84965">
      <w:pPr>
        <w:pStyle w:val="paragraph"/>
        <w:spacing w:before="0" w:beforeAutospacing="0" w:after="0" w:afterAutospacing="0"/>
        <w:jc w:val="both"/>
        <w:textAlignment w:val="baseline"/>
        <w:rPr>
          <w:noProof/>
        </w:rPr>
      </w:pPr>
      <w:r>
        <w:rPr>
          <w:noProof/>
        </w:rPr>
        <w:t>Principalul obiectiv al acestei componente este de a reduce dependența de combustibilii fosili și de a accelera tranziția verde în întreaga economie.</w:t>
      </w:r>
      <w:r>
        <w:rPr>
          <w:noProof/>
          <w:color w:val="000000" w:themeColor="text1"/>
        </w:rPr>
        <w:t xml:space="preserve"> Acest lucru este planificat să fie realizat prin măsuri </w:t>
      </w:r>
      <w:r>
        <w:rPr>
          <w:noProof/>
        </w:rPr>
        <w:t xml:space="preserve">legate de renovarea clădirilor, combaterea sărăciei energetice și îmbunătățirea competențelor verzi. Măsurile menționate sunt menite să contribuie la stimularea eficienței energetice a clădirilor, la reducerea dependenței de combustibilii fosili, la combaterea sărăciei energetice, la creșterea securității energetice și la sprijinirea recalificării forței de muncă în vederea dobândirii de competențe verzi. </w:t>
      </w:r>
    </w:p>
    <w:p w14:paraId="6F14D449" w14:textId="77777777" w:rsidR="00FA7C11" w:rsidRDefault="00D84965">
      <w:pPr>
        <w:pStyle w:val="paragraph"/>
        <w:spacing w:after="0"/>
        <w:jc w:val="both"/>
        <w:textAlignment w:val="baseline"/>
        <w:rPr>
          <w:noProof/>
        </w:rPr>
      </w:pPr>
      <w:r>
        <w:rPr>
          <w:noProof/>
        </w:rPr>
        <w:t>Dintre cele cinci măsuri din cadrul acestei componente, două au o dimensiune transfrontalieră sau multinațională, și anume investițiile în renovarea energetică a clădirilor și renovarea clădirilor afectate de cutremure cu renovare energetică.</w:t>
      </w:r>
    </w:p>
    <w:p w14:paraId="0D20DF72" w14:textId="77777777" w:rsidR="00FA7C11" w:rsidRDefault="00D84965">
      <w:pPr>
        <w:pStyle w:val="paragraph"/>
        <w:spacing w:before="0" w:beforeAutospacing="0" w:after="0" w:afterAutospacing="0"/>
        <w:jc w:val="both"/>
        <w:textAlignment w:val="baseline"/>
        <w:rPr>
          <w:noProof/>
        </w:rPr>
      </w:pPr>
      <w:r>
        <w:rPr>
          <w:noProof/>
        </w:rPr>
        <w:t>Investițiile și reformele contribuie la abordarea recomandărilor specifice fiecărei țări adresate Croației cu privire la necesitatea de a reduce cererea de energie prin îmbunătățirea eficienței energetice, în special în clădirile rezidențiale (recomandările specifice de țară 2019.3.3, 2022.3.4, 2023.3.1 și 3.5), la necesitatea unor eforturi în materie de politici care să vizeze furnizarea și dobândirea competențelor necesare pentru tranziția verde (recomandarea specifică de țară 2023.3.7) și la creșterea gradului de utilizare și de adoptare a surselor regenerabile de energie (recomandările specifice de țară 2019.3.3, 2020.3.8, 2022.3.2, 2023.3.1 și 3.2).</w:t>
      </w:r>
    </w:p>
    <w:p w14:paraId="4128D3AF" w14:textId="77777777" w:rsidR="00FA7C11" w:rsidRDefault="00FA7C11">
      <w:pPr>
        <w:pStyle w:val="paragraph"/>
        <w:spacing w:before="0" w:beforeAutospacing="0" w:after="0" w:afterAutospacing="0"/>
        <w:jc w:val="both"/>
        <w:textAlignment w:val="baseline"/>
        <w:rPr>
          <w:noProof/>
          <w:color w:val="000000" w:themeColor="text1"/>
        </w:rPr>
      </w:pPr>
    </w:p>
    <w:p w14:paraId="564DAE0D" w14:textId="77777777" w:rsidR="00FA7C11" w:rsidRDefault="00D84965">
      <w:pPr>
        <w:pStyle w:val="P68B1DB1-paragraph58"/>
        <w:spacing w:before="0" w:beforeAutospacing="0" w:after="0" w:afterAutospacing="0"/>
        <w:jc w:val="both"/>
        <w:textAlignment w:val="baseline"/>
        <w:rPr>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[C (2023) 6454 final].</w:t>
      </w:r>
    </w:p>
    <w:p w14:paraId="7D1AFB84" w14:textId="77777777" w:rsidR="00FA7C11" w:rsidRDefault="00FA7C11">
      <w:pPr>
        <w:pStyle w:val="paragraph"/>
        <w:spacing w:before="0" w:beforeAutospacing="0" w:after="0" w:afterAutospacing="0"/>
        <w:jc w:val="both"/>
        <w:textAlignment w:val="baseline"/>
        <w:rPr>
          <w:noProof/>
        </w:rPr>
      </w:pPr>
    </w:p>
    <w:p w14:paraId="0F2FEC25" w14:textId="77777777" w:rsidR="00FA7C11" w:rsidRDefault="00D84965">
      <w:pPr>
        <w:pStyle w:val="paragraph"/>
        <w:spacing w:before="0" w:beforeAutospacing="0" w:after="0" w:afterAutospacing="0"/>
        <w:jc w:val="both"/>
        <w:textAlignment w:val="baseline"/>
        <w:rPr>
          <w:noProof/>
          <w:u w:val="single"/>
        </w:rPr>
      </w:pPr>
      <w:r>
        <w:rPr>
          <w:rStyle w:val="normaltextrun"/>
          <w:b/>
          <w:noProof/>
          <w:u w:val="single"/>
        </w:rPr>
        <w:t xml:space="preserve">X.1. </w:t>
      </w:r>
      <w:r>
        <w:rPr>
          <w:rStyle w:val="tabchar"/>
          <w:noProof/>
          <w:u w:val="single"/>
        </w:rPr>
        <w:t xml:space="preserve"> </w:t>
      </w:r>
      <w:r>
        <w:rPr>
          <w:rStyle w:val="normaltextrun"/>
          <w:b/>
          <w:noProof/>
          <w:u w:val="single"/>
        </w:rPr>
        <w:t>Descrierea reformelor și a investițiilor pentru sprijinul financiar nerambursabil</w:t>
      </w:r>
      <w:r>
        <w:rPr>
          <w:rStyle w:val="eop"/>
          <w:noProof/>
          <w:u w:val="single"/>
        </w:rPr>
        <w:t xml:space="preserve"> </w:t>
      </w:r>
    </w:p>
    <w:p w14:paraId="3C82FE37" w14:textId="77777777" w:rsidR="00FA7C11" w:rsidRDefault="00FA7C11">
      <w:pPr>
        <w:pStyle w:val="paragraph"/>
        <w:spacing w:before="0" w:beforeAutospacing="0" w:after="0" w:afterAutospacing="0"/>
        <w:jc w:val="both"/>
        <w:textAlignment w:val="baseline"/>
        <w:rPr>
          <w:rStyle w:val="normaltextrun"/>
          <w:noProof/>
        </w:rPr>
      </w:pPr>
    </w:p>
    <w:p w14:paraId="085F555B" w14:textId="77777777" w:rsidR="00FA7C11" w:rsidRDefault="00D84965">
      <w:pPr>
        <w:pStyle w:val="P68B1DB1-paragraph57"/>
        <w:spacing w:before="0" w:beforeAutospacing="0" w:after="0" w:afterAutospacing="0"/>
        <w:ind w:left="720"/>
        <w:jc w:val="both"/>
        <w:rPr>
          <w:noProof/>
          <w:color w:val="000000" w:themeColor="text1"/>
        </w:rPr>
      </w:pPr>
      <w:r>
        <w:rPr>
          <w:noProof/>
          <w:color w:val="000000" w:themeColor="text1"/>
          <w:shd w:val="clear" w:color="auto" w:fill="FFFFFF" w:themeFill="background1"/>
        </w:rPr>
        <w:t>Reforma C7.2 R1</w:t>
      </w:r>
      <w:r>
        <w:rPr>
          <w:noProof/>
          <w:color w:val="000000" w:themeColor="text1"/>
        </w:rPr>
        <w:t xml:space="preserve"> – </w:t>
      </w:r>
      <w:r>
        <w:rPr>
          <w:noProof/>
        </w:rPr>
        <w:t>Măsură extinsă</w:t>
      </w:r>
      <w:r>
        <w:rPr>
          <w:noProof/>
          <w:color w:val="000000" w:themeColor="text1"/>
        </w:rPr>
        <w:t>: Creșterea eficienței, reducerea sarcinii administrative și digitalizarea procesului de renovare</w:t>
      </w:r>
    </w:p>
    <w:p w14:paraId="4C5A4193" w14:textId="77777777" w:rsidR="00FA7C11" w:rsidRDefault="00FA7C11">
      <w:pPr>
        <w:pStyle w:val="paragraph"/>
        <w:spacing w:before="0" w:beforeAutospacing="0" w:after="0" w:afterAutospacing="0"/>
        <w:jc w:val="both"/>
        <w:textAlignment w:val="baseline"/>
        <w:rPr>
          <w:rStyle w:val="eop"/>
          <w:noProof/>
        </w:rPr>
      </w:pPr>
    </w:p>
    <w:p w14:paraId="3D92831D" w14:textId="77777777" w:rsidR="00FA7C11" w:rsidRDefault="00D84965">
      <w:pPr>
        <w:pStyle w:val="P68B1DB1-paragraph58"/>
        <w:spacing w:before="0" w:beforeAutospacing="0" w:after="240" w:afterAutospacing="0"/>
        <w:jc w:val="both"/>
        <w:rPr>
          <w:noProof/>
        </w:rPr>
      </w:pPr>
      <w:r>
        <w:rPr>
          <w:noProof/>
        </w:rPr>
        <w:t xml:space="preserve">Obiectivul măsurii este de a extinde reforma C6.1.R3: Creșterea eficienței, reducerea sarcinii administrative și digitalizarea procesului de renovare în cadrul inițiativei 6.1: Renovarea clădirilor. Partea extinsă a măsurii constă în organizarea de ateliere participative, pregătirea unui program și a unui ghid pentru unitățile locale autonome și publicarea de materiale educaționale. </w:t>
      </w:r>
    </w:p>
    <w:p w14:paraId="38BCB9CA" w14:textId="77777777" w:rsidR="00FA7C11" w:rsidRDefault="00D84965">
      <w:pPr>
        <w:pStyle w:val="P68B1DB1-paragraph59"/>
        <w:spacing w:before="0" w:beforeAutospacing="0" w:after="0" w:afterAutospacing="0"/>
        <w:ind w:left="720"/>
        <w:jc w:val="both"/>
        <w:rPr>
          <w:noProof/>
        </w:rPr>
      </w:pPr>
      <w:r>
        <w:rPr>
          <w:noProof/>
        </w:rPr>
        <w:t>Reforma C7.2 R2 – Măsură extinsă: Introducerea unui nou model de strategii de reînnoire urbană verde și punerea în aplicare a unui proiect-pilot pentru dezvoltarea infrastructurii verzi și gestionarea circulară a clădirilor și a spațiului</w:t>
      </w:r>
    </w:p>
    <w:p w14:paraId="3B305472" w14:textId="77777777" w:rsidR="00FA7C11" w:rsidRDefault="00FA7C11">
      <w:pPr>
        <w:pStyle w:val="paragraph"/>
        <w:spacing w:before="0" w:beforeAutospacing="0" w:after="0" w:afterAutospacing="0"/>
        <w:jc w:val="both"/>
        <w:rPr>
          <w:noProof/>
          <w:color w:val="000000" w:themeColor="text1"/>
          <w:u w:val="single"/>
        </w:rPr>
      </w:pPr>
    </w:p>
    <w:p w14:paraId="48247FFE" w14:textId="77857FF1" w:rsidR="00FA7C11" w:rsidRDefault="00D84965">
      <w:pPr>
        <w:pStyle w:val="P68B1DB1-paragraph58"/>
        <w:spacing w:before="0" w:beforeAutospacing="0" w:after="240" w:afterAutospacing="0"/>
        <w:jc w:val="both"/>
        <w:rPr>
          <w:noProof/>
        </w:rPr>
      </w:pPr>
      <w:r>
        <w:rPr>
          <w:noProof/>
        </w:rPr>
        <w:t xml:space="preserve">Obiectivul măsurii este de a extinde reforma C6.1.R5: Introducerea unui nou model de strategii de reînnoire urbană verde și punerea în aplicare a unui proiect-pilot pentru dezvoltarea infrastructurii verzi și gestionarea circulară a clădirilor și a spațiului în cadrul inițiativei 6.1: Renovarea clădirilor. Partea </w:t>
      </w:r>
      <w:bookmarkStart w:id="10" w:name="_Hlk204084808"/>
      <w:r>
        <w:rPr>
          <w:noProof/>
        </w:rPr>
        <w:t>extinsă a măsurii constă în adoptarea unor strategii suplimentare de reînnoire urbană verde și în punerea în aplicare a unor proiecte-pilot suplimentare.</w:t>
      </w:r>
    </w:p>
    <w:bookmarkEnd w:id="10"/>
    <w:p w14:paraId="3B4F004D" w14:textId="77777777" w:rsidR="00FA7C11" w:rsidRDefault="00D84965">
      <w:pPr>
        <w:pStyle w:val="P68B1DB1-paragraph57"/>
        <w:spacing w:before="0" w:beforeAutospacing="0" w:after="0" w:afterAutospacing="0"/>
        <w:ind w:left="720"/>
        <w:jc w:val="both"/>
        <w:textAlignment w:val="baseline"/>
        <w:rPr>
          <w:noProof/>
        </w:rPr>
      </w:pPr>
      <w:r>
        <w:rPr>
          <w:noProof/>
        </w:rPr>
        <w:t xml:space="preserve">Investiția C7.2 I3 Renovarea clădirilor afectate de cutremure, cu renovare energetică </w:t>
      </w:r>
    </w:p>
    <w:p w14:paraId="60CB5952" w14:textId="77777777" w:rsidR="00FA7C11" w:rsidRDefault="00FA7C11">
      <w:pPr>
        <w:pStyle w:val="paragraph"/>
        <w:spacing w:before="0" w:beforeAutospacing="0" w:after="0" w:afterAutospacing="0"/>
        <w:jc w:val="both"/>
        <w:textAlignment w:val="baseline"/>
        <w:rPr>
          <w:b/>
          <w:bCs/>
          <w:noProof/>
          <w:u w:val="single"/>
        </w:rPr>
      </w:pPr>
    </w:p>
    <w:p w14:paraId="742E8656" w14:textId="77777777" w:rsidR="00FA7C11" w:rsidRDefault="00D84965">
      <w:pPr>
        <w:pStyle w:val="P68B1DB1-Normal139"/>
        <w:jc w:val="both"/>
        <w:rPr>
          <w:noProof/>
        </w:rPr>
      </w:pPr>
      <w:r>
        <w:rPr>
          <w:noProof/>
        </w:rPr>
        <w:t>Obiectivul măsurii este de a repara daunele cauzate clădirilor publice de cutremurele din 2020, de a spori reziliența seismică a clădirilor și de a spori eficiența energetică a acestora. Investiția constă în renovarea energetică a clădirilor publice afectate de cutremure.</w:t>
      </w:r>
    </w:p>
    <w:p w14:paraId="37E4927F" w14:textId="6E9255E5" w:rsidR="00FA7C11" w:rsidRDefault="00D84965">
      <w:pPr>
        <w:pStyle w:val="P68B1DB1-paragraph58"/>
        <w:jc w:val="both"/>
        <w:rPr>
          <w:noProof/>
        </w:rPr>
      </w:pPr>
      <w:r>
        <w:rPr>
          <w:noProof/>
        </w:rPr>
        <w:t xml:space="preserve">Renovarea clădirilor la starea lor inițială înainte de daune este finanțată din Fondul de solidaritate al UE, după caz, în timp ce diferența față de renovarea completă, inclusiv creșterea eficienței energetice a clădirilor și creșterea rezilienței lor seismice (principiul „a reconstrui mai bine”), este finanțată prin această investiție. </w:t>
      </w:r>
    </w:p>
    <w:p w14:paraId="56D4D259" w14:textId="77777777" w:rsidR="00FA7C11" w:rsidRDefault="00FA7C11">
      <w:pPr>
        <w:rPr>
          <w:rFonts w:eastAsia="Times New Roman"/>
          <w:b/>
          <w:bCs/>
          <w:noProof/>
          <w:szCs w:val="20"/>
          <w:u w:val="single"/>
        </w:rPr>
      </w:pPr>
    </w:p>
    <w:p w14:paraId="3D9693B9" w14:textId="77777777" w:rsidR="00FA7C11" w:rsidRDefault="00FA7C11">
      <w:pPr>
        <w:rPr>
          <w:rFonts w:eastAsia="Times New Roman"/>
          <w:b/>
          <w:bCs/>
          <w:noProof/>
          <w:szCs w:val="20"/>
          <w:u w:val="single"/>
        </w:rPr>
      </w:pPr>
    </w:p>
    <w:p w14:paraId="54ADEF8E" w14:textId="77777777" w:rsidR="00FA7C11" w:rsidRDefault="00FA7C11">
      <w:pPr>
        <w:rPr>
          <w:noProof/>
        </w:rPr>
        <w:sectPr w:rsidR="00FA7C11" w:rsidSect="00FA29B2">
          <w:headerReference w:type="even" r:id="rId434"/>
          <w:headerReference w:type="default" r:id="rId435"/>
          <w:footerReference w:type="even" r:id="rId436"/>
          <w:footerReference w:type="default" r:id="rId437"/>
          <w:headerReference w:type="first" r:id="rId438"/>
          <w:footerReference w:type="first" r:id="rId439"/>
          <w:pgSz w:w="11906" w:h="16838"/>
          <w:pgMar w:top="1134" w:right="1134" w:bottom="1134" w:left="1134" w:header="567" w:footer="567" w:gutter="0"/>
          <w:cols w:space="708"/>
          <w:docGrid w:linePitch="360"/>
        </w:sectPr>
      </w:pPr>
    </w:p>
    <w:p w14:paraId="2FCC0223" w14:textId="77777777" w:rsidR="00FA7C11" w:rsidRDefault="00D84965">
      <w:pPr>
        <w:pStyle w:val="paragraph"/>
        <w:spacing w:before="0" w:beforeAutospacing="0" w:after="0" w:afterAutospacing="0"/>
        <w:jc w:val="both"/>
        <w:textAlignment w:val="baseline"/>
        <w:rPr>
          <w:rFonts w:ascii="Segoe UI" w:hAnsi="Segoe UI" w:cs="Segoe UI"/>
          <w:noProof/>
          <w:sz w:val="18"/>
          <w:szCs w:val="18"/>
          <w:u w:val="single"/>
        </w:rPr>
      </w:pPr>
      <w:r>
        <w:rPr>
          <w:rStyle w:val="normaltextrun"/>
          <w:b/>
          <w:noProof/>
          <w:u w:val="single"/>
        </w:rPr>
        <w:t xml:space="preserve">X.2. </w:t>
      </w:r>
      <w:r>
        <w:rPr>
          <w:rStyle w:val="tabchar"/>
          <w:rFonts w:ascii="Calibri" w:hAnsi="Calibri" w:cs="Calibri"/>
          <w:noProof/>
          <w:u w:val="single"/>
        </w:rPr>
        <w:t xml:space="preserve"> </w:t>
      </w:r>
      <w:r>
        <w:rPr>
          <w:rStyle w:val="normaltextrun"/>
          <w:b/>
          <w:noProof/>
          <w:u w:val="single"/>
        </w:rPr>
        <w:t>Jaloane, ținte, indicatori și calendarul de monitorizare și implementare aplicabile sprijinului financiar nerambursabil</w:t>
      </w:r>
      <w:r>
        <w:rPr>
          <w:rStyle w:val="eop"/>
          <w:noProof/>
          <w:u w:val="single"/>
        </w:rPr>
        <w:t> </w:t>
      </w:r>
    </w:p>
    <w:p w14:paraId="407AD39A" w14:textId="77777777" w:rsidR="00FA7C11" w:rsidRDefault="00FA7C11">
      <w:pPr>
        <w:pStyle w:val="paragraph"/>
        <w:spacing w:before="0" w:beforeAutospacing="0" w:after="0" w:afterAutospacing="0"/>
        <w:jc w:val="both"/>
        <w:textAlignment w:val="baseline"/>
        <w:rPr>
          <w:rFonts w:ascii="Segoe UI" w:hAnsi="Segoe UI" w:cs="Segoe UI"/>
          <w:noProof/>
          <w:sz w:val="18"/>
          <w:szCs w:val="18"/>
        </w:rPr>
      </w:pPr>
    </w:p>
    <w:tbl>
      <w:tblPr>
        <w:tblW w:w="14936" w:type="dxa"/>
        <w:jc w:val="center"/>
        <w:tblCellMar>
          <w:top w:w="28" w:type="dxa"/>
          <w:left w:w="28" w:type="dxa"/>
          <w:bottom w:w="28" w:type="dxa"/>
          <w:right w:w="28" w:type="dxa"/>
        </w:tblCellMar>
        <w:tblLook w:val="04A0" w:firstRow="1" w:lastRow="0" w:firstColumn="1" w:lastColumn="0" w:noHBand="0" w:noVBand="1"/>
      </w:tblPr>
      <w:tblGrid>
        <w:gridCol w:w="768"/>
        <w:gridCol w:w="1130"/>
        <w:gridCol w:w="1345"/>
        <w:gridCol w:w="2334"/>
        <w:gridCol w:w="1717"/>
        <w:gridCol w:w="944"/>
        <w:gridCol w:w="851"/>
        <w:gridCol w:w="850"/>
        <w:gridCol w:w="919"/>
        <w:gridCol w:w="662"/>
        <w:gridCol w:w="4157"/>
      </w:tblGrid>
      <w:tr w:rsidR="00FA7C11" w14:paraId="2BA7CA3E" w14:textId="77777777">
        <w:trPr>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14A173" w14:textId="77777777" w:rsidR="00FA7C11" w:rsidRDefault="00D84965">
            <w:pPr>
              <w:pStyle w:val="P68B1DB1-Normal58"/>
              <w:spacing w:after="0" w:line="276" w:lineRule="auto"/>
              <w:jc w:val="center"/>
              <w:rPr>
                <w:bCs/>
                <w:noProof/>
              </w:rPr>
            </w:pPr>
            <w:r>
              <w:rPr>
                <w:noProof/>
              </w:rPr>
              <w:t>Număr</w:t>
            </w:r>
          </w:p>
        </w:tc>
        <w:tc>
          <w:tcPr>
            <w:tcW w:w="11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827ED7" w14:textId="77777777" w:rsidR="00FA7C11" w:rsidRDefault="00D84965">
            <w:pPr>
              <w:pStyle w:val="P68B1DB1-Normal58"/>
              <w:spacing w:after="0" w:line="276" w:lineRule="auto"/>
              <w:jc w:val="center"/>
              <w:rPr>
                <w:bCs/>
                <w:noProof/>
              </w:rPr>
            </w:pPr>
            <w:r>
              <w:rPr>
                <w:noProof/>
              </w:rPr>
              <w:t>Măsură</w:t>
            </w:r>
          </w:p>
        </w:tc>
        <w:tc>
          <w:tcPr>
            <w:tcW w:w="10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48AB36" w14:textId="77777777" w:rsidR="00FA7C11" w:rsidRDefault="00D84965">
            <w:pPr>
              <w:pStyle w:val="P68B1DB1-Normal58"/>
              <w:spacing w:after="0" w:line="276" w:lineRule="auto"/>
              <w:jc w:val="center"/>
              <w:rPr>
                <w:bCs/>
                <w:noProof/>
              </w:rPr>
            </w:pPr>
            <w:r>
              <w:rPr>
                <w:noProof/>
              </w:rPr>
              <w:t>Etapă/Obiectiv</w:t>
            </w:r>
          </w:p>
        </w:tc>
        <w:tc>
          <w:tcPr>
            <w:tcW w:w="23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4DD1DCA" w14:textId="77777777" w:rsidR="00FA7C11" w:rsidRDefault="00D84965">
            <w:pPr>
              <w:pStyle w:val="P68B1DB1-Normal58"/>
              <w:spacing w:after="0" w:line="276" w:lineRule="auto"/>
              <w:jc w:val="center"/>
              <w:rPr>
                <w:bCs/>
                <w:noProof/>
              </w:rPr>
            </w:pPr>
            <w:r>
              <w:rPr>
                <w:noProof/>
              </w:rPr>
              <w:t>Nume</w:t>
            </w:r>
          </w:p>
        </w:tc>
        <w:tc>
          <w:tcPr>
            <w:tcW w:w="17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CCD33B"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64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D05A39"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088" w:type="dxa"/>
            <w:gridSpan w:val="2"/>
            <w:tcBorders>
              <w:top w:val="single" w:sz="4" w:space="0" w:color="auto"/>
              <w:left w:val="nil"/>
              <w:bottom w:val="single" w:sz="4" w:space="0" w:color="auto"/>
              <w:right w:val="single" w:sz="4" w:space="0" w:color="auto"/>
            </w:tcBorders>
            <w:shd w:val="clear" w:color="auto" w:fill="BDD7EE"/>
            <w:vAlign w:val="center"/>
            <w:hideMark/>
          </w:tcPr>
          <w:p w14:paraId="192203BE" w14:textId="77777777" w:rsidR="00FA7C11" w:rsidRDefault="00D84965">
            <w:pPr>
              <w:pStyle w:val="P68B1DB1-Normal58"/>
              <w:spacing w:after="0" w:line="276" w:lineRule="auto"/>
              <w:jc w:val="center"/>
              <w:rPr>
                <w:bCs/>
                <w:noProof/>
              </w:rPr>
            </w:pPr>
            <w:r>
              <w:rPr>
                <w:noProof/>
              </w:rPr>
              <w:t>Timp</w:t>
            </w:r>
          </w:p>
        </w:tc>
        <w:tc>
          <w:tcPr>
            <w:tcW w:w="41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F64AFE"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1B38AD23" w14:textId="77777777">
        <w:trPr>
          <w:tblHeader/>
          <w:jc w:val="center"/>
        </w:trPr>
        <w:tc>
          <w:tcPr>
            <w:tcW w:w="768" w:type="dxa"/>
            <w:vMerge/>
            <w:tcBorders>
              <w:top w:val="single" w:sz="4" w:space="0" w:color="auto"/>
              <w:left w:val="single" w:sz="4" w:space="0" w:color="auto"/>
              <w:bottom w:val="single" w:sz="4" w:space="0" w:color="auto"/>
              <w:right w:val="single" w:sz="4" w:space="0" w:color="auto"/>
            </w:tcBorders>
            <w:hideMark/>
          </w:tcPr>
          <w:p w14:paraId="5F066970"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30" w:type="dxa"/>
            <w:vMerge/>
            <w:tcBorders>
              <w:top w:val="single" w:sz="4" w:space="0" w:color="auto"/>
              <w:left w:val="single" w:sz="4" w:space="0" w:color="auto"/>
              <w:bottom w:val="single" w:sz="4" w:space="0" w:color="auto"/>
              <w:right w:val="single" w:sz="4" w:space="0" w:color="auto"/>
            </w:tcBorders>
            <w:hideMark/>
          </w:tcPr>
          <w:p w14:paraId="1407E161"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97" w:type="dxa"/>
            <w:vMerge/>
            <w:tcBorders>
              <w:top w:val="single" w:sz="4" w:space="0" w:color="auto"/>
              <w:left w:val="single" w:sz="4" w:space="0" w:color="auto"/>
              <w:bottom w:val="single" w:sz="4" w:space="0" w:color="auto"/>
              <w:right w:val="single" w:sz="4" w:space="0" w:color="auto"/>
            </w:tcBorders>
            <w:hideMark/>
          </w:tcPr>
          <w:p w14:paraId="0D5E0B1A"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334" w:type="dxa"/>
            <w:vMerge/>
            <w:tcBorders>
              <w:top w:val="single" w:sz="4" w:space="0" w:color="auto"/>
              <w:left w:val="single" w:sz="4" w:space="0" w:color="auto"/>
              <w:bottom w:val="single" w:sz="4" w:space="0" w:color="auto"/>
              <w:right w:val="single" w:sz="4" w:space="0" w:color="auto"/>
            </w:tcBorders>
            <w:hideMark/>
          </w:tcPr>
          <w:p w14:paraId="6BDC9525" w14:textId="77777777" w:rsidR="00FA7C11" w:rsidRDefault="00FA7C11">
            <w:pPr>
              <w:spacing w:after="0" w:line="276" w:lineRule="auto"/>
              <w:rPr>
                <w:rFonts w:ascii="Times New Roman" w:eastAsia="Times New Roman" w:hAnsi="Times New Roman" w:cs="Times New Roman"/>
                <w:b/>
                <w:noProof/>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0852AF32" w14:textId="77777777" w:rsidR="00FA7C11" w:rsidRDefault="00FA7C11">
            <w:pPr>
              <w:spacing w:after="0" w:line="276" w:lineRule="auto"/>
              <w:rPr>
                <w:rFonts w:ascii="Times New Roman" w:eastAsia="Times New Roman" w:hAnsi="Times New Roman" w:cs="Times New Roman"/>
                <w:b/>
                <w:noProof/>
                <w:sz w:val="20"/>
                <w:szCs w:val="20"/>
              </w:rPr>
            </w:pPr>
          </w:p>
        </w:tc>
        <w:tc>
          <w:tcPr>
            <w:tcW w:w="944" w:type="dxa"/>
            <w:tcBorders>
              <w:top w:val="nil"/>
              <w:left w:val="single" w:sz="4" w:space="0" w:color="auto"/>
              <w:bottom w:val="single" w:sz="4" w:space="0" w:color="auto"/>
              <w:right w:val="single" w:sz="4" w:space="0" w:color="auto"/>
            </w:tcBorders>
            <w:shd w:val="clear" w:color="auto" w:fill="BDD7EE"/>
            <w:hideMark/>
          </w:tcPr>
          <w:p w14:paraId="6717C34A" w14:textId="77777777" w:rsidR="00FA7C11" w:rsidRDefault="00D84965">
            <w:pPr>
              <w:pStyle w:val="P68B1DB1-Normal58"/>
              <w:spacing w:after="0" w:line="276" w:lineRule="auto"/>
              <w:jc w:val="center"/>
              <w:rPr>
                <w:bCs/>
                <w:noProof/>
              </w:rPr>
            </w:pPr>
            <w:r>
              <w:rPr>
                <w:noProof/>
              </w:rPr>
              <w:t>Unitate</w:t>
            </w:r>
          </w:p>
        </w:tc>
        <w:tc>
          <w:tcPr>
            <w:tcW w:w="851" w:type="dxa"/>
            <w:tcBorders>
              <w:top w:val="nil"/>
              <w:left w:val="nil"/>
              <w:bottom w:val="single" w:sz="4" w:space="0" w:color="auto"/>
              <w:right w:val="single" w:sz="4" w:space="0" w:color="auto"/>
            </w:tcBorders>
            <w:shd w:val="clear" w:color="auto" w:fill="BDD7EE"/>
            <w:hideMark/>
          </w:tcPr>
          <w:p w14:paraId="15ABDB95" w14:textId="77777777" w:rsidR="00FA7C11" w:rsidRDefault="00D84965">
            <w:pPr>
              <w:pStyle w:val="P68B1DB1-Normal58"/>
              <w:spacing w:after="0" w:line="276" w:lineRule="auto"/>
              <w:jc w:val="center"/>
              <w:rPr>
                <w:bCs/>
                <w:noProof/>
              </w:rPr>
            </w:pPr>
            <w:r>
              <w:rPr>
                <w:noProof/>
              </w:rPr>
              <w:t>Situația de referință</w:t>
            </w:r>
          </w:p>
        </w:tc>
        <w:tc>
          <w:tcPr>
            <w:tcW w:w="850" w:type="dxa"/>
            <w:tcBorders>
              <w:top w:val="nil"/>
              <w:left w:val="nil"/>
              <w:bottom w:val="single" w:sz="4" w:space="0" w:color="auto"/>
              <w:right w:val="single" w:sz="4" w:space="0" w:color="auto"/>
            </w:tcBorders>
            <w:shd w:val="clear" w:color="auto" w:fill="BDD7EE"/>
            <w:hideMark/>
          </w:tcPr>
          <w:p w14:paraId="7D13939B" w14:textId="77777777" w:rsidR="00FA7C11" w:rsidRDefault="00D84965">
            <w:pPr>
              <w:pStyle w:val="P68B1DB1-Normal58"/>
              <w:spacing w:after="0" w:line="276" w:lineRule="auto"/>
              <w:jc w:val="center"/>
              <w:rPr>
                <w:bCs/>
                <w:noProof/>
              </w:rPr>
            </w:pPr>
            <w:r>
              <w:rPr>
                <w:noProof/>
              </w:rPr>
              <w:t>Obiectiv</w:t>
            </w:r>
          </w:p>
        </w:tc>
        <w:tc>
          <w:tcPr>
            <w:tcW w:w="426" w:type="dxa"/>
            <w:tcBorders>
              <w:top w:val="nil"/>
              <w:left w:val="nil"/>
              <w:bottom w:val="single" w:sz="4" w:space="0" w:color="auto"/>
              <w:right w:val="single" w:sz="4" w:space="0" w:color="auto"/>
            </w:tcBorders>
            <w:shd w:val="clear" w:color="auto" w:fill="BDD7EE"/>
            <w:hideMark/>
          </w:tcPr>
          <w:p w14:paraId="73128F27" w14:textId="77777777" w:rsidR="00FA7C11" w:rsidRDefault="00D84965">
            <w:pPr>
              <w:pStyle w:val="P68B1DB1-Normal58"/>
              <w:spacing w:after="0" w:line="276" w:lineRule="auto"/>
              <w:jc w:val="center"/>
              <w:rPr>
                <w:bCs/>
                <w:noProof/>
              </w:rPr>
            </w:pPr>
            <w:r>
              <w:rPr>
                <w:noProof/>
              </w:rPr>
              <w:t>Trimestru</w:t>
            </w:r>
          </w:p>
        </w:tc>
        <w:tc>
          <w:tcPr>
            <w:tcW w:w="662" w:type="dxa"/>
            <w:tcBorders>
              <w:top w:val="nil"/>
              <w:left w:val="nil"/>
              <w:bottom w:val="single" w:sz="4" w:space="0" w:color="auto"/>
              <w:right w:val="single" w:sz="4" w:space="0" w:color="auto"/>
            </w:tcBorders>
            <w:shd w:val="clear" w:color="auto" w:fill="BDD7EE"/>
            <w:hideMark/>
          </w:tcPr>
          <w:p w14:paraId="2A0AB019" w14:textId="77777777" w:rsidR="00FA7C11" w:rsidRDefault="00D84965">
            <w:pPr>
              <w:pStyle w:val="P68B1DB1-Normal58"/>
              <w:spacing w:after="0" w:line="276" w:lineRule="auto"/>
              <w:jc w:val="center"/>
              <w:rPr>
                <w:bCs/>
                <w:noProof/>
              </w:rPr>
            </w:pPr>
            <w:r>
              <w:rPr>
                <w:noProof/>
              </w:rPr>
              <w:t>Anul</w:t>
            </w:r>
          </w:p>
        </w:tc>
        <w:tc>
          <w:tcPr>
            <w:tcW w:w="4157" w:type="dxa"/>
            <w:vMerge/>
            <w:tcBorders>
              <w:bottom w:val="single" w:sz="4" w:space="0" w:color="auto"/>
              <w:right w:val="single" w:sz="4" w:space="0" w:color="auto"/>
            </w:tcBorders>
            <w:hideMark/>
          </w:tcPr>
          <w:p w14:paraId="77127C54"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3E244F19"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6856CCB0" w14:textId="77777777" w:rsidR="00FA7C11" w:rsidRDefault="00D84965">
            <w:pPr>
              <w:pStyle w:val="P68B1DB1-Normal89"/>
              <w:spacing w:after="0" w:line="276" w:lineRule="auto"/>
              <w:jc w:val="center"/>
              <w:rPr>
                <w:noProof/>
              </w:rPr>
            </w:pPr>
            <w:r>
              <w:rPr>
                <w:noProof/>
              </w:rPr>
              <w:t>429</w:t>
            </w:r>
          </w:p>
          <w:p w14:paraId="64F765E2" w14:textId="77777777" w:rsidR="00FA7C11" w:rsidRDefault="00FA7C11">
            <w:pPr>
              <w:spacing w:after="0" w:line="276" w:lineRule="auto"/>
              <w:jc w:val="center"/>
              <w:rPr>
                <w:rFonts w:ascii="Times New Roman" w:hAnsi="Times New Roman" w:cs="Times New Roman"/>
                <w:noProof/>
                <w:sz w:val="20"/>
                <w:szCs w:val="20"/>
              </w:rPr>
            </w:pPr>
          </w:p>
        </w:tc>
        <w:tc>
          <w:tcPr>
            <w:tcW w:w="1130" w:type="dxa"/>
            <w:tcBorders>
              <w:top w:val="single" w:sz="4" w:space="0" w:color="auto"/>
              <w:left w:val="nil"/>
              <w:bottom w:val="single" w:sz="4" w:space="0" w:color="auto"/>
              <w:right w:val="single" w:sz="4" w:space="0" w:color="auto"/>
            </w:tcBorders>
            <w:shd w:val="clear" w:color="auto" w:fill="C6EFCE"/>
            <w:noWrap/>
          </w:tcPr>
          <w:p w14:paraId="020C892A" w14:textId="77777777" w:rsidR="00FA7C11" w:rsidRDefault="00D84965">
            <w:pPr>
              <w:pStyle w:val="P68B1DB1-Normal102"/>
              <w:spacing w:after="200" w:line="276" w:lineRule="auto"/>
              <w:jc w:val="center"/>
              <w:rPr>
                <w:noProof/>
                <w:color w:val="000000" w:themeColor="text1"/>
              </w:rPr>
            </w:pPr>
            <w:r>
              <w:rPr>
                <w:noProof/>
              </w:rPr>
              <w:t>C7.2 R1</w:t>
            </w:r>
          </w:p>
        </w:tc>
        <w:tc>
          <w:tcPr>
            <w:tcW w:w="1097" w:type="dxa"/>
            <w:tcBorders>
              <w:top w:val="single" w:sz="4" w:space="0" w:color="auto"/>
              <w:left w:val="nil"/>
              <w:bottom w:val="single" w:sz="4" w:space="0" w:color="auto"/>
              <w:right w:val="single" w:sz="4" w:space="0" w:color="auto"/>
            </w:tcBorders>
            <w:shd w:val="clear" w:color="auto" w:fill="C6EFCE"/>
            <w:noWrap/>
          </w:tcPr>
          <w:p w14:paraId="35F6BF9D" w14:textId="77777777" w:rsidR="00FA7C11" w:rsidRDefault="00D84965">
            <w:pPr>
              <w:pStyle w:val="P68B1DB1-Normal70"/>
              <w:spacing w:after="200" w:line="276" w:lineRule="auto"/>
              <w:jc w:val="center"/>
              <w:rPr>
                <w:noProof/>
                <w:highlight w:val="yellow"/>
              </w:rPr>
            </w:pPr>
            <w:r>
              <w:rPr>
                <w:noProof/>
              </w:rPr>
              <w:t>T</w:t>
            </w:r>
          </w:p>
        </w:tc>
        <w:tc>
          <w:tcPr>
            <w:tcW w:w="2334" w:type="dxa"/>
            <w:tcBorders>
              <w:top w:val="single" w:sz="4" w:space="0" w:color="auto"/>
              <w:left w:val="nil"/>
              <w:bottom w:val="single" w:sz="4" w:space="0" w:color="auto"/>
              <w:right w:val="single" w:sz="4" w:space="0" w:color="auto"/>
            </w:tcBorders>
            <w:shd w:val="clear" w:color="auto" w:fill="C6EFCE"/>
            <w:noWrap/>
          </w:tcPr>
          <w:p w14:paraId="5621BC15" w14:textId="77777777" w:rsidR="00FA7C11" w:rsidRDefault="00D84965">
            <w:pPr>
              <w:pStyle w:val="P68B1DB1-Normal76"/>
              <w:spacing w:after="200" w:line="276" w:lineRule="auto"/>
              <w:rPr>
                <w:noProof/>
              </w:rPr>
            </w:pPr>
            <w:r>
              <w:rPr>
                <w:noProof/>
              </w:rPr>
              <w:t xml:space="preserve">Ateliere participative desfășurate </w:t>
            </w:r>
          </w:p>
        </w:tc>
        <w:tc>
          <w:tcPr>
            <w:tcW w:w="1717" w:type="dxa"/>
            <w:tcBorders>
              <w:top w:val="single" w:sz="4" w:space="0" w:color="auto"/>
              <w:left w:val="nil"/>
              <w:bottom w:val="single" w:sz="4" w:space="0" w:color="auto"/>
              <w:right w:val="single" w:sz="4" w:space="0" w:color="auto"/>
            </w:tcBorders>
            <w:shd w:val="clear" w:color="auto" w:fill="C6EFCE"/>
            <w:noWrap/>
          </w:tcPr>
          <w:p w14:paraId="67395E7F" w14:textId="77777777" w:rsidR="00FA7C11" w:rsidRDefault="00FA7C11">
            <w:pPr>
              <w:spacing w:after="200" w:line="276" w:lineRule="auto"/>
              <w:rPr>
                <w:rFonts w:ascii="Times New Roman" w:eastAsia="Calibri" w:hAnsi="Times New Roman" w:cs="Times New Roman"/>
                <w:noProof/>
                <w:sz w:val="20"/>
                <w:szCs w:val="20"/>
              </w:rPr>
            </w:pPr>
          </w:p>
        </w:tc>
        <w:tc>
          <w:tcPr>
            <w:tcW w:w="944" w:type="dxa"/>
            <w:tcBorders>
              <w:top w:val="single" w:sz="4" w:space="0" w:color="auto"/>
              <w:left w:val="nil"/>
              <w:bottom w:val="single" w:sz="4" w:space="0" w:color="auto"/>
              <w:right w:val="single" w:sz="4" w:space="0" w:color="auto"/>
            </w:tcBorders>
            <w:shd w:val="clear" w:color="auto" w:fill="C6EFCE"/>
            <w:noWrap/>
          </w:tcPr>
          <w:p w14:paraId="1EEB2B6B" w14:textId="77777777" w:rsidR="00FA7C11" w:rsidRDefault="00D84965">
            <w:pPr>
              <w:pStyle w:val="P68B1DB1-Normal70"/>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3EED7652" w14:textId="77777777" w:rsidR="00FA7C11" w:rsidRDefault="00D84965">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36E10873" w14:textId="77777777" w:rsidR="00FA7C11" w:rsidRDefault="00D84965">
            <w:pPr>
              <w:pStyle w:val="P68B1DB1-Normal70"/>
              <w:spacing w:after="200" w:line="276" w:lineRule="auto"/>
              <w:jc w:val="center"/>
              <w:rPr>
                <w:noProof/>
              </w:rPr>
            </w:pPr>
            <w:r>
              <w:rPr>
                <w:noProof/>
              </w:rPr>
              <w:t>6</w:t>
            </w:r>
          </w:p>
        </w:tc>
        <w:tc>
          <w:tcPr>
            <w:tcW w:w="426" w:type="dxa"/>
            <w:tcBorders>
              <w:top w:val="single" w:sz="4" w:space="0" w:color="auto"/>
              <w:left w:val="nil"/>
              <w:bottom w:val="single" w:sz="4" w:space="0" w:color="auto"/>
              <w:right w:val="single" w:sz="4" w:space="0" w:color="auto"/>
            </w:tcBorders>
            <w:shd w:val="clear" w:color="auto" w:fill="C6EFCE"/>
            <w:noWrap/>
          </w:tcPr>
          <w:p w14:paraId="720DE364" w14:textId="77777777" w:rsidR="00FA7C11" w:rsidRDefault="00D84965">
            <w:pPr>
              <w:pStyle w:val="P68B1DB1-Normal66"/>
              <w:spacing w:after="200" w:line="276" w:lineRule="auto"/>
              <w:jc w:val="center"/>
              <w:rPr>
                <w:noProof/>
              </w:rPr>
            </w:pPr>
            <w:r>
              <w:rPr>
                <w:noProof/>
              </w:rPr>
              <w:t>Î3</w:t>
            </w:r>
          </w:p>
        </w:tc>
        <w:tc>
          <w:tcPr>
            <w:tcW w:w="662" w:type="dxa"/>
            <w:tcBorders>
              <w:top w:val="single" w:sz="4" w:space="0" w:color="auto"/>
              <w:left w:val="nil"/>
              <w:bottom w:val="single" w:sz="4" w:space="0" w:color="auto"/>
              <w:right w:val="single" w:sz="4" w:space="0" w:color="auto"/>
            </w:tcBorders>
            <w:shd w:val="clear" w:color="auto" w:fill="C6EFCE"/>
            <w:noWrap/>
          </w:tcPr>
          <w:p w14:paraId="19D95556" w14:textId="77777777" w:rsidR="00FA7C11" w:rsidRDefault="00D84965">
            <w:pPr>
              <w:pStyle w:val="P68B1DB1-Normal66"/>
              <w:spacing w:after="200" w:line="276" w:lineRule="auto"/>
              <w:jc w:val="center"/>
              <w:rPr>
                <w:noProof/>
              </w:rPr>
            </w:pPr>
            <w:r>
              <w:rPr>
                <w:noProof/>
              </w:rPr>
              <w:t>2025</w:t>
            </w:r>
          </w:p>
        </w:tc>
        <w:tc>
          <w:tcPr>
            <w:tcW w:w="4157" w:type="dxa"/>
            <w:tcBorders>
              <w:top w:val="single" w:sz="4" w:space="0" w:color="auto"/>
              <w:left w:val="nil"/>
              <w:bottom w:val="single" w:sz="4" w:space="0" w:color="auto"/>
              <w:right w:val="single" w:sz="4" w:space="0" w:color="auto"/>
            </w:tcBorders>
            <w:shd w:val="clear" w:color="auto" w:fill="C6EFCE"/>
            <w:noWrap/>
          </w:tcPr>
          <w:p w14:paraId="41AB8E32" w14:textId="77777777" w:rsidR="00FA7C11" w:rsidRDefault="00D84965">
            <w:pPr>
              <w:pStyle w:val="P68B1DB1-Normal76"/>
              <w:spacing w:after="200" w:line="276" w:lineRule="auto"/>
              <w:rPr>
                <w:noProof/>
              </w:rPr>
            </w:pPr>
            <w:r>
              <w:rPr>
                <w:noProof/>
              </w:rPr>
              <w:t xml:space="preserve">Cel puțin șase ateliere participative privind dezvoltarea renovării energetice și a infrastructurii verzi se desfășoară în diferite unități autonome. </w:t>
            </w:r>
          </w:p>
          <w:p w14:paraId="6D7AF8B7" w14:textId="42B963E3" w:rsidR="00FA7C11" w:rsidRDefault="00D84965">
            <w:pPr>
              <w:pStyle w:val="P68B1DB1-Normal76"/>
              <w:spacing w:after="200" w:line="276" w:lineRule="auto"/>
              <w:rPr>
                <w:noProof/>
              </w:rPr>
            </w:pPr>
            <w:r>
              <w:rPr>
                <w:noProof/>
              </w:rPr>
              <w:t xml:space="preserve">Se elaborează un program și un ghid privind organizarea de ateliere participative pentru reprezentanții unităților autonome locale. </w:t>
            </w:r>
          </w:p>
          <w:p w14:paraId="21A47B8B" w14:textId="77777777" w:rsidR="00FA7C11" w:rsidRDefault="00D84965">
            <w:pPr>
              <w:pStyle w:val="P68B1DB1-Normal76"/>
              <w:spacing w:after="200" w:line="276" w:lineRule="auto"/>
              <w:rPr>
                <w:noProof/>
              </w:rPr>
            </w:pPr>
            <w:r>
              <w:rPr>
                <w:noProof/>
              </w:rPr>
              <w:t>Materialele educaționale din cadrul atelierelor sunt puse la dispoziția publicului cel puțin pe portalul ghișeului unic.</w:t>
            </w:r>
          </w:p>
        </w:tc>
      </w:tr>
      <w:tr w:rsidR="00FA7C11" w14:paraId="693F315E"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1FB567D" w14:textId="77777777" w:rsidR="00FA7C11" w:rsidRDefault="00D84965">
            <w:pPr>
              <w:pStyle w:val="P68B1DB1-Normal89"/>
              <w:spacing w:after="0" w:line="276" w:lineRule="auto"/>
              <w:jc w:val="center"/>
              <w:rPr>
                <w:noProof/>
              </w:rPr>
            </w:pPr>
            <w:r>
              <w:rPr>
                <w:noProof/>
              </w:rPr>
              <w:t>430</w:t>
            </w:r>
          </w:p>
        </w:tc>
        <w:tc>
          <w:tcPr>
            <w:tcW w:w="1130" w:type="dxa"/>
            <w:tcBorders>
              <w:top w:val="single" w:sz="4" w:space="0" w:color="auto"/>
              <w:left w:val="nil"/>
              <w:bottom w:val="single" w:sz="4" w:space="0" w:color="auto"/>
              <w:right w:val="single" w:sz="4" w:space="0" w:color="auto"/>
            </w:tcBorders>
            <w:shd w:val="clear" w:color="auto" w:fill="C6EFCE"/>
            <w:noWrap/>
          </w:tcPr>
          <w:p w14:paraId="7231BC2B" w14:textId="77777777" w:rsidR="00FA7C11" w:rsidRDefault="00D84965">
            <w:pPr>
              <w:pStyle w:val="P68B1DB1-Normal102"/>
              <w:spacing w:after="200" w:line="276" w:lineRule="auto"/>
              <w:jc w:val="center"/>
              <w:rPr>
                <w:noProof/>
                <w:color w:val="000000" w:themeColor="text1"/>
              </w:rPr>
            </w:pPr>
            <w:r>
              <w:rPr>
                <w:noProof/>
              </w:rPr>
              <w:t>C7.2 R2</w:t>
            </w:r>
          </w:p>
        </w:tc>
        <w:tc>
          <w:tcPr>
            <w:tcW w:w="1097" w:type="dxa"/>
            <w:tcBorders>
              <w:top w:val="single" w:sz="4" w:space="0" w:color="auto"/>
              <w:left w:val="nil"/>
              <w:bottom w:val="single" w:sz="4" w:space="0" w:color="auto"/>
              <w:right w:val="single" w:sz="4" w:space="0" w:color="auto"/>
            </w:tcBorders>
            <w:shd w:val="clear" w:color="auto" w:fill="C6EFCE"/>
            <w:noWrap/>
          </w:tcPr>
          <w:p w14:paraId="790CB7C0" w14:textId="77777777" w:rsidR="00FA7C11" w:rsidRDefault="00D84965">
            <w:pPr>
              <w:pStyle w:val="P68B1DB1-Normal70"/>
              <w:spacing w:after="200" w:line="276" w:lineRule="auto"/>
              <w:jc w:val="center"/>
              <w:rPr>
                <w:noProof/>
              </w:rPr>
            </w:pPr>
            <w:r>
              <w:rPr>
                <w:noProof/>
              </w:rPr>
              <w:t>T</w:t>
            </w:r>
          </w:p>
        </w:tc>
        <w:tc>
          <w:tcPr>
            <w:tcW w:w="2334" w:type="dxa"/>
            <w:tcBorders>
              <w:top w:val="single" w:sz="4" w:space="0" w:color="auto"/>
              <w:left w:val="nil"/>
              <w:bottom w:val="single" w:sz="4" w:space="0" w:color="auto"/>
              <w:right w:val="single" w:sz="4" w:space="0" w:color="auto"/>
            </w:tcBorders>
            <w:shd w:val="clear" w:color="auto" w:fill="C6EFCE"/>
            <w:noWrap/>
          </w:tcPr>
          <w:p w14:paraId="77F243F2" w14:textId="77777777" w:rsidR="00FA7C11" w:rsidRDefault="00D84965">
            <w:pPr>
              <w:pStyle w:val="P68B1DB1-Normal76"/>
              <w:spacing w:after="200" w:line="276" w:lineRule="auto"/>
              <w:rPr>
                <w:noProof/>
              </w:rPr>
            </w:pPr>
            <w:r>
              <w:rPr>
                <w:noProof/>
              </w:rPr>
              <w:t>Adoptarea strategiilor de reînnoire urbană verde</w:t>
            </w:r>
          </w:p>
          <w:p w14:paraId="24259D37" w14:textId="77777777" w:rsidR="00FA7C11" w:rsidRDefault="00FA7C11">
            <w:pPr>
              <w:spacing w:after="200" w:line="276" w:lineRule="auto"/>
              <w:rPr>
                <w:rFonts w:ascii="Times New Roman" w:eastAsia="Calibri" w:hAnsi="Times New Roman" w:cs="Times New Roman"/>
                <w:noProof/>
                <w:sz w:val="20"/>
                <w:szCs w:val="20"/>
              </w:rPr>
            </w:pPr>
          </w:p>
        </w:tc>
        <w:tc>
          <w:tcPr>
            <w:tcW w:w="1717" w:type="dxa"/>
            <w:tcBorders>
              <w:top w:val="single" w:sz="4" w:space="0" w:color="auto"/>
              <w:left w:val="nil"/>
              <w:bottom w:val="single" w:sz="4" w:space="0" w:color="auto"/>
              <w:right w:val="single" w:sz="4" w:space="0" w:color="auto"/>
            </w:tcBorders>
            <w:shd w:val="clear" w:color="auto" w:fill="C6EFCE"/>
            <w:noWrap/>
          </w:tcPr>
          <w:p w14:paraId="520D1C06" w14:textId="77777777" w:rsidR="00FA7C11" w:rsidRDefault="00FA7C11">
            <w:pPr>
              <w:spacing w:after="200" w:line="276" w:lineRule="auto"/>
              <w:rPr>
                <w:rFonts w:ascii="Times New Roman" w:eastAsia="Calibri" w:hAnsi="Times New Roman" w:cs="Times New Roman"/>
                <w:noProof/>
                <w:sz w:val="20"/>
                <w:szCs w:val="20"/>
              </w:rPr>
            </w:pPr>
          </w:p>
        </w:tc>
        <w:tc>
          <w:tcPr>
            <w:tcW w:w="944" w:type="dxa"/>
            <w:tcBorders>
              <w:top w:val="single" w:sz="4" w:space="0" w:color="auto"/>
              <w:left w:val="nil"/>
              <w:bottom w:val="single" w:sz="4" w:space="0" w:color="auto"/>
              <w:right w:val="single" w:sz="4" w:space="0" w:color="auto"/>
            </w:tcBorders>
            <w:shd w:val="clear" w:color="auto" w:fill="C6EFCE"/>
            <w:noWrap/>
          </w:tcPr>
          <w:p w14:paraId="5BF8F23D" w14:textId="77777777" w:rsidR="00FA7C11" w:rsidRDefault="00D84965">
            <w:pPr>
              <w:pStyle w:val="P68B1DB1-Normal70"/>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7871E2C0" w14:textId="77777777" w:rsidR="00FA7C11" w:rsidRDefault="00D84965">
            <w:pPr>
              <w:pStyle w:val="P68B1DB1-Normal70"/>
              <w:spacing w:after="200" w:line="276" w:lineRule="auto"/>
              <w:jc w:val="center"/>
              <w:rPr>
                <w:noProof/>
                <w:highlight w:val="yellow"/>
              </w:rPr>
            </w:pPr>
            <w:r>
              <w:rPr>
                <w:noProof/>
              </w:rPr>
              <w:t>10</w:t>
            </w:r>
          </w:p>
        </w:tc>
        <w:tc>
          <w:tcPr>
            <w:tcW w:w="850" w:type="dxa"/>
            <w:tcBorders>
              <w:top w:val="single" w:sz="4" w:space="0" w:color="auto"/>
              <w:left w:val="nil"/>
              <w:bottom w:val="single" w:sz="4" w:space="0" w:color="auto"/>
              <w:right w:val="single" w:sz="4" w:space="0" w:color="auto"/>
            </w:tcBorders>
            <w:shd w:val="clear" w:color="auto" w:fill="C6EFCE"/>
            <w:noWrap/>
          </w:tcPr>
          <w:p w14:paraId="4414E2BA" w14:textId="77777777" w:rsidR="00FA7C11" w:rsidRDefault="00D84965">
            <w:pPr>
              <w:pStyle w:val="P68B1DB1-Normal70"/>
              <w:spacing w:after="200" w:line="276" w:lineRule="auto"/>
              <w:jc w:val="center"/>
              <w:rPr>
                <w:noProof/>
              </w:rPr>
            </w:pPr>
            <w:r>
              <w:rPr>
                <w:noProof/>
              </w:rPr>
              <w:t>70</w:t>
            </w:r>
          </w:p>
        </w:tc>
        <w:tc>
          <w:tcPr>
            <w:tcW w:w="426" w:type="dxa"/>
            <w:tcBorders>
              <w:top w:val="single" w:sz="4" w:space="0" w:color="auto"/>
              <w:left w:val="nil"/>
              <w:bottom w:val="single" w:sz="4" w:space="0" w:color="auto"/>
              <w:right w:val="single" w:sz="4" w:space="0" w:color="auto"/>
            </w:tcBorders>
            <w:shd w:val="clear" w:color="auto" w:fill="C6EFCE"/>
            <w:noWrap/>
          </w:tcPr>
          <w:p w14:paraId="704AC086" w14:textId="77777777" w:rsidR="00FA7C11" w:rsidRDefault="00D84965">
            <w:pPr>
              <w:pStyle w:val="P68B1DB1-Normal70"/>
              <w:spacing w:after="200" w:line="276" w:lineRule="auto"/>
              <w:jc w:val="center"/>
              <w:rPr>
                <w:noProof/>
                <w:highlight w:val="yellow"/>
              </w:rPr>
            </w:pPr>
            <w:r>
              <w:rPr>
                <w:noProof/>
              </w:rPr>
              <w:t>Î3</w:t>
            </w:r>
          </w:p>
        </w:tc>
        <w:tc>
          <w:tcPr>
            <w:tcW w:w="662" w:type="dxa"/>
            <w:tcBorders>
              <w:top w:val="single" w:sz="4" w:space="0" w:color="auto"/>
              <w:left w:val="nil"/>
              <w:bottom w:val="single" w:sz="4" w:space="0" w:color="auto"/>
              <w:right w:val="single" w:sz="4" w:space="0" w:color="auto"/>
            </w:tcBorders>
            <w:shd w:val="clear" w:color="auto" w:fill="C6EFCE"/>
            <w:noWrap/>
          </w:tcPr>
          <w:p w14:paraId="7EC8D567" w14:textId="77777777" w:rsidR="00FA7C11" w:rsidRDefault="00D84965">
            <w:pPr>
              <w:pStyle w:val="P68B1DB1-Normal70"/>
              <w:spacing w:after="200" w:line="276" w:lineRule="auto"/>
              <w:jc w:val="center"/>
              <w:rPr>
                <w:noProof/>
              </w:rPr>
            </w:pPr>
            <w:r>
              <w:rPr>
                <w:noProof/>
              </w:rPr>
              <w:t>2025</w:t>
            </w:r>
          </w:p>
        </w:tc>
        <w:tc>
          <w:tcPr>
            <w:tcW w:w="4157" w:type="dxa"/>
            <w:tcBorders>
              <w:top w:val="single" w:sz="4" w:space="0" w:color="auto"/>
              <w:left w:val="nil"/>
              <w:bottom w:val="single" w:sz="4" w:space="0" w:color="auto"/>
              <w:right w:val="single" w:sz="4" w:space="0" w:color="auto"/>
            </w:tcBorders>
            <w:shd w:val="clear" w:color="auto" w:fill="C6EFCE"/>
            <w:noWrap/>
          </w:tcPr>
          <w:p w14:paraId="79AFD304" w14:textId="77777777" w:rsidR="00FA7C11" w:rsidRDefault="00D84965">
            <w:pPr>
              <w:pStyle w:val="P68B1DB1-Normal76"/>
              <w:spacing w:after="200" w:line="276" w:lineRule="auto"/>
              <w:rPr>
                <w:noProof/>
              </w:rPr>
            </w:pPr>
            <w:r>
              <w:rPr>
                <w:noProof/>
              </w:rPr>
              <w:t xml:space="preserve">Se adoptă cel puțin 60 strategii de reînnoire urbană verde. </w:t>
            </w:r>
          </w:p>
        </w:tc>
      </w:tr>
      <w:tr w:rsidR="00FA7C11" w14:paraId="34F1B876"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855D929" w14:textId="77777777" w:rsidR="00FA7C11" w:rsidRDefault="00D84965">
            <w:pPr>
              <w:pStyle w:val="P68B1DB1-Normal89"/>
              <w:spacing w:after="0" w:line="276" w:lineRule="auto"/>
              <w:jc w:val="center"/>
              <w:rPr>
                <w:noProof/>
                <w:highlight w:val="yellow"/>
              </w:rPr>
            </w:pPr>
            <w:r>
              <w:rPr>
                <w:noProof/>
              </w:rPr>
              <w:t>431</w:t>
            </w:r>
          </w:p>
        </w:tc>
        <w:tc>
          <w:tcPr>
            <w:tcW w:w="1130" w:type="dxa"/>
            <w:tcBorders>
              <w:top w:val="single" w:sz="4" w:space="0" w:color="auto"/>
              <w:left w:val="nil"/>
              <w:bottom w:val="single" w:sz="4" w:space="0" w:color="auto"/>
              <w:right w:val="single" w:sz="4" w:space="0" w:color="auto"/>
            </w:tcBorders>
            <w:shd w:val="clear" w:color="auto" w:fill="C6EFCE"/>
            <w:noWrap/>
          </w:tcPr>
          <w:p w14:paraId="5078D6F4" w14:textId="77777777" w:rsidR="00FA7C11" w:rsidRDefault="00D84965">
            <w:pPr>
              <w:pStyle w:val="P68B1DB1-Normal102"/>
              <w:spacing w:after="200" w:line="276" w:lineRule="auto"/>
              <w:jc w:val="center"/>
              <w:rPr>
                <w:noProof/>
                <w:color w:val="000000" w:themeColor="text1"/>
                <w:highlight w:val="yellow"/>
              </w:rPr>
            </w:pPr>
            <w:r>
              <w:rPr>
                <w:noProof/>
              </w:rPr>
              <w:t>C7.2 R2</w:t>
            </w:r>
          </w:p>
        </w:tc>
        <w:tc>
          <w:tcPr>
            <w:tcW w:w="1097" w:type="dxa"/>
            <w:tcBorders>
              <w:top w:val="single" w:sz="4" w:space="0" w:color="auto"/>
              <w:left w:val="nil"/>
              <w:bottom w:val="single" w:sz="4" w:space="0" w:color="auto"/>
              <w:right w:val="single" w:sz="4" w:space="0" w:color="auto"/>
            </w:tcBorders>
            <w:shd w:val="clear" w:color="auto" w:fill="C6EFCE"/>
            <w:noWrap/>
          </w:tcPr>
          <w:p w14:paraId="46DB3F68" w14:textId="77777777" w:rsidR="00FA7C11" w:rsidRDefault="00D84965">
            <w:pPr>
              <w:pStyle w:val="P68B1DB1-Normal70"/>
              <w:spacing w:after="200" w:line="276" w:lineRule="auto"/>
              <w:jc w:val="center"/>
              <w:rPr>
                <w:noProof/>
              </w:rPr>
            </w:pPr>
            <w:r>
              <w:rPr>
                <w:noProof/>
              </w:rPr>
              <w:t>T</w:t>
            </w:r>
          </w:p>
        </w:tc>
        <w:tc>
          <w:tcPr>
            <w:tcW w:w="2334" w:type="dxa"/>
            <w:tcBorders>
              <w:top w:val="single" w:sz="4" w:space="0" w:color="auto"/>
              <w:left w:val="nil"/>
              <w:bottom w:val="single" w:sz="4" w:space="0" w:color="auto"/>
              <w:right w:val="single" w:sz="4" w:space="0" w:color="auto"/>
            </w:tcBorders>
            <w:shd w:val="clear" w:color="auto" w:fill="C6EFCE"/>
            <w:noWrap/>
          </w:tcPr>
          <w:p w14:paraId="641C60C8" w14:textId="77777777" w:rsidR="00FA7C11" w:rsidRDefault="00D84965">
            <w:pPr>
              <w:pStyle w:val="P68B1DB1-Normal76"/>
              <w:spacing w:after="200" w:line="276" w:lineRule="auto"/>
              <w:rPr>
                <w:noProof/>
              </w:rPr>
            </w:pPr>
            <w:r>
              <w:rPr>
                <w:noProof/>
              </w:rPr>
              <w:t xml:space="preserve">Finalizarea proiectelor-pilot identificate prin strategiile de reînnoire urbană verde </w:t>
            </w:r>
          </w:p>
        </w:tc>
        <w:tc>
          <w:tcPr>
            <w:tcW w:w="1717" w:type="dxa"/>
            <w:tcBorders>
              <w:top w:val="single" w:sz="4" w:space="0" w:color="auto"/>
              <w:left w:val="nil"/>
              <w:bottom w:val="single" w:sz="4" w:space="0" w:color="auto"/>
              <w:right w:val="single" w:sz="4" w:space="0" w:color="auto"/>
            </w:tcBorders>
            <w:shd w:val="clear" w:color="auto" w:fill="C6EFCE"/>
            <w:noWrap/>
          </w:tcPr>
          <w:p w14:paraId="2FB9B6FE" w14:textId="77777777" w:rsidR="00FA7C11" w:rsidRDefault="00FA7C11">
            <w:pPr>
              <w:spacing w:after="200" w:line="276" w:lineRule="auto"/>
              <w:rPr>
                <w:rFonts w:ascii="Times New Roman" w:eastAsia="Calibri" w:hAnsi="Times New Roman" w:cs="Times New Roman"/>
                <w:noProof/>
                <w:sz w:val="20"/>
                <w:szCs w:val="20"/>
              </w:rPr>
            </w:pPr>
          </w:p>
        </w:tc>
        <w:tc>
          <w:tcPr>
            <w:tcW w:w="944" w:type="dxa"/>
            <w:tcBorders>
              <w:top w:val="single" w:sz="4" w:space="0" w:color="auto"/>
              <w:left w:val="nil"/>
              <w:bottom w:val="single" w:sz="4" w:space="0" w:color="auto"/>
              <w:right w:val="single" w:sz="4" w:space="0" w:color="auto"/>
            </w:tcBorders>
            <w:shd w:val="clear" w:color="auto" w:fill="C6EFCE"/>
            <w:noWrap/>
          </w:tcPr>
          <w:p w14:paraId="02ADFC0E" w14:textId="77777777" w:rsidR="00FA7C11" w:rsidRDefault="00D84965">
            <w:pPr>
              <w:pStyle w:val="P68B1DB1-Normal70"/>
              <w:spacing w:after="200" w:line="276" w:lineRule="auto"/>
              <w:jc w:val="center"/>
              <w:rPr>
                <w:noProof/>
              </w:rPr>
            </w:pPr>
            <w:r>
              <w:rPr>
                <w:noProof/>
              </w:rPr>
              <w:t>Număr</w:t>
            </w:r>
          </w:p>
        </w:tc>
        <w:tc>
          <w:tcPr>
            <w:tcW w:w="851" w:type="dxa"/>
            <w:tcBorders>
              <w:top w:val="single" w:sz="4" w:space="0" w:color="auto"/>
              <w:left w:val="nil"/>
              <w:bottom w:val="single" w:sz="4" w:space="0" w:color="auto"/>
              <w:right w:val="single" w:sz="4" w:space="0" w:color="auto"/>
            </w:tcBorders>
            <w:shd w:val="clear" w:color="auto" w:fill="C6EFCE"/>
            <w:noWrap/>
          </w:tcPr>
          <w:p w14:paraId="67AB4707" w14:textId="77777777" w:rsidR="00FA7C11" w:rsidRDefault="00D84965">
            <w:pPr>
              <w:pStyle w:val="P68B1DB1-Normal70"/>
              <w:spacing w:after="200" w:line="276" w:lineRule="auto"/>
              <w:jc w:val="center"/>
              <w:rPr>
                <w:noProof/>
                <w:highlight w:val="yellow"/>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30D0BC40" w14:textId="77777777" w:rsidR="00FA7C11" w:rsidRDefault="00D84965">
            <w:pPr>
              <w:pStyle w:val="P68B1DB1-Normal70"/>
              <w:spacing w:after="200" w:line="276" w:lineRule="auto"/>
              <w:jc w:val="center"/>
              <w:rPr>
                <w:noProof/>
              </w:rPr>
            </w:pPr>
            <w:r>
              <w:rPr>
                <w:noProof/>
              </w:rPr>
              <w:t>15</w:t>
            </w:r>
          </w:p>
        </w:tc>
        <w:tc>
          <w:tcPr>
            <w:tcW w:w="426" w:type="dxa"/>
            <w:tcBorders>
              <w:top w:val="single" w:sz="4" w:space="0" w:color="auto"/>
              <w:left w:val="nil"/>
              <w:bottom w:val="single" w:sz="4" w:space="0" w:color="auto"/>
              <w:right w:val="single" w:sz="4" w:space="0" w:color="auto"/>
            </w:tcBorders>
            <w:shd w:val="clear" w:color="auto" w:fill="C6EFCE"/>
            <w:noWrap/>
          </w:tcPr>
          <w:p w14:paraId="52D2B286" w14:textId="77777777" w:rsidR="00FA7C11" w:rsidRDefault="00D84965">
            <w:pPr>
              <w:pStyle w:val="P68B1DB1-Normal70"/>
              <w:spacing w:after="200" w:line="276" w:lineRule="auto"/>
              <w:jc w:val="center"/>
              <w:rPr>
                <w:noProof/>
              </w:rPr>
            </w:pPr>
            <w:r>
              <w:rPr>
                <w:noProof/>
              </w:rPr>
              <w:t>Î2</w:t>
            </w:r>
          </w:p>
        </w:tc>
        <w:tc>
          <w:tcPr>
            <w:tcW w:w="662" w:type="dxa"/>
            <w:tcBorders>
              <w:top w:val="single" w:sz="4" w:space="0" w:color="auto"/>
              <w:left w:val="nil"/>
              <w:bottom w:val="single" w:sz="4" w:space="0" w:color="auto"/>
              <w:right w:val="single" w:sz="4" w:space="0" w:color="auto"/>
            </w:tcBorders>
            <w:shd w:val="clear" w:color="auto" w:fill="C6EFCE"/>
            <w:noWrap/>
          </w:tcPr>
          <w:p w14:paraId="78179F42" w14:textId="77777777" w:rsidR="00FA7C11" w:rsidRDefault="00D84965">
            <w:pPr>
              <w:pStyle w:val="P68B1DB1-Normal70"/>
              <w:spacing w:after="200" w:line="276" w:lineRule="auto"/>
              <w:jc w:val="center"/>
              <w:rPr>
                <w:noProof/>
              </w:rPr>
            </w:pPr>
            <w:r>
              <w:rPr>
                <w:noProof/>
              </w:rPr>
              <w:t>2026</w:t>
            </w:r>
          </w:p>
        </w:tc>
        <w:tc>
          <w:tcPr>
            <w:tcW w:w="4157" w:type="dxa"/>
            <w:tcBorders>
              <w:top w:val="single" w:sz="4" w:space="0" w:color="auto"/>
              <w:left w:val="nil"/>
              <w:bottom w:val="single" w:sz="4" w:space="0" w:color="auto"/>
              <w:right w:val="single" w:sz="4" w:space="0" w:color="auto"/>
            </w:tcBorders>
            <w:shd w:val="clear" w:color="auto" w:fill="C6EFCE"/>
            <w:noWrap/>
          </w:tcPr>
          <w:p w14:paraId="3D45AC59" w14:textId="77777777" w:rsidR="00FA7C11" w:rsidRDefault="00D84965">
            <w:pPr>
              <w:pStyle w:val="P68B1DB1-Normal66"/>
              <w:spacing w:after="200" w:line="276" w:lineRule="auto"/>
              <w:rPr>
                <w:rFonts w:eastAsia="Times New Roman"/>
                <w:noProof/>
              </w:rPr>
            </w:pPr>
            <w:r>
              <w:rPr>
                <w:noProof/>
              </w:rPr>
              <w:t>Trebuie finalizate cel puțin 15 proiecte-pilot identificate prin strategiile de reînnoire urbană verde.</w:t>
            </w:r>
          </w:p>
        </w:tc>
      </w:tr>
      <w:tr w:rsidR="00FA7C11" w14:paraId="52C26562" w14:textId="77777777">
        <w:trPr>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83E5073" w14:textId="77777777" w:rsidR="00FA7C11" w:rsidRDefault="00D84965">
            <w:pPr>
              <w:pStyle w:val="P68B1DB1-Normal89"/>
              <w:spacing w:after="0" w:line="276" w:lineRule="auto"/>
              <w:jc w:val="center"/>
              <w:rPr>
                <w:noProof/>
              </w:rPr>
            </w:pPr>
            <w:r>
              <w:rPr>
                <w:noProof/>
              </w:rPr>
              <w:t>448</w:t>
            </w:r>
          </w:p>
        </w:tc>
        <w:tc>
          <w:tcPr>
            <w:tcW w:w="1130" w:type="dxa"/>
            <w:tcBorders>
              <w:top w:val="single" w:sz="4" w:space="0" w:color="auto"/>
              <w:left w:val="nil"/>
              <w:bottom w:val="single" w:sz="4" w:space="0" w:color="auto"/>
              <w:right w:val="single" w:sz="4" w:space="0" w:color="auto"/>
            </w:tcBorders>
            <w:shd w:val="clear" w:color="auto" w:fill="C6EFCE"/>
            <w:noWrap/>
          </w:tcPr>
          <w:p w14:paraId="49A10D7D" w14:textId="77777777" w:rsidR="00FA7C11" w:rsidRDefault="00D84965">
            <w:pPr>
              <w:pStyle w:val="P68B1DB1-Normal102"/>
              <w:spacing w:after="200" w:line="276" w:lineRule="auto"/>
              <w:jc w:val="center"/>
              <w:rPr>
                <w:noProof/>
                <w:color w:val="000000" w:themeColor="text1"/>
              </w:rPr>
            </w:pPr>
            <w:r>
              <w:rPr>
                <w:noProof/>
              </w:rPr>
              <w:t>C7.2 I3</w:t>
            </w:r>
          </w:p>
        </w:tc>
        <w:tc>
          <w:tcPr>
            <w:tcW w:w="1097" w:type="dxa"/>
            <w:tcBorders>
              <w:top w:val="single" w:sz="4" w:space="0" w:color="auto"/>
              <w:left w:val="nil"/>
              <w:bottom w:val="single" w:sz="4" w:space="0" w:color="auto"/>
              <w:right w:val="single" w:sz="4" w:space="0" w:color="auto"/>
            </w:tcBorders>
            <w:shd w:val="clear" w:color="auto" w:fill="C6EFCE"/>
            <w:noWrap/>
          </w:tcPr>
          <w:p w14:paraId="428F59B7" w14:textId="77777777" w:rsidR="00FA7C11" w:rsidRDefault="00D84965">
            <w:pPr>
              <w:pStyle w:val="P68B1DB1-Normal70"/>
              <w:spacing w:after="200" w:line="276" w:lineRule="auto"/>
              <w:jc w:val="center"/>
              <w:rPr>
                <w:noProof/>
              </w:rPr>
            </w:pPr>
            <w:r>
              <w:rPr>
                <w:noProof/>
              </w:rPr>
              <w:t>T</w:t>
            </w:r>
          </w:p>
        </w:tc>
        <w:tc>
          <w:tcPr>
            <w:tcW w:w="2334" w:type="dxa"/>
            <w:tcBorders>
              <w:top w:val="single" w:sz="4" w:space="0" w:color="auto"/>
              <w:left w:val="nil"/>
              <w:bottom w:val="single" w:sz="4" w:space="0" w:color="auto"/>
              <w:right w:val="single" w:sz="4" w:space="0" w:color="auto"/>
            </w:tcBorders>
            <w:shd w:val="clear" w:color="auto" w:fill="C6EFCE"/>
            <w:noWrap/>
          </w:tcPr>
          <w:p w14:paraId="10718B23" w14:textId="77777777" w:rsidR="00FA7C11" w:rsidRDefault="00D84965">
            <w:pPr>
              <w:pStyle w:val="P68B1DB1-Normal76"/>
              <w:spacing w:after="200" w:line="276" w:lineRule="auto"/>
              <w:rPr>
                <w:noProof/>
              </w:rPr>
            </w:pPr>
            <w:r>
              <w:rPr>
                <w:noProof/>
              </w:rPr>
              <w:t>Renovarea energetică și post-cutremur a clădirilor publice afectate de cutremure</w:t>
            </w:r>
          </w:p>
        </w:tc>
        <w:tc>
          <w:tcPr>
            <w:tcW w:w="1717" w:type="dxa"/>
            <w:tcBorders>
              <w:top w:val="single" w:sz="4" w:space="0" w:color="auto"/>
              <w:left w:val="nil"/>
              <w:bottom w:val="single" w:sz="4" w:space="0" w:color="auto"/>
              <w:right w:val="single" w:sz="4" w:space="0" w:color="auto"/>
            </w:tcBorders>
            <w:shd w:val="clear" w:color="auto" w:fill="C6EFCE"/>
            <w:noWrap/>
          </w:tcPr>
          <w:p w14:paraId="6EF38665" w14:textId="77777777" w:rsidR="00FA7C11" w:rsidRDefault="00FA7C11">
            <w:pPr>
              <w:spacing w:after="200" w:line="276" w:lineRule="auto"/>
              <w:rPr>
                <w:rFonts w:ascii="Times New Roman" w:eastAsia="Calibri" w:hAnsi="Times New Roman" w:cs="Times New Roman"/>
                <w:noProof/>
                <w:sz w:val="20"/>
                <w:szCs w:val="20"/>
              </w:rPr>
            </w:pPr>
          </w:p>
        </w:tc>
        <w:tc>
          <w:tcPr>
            <w:tcW w:w="944" w:type="dxa"/>
            <w:tcBorders>
              <w:top w:val="single" w:sz="4" w:space="0" w:color="auto"/>
              <w:left w:val="nil"/>
              <w:bottom w:val="single" w:sz="4" w:space="0" w:color="auto"/>
              <w:right w:val="single" w:sz="4" w:space="0" w:color="auto"/>
            </w:tcBorders>
            <w:shd w:val="clear" w:color="auto" w:fill="C6EFCE"/>
            <w:noWrap/>
          </w:tcPr>
          <w:p w14:paraId="0F77B1E0" w14:textId="77777777" w:rsidR="00FA7C11" w:rsidRDefault="00D84965">
            <w:pPr>
              <w:pStyle w:val="P68B1DB1-Normal70"/>
              <w:spacing w:after="200" w:line="276" w:lineRule="auto"/>
              <w:jc w:val="center"/>
              <w:rPr>
                <w:noProof/>
              </w:rPr>
            </w:pPr>
            <w:r>
              <w:rPr>
                <w:noProof/>
              </w:rPr>
              <w:t>Număr (m²)</w:t>
            </w:r>
          </w:p>
        </w:tc>
        <w:tc>
          <w:tcPr>
            <w:tcW w:w="851" w:type="dxa"/>
            <w:tcBorders>
              <w:top w:val="single" w:sz="4" w:space="0" w:color="auto"/>
              <w:left w:val="nil"/>
              <w:bottom w:val="single" w:sz="4" w:space="0" w:color="auto"/>
              <w:right w:val="single" w:sz="4" w:space="0" w:color="auto"/>
            </w:tcBorders>
            <w:shd w:val="clear" w:color="auto" w:fill="C6EFCE"/>
            <w:noWrap/>
          </w:tcPr>
          <w:p w14:paraId="7DEFA87A" w14:textId="77777777" w:rsidR="00FA7C11" w:rsidRDefault="00D84965">
            <w:pPr>
              <w:pStyle w:val="P68B1DB1-Normal70"/>
              <w:spacing w:after="200" w:line="276"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6E1F42CF" w14:textId="77777777" w:rsidR="00FA7C11" w:rsidRDefault="00D84965">
            <w:pPr>
              <w:pStyle w:val="P68B1DB1-Normal70"/>
              <w:spacing w:after="200" w:line="276" w:lineRule="auto"/>
              <w:jc w:val="center"/>
              <w:rPr>
                <w:noProof/>
              </w:rPr>
            </w:pPr>
            <w:r>
              <w:rPr>
                <w:noProof/>
              </w:rPr>
              <w:t>22 178</w:t>
            </w:r>
          </w:p>
        </w:tc>
        <w:tc>
          <w:tcPr>
            <w:tcW w:w="426" w:type="dxa"/>
            <w:tcBorders>
              <w:top w:val="single" w:sz="4" w:space="0" w:color="auto"/>
              <w:left w:val="nil"/>
              <w:bottom w:val="single" w:sz="4" w:space="0" w:color="auto"/>
              <w:right w:val="single" w:sz="4" w:space="0" w:color="auto"/>
            </w:tcBorders>
            <w:shd w:val="clear" w:color="auto" w:fill="C6EFCE"/>
            <w:noWrap/>
          </w:tcPr>
          <w:p w14:paraId="4052EE05" w14:textId="77777777" w:rsidR="00FA7C11" w:rsidRDefault="00D84965">
            <w:pPr>
              <w:pStyle w:val="P68B1DB1-Normal70"/>
              <w:spacing w:after="200" w:line="276" w:lineRule="auto"/>
              <w:jc w:val="center"/>
              <w:rPr>
                <w:noProof/>
              </w:rPr>
            </w:pPr>
            <w:r>
              <w:rPr>
                <w:noProof/>
              </w:rPr>
              <w:t>Î2</w:t>
            </w:r>
          </w:p>
        </w:tc>
        <w:tc>
          <w:tcPr>
            <w:tcW w:w="662" w:type="dxa"/>
            <w:tcBorders>
              <w:top w:val="single" w:sz="4" w:space="0" w:color="auto"/>
              <w:left w:val="nil"/>
              <w:bottom w:val="single" w:sz="4" w:space="0" w:color="auto"/>
              <w:right w:val="single" w:sz="4" w:space="0" w:color="auto"/>
            </w:tcBorders>
            <w:shd w:val="clear" w:color="auto" w:fill="C6EFCE"/>
            <w:noWrap/>
          </w:tcPr>
          <w:p w14:paraId="4882022B" w14:textId="77777777" w:rsidR="00FA7C11" w:rsidRDefault="00D84965">
            <w:pPr>
              <w:pStyle w:val="P68B1DB1-Normal70"/>
              <w:spacing w:after="200" w:line="276" w:lineRule="auto"/>
              <w:jc w:val="center"/>
              <w:rPr>
                <w:noProof/>
              </w:rPr>
            </w:pPr>
            <w:r>
              <w:rPr>
                <w:noProof/>
              </w:rPr>
              <w:t>2026</w:t>
            </w:r>
          </w:p>
        </w:tc>
        <w:tc>
          <w:tcPr>
            <w:tcW w:w="4157" w:type="dxa"/>
            <w:tcBorders>
              <w:top w:val="single" w:sz="4" w:space="0" w:color="auto"/>
              <w:left w:val="nil"/>
              <w:bottom w:val="single" w:sz="4" w:space="0" w:color="auto"/>
              <w:right w:val="single" w:sz="4" w:space="0" w:color="auto"/>
            </w:tcBorders>
            <w:shd w:val="clear" w:color="auto" w:fill="C6EFCE"/>
            <w:noWrap/>
          </w:tcPr>
          <w:p w14:paraId="3E9A08FB" w14:textId="77777777" w:rsidR="00FA7C11" w:rsidRDefault="00D84965">
            <w:pPr>
              <w:pStyle w:val="P68B1DB1-Normal66"/>
              <w:spacing w:after="200" w:line="276" w:lineRule="auto"/>
              <w:rPr>
                <w:noProof/>
                <w:color w:val="000000" w:themeColor="text1"/>
              </w:rPr>
            </w:pPr>
            <w:r>
              <w:rPr>
                <w:noProof/>
              </w:rPr>
              <w:t xml:space="preserve">Renovarea energetică și post-cutremur a cel puțin 22 178 m² de clădiri publice afectate de cutremure (în una sau mai multe dintre următoarele zone: orașul Zagreb, districtul Krapina-Zagorje, districtul Zagreb, districtul Sisak-Moslavina, districtul Karlovac, districtul Varaždin, districtul Međimurje, districtul Brod-Posavina, districtul Koprivnica-Križevci și districtul Bjelovar-Bilogora), îndeplinind o cerință minimă de reducere a consumului anual de energie pentru încălzire cu cel puțin 50 % în comparație cu consumul anual de energie pentru încălzire înainte de renovare pentru fiecare clădire (cu excepția clădirilor cu statut de bun cultural), ceea ce va asigura o creștere cu 30 % a economiilor de energie primară la nivelul obiectivului în comparație cu starea anterioară renovării și va fi în conformitate cu principiul DNSH. </w:t>
            </w:r>
          </w:p>
          <w:p w14:paraId="36576B76" w14:textId="77777777" w:rsidR="00FA7C11" w:rsidRDefault="00D84965">
            <w:pPr>
              <w:pStyle w:val="P68B1DB1-Normal66"/>
              <w:spacing w:after="200" w:line="276" w:lineRule="auto"/>
              <w:rPr>
                <w:noProof/>
                <w:color w:val="000000" w:themeColor="text1"/>
              </w:rPr>
            </w:pPr>
            <w:r>
              <w:rPr>
                <w:noProof/>
              </w:rPr>
              <w:t>Costul instalării cazanelor cu condensare de gaz care înlocuiesc cazanele existente pe bază de gaz, cărbune și petrol reprezintă cel mult 20 % din costul renovării.</w:t>
            </w:r>
          </w:p>
        </w:tc>
      </w:tr>
    </w:tbl>
    <w:p w14:paraId="06B84070" w14:textId="77777777" w:rsidR="00FA7C11" w:rsidRDefault="00FA7C11">
      <w:pPr>
        <w:pStyle w:val="paragraph"/>
        <w:spacing w:before="0" w:beforeAutospacing="0" w:after="0" w:afterAutospacing="0"/>
        <w:jc w:val="both"/>
        <w:textAlignment w:val="baseline"/>
        <w:rPr>
          <w:noProof/>
          <w:sz w:val="20"/>
        </w:rPr>
      </w:pPr>
    </w:p>
    <w:p w14:paraId="658CC860" w14:textId="77777777" w:rsidR="00FA7C11" w:rsidRDefault="00FA7C11">
      <w:pPr>
        <w:rPr>
          <w:noProof/>
        </w:rPr>
        <w:sectPr w:rsidR="00FA7C11" w:rsidSect="00FA29B2">
          <w:headerReference w:type="even" r:id="rId440"/>
          <w:headerReference w:type="default" r:id="rId441"/>
          <w:footerReference w:type="even" r:id="rId442"/>
          <w:footerReference w:type="default" r:id="rId443"/>
          <w:headerReference w:type="first" r:id="rId444"/>
          <w:footerReference w:type="first" r:id="rId445"/>
          <w:pgSz w:w="16839" w:h="11907" w:orient="landscape"/>
          <w:pgMar w:top="1134" w:right="1134" w:bottom="1134" w:left="1134" w:header="567" w:footer="567" w:gutter="0"/>
          <w:cols w:space="708"/>
          <w:docGrid w:linePitch="360"/>
        </w:sectPr>
      </w:pPr>
    </w:p>
    <w:p w14:paraId="64EFF3D9" w14:textId="110348A1" w:rsidR="00FA7C11" w:rsidRDefault="00D84965">
      <w:pPr>
        <w:pStyle w:val="paragraph"/>
        <w:spacing w:before="0" w:beforeAutospacing="0" w:after="0" w:afterAutospacing="0"/>
        <w:ind w:firstLine="709"/>
        <w:jc w:val="both"/>
        <w:textAlignment w:val="baseline"/>
        <w:rPr>
          <w:rFonts w:ascii="Segoe UI" w:hAnsi="Segoe UI" w:cs="Segoe UI"/>
          <w:noProof/>
          <w:sz w:val="18"/>
          <w:szCs w:val="18"/>
        </w:rPr>
      </w:pPr>
      <w:r>
        <w:rPr>
          <w:rStyle w:val="normaltextrun"/>
          <w:b/>
          <w:noProof/>
        </w:rPr>
        <w:t xml:space="preserve">X.3. Descrierea reformelor și a investițiilor pentru împrumut </w:t>
      </w:r>
    </w:p>
    <w:p w14:paraId="646AB807" w14:textId="77777777" w:rsidR="00FA7C11" w:rsidRDefault="00FA7C11">
      <w:pPr>
        <w:pStyle w:val="paragraph"/>
        <w:spacing w:before="0" w:beforeAutospacing="0" w:after="0" w:afterAutospacing="0"/>
        <w:jc w:val="both"/>
        <w:textAlignment w:val="baseline"/>
        <w:rPr>
          <w:rStyle w:val="eop"/>
          <w:bCs/>
          <w:noProof/>
        </w:rPr>
      </w:pPr>
    </w:p>
    <w:p w14:paraId="6D22C978" w14:textId="77777777" w:rsidR="00FA7C11" w:rsidRDefault="00D84965">
      <w:pPr>
        <w:pStyle w:val="P68B1DB1-paragraph59"/>
        <w:spacing w:before="0" w:beforeAutospacing="0" w:after="0" w:afterAutospacing="0"/>
        <w:ind w:left="720"/>
        <w:jc w:val="both"/>
        <w:textAlignment w:val="baseline"/>
        <w:rPr>
          <w:noProof/>
        </w:rPr>
      </w:pPr>
      <w:r>
        <w:rPr>
          <w:noProof/>
        </w:rPr>
        <w:t>Reforma C7.2 R3 – Măsură extinsă: Introducerea unui nou model de strategii de reînnoire urbană verde și punerea în aplicare a unui proiect-pilot pentru dezvoltarea infrastructurii verzi și gestionarea circulară a clădirilor și a spațiului</w:t>
      </w:r>
    </w:p>
    <w:p w14:paraId="6A97F422" w14:textId="77777777" w:rsidR="00FA7C11" w:rsidRDefault="00FA7C11">
      <w:pPr>
        <w:pStyle w:val="paragraph"/>
        <w:spacing w:before="0" w:beforeAutospacing="0" w:after="0" w:afterAutospacing="0"/>
        <w:jc w:val="both"/>
        <w:textAlignment w:val="baseline"/>
        <w:rPr>
          <w:noProof/>
          <w:color w:val="000000" w:themeColor="text1"/>
          <w:u w:val="single"/>
        </w:rPr>
      </w:pPr>
    </w:p>
    <w:p w14:paraId="627D99C9" w14:textId="77777777" w:rsidR="00FA7C11" w:rsidRDefault="00D84965">
      <w:pPr>
        <w:pStyle w:val="P68B1DB1-paragraph58"/>
        <w:spacing w:before="0" w:beforeAutospacing="0" w:after="0" w:afterAutospacing="0"/>
        <w:jc w:val="both"/>
        <w:textAlignment w:val="baseline"/>
        <w:rPr>
          <w:noProof/>
        </w:rPr>
      </w:pPr>
      <w:r>
        <w:rPr>
          <w:noProof/>
        </w:rPr>
        <w:t>Obiectivul măsurii este de a extinde reforma C6.1.R5: Introducerea unui nou model de strategii de reînnoire urbană verde și punerea în aplicare a unui proiect-pilot pentru dezvoltarea infrastructurii verzi și gestionarea circulară a clădirilor și a spațiului în cadrul inițiativei 6.1 Renovarea clădirilor. Partea extinsă a măsurii constă în punerea în aplicare a unor proiecte-pilot suplimentare.</w:t>
      </w:r>
    </w:p>
    <w:p w14:paraId="0781A145" w14:textId="77777777" w:rsidR="00FA7C11" w:rsidRDefault="00FA7C11">
      <w:pPr>
        <w:pStyle w:val="paragraph"/>
        <w:spacing w:before="0" w:beforeAutospacing="0" w:after="0" w:afterAutospacing="0"/>
        <w:jc w:val="both"/>
        <w:textAlignment w:val="baseline"/>
        <w:rPr>
          <w:noProof/>
          <w:color w:val="000000" w:themeColor="text1"/>
        </w:rPr>
      </w:pPr>
    </w:p>
    <w:p w14:paraId="1314811A" w14:textId="77777777" w:rsidR="00FA7C11" w:rsidRDefault="00D84965">
      <w:pPr>
        <w:pStyle w:val="P68B1DB1-paragraph59"/>
        <w:spacing w:before="0" w:beforeAutospacing="0" w:after="0" w:afterAutospacing="0"/>
        <w:ind w:left="720"/>
        <w:jc w:val="both"/>
        <w:textAlignment w:val="baseline"/>
        <w:rPr>
          <w:noProof/>
        </w:rPr>
      </w:pPr>
      <w:r>
        <w:rPr>
          <w:noProof/>
        </w:rPr>
        <w:t xml:space="preserve">Reforma C7.2 R4 – Introducerea unui nou model de programe de învățare în rândul adulților menite să dezvolte aptitudini și competențe verzi în sectorul construcțiilor, inclusiv module pentru a sprijini integrarea lucrătorilor din țările terțe </w:t>
      </w:r>
    </w:p>
    <w:p w14:paraId="14A97C4B" w14:textId="77777777" w:rsidR="00FA7C11" w:rsidRDefault="00FA7C11">
      <w:pPr>
        <w:pStyle w:val="paragraph"/>
        <w:spacing w:before="0" w:beforeAutospacing="0" w:after="0" w:afterAutospacing="0"/>
        <w:jc w:val="both"/>
        <w:textAlignment w:val="baseline"/>
        <w:rPr>
          <w:noProof/>
          <w:color w:val="000000" w:themeColor="text1"/>
          <w:u w:val="single"/>
        </w:rPr>
      </w:pPr>
    </w:p>
    <w:p w14:paraId="4512056A" w14:textId="77777777" w:rsidR="00FA7C11" w:rsidRDefault="00D84965">
      <w:pPr>
        <w:pStyle w:val="paragraph"/>
        <w:spacing w:before="0" w:beforeAutospacing="0" w:after="0" w:afterAutospacing="0"/>
        <w:jc w:val="both"/>
        <w:textAlignment w:val="baseline"/>
        <w:rPr>
          <w:rStyle w:val="eop"/>
          <w:noProof/>
        </w:rPr>
      </w:pPr>
      <w:r>
        <w:rPr>
          <w:rStyle w:val="eop"/>
          <w:noProof/>
        </w:rPr>
        <w:t xml:space="preserve">Obiectivul măsurii este de a stabili un cadru pentru consolidarea competențelor lucrătorilor din sectorul construcțiilor din țările terțe. Măsura constă în dezvoltarea unui program de educație a adulților pentru lucrătorii din țări terțe cu privire la tehnologiile de construcție eficiente din punct de vedere energetic, dezvoltarea unui modul de limbă croată în profesia de constructor și a unui modul intercultural. . </w:t>
      </w:r>
    </w:p>
    <w:p w14:paraId="5F6687E0" w14:textId="77777777" w:rsidR="00FA7C11" w:rsidRDefault="00FA7C11">
      <w:pPr>
        <w:pStyle w:val="paragraph"/>
        <w:spacing w:before="0" w:beforeAutospacing="0" w:after="0" w:afterAutospacing="0"/>
        <w:jc w:val="both"/>
        <w:textAlignment w:val="baseline"/>
        <w:rPr>
          <w:rStyle w:val="eop"/>
          <w:noProof/>
        </w:rPr>
      </w:pPr>
    </w:p>
    <w:p w14:paraId="7B778A71" w14:textId="77777777" w:rsidR="00FA7C11" w:rsidRDefault="00D84965">
      <w:pPr>
        <w:pStyle w:val="P68B1DB1-paragraph57"/>
        <w:spacing w:before="0" w:beforeAutospacing="0" w:after="0" w:afterAutospacing="0"/>
        <w:ind w:firstLine="720"/>
        <w:jc w:val="both"/>
        <w:textAlignment w:val="baseline"/>
        <w:rPr>
          <w:noProof/>
          <w:color w:val="000000" w:themeColor="text1"/>
        </w:rPr>
      </w:pPr>
      <w:r>
        <w:rPr>
          <w:noProof/>
          <w:color w:val="000000" w:themeColor="text1"/>
        </w:rPr>
        <w:t xml:space="preserve">Investiția C7.2 I1 – </w:t>
      </w:r>
      <w:r>
        <w:rPr>
          <w:noProof/>
        </w:rPr>
        <w:t xml:space="preserve">Măsură extinsă: </w:t>
      </w:r>
      <w:r>
        <w:rPr>
          <w:noProof/>
          <w:color w:val="000000" w:themeColor="text1"/>
        </w:rPr>
        <w:t>Renovarea energetică a clădirilor</w:t>
      </w:r>
    </w:p>
    <w:p w14:paraId="34070ABC" w14:textId="77777777" w:rsidR="00FA7C11" w:rsidRDefault="00FA7C11">
      <w:pPr>
        <w:pStyle w:val="paragraph"/>
        <w:spacing w:before="0" w:beforeAutospacing="0" w:after="0" w:afterAutospacing="0"/>
        <w:jc w:val="both"/>
        <w:rPr>
          <w:noProof/>
          <w:color w:val="000000" w:themeColor="text1"/>
          <w:u w:val="single"/>
        </w:rPr>
      </w:pPr>
    </w:p>
    <w:p w14:paraId="0D33A78A" w14:textId="77777777" w:rsidR="00FA7C11" w:rsidRDefault="00D84965">
      <w:pPr>
        <w:pStyle w:val="P68B1DB1-paragraph58"/>
        <w:spacing w:before="0" w:beforeAutospacing="0" w:after="0" w:afterAutospacing="0"/>
        <w:jc w:val="both"/>
        <w:rPr>
          <w:noProof/>
        </w:rPr>
      </w:pPr>
      <w:r>
        <w:rPr>
          <w:noProof/>
        </w:rPr>
        <w:t xml:space="preserve">Obiectivul măsurii este de a extinde investiția C6.1 R1-I1: Renovarea energetică a clădirilor în cadrul inițiativei 6.1: Renovarea clădirilor. Partea extinsă a măsurii constă în creșterea numărului de metri pătrați renovați ai clădirilor publice și cu mai multe locuințe și în instalarea de sisteme de energie din surse regenerabile în clădirile publice renovate prin această investiție. </w:t>
      </w:r>
    </w:p>
    <w:p w14:paraId="11AF196D" w14:textId="77777777" w:rsidR="00FA7C11" w:rsidRDefault="00FA7C11">
      <w:pPr>
        <w:pStyle w:val="paragraph"/>
        <w:spacing w:before="0" w:beforeAutospacing="0" w:after="0" w:afterAutospacing="0"/>
        <w:jc w:val="both"/>
        <w:rPr>
          <w:noProof/>
          <w:color w:val="000000" w:themeColor="text1"/>
          <w:u w:val="single"/>
        </w:rPr>
      </w:pPr>
    </w:p>
    <w:p w14:paraId="056F183C" w14:textId="77777777" w:rsidR="00FA7C11" w:rsidRDefault="00D84965">
      <w:pPr>
        <w:pStyle w:val="P68B1DB1-paragraph59"/>
        <w:spacing w:before="0" w:beforeAutospacing="0" w:after="0" w:afterAutospacing="0"/>
        <w:ind w:left="720"/>
        <w:jc w:val="both"/>
        <w:textAlignment w:val="baseline"/>
        <w:rPr>
          <w:bCs/>
          <w:noProof/>
        </w:rPr>
      </w:pPr>
      <w:r>
        <w:rPr>
          <w:noProof/>
        </w:rPr>
        <w:t>Investiția C7.2 I2 – Renovarea clădirilor afectate de cutremure, cu renovare energetică</w:t>
      </w:r>
    </w:p>
    <w:p w14:paraId="12015AAA" w14:textId="77777777" w:rsidR="00FA7C11" w:rsidRDefault="00D84965">
      <w:pPr>
        <w:pStyle w:val="paragraph"/>
        <w:rPr>
          <w:noProof/>
        </w:rPr>
      </w:pPr>
      <w:r>
        <w:rPr>
          <w:noProof/>
        </w:rPr>
        <w:t>Obiectivul măsurii este de a repara daunele cauzate de cutremurele din 2020 clădirilor cu mai multe apartamente și clădirilor publice, de a spori reziliența seismică a clădirilor și de a spori eficiența energetică a acestora. Investiția constă în renovarea energetică a clădirilor publice și colective afectate de cutremure și în instalarea de sisteme de energie din surse regenerabile în clădirile publice renovate prin această investiție.</w:t>
      </w:r>
    </w:p>
    <w:p w14:paraId="58FFED52" w14:textId="6F0D3F7C" w:rsidR="00FA7C11" w:rsidRDefault="00D84965">
      <w:pPr>
        <w:pStyle w:val="paragraph"/>
        <w:rPr>
          <w:noProof/>
        </w:rPr>
      </w:pPr>
      <w:r>
        <w:rPr>
          <w:noProof/>
        </w:rPr>
        <w:t xml:space="preserve">Renovarea clădirilor la starea lor inițială înainte de daune este finanțată din Fondul de solidaritate al UE, după caz, în timp ce diferența față de renovarea completă, inclusiv creșterea eficienței energetice a clădirilor și creșterea rezilienței lor seismice (principiul „a reconstrui mai bine”), este finanțată prin această investiție. </w:t>
      </w:r>
    </w:p>
    <w:p w14:paraId="6D403A27" w14:textId="77777777" w:rsidR="00FA7C11" w:rsidRDefault="00FA7C11">
      <w:pPr>
        <w:pStyle w:val="paragraph"/>
        <w:spacing w:before="0" w:beforeAutospacing="0" w:after="0" w:afterAutospacing="0"/>
        <w:jc w:val="both"/>
        <w:textAlignment w:val="baseline"/>
        <w:rPr>
          <w:bCs/>
          <w:noProof/>
          <w:color w:val="000000" w:themeColor="text1"/>
        </w:rPr>
      </w:pPr>
    </w:p>
    <w:p w14:paraId="5403E26D" w14:textId="77777777" w:rsidR="00FA7C11" w:rsidRDefault="00FA7C11">
      <w:pPr>
        <w:pStyle w:val="paragraph"/>
        <w:spacing w:before="0" w:beforeAutospacing="0" w:after="0" w:afterAutospacing="0"/>
        <w:jc w:val="both"/>
        <w:textAlignment w:val="baseline"/>
        <w:rPr>
          <w:rFonts w:ascii="Segoe UI" w:hAnsi="Segoe UI" w:cs="Segoe UI"/>
          <w:noProof/>
          <w:sz w:val="18"/>
          <w:szCs w:val="18"/>
        </w:rPr>
      </w:pPr>
    </w:p>
    <w:p w14:paraId="34125DF8" w14:textId="77777777" w:rsidR="00FA7C11" w:rsidRDefault="00FA7C11">
      <w:pPr>
        <w:pStyle w:val="paragraph"/>
        <w:spacing w:before="0" w:beforeAutospacing="0" w:after="0" w:afterAutospacing="0"/>
        <w:jc w:val="both"/>
        <w:textAlignment w:val="baseline"/>
        <w:rPr>
          <w:rStyle w:val="normaltextrun"/>
          <w:b/>
          <w:bCs/>
          <w:noProof/>
        </w:rPr>
      </w:pPr>
    </w:p>
    <w:p w14:paraId="3FABBBED" w14:textId="77777777" w:rsidR="00FA7C11" w:rsidRDefault="00FA7C11">
      <w:pPr>
        <w:rPr>
          <w:noProof/>
        </w:rPr>
      </w:pPr>
    </w:p>
    <w:p w14:paraId="3A553BDB" w14:textId="77777777" w:rsidR="00FA7C11" w:rsidRDefault="00FA7C11">
      <w:pPr>
        <w:rPr>
          <w:noProof/>
        </w:rPr>
      </w:pPr>
    </w:p>
    <w:p w14:paraId="72E60258" w14:textId="77777777" w:rsidR="00FA7C11" w:rsidRDefault="00FA7C11">
      <w:pPr>
        <w:rPr>
          <w:noProof/>
        </w:rPr>
      </w:pPr>
    </w:p>
    <w:p w14:paraId="7CF4D63D" w14:textId="77777777" w:rsidR="00FA7C11" w:rsidRDefault="00D84965">
      <w:pPr>
        <w:tabs>
          <w:tab w:val="left" w:pos="5740"/>
        </w:tabs>
        <w:rPr>
          <w:noProof/>
        </w:rPr>
        <w:sectPr w:rsidR="00FA7C11" w:rsidSect="00FA29B2">
          <w:headerReference w:type="even" r:id="rId446"/>
          <w:headerReference w:type="default" r:id="rId447"/>
          <w:footerReference w:type="even" r:id="rId448"/>
          <w:footerReference w:type="default" r:id="rId449"/>
          <w:headerReference w:type="first" r:id="rId450"/>
          <w:footerReference w:type="first" r:id="rId451"/>
          <w:pgSz w:w="11907" w:h="16839"/>
          <w:pgMar w:top="1134" w:right="1134" w:bottom="1134" w:left="1134" w:header="567" w:footer="567" w:gutter="0"/>
          <w:cols w:space="708"/>
          <w:docGrid w:linePitch="360"/>
        </w:sectPr>
      </w:pPr>
      <w:r>
        <w:rPr>
          <w:noProof/>
        </w:rPr>
        <w:tab/>
      </w:r>
    </w:p>
    <w:p w14:paraId="57CBCE21" w14:textId="1F0D0735" w:rsidR="00FA7C11" w:rsidRDefault="00D84965">
      <w:pPr>
        <w:pStyle w:val="paragraph"/>
        <w:spacing w:before="0" w:beforeAutospacing="0" w:after="0" w:afterAutospacing="0"/>
        <w:jc w:val="both"/>
        <w:textAlignment w:val="baseline"/>
        <w:rPr>
          <w:rFonts w:ascii="Segoe UI" w:hAnsi="Segoe UI" w:cs="Segoe UI"/>
          <w:noProof/>
          <w:sz w:val="18"/>
          <w:szCs w:val="18"/>
          <w:u w:val="single"/>
        </w:rPr>
      </w:pPr>
      <w:r>
        <w:rPr>
          <w:rStyle w:val="normaltextrun"/>
          <w:b/>
          <w:noProof/>
          <w:u w:val="single"/>
        </w:rPr>
        <w:t xml:space="preserve">X.4. Jaloane, ținte, indicatori și calendarul de monitorizare și implementare aplicabile împrumutului </w:t>
      </w:r>
    </w:p>
    <w:p w14:paraId="40AFBE73" w14:textId="77777777" w:rsidR="00FA7C11" w:rsidRDefault="00FA7C11">
      <w:pPr>
        <w:pStyle w:val="paragraph"/>
        <w:spacing w:before="0" w:beforeAutospacing="0" w:after="0" w:afterAutospacing="0"/>
        <w:jc w:val="both"/>
        <w:textAlignment w:val="baseline"/>
        <w:rPr>
          <w:rStyle w:val="eop"/>
          <w:noProof/>
          <w:color w:val="4F81BD"/>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134"/>
        <w:gridCol w:w="1010"/>
        <w:gridCol w:w="2250"/>
        <w:gridCol w:w="2126"/>
        <w:gridCol w:w="851"/>
        <w:gridCol w:w="850"/>
        <w:gridCol w:w="1077"/>
        <w:gridCol w:w="891"/>
        <w:gridCol w:w="600"/>
        <w:gridCol w:w="3953"/>
      </w:tblGrid>
      <w:tr w:rsidR="00FA7C11" w14:paraId="537E533B" w14:textId="77777777">
        <w:trPr>
          <w:tblHeader/>
          <w:jc w:val="center"/>
        </w:trPr>
        <w:tc>
          <w:tcPr>
            <w:tcW w:w="846" w:type="dxa"/>
            <w:vMerge w:val="restart"/>
            <w:shd w:val="clear" w:color="auto" w:fill="BDD7EE"/>
            <w:vAlign w:val="center"/>
            <w:hideMark/>
          </w:tcPr>
          <w:p w14:paraId="312A2249" w14:textId="77777777" w:rsidR="00FA7C11" w:rsidRDefault="00D84965">
            <w:pPr>
              <w:pStyle w:val="P68B1DB1-Normal58"/>
              <w:spacing w:after="0" w:line="276" w:lineRule="auto"/>
              <w:jc w:val="center"/>
              <w:rPr>
                <w:bCs/>
                <w:noProof/>
              </w:rPr>
            </w:pPr>
            <w:r>
              <w:rPr>
                <w:noProof/>
              </w:rPr>
              <w:t>Număr</w:t>
            </w:r>
          </w:p>
        </w:tc>
        <w:tc>
          <w:tcPr>
            <w:tcW w:w="1134" w:type="dxa"/>
            <w:vMerge w:val="restart"/>
            <w:shd w:val="clear" w:color="auto" w:fill="BDD7EE"/>
            <w:vAlign w:val="center"/>
            <w:hideMark/>
          </w:tcPr>
          <w:p w14:paraId="38722290" w14:textId="77777777" w:rsidR="00FA7C11" w:rsidRDefault="00D84965">
            <w:pPr>
              <w:pStyle w:val="P68B1DB1-Normal58"/>
              <w:spacing w:after="0" w:line="276" w:lineRule="auto"/>
              <w:jc w:val="center"/>
              <w:rPr>
                <w:bCs/>
                <w:noProof/>
              </w:rPr>
            </w:pPr>
            <w:r>
              <w:rPr>
                <w:noProof/>
              </w:rPr>
              <w:t>Măsură</w:t>
            </w:r>
          </w:p>
        </w:tc>
        <w:tc>
          <w:tcPr>
            <w:tcW w:w="1010" w:type="dxa"/>
            <w:vMerge w:val="restart"/>
            <w:shd w:val="clear" w:color="auto" w:fill="BDD7EE"/>
            <w:vAlign w:val="center"/>
            <w:hideMark/>
          </w:tcPr>
          <w:p w14:paraId="0DA4B233" w14:textId="77777777" w:rsidR="00FA7C11" w:rsidRDefault="00D84965">
            <w:pPr>
              <w:pStyle w:val="P68B1DB1-Normal58"/>
              <w:spacing w:after="0" w:line="276" w:lineRule="auto"/>
              <w:jc w:val="center"/>
              <w:rPr>
                <w:bCs/>
                <w:noProof/>
              </w:rPr>
            </w:pPr>
            <w:r>
              <w:rPr>
                <w:noProof/>
              </w:rPr>
              <w:t>Etapă/Obiectiv</w:t>
            </w:r>
          </w:p>
        </w:tc>
        <w:tc>
          <w:tcPr>
            <w:tcW w:w="2250" w:type="dxa"/>
            <w:vMerge w:val="restart"/>
            <w:shd w:val="clear" w:color="auto" w:fill="BDD7EE"/>
            <w:vAlign w:val="center"/>
            <w:hideMark/>
          </w:tcPr>
          <w:p w14:paraId="025517BD" w14:textId="77777777" w:rsidR="00FA7C11" w:rsidRDefault="00D84965">
            <w:pPr>
              <w:pStyle w:val="P68B1DB1-Normal58"/>
              <w:spacing w:after="0" w:line="276" w:lineRule="auto"/>
              <w:jc w:val="center"/>
              <w:rPr>
                <w:bCs/>
                <w:noProof/>
              </w:rPr>
            </w:pPr>
            <w:r>
              <w:rPr>
                <w:noProof/>
              </w:rPr>
              <w:t>Nume</w:t>
            </w:r>
          </w:p>
        </w:tc>
        <w:tc>
          <w:tcPr>
            <w:tcW w:w="2126" w:type="dxa"/>
            <w:vMerge w:val="restart"/>
            <w:shd w:val="clear" w:color="auto" w:fill="BDD7EE"/>
            <w:vAlign w:val="center"/>
            <w:hideMark/>
          </w:tcPr>
          <w:p w14:paraId="157C4C89"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calitativi</w:t>
            </w:r>
            <w:r>
              <w:rPr>
                <w:rFonts w:ascii="Times New Roman" w:eastAsia="Calibri" w:hAnsi="Times New Roman" w:cs="Times New Roman"/>
                <w:noProof/>
              </w:rPr>
              <w:br/>
            </w:r>
            <w:r>
              <w:rPr>
                <w:rFonts w:ascii="Times New Roman" w:eastAsia="Times New Roman" w:hAnsi="Times New Roman" w:cs="Times New Roman"/>
                <w:b/>
                <w:noProof/>
              </w:rPr>
              <w:t>(pentru jaloane)</w:t>
            </w:r>
          </w:p>
        </w:tc>
        <w:tc>
          <w:tcPr>
            <w:tcW w:w="2778" w:type="dxa"/>
            <w:gridSpan w:val="3"/>
            <w:shd w:val="clear" w:color="auto" w:fill="BDD7EE"/>
            <w:vAlign w:val="center"/>
            <w:hideMark/>
          </w:tcPr>
          <w:p w14:paraId="5C90D0F4" w14:textId="77777777" w:rsidR="00FA7C11" w:rsidRDefault="00D84965">
            <w:pPr>
              <w:pStyle w:val="P68B1DB1-Normal59"/>
              <w:spacing w:after="0" w:line="276" w:lineRule="auto"/>
              <w:jc w:val="center"/>
              <w:rPr>
                <w:rFonts w:ascii="Times New Roman" w:eastAsia="Times New Roman" w:hAnsi="Times New Roman" w:cs="Times New Roman"/>
                <w:b/>
                <w:bCs/>
                <w:noProof/>
              </w:rPr>
            </w:pPr>
            <w:r>
              <w:rPr>
                <w:rFonts w:ascii="Times New Roman" w:eastAsia="Times New Roman" w:hAnsi="Times New Roman" w:cs="Times New Roman"/>
                <w:b/>
                <w:noProof/>
              </w:rPr>
              <w:t>Indicatori cantitativi</w:t>
            </w:r>
            <w:r>
              <w:rPr>
                <w:rFonts w:ascii="Times New Roman" w:eastAsia="Calibri" w:hAnsi="Times New Roman" w:cs="Times New Roman"/>
                <w:noProof/>
              </w:rPr>
              <w:br/>
            </w:r>
            <w:r>
              <w:rPr>
                <w:rFonts w:ascii="Times New Roman" w:eastAsia="Times New Roman" w:hAnsi="Times New Roman" w:cs="Times New Roman"/>
                <w:b/>
                <w:noProof/>
              </w:rPr>
              <w:t>(pentru obiective)</w:t>
            </w:r>
          </w:p>
        </w:tc>
        <w:tc>
          <w:tcPr>
            <w:tcW w:w="1491" w:type="dxa"/>
            <w:gridSpan w:val="2"/>
            <w:shd w:val="clear" w:color="auto" w:fill="BDD7EE"/>
            <w:vAlign w:val="center"/>
            <w:hideMark/>
          </w:tcPr>
          <w:p w14:paraId="3AACFF6D" w14:textId="77777777" w:rsidR="00FA7C11" w:rsidRDefault="00D84965">
            <w:pPr>
              <w:pStyle w:val="P68B1DB1-Normal58"/>
              <w:spacing w:after="0" w:line="276" w:lineRule="auto"/>
              <w:jc w:val="center"/>
              <w:rPr>
                <w:bCs/>
                <w:noProof/>
              </w:rPr>
            </w:pPr>
            <w:r>
              <w:rPr>
                <w:noProof/>
              </w:rPr>
              <w:t>Timp</w:t>
            </w:r>
          </w:p>
        </w:tc>
        <w:tc>
          <w:tcPr>
            <w:tcW w:w="3953" w:type="dxa"/>
            <w:vMerge w:val="restart"/>
            <w:shd w:val="clear" w:color="auto" w:fill="BDD7EE"/>
            <w:vAlign w:val="center"/>
            <w:hideMark/>
          </w:tcPr>
          <w:p w14:paraId="19CFC9D3" w14:textId="77777777" w:rsidR="00FA7C11" w:rsidRDefault="00D84965">
            <w:pPr>
              <w:pStyle w:val="P68B1DB1-Normal58"/>
              <w:spacing w:after="0" w:line="276" w:lineRule="auto"/>
              <w:jc w:val="center"/>
              <w:rPr>
                <w:bCs/>
                <w:noProof/>
              </w:rPr>
            </w:pPr>
            <w:r>
              <w:rPr>
                <w:noProof/>
              </w:rPr>
              <w:t>Descrierea fiecărui jalon și a fiecărei ținte</w:t>
            </w:r>
          </w:p>
        </w:tc>
      </w:tr>
      <w:tr w:rsidR="00FA7C11" w14:paraId="1E1C3DFE" w14:textId="77777777">
        <w:trPr>
          <w:tblHeader/>
          <w:jc w:val="center"/>
        </w:trPr>
        <w:tc>
          <w:tcPr>
            <w:tcW w:w="846" w:type="dxa"/>
            <w:vMerge/>
            <w:hideMark/>
          </w:tcPr>
          <w:p w14:paraId="304BE563"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134" w:type="dxa"/>
            <w:vMerge/>
            <w:hideMark/>
          </w:tcPr>
          <w:p w14:paraId="6AABD078"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1010" w:type="dxa"/>
            <w:vMerge/>
            <w:hideMark/>
          </w:tcPr>
          <w:p w14:paraId="5C696CB3" w14:textId="77777777" w:rsidR="00FA7C11" w:rsidRDefault="00FA7C11">
            <w:pPr>
              <w:spacing w:after="0" w:line="276" w:lineRule="auto"/>
              <w:jc w:val="center"/>
              <w:rPr>
                <w:rFonts w:ascii="Times New Roman" w:eastAsia="Times New Roman" w:hAnsi="Times New Roman" w:cs="Times New Roman"/>
                <w:b/>
                <w:noProof/>
                <w:sz w:val="20"/>
                <w:szCs w:val="20"/>
              </w:rPr>
            </w:pPr>
          </w:p>
        </w:tc>
        <w:tc>
          <w:tcPr>
            <w:tcW w:w="2250" w:type="dxa"/>
            <w:vMerge/>
            <w:hideMark/>
          </w:tcPr>
          <w:p w14:paraId="537BF873" w14:textId="77777777" w:rsidR="00FA7C11" w:rsidRDefault="00FA7C11">
            <w:pPr>
              <w:spacing w:after="0" w:line="276" w:lineRule="auto"/>
              <w:rPr>
                <w:rFonts w:ascii="Times New Roman" w:eastAsia="Times New Roman" w:hAnsi="Times New Roman" w:cs="Times New Roman"/>
                <w:b/>
                <w:noProof/>
                <w:sz w:val="20"/>
                <w:szCs w:val="20"/>
              </w:rPr>
            </w:pPr>
          </w:p>
        </w:tc>
        <w:tc>
          <w:tcPr>
            <w:tcW w:w="2126" w:type="dxa"/>
            <w:vMerge/>
            <w:hideMark/>
          </w:tcPr>
          <w:p w14:paraId="55F7436B" w14:textId="77777777" w:rsidR="00FA7C11" w:rsidRDefault="00FA7C11">
            <w:pPr>
              <w:spacing w:after="0" w:line="276" w:lineRule="auto"/>
              <w:rPr>
                <w:rFonts w:ascii="Times New Roman" w:eastAsia="Times New Roman" w:hAnsi="Times New Roman" w:cs="Times New Roman"/>
                <w:b/>
                <w:noProof/>
                <w:sz w:val="20"/>
                <w:szCs w:val="20"/>
              </w:rPr>
            </w:pPr>
          </w:p>
        </w:tc>
        <w:tc>
          <w:tcPr>
            <w:tcW w:w="851" w:type="dxa"/>
            <w:shd w:val="clear" w:color="auto" w:fill="BDD7EE"/>
            <w:hideMark/>
          </w:tcPr>
          <w:p w14:paraId="09E25271" w14:textId="77777777" w:rsidR="00FA7C11" w:rsidRDefault="00D84965">
            <w:pPr>
              <w:pStyle w:val="P68B1DB1-Normal58"/>
              <w:spacing w:after="0" w:line="276" w:lineRule="auto"/>
              <w:jc w:val="center"/>
              <w:rPr>
                <w:bCs/>
                <w:noProof/>
              </w:rPr>
            </w:pPr>
            <w:r>
              <w:rPr>
                <w:noProof/>
              </w:rPr>
              <w:t>Unitate</w:t>
            </w:r>
          </w:p>
        </w:tc>
        <w:tc>
          <w:tcPr>
            <w:tcW w:w="850" w:type="dxa"/>
            <w:shd w:val="clear" w:color="auto" w:fill="BDD7EE"/>
            <w:hideMark/>
          </w:tcPr>
          <w:p w14:paraId="4A81621C" w14:textId="77777777" w:rsidR="00FA7C11" w:rsidRDefault="00D84965">
            <w:pPr>
              <w:pStyle w:val="P68B1DB1-Normal58"/>
              <w:spacing w:after="0" w:line="276" w:lineRule="auto"/>
              <w:jc w:val="center"/>
              <w:rPr>
                <w:bCs/>
                <w:noProof/>
              </w:rPr>
            </w:pPr>
            <w:r>
              <w:rPr>
                <w:noProof/>
              </w:rPr>
              <w:t>Situația de referință</w:t>
            </w:r>
          </w:p>
        </w:tc>
        <w:tc>
          <w:tcPr>
            <w:tcW w:w="1077" w:type="dxa"/>
            <w:shd w:val="clear" w:color="auto" w:fill="BDD7EE"/>
            <w:hideMark/>
          </w:tcPr>
          <w:p w14:paraId="609DBAB0" w14:textId="77777777" w:rsidR="00FA7C11" w:rsidRDefault="00D84965">
            <w:pPr>
              <w:pStyle w:val="P68B1DB1-Normal58"/>
              <w:spacing w:after="0" w:line="276" w:lineRule="auto"/>
              <w:jc w:val="center"/>
              <w:rPr>
                <w:bCs/>
                <w:noProof/>
              </w:rPr>
            </w:pPr>
            <w:r>
              <w:rPr>
                <w:noProof/>
              </w:rPr>
              <w:t>Obiectiv</w:t>
            </w:r>
          </w:p>
        </w:tc>
        <w:tc>
          <w:tcPr>
            <w:tcW w:w="891" w:type="dxa"/>
            <w:shd w:val="clear" w:color="auto" w:fill="BDD7EE"/>
            <w:hideMark/>
          </w:tcPr>
          <w:p w14:paraId="1E0FEF12" w14:textId="77777777" w:rsidR="00FA7C11" w:rsidRDefault="00D84965">
            <w:pPr>
              <w:pStyle w:val="P68B1DB1-Normal58"/>
              <w:spacing w:after="0" w:line="276" w:lineRule="auto"/>
              <w:jc w:val="center"/>
              <w:rPr>
                <w:bCs/>
                <w:noProof/>
              </w:rPr>
            </w:pPr>
            <w:r>
              <w:rPr>
                <w:noProof/>
              </w:rPr>
              <w:t>Trimestru</w:t>
            </w:r>
          </w:p>
        </w:tc>
        <w:tc>
          <w:tcPr>
            <w:tcW w:w="600" w:type="dxa"/>
            <w:shd w:val="clear" w:color="auto" w:fill="BDD7EE"/>
            <w:hideMark/>
          </w:tcPr>
          <w:p w14:paraId="6453460D" w14:textId="77777777" w:rsidR="00FA7C11" w:rsidRDefault="00D84965">
            <w:pPr>
              <w:pStyle w:val="P68B1DB1-Normal58"/>
              <w:spacing w:after="0" w:line="276" w:lineRule="auto"/>
              <w:jc w:val="center"/>
              <w:rPr>
                <w:bCs/>
                <w:noProof/>
              </w:rPr>
            </w:pPr>
            <w:r>
              <w:rPr>
                <w:noProof/>
              </w:rPr>
              <w:t>Anul</w:t>
            </w:r>
          </w:p>
        </w:tc>
        <w:tc>
          <w:tcPr>
            <w:tcW w:w="3953" w:type="dxa"/>
            <w:vMerge/>
            <w:hideMark/>
          </w:tcPr>
          <w:p w14:paraId="69B3499F" w14:textId="77777777" w:rsidR="00FA7C11" w:rsidRDefault="00FA7C11">
            <w:pPr>
              <w:spacing w:after="0" w:line="276" w:lineRule="auto"/>
              <w:rPr>
                <w:rFonts w:ascii="Times New Roman" w:eastAsia="Times New Roman" w:hAnsi="Times New Roman" w:cs="Times New Roman"/>
                <w:b/>
                <w:noProof/>
                <w:sz w:val="20"/>
                <w:szCs w:val="20"/>
              </w:rPr>
            </w:pPr>
          </w:p>
        </w:tc>
      </w:tr>
      <w:tr w:rsidR="00FA7C11" w14:paraId="1DFA5DD6" w14:textId="77777777">
        <w:trPr>
          <w:jc w:val="center"/>
        </w:trPr>
        <w:tc>
          <w:tcPr>
            <w:tcW w:w="846" w:type="dxa"/>
            <w:shd w:val="clear" w:color="auto" w:fill="C6EFCE"/>
            <w:noWrap/>
          </w:tcPr>
          <w:p w14:paraId="3C82FBF6" w14:textId="77777777" w:rsidR="00FA7C11" w:rsidRDefault="00D84965">
            <w:pPr>
              <w:pStyle w:val="P68B1DB1-Normal89"/>
              <w:spacing w:after="0" w:line="276" w:lineRule="auto"/>
              <w:jc w:val="center"/>
              <w:rPr>
                <w:rFonts w:eastAsia="Calibri"/>
                <w:noProof/>
              </w:rPr>
            </w:pPr>
            <w:r>
              <w:rPr>
                <w:noProof/>
              </w:rPr>
              <w:t>432</w:t>
            </w:r>
          </w:p>
          <w:p w14:paraId="0808D92C" w14:textId="77777777" w:rsidR="00FA7C11" w:rsidRDefault="00FA7C11">
            <w:pPr>
              <w:spacing w:after="0" w:line="276" w:lineRule="auto"/>
              <w:jc w:val="center"/>
              <w:rPr>
                <w:rFonts w:ascii="Times New Roman" w:hAnsi="Times New Roman" w:cs="Times New Roman"/>
                <w:noProof/>
                <w:sz w:val="20"/>
                <w:szCs w:val="20"/>
              </w:rPr>
            </w:pPr>
          </w:p>
        </w:tc>
        <w:tc>
          <w:tcPr>
            <w:tcW w:w="1134" w:type="dxa"/>
            <w:shd w:val="clear" w:color="auto" w:fill="C6EFCE"/>
            <w:noWrap/>
          </w:tcPr>
          <w:p w14:paraId="5680276D" w14:textId="77777777" w:rsidR="00FA7C11" w:rsidRDefault="00D84965">
            <w:pPr>
              <w:pStyle w:val="P68B1DB1-Normal102"/>
              <w:spacing w:after="200" w:line="276" w:lineRule="auto"/>
              <w:jc w:val="center"/>
              <w:rPr>
                <w:noProof/>
                <w:color w:val="000000" w:themeColor="text1"/>
              </w:rPr>
            </w:pPr>
            <w:r>
              <w:rPr>
                <w:noProof/>
              </w:rPr>
              <w:t>C7.2 R3</w:t>
            </w:r>
          </w:p>
        </w:tc>
        <w:tc>
          <w:tcPr>
            <w:tcW w:w="1010" w:type="dxa"/>
            <w:shd w:val="clear" w:color="auto" w:fill="C6EFCE"/>
            <w:noWrap/>
          </w:tcPr>
          <w:p w14:paraId="0D757484" w14:textId="77777777" w:rsidR="00FA7C11" w:rsidRDefault="00D84965">
            <w:pPr>
              <w:pStyle w:val="P68B1DB1-Normal70"/>
              <w:spacing w:after="200" w:line="276" w:lineRule="auto"/>
              <w:jc w:val="center"/>
              <w:rPr>
                <w:noProof/>
              </w:rPr>
            </w:pPr>
            <w:r>
              <w:rPr>
                <w:noProof/>
              </w:rPr>
              <w:t>T</w:t>
            </w:r>
          </w:p>
        </w:tc>
        <w:tc>
          <w:tcPr>
            <w:tcW w:w="2250" w:type="dxa"/>
            <w:shd w:val="clear" w:color="auto" w:fill="C6EFCE"/>
            <w:noWrap/>
          </w:tcPr>
          <w:p w14:paraId="6E039F5A" w14:textId="77777777" w:rsidR="00FA7C11" w:rsidRDefault="00D84965">
            <w:pPr>
              <w:pStyle w:val="P68B1DB1-Normal89"/>
              <w:spacing w:after="200" w:line="276" w:lineRule="auto"/>
              <w:rPr>
                <w:rFonts w:eastAsia="Calibri"/>
                <w:noProof/>
              </w:rPr>
            </w:pPr>
            <w:r>
              <w:rPr>
                <w:noProof/>
              </w:rPr>
              <w:t xml:space="preserve">Finalizarea proiectelor-pilot identificate prin strategiile de reînnoire urbană verde </w:t>
            </w:r>
          </w:p>
        </w:tc>
        <w:tc>
          <w:tcPr>
            <w:tcW w:w="2126" w:type="dxa"/>
            <w:shd w:val="clear" w:color="auto" w:fill="C6EFCE"/>
            <w:noWrap/>
          </w:tcPr>
          <w:p w14:paraId="1C0530C4" w14:textId="77777777" w:rsidR="00FA7C11" w:rsidRDefault="00FA7C11">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0E2C866E" w14:textId="77777777" w:rsidR="00FA7C11" w:rsidRDefault="00D84965">
            <w:pPr>
              <w:pStyle w:val="P68B1DB1-Normal70"/>
              <w:spacing w:after="200" w:line="276" w:lineRule="auto"/>
              <w:jc w:val="center"/>
              <w:rPr>
                <w:noProof/>
              </w:rPr>
            </w:pPr>
            <w:r>
              <w:rPr>
                <w:noProof/>
              </w:rPr>
              <w:t>Număr</w:t>
            </w:r>
          </w:p>
        </w:tc>
        <w:tc>
          <w:tcPr>
            <w:tcW w:w="850" w:type="dxa"/>
            <w:shd w:val="clear" w:color="auto" w:fill="C6EFCE"/>
            <w:noWrap/>
          </w:tcPr>
          <w:p w14:paraId="5D2DD86A" w14:textId="77777777" w:rsidR="00FA7C11" w:rsidRDefault="00D84965">
            <w:pPr>
              <w:pStyle w:val="P68B1DB1-Normal70"/>
              <w:spacing w:after="200" w:line="276" w:lineRule="auto"/>
              <w:jc w:val="center"/>
              <w:rPr>
                <w:noProof/>
              </w:rPr>
            </w:pPr>
            <w:r>
              <w:rPr>
                <w:noProof/>
              </w:rPr>
              <w:t>0</w:t>
            </w:r>
          </w:p>
        </w:tc>
        <w:tc>
          <w:tcPr>
            <w:tcW w:w="1077" w:type="dxa"/>
            <w:shd w:val="clear" w:color="auto" w:fill="C6EFCE"/>
            <w:noWrap/>
          </w:tcPr>
          <w:p w14:paraId="42D44C06" w14:textId="77777777" w:rsidR="00FA7C11" w:rsidRDefault="00D84965">
            <w:pPr>
              <w:pStyle w:val="P68B1DB1-Normal70"/>
              <w:spacing w:after="200" w:line="276" w:lineRule="auto"/>
              <w:jc w:val="center"/>
              <w:rPr>
                <w:noProof/>
                <w:highlight w:val="yellow"/>
              </w:rPr>
            </w:pPr>
            <w:r>
              <w:rPr>
                <w:noProof/>
              </w:rPr>
              <w:t>4</w:t>
            </w:r>
          </w:p>
        </w:tc>
        <w:tc>
          <w:tcPr>
            <w:tcW w:w="891" w:type="dxa"/>
            <w:shd w:val="clear" w:color="auto" w:fill="C6EFCE"/>
            <w:noWrap/>
          </w:tcPr>
          <w:p w14:paraId="65756323" w14:textId="77777777" w:rsidR="00FA7C11" w:rsidRDefault="00D84965">
            <w:pPr>
              <w:pStyle w:val="P68B1DB1-Normal70"/>
              <w:spacing w:after="200" w:line="276" w:lineRule="auto"/>
              <w:jc w:val="center"/>
              <w:rPr>
                <w:noProof/>
              </w:rPr>
            </w:pPr>
            <w:r>
              <w:rPr>
                <w:noProof/>
              </w:rPr>
              <w:t>Î2</w:t>
            </w:r>
          </w:p>
        </w:tc>
        <w:tc>
          <w:tcPr>
            <w:tcW w:w="600" w:type="dxa"/>
            <w:shd w:val="clear" w:color="auto" w:fill="C6EFCE"/>
            <w:noWrap/>
          </w:tcPr>
          <w:p w14:paraId="63691133" w14:textId="77777777" w:rsidR="00FA7C11" w:rsidRDefault="00D84965">
            <w:pPr>
              <w:pStyle w:val="P68B1DB1-Normal70"/>
              <w:spacing w:after="200" w:line="276" w:lineRule="auto"/>
              <w:jc w:val="center"/>
              <w:rPr>
                <w:noProof/>
              </w:rPr>
            </w:pPr>
            <w:r>
              <w:rPr>
                <w:noProof/>
              </w:rPr>
              <w:t>2026</w:t>
            </w:r>
          </w:p>
        </w:tc>
        <w:tc>
          <w:tcPr>
            <w:tcW w:w="3953" w:type="dxa"/>
            <w:shd w:val="clear" w:color="auto" w:fill="C6EFCE"/>
            <w:noWrap/>
          </w:tcPr>
          <w:p w14:paraId="50C5C969" w14:textId="77777777" w:rsidR="00FA7C11" w:rsidRDefault="00D84965">
            <w:pPr>
              <w:pStyle w:val="P68B1DB1-Normal89"/>
              <w:rPr>
                <w:noProof/>
              </w:rPr>
            </w:pPr>
            <w:r>
              <w:rPr>
                <w:noProof/>
              </w:rPr>
              <w:t>Se finalizează cel puțin patru proiecte-pilot identificate prin strategiile de reînnoire urbană verde.</w:t>
            </w:r>
          </w:p>
          <w:p w14:paraId="4ECCB2F6" w14:textId="77777777" w:rsidR="00FA7C11" w:rsidRDefault="00FA7C11">
            <w:pPr>
              <w:spacing w:after="200" w:line="276" w:lineRule="auto"/>
              <w:rPr>
                <w:rFonts w:ascii="Times New Roman" w:eastAsia="Calibri" w:hAnsi="Times New Roman" w:cs="Times New Roman"/>
                <w:noProof/>
                <w:color w:val="000000"/>
                <w:sz w:val="20"/>
                <w:szCs w:val="20"/>
                <w:highlight w:val="yellow"/>
              </w:rPr>
            </w:pPr>
          </w:p>
        </w:tc>
      </w:tr>
      <w:tr w:rsidR="00FA7C11" w14:paraId="32CBF060" w14:textId="77777777">
        <w:trPr>
          <w:jc w:val="center"/>
        </w:trPr>
        <w:tc>
          <w:tcPr>
            <w:tcW w:w="846" w:type="dxa"/>
            <w:shd w:val="clear" w:color="auto" w:fill="C6EFCE"/>
            <w:noWrap/>
          </w:tcPr>
          <w:p w14:paraId="28EEA5BF" w14:textId="77777777" w:rsidR="00FA7C11" w:rsidRDefault="00D84965">
            <w:pPr>
              <w:pStyle w:val="P68B1DB1-Normal89"/>
              <w:spacing w:after="0" w:line="276" w:lineRule="auto"/>
              <w:jc w:val="center"/>
              <w:rPr>
                <w:noProof/>
              </w:rPr>
            </w:pPr>
            <w:r>
              <w:rPr>
                <w:noProof/>
              </w:rPr>
              <w:t>433</w:t>
            </w:r>
          </w:p>
          <w:p w14:paraId="66596368" w14:textId="77777777" w:rsidR="00FA7C11" w:rsidRDefault="00FA7C11">
            <w:pPr>
              <w:spacing w:after="0" w:line="276" w:lineRule="auto"/>
              <w:jc w:val="center"/>
              <w:rPr>
                <w:rFonts w:ascii="Times New Roman" w:hAnsi="Times New Roman" w:cs="Times New Roman"/>
                <w:noProof/>
                <w:sz w:val="20"/>
                <w:szCs w:val="20"/>
              </w:rPr>
            </w:pPr>
          </w:p>
        </w:tc>
        <w:tc>
          <w:tcPr>
            <w:tcW w:w="1134" w:type="dxa"/>
            <w:shd w:val="clear" w:color="auto" w:fill="C6EFCE"/>
            <w:noWrap/>
          </w:tcPr>
          <w:p w14:paraId="0E477084" w14:textId="77777777" w:rsidR="00FA7C11" w:rsidRDefault="00D84965">
            <w:pPr>
              <w:pStyle w:val="P68B1DB1-Normal102"/>
              <w:spacing w:after="200" w:line="276" w:lineRule="auto"/>
              <w:jc w:val="center"/>
              <w:rPr>
                <w:noProof/>
                <w:color w:val="000000" w:themeColor="text1"/>
              </w:rPr>
            </w:pPr>
            <w:r>
              <w:rPr>
                <w:noProof/>
              </w:rPr>
              <w:t>C7.2 R4</w:t>
            </w:r>
          </w:p>
          <w:p w14:paraId="65B4225C" w14:textId="77777777" w:rsidR="00FA7C11" w:rsidRDefault="00FA7C11">
            <w:pPr>
              <w:spacing w:after="200" w:line="276" w:lineRule="auto"/>
              <w:jc w:val="center"/>
              <w:rPr>
                <w:rFonts w:ascii="Times New Roman" w:hAnsi="Times New Roman" w:cs="Times New Roman"/>
                <w:noProof/>
                <w:color w:val="000000" w:themeColor="text1"/>
                <w:sz w:val="20"/>
                <w:szCs w:val="20"/>
                <w:u w:val="single"/>
              </w:rPr>
            </w:pPr>
          </w:p>
        </w:tc>
        <w:tc>
          <w:tcPr>
            <w:tcW w:w="1010" w:type="dxa"/>
            <w:shd w:val="clear" w:color="auto" w:fill="C6EFCE"/>
            <w:noWrap/>
          </w:tcPr>
          <w:p w14:paraId="4A971C48" w14:textId="77777777" w:rsidR="00FA7C11" w:rsidRDefault="00D84965">
            <w:pPr>
              <w:pStyle w:val="P68B1DB1-Normal70"/>
              <w:spacing w:after="200" w:line="276" w:lineRule="auto"/>
              <w:jc w:val="center"/>
              <w:rPr>
                <w:noProof/>
              </w:rPr>
            </w:pPr>
            <w:r>
              <w:rPr>
                <w:noProof/>
              </w:rPr>
              <w:t>M</w:t>
            </w:r>
          </w:p>
        </w:tc>
        <w:tc>
          <w:tcPr>
            <w:tcW w:w="2250" w:type="dxa"/>
            <w:shd w:val="clear" w:color="auto" w:fill="C6EFCE"/>
            <w:noWrap/>
          </w:tcPr>
          <w:p w14:paraId="2224CF79" w14:textId="77777777" w:rsidR="00FA7C11" w:rsidRDefault="00D84965">
            <w:pPr>
              <w:pStyle w:val="P68B1DB1-Normal89"/>
              <w:spacing w:after="200" w:line="276" w:lineRule="auto"/>
              <w:rPr>
                <w:noProof/>
              </w:rPr>
            </w:pPr>
            <w:r>
              <w:rPr>
                <w:noProof/>
              </w:rPr>
              <w:t xml:space="preserve">Program educațional pentru lucrătorii din țări terțe </w:t>
            </w:r>
          </w:p>
        </w:tc>
        <w:tc>
          <w:tcPr>
            <w:tcW w:w="2126" w:type="dxa"/>
            <w:shd w:val="clear" w:color="auto" w:fill="C6EFCE"/>
            <w:noWrap/>
          </w:tcPr>
          <w:p w14:paraId="79381C36" w14:textId="77777777" w:rsidR="00FA7C11" w:rsidRDefault="00D84965">
            <w:pPr>
              <w:pStyle w:val="P68B1DB1-Normal70"/>
              <w:spacing w:after="200" w:line="276" w:lineRule="auto"/>
              <w:rPr>
                <w:noProof/>
              </w:rPr>
            </w:pPr>
            <w:r>
              <w:rPr>
                <w:noProof/>
              </w:rPr>
              <w:t>Program educațional care acoperă teme de renovare concepute</w:t>
            </w:r>
          </w:p>
        </w:tc>
        <w:tc>
          <w:tcPr>
            <w:tcW w:w="851" w:type="dxa"/>
            <w:shd w:val="clear" w:color="auto" w:fill="C6EFCE"/>
            <w:noWrap/>
          </w:tcPr>
          <w:p w14:paraId="789F39DA" w14:textId="77777777" w:rsidR="00FA7C11" w:rsidRDefault="00FA7C11">
            <w:pPr>
              <w:spacing w:after="200" w:line="276" w:lineRule="auto"/>
              <w:jc w:val="center"/>
              <w:rPr>
                <w:rFonts w:ascii="Times New Roman" w:eastAsia="Calibri" w:hAnsi="Times New Roman" w:cs="Times New Roman"/>
                <w:noProof/>
                <w:sz w:val="20"/>
                <w:szCs w:val="20"/>
              </w:rPr>
            </w:pPr>
          </w:p>
        </w:tc>
        <w:tc>
          <w:tcPr>
            <w:tcW w:w="850" w:type="dxa"/>
            <w:shd w:val="clear" w:color="auto" w:fill="C6EFCE"/>
            <w:noWrap/>
          </w:tcPr>
          <w:p w14:paraId="0F7B5250" w14:textId="77777777" w:rsidR="00FA7C11" w:rsidRDefault="00FA7C11">
            <w:pPr>
              <w:spacing w:after="200" w:line="276" w:lineRule="auto"/>
              <w:jc w:val="center"/>
              <w:rPr>
                <w:rFonts w:ascii="Times New Roman" w:eastAsia="Calibri" w:hAnsi="Times New Roman" w:cs="Times New Roman"/>
                <w:noProof/>
                <w:sz w:val="20"/>
                <w:szCs w:val="20"/>
              </w:rPr>
            </w:pPr>
          </w:p>
        </w:tc>
        <w:tc>
          <w:tcPr>
            <w:tcW w:w="1077" w:type="dxa"/>
            <w:shd w:val="clear" w:color="auto" w:fill="C6EFCE"/>
            <w:noWrap/>
          </w:tcPr>
          <w:p w14:paraId="0911931E" w14:textId="77777777" w:rsidR="00FA7C11" w:rsidRDefault="00FA7C11">
            <w:pPr>
              <w:spacing w:after="200" w:line="276" w:lineRule="auto"/>
              <w:jc w:val="center"/>
              <w:rPr>
                <w:rFonts w:ascii="Times New Roman" w:eastAsia="Calibri" w:hAnsi="Times New Roman" w:cs="Times New Roman"/>
                <w:noProof/>
                <w:sz w:val="20"/>
                <w:szCs w:val="20"/>
                <w:highlight w:val="yellow"/>
              </w:rPr>
            </w:pPr>
          </w:p>
        </w:tc>
        <w:tc>
          <w:tcPr>
            <w:tcW w:w="891" w:type="dxa"/>
            <w:shd w:val="clear" w:color="auto" w:fill="C6EFCE"/>
            <w:noWrap/>
          </w:tcPr>
          <w:p w14:paraId="0245A764" w14:textId="77777777" w:rsidR="00FA7C11" w:rsidRDefault="00D84965">
            <w:pPr>
              <w:pStyle w:val="P68B1DB1-Normal70"/>
              <w:spacing w:after="200" w:line="276" w:lineRule="auto"/>
              <w:jc w:val="center"/>
              <w:rPr>
                <w:noProof/>
              </w:rPr>
            </w:pPr>
            <w:r>
              <w:rPr>
                <w:noProof/>
              </w:rPr>
              <w:t>Î1</w:t>
            </w:r>
          </w:p>
        </w:tc>
        <w:tc>
          <w:tcPr>
            <w:tcW w:w="600" w:type="dxa"/>
            <w:shd w:val="clear" w:color="auto" w:fill="C6EFCE"/>
            <w:noWrap/>
          </w:tcPr>
          <w:p w14:paraId="4533515D" w14:textId="77777777" w:rsidR="00FA7C11" w:rsidRDefault="00D84965">
            <w:pPr>
              <w:pStyle w:val="P68B1DB1-Normal70"/>
              <w:spacing w:after="200" w:line="276" w:lineRule="auto"/>
              <w:jc w:val="center"/>
              <w:rPr>
                <w:noProof/>
              </w:rPr>
            </w:pPr>
            <w:r>
              <w:rPr>
                <w:noProof/>
              </w:rPr>
              <w:t>2025</w:t>
            </w:r>
          </w:p>
        </w:tc>
        <w:tc>
          <w:tcPr>
            <w:tcW w:w="3953" w:type="dxa"/>
            <w:shd w:val="clear" w:color="auto" w:fill="C6EFCE"/>
            <w:noWrap/>
          </w:tcPr>
          <w:p w14:paraId="143AE766" w14:textId="48D15FA7" w:rsidR="00FA7C11" w:rsidRDefault="00D84965">
            <w:pPr>
              <w:pStyle w:val="P68B1DB1-Normal89"/>
              <w:rPr>
                <w:noProof/>
              </w:rPr>
            </w:pPr>
            <w:r>
              <w:rPr>
                <w:noProof/>
              </w:rPr>
              <w:t>Trebuie conceput un program de educație a adulților care să acopere proiectele de renovare.</w:t>
            </w:r>
          </w:p>
        </w:tc>
      </w:tr>
      <w:tr w:rsidR="00FA7C11" w14:paraId="099A4C65" w14:textId="77777777">
        <w:trPr>
          <w:jc w:val="center"/>
        </w:trPr>
        <w:tc>
          <w:tcPr>
            <w:tcW w:w="846" w:type="dxa"/>
            <w:shd w:val="clear" w:color="auto" w:fill="C6EFCE"/>
            <w:noWrap/>
          </w:tcPr>
          <w:p w14:paraId="54D14ED1" w14:textId="77777777" w:rsidR="00FA7C11" w:rsidRDefault="00D84965">
            <w:pPr>
              <w:pStyle w:val="P68B1DB1-Normal89"/>
              <w:spacing w:after="0" w:line="276" w:lineRule="auto"/>
              <w:jc w:val="center"/>
              <w:rPr>
                <w:noProof/>
                <w:highlight w:val="yellow"/>
              </w:rPr>
            </w:pPr>
            <w:r>
              <w:rPr>
                <w:noProof/>
              </w:rPr>
              <w:t>435</w:t>
            </w:r>
          </w:p>
        </w:tc>
        <w:tc>
          <w:tcPr>
            <w:tcW w:w="1134" w:type="dxa"/>
            <w:shd w:val="clear" w:color="auto" w:fill="C6EFCE"/>
            <w:noWrap/>
          </w:tcPr>
          <w:p w14:paraId="7CC98DC0" w14:textId="77777777" w:rsidR="00FA7C11" w:rsidRDefault="00D84965">
            <w:pPr>
              <w:pStyle w:val="P68B1DB1-Normal102"/>
              <w:spacing w:after="200" w:line="276" w:lineRule="auto"/>
              <w:jc w:val="center"/>
              <w:rPr>
                <w:noProof/>
                <w:color w:val="000000" w:themeColor="text1"/>
                <w:highlight w:val="yellow"/>
              </w:rPr>
            </w:pPr>
            <w:r>
              <w:rPr>
                <w:noProof/>
              </w:rPr>
              <w:t>C7.2 I1</w:t>
            </w:r>
          </w:p>
        </w:tc>
        <w:tc>
          <w:tcPr>
            <w:tcW w:w="1010" w:type="dxa"/>
            <w:shd w:val="clear" w:color="auto" w:fill="C6EFCE"/>
            <w:noWrap/>
          </w:tcPr>
          <w:p w14:paraId="5B4FF92E" w14:textId="77777777" w:rsidR="00FA7C11" w:rsidRDefault="00D84965">
            <w:pPr>
              <w:pStyle w:val="P68B1DB1-Normal70"/>
              <w:spacing w:after="200" w:line="276" w:lineRule="auto"/>
              <w:jc w:val="center"/>
              <w:rPr>
                <w:noProof/>
              </w:rPr>
            </w:pPr>
            <w:r>
              <w:rPr>
                <w:noProof/>
              </w:rPr>
              <w:t>T</w:t>
            </w:r>
          </w:p>
        </w:tc>
        <w:tc>
          <w:tcPr>
            <w:tcW w:w="2250" w:type="dxa"/>
            <w:shd w:val="clear" w:color="auto" w:fill="C6EFCE"/>
            <w:noWrap/>
          </w:tcPr>
          <w:p w14:paraId="2617526C" w14:textId="77777777" w:rsidR="00FA7C11" w:rsidRDefault="00D84965">
            <w:pPr>
              <w:pStyle w:val="P68B1DB1-Normal66"/>
              <w:spacing w:after="200" w:line="276" w:lineRule="auto"/>
              <w:rPr>
                <w:noProof/>
                <w:color w:val="000000" w:themeColor="text1"/>
                <w:highlight w:val="yellow"/>
              </w:rPr>
            </w:pPr>
            <w:r>
              <w:rPr>
                <w:noProof/>
              </w:rPr>
              <w:t>Renovarea energetică a imobilelor colective</w:t>
            </w:r>
          </w:p>
        </w:tc>
        <w:tc>
          <w:tcPr>
            <w:tcW w:w="2126" w:type="dxa"/>
            <w:shd w:val="clear" w:color="auto" w:fill="C6EFCE"/>
            <w:noWrap/>
          </w:tcPr>
          <w:p w14:paraId="67C1C49C" w14:textId="77777777" w:rsidR="00FA7C11" w:rsidRDefault="00FA7C11">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0FA08A8A" w14:textId="77777777" w:rsidR="00FA7C11" w:rsidRDefault="00D84965">
            <w:pPr>
              <w:pStyle w:val="P68B1DB1-Normal66"/>
              <w:spacing w:after="200" w:line="276" w:lineRule="auto"/>
              <w:jc w:val="center"/>
              <w:rPr>
                <w:noProof/>
                <w:color w:val="000000" w:themeColor="text1"/>
              </w:rPr>
            </w:pPr>
            <w:r>
              <w:rPr>
                <w:noProof/>
              </w:rPr>
              <w:t>Număr (m²)</w:t>
            </w:r>
          </w:p>
        </w:tc>
        <w:tc>
          <w:tcPr>
            <w:tcW w:w="850" w:type="dxa"/>
            <w:shd w:val="clear" w:color="auto" w:fill="C6EFCE"/>
            <w:noWrap/>
          </w:tcPr>
          <w:p w14:paraId="1CEF78E5" w14:textId="77777777" w:rsidR="00FA7C11" w:rsidRDefault="00D84965">
            <w:pPr>
              <w:pStyle w:val="P68B1DB1-Normal70"/>
              <w:spacing w:after="200" w:line="276" w:lineRule="auto"/>
              <w:jc w:val="center"/>
              <w:rPr>
                <w:noProof/>
              </w:rPr>
            </w:pPr>
            <w:r>
              <w:rPr>
                <w:noProof/>
              </w:rPr>
              <w:t>0</w:t>
            </w:r>
          </w:p>
        </w:tc>
        <w:tc>
          <w:tcPr>
            <w:tcW w:w="1077" w:type="dxa"/>
            <w:shd w:val="clear" w:color="auto" w:fill="C6EFCE"/>
            <w:noWrap/>
          </w:tcPr>
          <w:p w14:paraId="29FDBBD7" w14:textId="77777777" w:rsidR="00FA7C11" w:rsidRDefault="00D84965">
            <w:pPr>
              <w:pStyle w:val="P68B1DB1-Normal70"/>
              <w:spacing w:after="200" w:line="276" w:lineRule="auto"/>
              <w:jc w:val="center"/>
              <w:rPr>
                <w:noProof/>
              </w:rPr>
            </w:pPr>
            <w:r>
              <w:rPr>
                <w:noProof/>
              </w:rPr>
              <w:t>361 431</w:t>
            </w:r>
          </w:p>
        </w:tc>
        <w:tc>
          <w:tcPr>
            <w:tcW w:w="891" w:type="dxa"/>
            <w:shd w:val="clear" w:color="auto" w:fill="C6EFCE"/>
            <w:noWrap/>
          </w:tcPr>
          <w:p w14:paraId="061BE7FF" w14:textId="77777777" w:rsidR="00FA7C11" w:rsidRDefault="00D84965">
            <w:pPr>
              <w:pStyle w:val="P68B1DB1-Normal70"/>
              <w:spacing w:after="200" w:line="276" w:lineRule="auto"/>
              <w:jc w:val="center"/>
              <w:rPr>
                <w:noProof/>
                <w:highlight w:val="yellow"/>
              </w:rPr>
            </w:pPr>
            <w:r>
              <w:rPr>
                <w:noProof/>
              </w:rPr>
              <w:t>Î2</w:t>
            </w:r>
          </w:p>
        </w:tc>
        <w:tc>
          <w:tcPr>
            <w:tcW w:w="600" w:type="dxa"/>
            <w:shd w:val="clear" w:color="auto" w:fill="C6EFCE"/>
            <w:noWrap/>
          </w:tcPr>
          <w:p w14:paraId="779FE0A6" w14:textId="77777777" w:rsidR="00FA7C11" w:rsidRDefault="00D84965">
            <w:pPr>
              <w:pStyle w:val="P68B1DB1-Normal70"/>
              <w:spacing w:after="200" w:line="276" w:lineRule="auto"/>
              <w:jc w:val="center"/>
              <w:rPr>
                <w:noProof/>
                <w:highlight w:val="yellow"/>
              </w:rPr>
            </w:pPr>
            <w:r>
              <w:rPr>
                <w:noProof/>
              </w:rPr>
              <w:t>2026</w:t>
            </w:r>
          </w:p>
        </w:tc>
        <w:tc>
          <w:tcPr>
            <w:tcW w:w="3953" w:type="dxa"/>
            <w:shd w:val="clear" w:color="auto" w:fill="C6EFCE"/>
            <w:noWrap/>
          </w:tcPr>
          <w:p w14:paraId="4B7A374A" w14:textId="3C45F502" w:rsidR="00FA7C11" w:rsidRDefault="00D84965">
            <w:pPr>
              <w:pStyle w:val="P68B1DB1-Normal66"/>
              <w:spacing w:after="200" w:line="276" w:lineRule="auto"/>
              <w:rPr>
                <w:noProof/>
              </w:rPr>
            </w:pPr>
            <w:r>
              <w:rPr>
                <w:noProof/>
              </w:rPr>
              <w:t xml:space="preserve">Renovarea energetică a cel puțin 361 431 m² de clădiri cu mai multe locuințe, îndeplinind o cerință minimă de reducere a consumului de energie pentru încălzire cu cel puțin 50 % în comparație cu consumul anual de energie pentru încălzire înainte de renovare pentru fiecare clădire (cu excepția clădirii cu statut de bun cultural), ceea ce asigură o creștere cu 30 % a economiilor de energie primară la nivelul obiectivului în comparație cu starea anterioară renovării și este în conformitate cu principiul DNSH. </w:t>
            </w:r>
          </w:p>
          <w:p w14:paraId="2AA7FCCF" w14:textId="77777777" w:rsidR="00FA7C11" w:rsidRDefault="00D84965">
            <w:pPr>
              <w:pStyle w:val="P68B1DB1-Normal66"/>
              <w:spacing w:after="200" w:line="276" w:lineRule="auto"/>
              <w:rPr>
                <w:noProof/>
                <w:color w:val="000000" w:themeColor="text1"/>
                <w:highlight w:val="yellow"/>
              </w:rPr>
            </w:pPr>
            <w:r>
              <w:rPr>
                <w:noProof/>
              </w:rPr>
              <w:t>Costul instalării cazanelor cu condensare de gaz care înlocuiesc cazanele existente pe bază de gaz, cărbune și petrol reprezintă cel mult 20 % din costul renovării.</w:t>
            </w:r>
          </w:p>
        </w:tc>
      </w:tr>
      <w:tr w:rsidR="00FA7C11" w14:paraId="0D52C017" w14:textId="77777777">
        <w:trPr>
          <w:jc w:val="center"/>
        </w:trPr>
        <w:tc>
          <w:tcPr>
            <w:tcW w:w="846" w:type="dxa"/>
            <w:shd w:val="clear" w:color="auto" w:fill="C6EFCE"/>
            <w:noWrap/>
          </w:tcPr>
          <w:p w14:paraId="7F718532" w14:textId="77777777" w:rsidR="00FA7C11" w:rsidRDefault="00D84965">
            <w:pPr>
              <w:pStyle w:val="P68B1DB1-Normal89"/>
              <w:spacing w:after="0" w:line="276" w:lineRule="auto"/>
              <w:jc w:val="center"/>
              <w:rPr>
                <w:noProof/>
                <w:highlight w:val="yellow"/>
              </w:rPr>
            </w:pPr>
            <w:r>
              <w:rPr>
                <w:noProof/>
              </w:rPr>
              <w:t>436</w:t>
            </w:r>
          </w:p>
        </w:tc>
        <w:tc>
          <w:tcPr>
            <w:tcW w:w="1134" w:type="dxa"/>
            <w:shd w:val="clear" w:color="auto" w:fill="C6EFCE"/>
            <w:noWrap/>
          </w:tcPr>
          <w:p w14:paraId="410FCC72" w14:textId="77777777" w:rsidR="00FA7C11" w:rsidRDefault="00D84965">
            <w:pPr>
              <w:pStyle w:val="P68B1DB1-Normal102"/>
              <w:spacing w:after="200" w:line="276" w:lineRule="auto"/>
              <w:jc w:val="center"/>
              <w:rPr>
                <w:noProof/>
                <w:color w:val="000000" w:themeColor="text1"/>
              </w:rPr>
            </w:pPr>
            <w:r>
              <w:rPr>
                <w:noProof/>
              </w:rPr>
              <w:t>C7.2 I1</w:t>
            </w:r>
          </w:p>
        </w:tc>
        <w:tc>
          <w:tcPr>
            <w:tcW w:w="1010" w:type="dxa"/>
            <w:shd w:val="clear" w:color="auto" w:fill="C6EFCE"/>
            <w:noWrap/>
          </w:tcPr>
          <w:p w14:paraId="1622FFDE" w14:textId="77777777" w:rsidR="00FA7C11" w:rsidRDefault="00D84965">
            <w:pPr>
              <w:pStyle w:val="P68B1DB1-Normal70"/>
              <w:spacing w:after="200" w:line="276" w:lineRule="auto"/>
              <w:jc w:val="center"/>
              <w:rPr>
                <w:noProof/>
              </w:rPr>
            </w:pPr>
            <w:r>
              <w:rPr>
                <w:noProof/>
              </w:rPr>
              <w:t>T</w:t>
            </w:r>
          </w:p>
        </w:tc>
        <w:tc>
          <w:tcPr>
            <w:tcW w:w="2250" w:type="dxa"/>
            <w:shd w:val="clear" w:color="auto" w:fill="C6EFCE"/>
            <w:noWrap/>
          </w:tcPr>
          <w:p w14:paraId="57BEA1F1" w14:textId="77777777" w:rsidR="00FA7C11" w:rsidRDefault="00D84965">
            <w:pPr>
              <w:pStyle w:val="P68B1DB1-Normal66"/>
              <w:spacing w:after="200" w:line="276" w:lineRule="auto"/>
              <w:rPr>
                <w:noProof/>
                <w:color w:val="000000" w:themeColor="text1"/>
                <w:highlight w:val="yellow"/>
              </w:rPr>
            </w:pPr>
            <w:r>
              <w:rPr>
                <w:noProof/>
              </w:rPr>
              <w:t>Renovarea energetică a clădirilor publice</w:t>
            </w:r>
          </w:p>
        </w:tc>
        <w:tc>
          <w:tcPr>
            <w:tcW w:w="2126" w:type="dxa"/>
            <w:shd w:val="clear" w:color="auto" w:fill="C6EFCE"/>
            <w:noWrap/>
          </w:tcPr>
          <w:p w14:paraId="47578087" w14:textId="77777777" w:rsidR="00FA7C11" w:rsidRDefault="00FA7C11">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02EA9D0E" w14:textId="77777777" w:rsidR="00FA7C11" w:rsidRDefault="00D84965">
            <w:pPr>
              <w:pStyle w:val="P68B1DB1-Normal66"/>
              <w:spacing w:after="200" w:line="276" w:lineRule="auto"/>
              <w:jc w:val="center"/>
              <w:rPr>
                <w:noProof/>
                <w:color w:val="000000" w:themeColor="text1"/>
              </w:rPr>
            </w:pPr>
            <w:r>
              <w:rPr>
                <w:noProof/>
              </w:rPr>
              <w:t>Număr (m²)</w:t>
            </w:r>
          </w:p>
        </w:tc>
        <w:tc>
          <w:tcPr>
            <w:tcW w:w="850" w:type="dxa"/>
            <w:shd w:val="clear" w:color="auto" w:fill="C6EFCE"/>
            <w:noWrap/>
          </w:tcPr>
          <w:p w14:paraId="7D97C5AC" w14:textId="77777777" w:rsidR="00FA7C11" w:rsidRDefault="00D84965">
            <w:pPr>
              <w:pStyle w:val="P68B1DB1-Normal70"/>
              <w:spacing w:after="200" w:line="276" w:lineRule="auto"/>
              <w:jc w:val="center"/>
              <w:rPr>
                <w:noProof/>
              </w:rPr>
            </w:pPr>
            <w:r>
              <w:rPr>
                <w:noProof/>
              </w:rPr>
              <w:t>0</w:t>
            </w:r>
          </w:p>
        </w:tc>
        <w:tc>
          <w:tcPr>
            <w:tcW w:w="1077" w:type="dxa"/>
            <w:shd w:val="clear" w:color="auto" w:fill="C6EFCE"/>
            <w:noWrap/>
          </w:tcPr>
          <w:p w14:paraId="42876267" w14:textId="77777777" w:rsidR="00FA7C11" w:rsidRDefault="00D84965">
            <w:pPr>
              <w:pStyle w:val="P68B1DB1-Normal70"/>
              <w:spacing w:after="200" w:line="276" w:lineRule="auto"/>
              <w:jc w:val="center"/>
              <w:rPr>
                <w:noProof/>
              </w:rPr>
            </w:pPr>
            <w:r>
              <w:rPr>
                <w:noProof/>
              </w:rPr>
              <w:t>365 517</w:t>
            </w:r>
          </w:p>
        </w:tc>
        <w:tc>
          <w:tcPr>
            <w:tcW w:w="891" w:type="dxa"/>
            <w:shd w:val="clear" w:color="auto" w:fill="C6EFCE"/>
            <w:noWrap/>
          </w:tcPr>
          <w:p w14:paraId="5ED6F131" w14:textId="77777777" w:rsidR="00FA7C11" w:rsidRDefault="00D84965">
            <w:pPr>
              <w:pStyle w:val="P68B1DB1-Normal70"/>
              <w:spacing w:after="200" w:line="276" w:lineRule="auto"/>
              <w:jc w:val="center"/>
              <w:rPr>
                <w:noProof/>
              </w:rPr>
            </w:pPr>
            <w:r>
              <w:rPr>
                <w:noProof/>
              </w:rPr>
              <w:t>Î2</w:t>
            </w:r>
          </w:p>
        </w:tc>
        <w:tc>
          <w:tcPr>
            <w:tcW w:w="600" w:type="dxa"/>
            <w:shd w:val="clear" w:color="auto" w:fill="C6EFCE"/>
            <w:noWrap/>
          </w:tcPr>
          <w:p w14:paraId="76EFD497" w14:textId="77777777" w:rsidR="00FA7C11" w:rsidRDefault="00D84965">
            <w:pPr>
              <w:pStyle w:val="P68B1DB1-Normal70"/>
              <w:spacing w:after="200" w:line="276" w:lineRule="auto"/>
              <w:jc w:val="center"/>
              <w:rPr>
                <w:noProof/>
              </w:rPr>
            </w:pPr>
            <w:r>
              <w:rPr>
                <w:noProof/>
              </w:rPr>
              <w:t>2026</w:t>
            </w:r>
          </w:p>
        </w:tc>
        <w:tc>
          <w:tcPr>
            <w:tcW w:w="3953" w:type="dxa"/>
            <w:shd w:val="clear" w:color="auto" w:fill="C6EFCE"/>
            <w:noWrap/>
          </w:tcPr>
          <w:p w14:paraId="69BBA55B" w14:textId="430D5A64" w:rsidR="00FA7C11" w:rsidRDefault="00D84965">
            <w:pPr>
              <w:pStyle w:val="P68B1DB1-Normal66"/>
              <w:spacing w:after="200" w:line="276" w:lineRule="auto"/>
              <w:rPr>
                <w:noProof/>
                <w:color w:val="000000" w:themeColor="text1"/>
              </w:rPr>
            </w:pPr>
            <w:r>
              <w:rPr>
                <w:noProof/>
              </w:rPr>
              <w:t>Renovarea energetică a cel puțin 365 517 m² de clădiri publice, îndeplinind o cerință minimă de reducere a consumului de energie pentru încălzire cu cel puțin 50 % în comparație cu consumul anual de energie pentru încălzire înainte de renovare pentru fiecare clădire (cu excepția clădirilor cu statut de bun cultural), ceea ce asigură o creștere cu 30 % a economiilor de energie primară la nivelul obiectivului în comparație cu starea anterioară renovării și este în conformitate cu principiul DNSH.</w:t>
            </w:r>
          </w:p>
          <w:p w14:paraId="5EC381AD" w14:textId="77777777" w:rsidR="00FA7C11" w:rsidRDefault="00D84965">
            <w:pPr>
              <w:pStyle w:val="P68B1DB1-Normal66"/>
              <w:spacing w:after="200" w:line="276" w:lineRule="auto"/>
              <w:rPr>
                <w:noProof/>
                <w:color w:val="000000" w:themeColor="text1"/>
                <w:highlight w:val="yellow"/>
              </w:rPr>
            </w:pPr>
            <w:r>
              <w:rPr>
                <w:noProof/>
              </w:rPr>
              <w:t>Costul instalării cazanelor cu condensare de gaz care înlocuiesc cazanele existente pe bază de gaz, cărbune și petrol reprezintă cel mult 20 % din costul renovării.</w:t>
            </w:r>
          </w:p>
        </w:tc>
      </w:tr>
      <w:tr w:rsidR="00FA7C11" w14:paraId="17F0AFDC" w14:textId="77777777">
        <w:trPr>
          <w:jc w:val="center"/>
        </w:trPr>
        <w:tc>
          <w:tcPr>
            <w:tcW w:w="846" w:type="dxa"/>
            <w:shd w:val="clear" w:color="auto" w:fill="C6EFCE"/>
            <w:noWrap/>
          </w:tcPr>
          <w:p w14:paraId="3A9FD798" w14:textId="77777777" w:rsidR="00FA7C11" w:rsidRDefault="00D84965">
            <w:pPr>
              <w:pStyle w:val="P68B1DB1-Normal89"/>
              <w:spacing w:after="0" w:line="276" w:lineRule="auto"/>
              <w:jc w:val="center"/>
              <w:rPr>
                <w:noProof/>
              </w:rPr>
            </w:pPr>
            <w:r>
              <w:rPr>
                <w:noProof/>
              </w:rPr>
              <w:t>437</w:t>
            </w:r>
          </w:p>
        </w:tc>
        <w:tc>
          <w:tcPr>
            <w:tcW w:w="1134" w:type="dxa"/>
            <w:shd w:val="clear" w:color="auto" w:fill="C6EFCE"/>
            <w:noWrap/>
          </w:tcPr>
          <w:p w14:paraId="211EC6A0" w14:textId="77777777" w:rsidR="00FA7C11" w:rsidRDefault="00D84965">
            <w:pPr>
              <w:pStyle w:val="P68B1DB1-Normal102"/>
              <w:spacing w:after="200" w:line="276" w:lineRule="auto"/>
              <w:jc w:val="center"/>
              <w:rPr>
                <w:noProof/>
                <w:color w:val="000000" w:themeColor="text1"/>
              </w:rPr>
            </w:pPr>
            <w:r>
              <w:rPr>
                <w:noProof/>
              </w:rPr>
              <w:t>C7.2 I1</w:t>
            </w:r>
          </w:p>
        </w:tc>
        <w:tc>
          <w:tcPr>
            <w:tcW w:w="1010" w:type="dxa"/>
            <w:shd w:val="clear" w:color="auto" w:fill="C6EFCE"/>
            <w:noWrap/>
          </w:tcPr>
          <w:p w14:paraId="34B6AAE3" w14:textId="77777777" w:rsidR="00FA7C11" w:rsidRDefault="00D84965">
            <w:pPr>
              <w:pStyle w:val="P68B1DB1-Normal70"/>
              <w:spacing w:after="200" w:line="276" w:lineRule="auto"/>
              <w:jc w:val="center"/>
              <w:rPr>
                <w:noProof/>
              </w:rPr>
            </w:pPr>
            <w:r>
              <w:rPr>
                <w:noProof/>
              </w:rPr>
              <w:t>T</w:t>
            </w:r>
          </w:p>
        </w:tc>
        <w:tc>
          <w:tcPr>
            <w:tcW w:w="2250" w:type="dxa"/>
            <w:shd w:val="clear" w:color="auto" w:fill="C6EFCE"/>
            <w:noWrap/>
          </w:tcPr>
          <w:p w14:paraId="5EC69A3C" w14:textId="77777777" w:rsidR="00FA7C11" w:rsidRDefault="00D84965">
            <w:pPr>
              <w:pStyle w:val="P68B1DB1-Normal66"/>
              <w:spacing w:after="200" w:line="276" w:lineRule="auto"/>
              <w:rPr>
                <w:noProof/>
                <w:color w:val="000000" w:themeColor="text1"/>
                <w:highlight w:val="yellow"/>
              </w:rPr>
            </w:pPr>
            <w:r>
              <w:rPr>
                <w:noProof/>
              </w:rPr>
              <w:t>Instalarea de sisteme de energie din surse regenerabile în clădirile publice</w:t>
            </w:r>
          </w:p>
        </w:tc>
        <w:tc>
          <w:tcPr>
            <w:tcW w:w="2126" w:type="dxa"/>
            <w:shd w:val="clear" w:color="auto" w:fill="C6EFCE"/>
            <w:noWrap/>
          </w:tcPr>
          <w:p w14:paraId="0417CC7D" w14:textId="77777777" w:rsidR="00FA7C11" w:rsidRDefault="00FA7C11">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200C7EF9" w14:textId="77777777" w:rsidR="00FA7C11" w:rsidRDefault="00D84965">
            <w:pPr>
              <w:pStyle w:val="P68B1DB1-Normal66"/>
              <w:spacing w:after="200" w:line="276" w:lineRule="auto"/>
              <w:jc w:val="center"/>
              <w:rPr>
                <w:noProof/>
                <w:color w:val="000000" w:themeColor="text1"/>
              </w:rPr>
            </w:pPr>
            <w:r>
              <w:rPr>
                <w:noProof/>
              </w:rPr>
              <w:t>Număr</w:t>
            </w:r>
          </w:p>
        </w:tc>
        <w:tc>
          <w:tcPr>
            <w:tcW w:w="850" w:type="dxa"/>
            <w:shd w:val="clear" w:color="auto" w:fill="C6EFCE"/>
            <w:noWrap/>
          </w:tcPr>
          <w:p w14:paraId="1A6FECB4" w14:textId="77777777" w:rsidR="00FA7C11" w:rsidRDefault="00D84965">
            <w:pPr>
              <w:pStyle w:val="P68B1DB1-Normal70"/>
              <w:spacing w:after="200" w:line="276" w:lineRule="auto"/>
              <w:jc w:val="center"/>
              <w:rPr>
                <w:noProof/>
              </w:rPr>
            </w:pPr>
            <w:r>
              <w:rPr>
                <w:noProof/>
              </w:rPr>
              <w:t>0</w:t>
            </w:r>
          </w:p>
        </w:tc>
        <w:tc>
          <w:tcPr>
            <w:tcW w:w="1077" w:type="dxa"/>
            <w:shd w:val="clear" w:color="auto" w:fill="C6EFCE"/>
            <w:noWrap/>
          </w:tcPr>
          <w:p w14:paraId="52D86B7D" w14:textId="77777777" w:rsidR="00FA7C11" w:rsidRDefault="00D84965">
            <w:pPr>
              <w:pStyle w:val="P68B1DB1-Normal70"/>
              <w:spacing w:after="200" w:line="276" w:lineRule="auto"/>
              <w:jc w:val="center"/>
              <w:rPr>
                <w:noProof/>
              </w:rPr>
            </w:pPr>
            <w:r>
              <w:rPr>
                <w:noProof/>
              </w:rPr>
              <w:t>60</w:t>
            </w:r>
          </w:p>
        </w:tc>
        <w:tc>
          <w:tcPr>
            <w:tcW w:w="891" w:type="dxa"/>
            <w:shd w:val="clear" w:color="auto" w:fill="C6EFCE"/>
            <w:noWrap/>
          </w:tcPr>
          <w:p w14:paraId="53A079CB" w14:textId="77777777" w:rsidR="00FA7C11" w:rsidRDefault="00D84965">
            <w:pPr>
              <w:pStyle w:val="P68B1DB1-Normal70"/>
              <w:spacing w:after="200" w:line="276" w:lineRule="auto"/>
              <w:jc w:val="center"/>
              <w:rPr>
                <w:noProof/>
              </w:rPr>
            </w:pPr>
            <w:r>
              <w:rPr>
                <w:noProof/>
              </w:rPr>
              <w:t>Î2</w:t>
            </w:r>
          </w:p>
        </w:tc>
        <w:tc>
          <w:tcPr>
            <w:tcW w:w="600" w:type="dxa"/>
            <w:shd w:val="clear" w:color="auto" w:fill="C6EFCE"/>
            <w:noWrap/>
          </w:tcPr>
          <w:p w14:paraId="4E6D435A" w14:textId="77777777" w:rsidR="00FA7C11" w:rsidRDefault="00D84965">
            <w:pPr>
              <w:pStyle w:val="P68B1DB1-Normal70"/>
              <w:spacing w:after="200" w:line="276" w:lineRule="auto"/>
              <w:jc w:val="center"/>
              <w:rPr>
                <w:noProof/>
              </w:rPr>
            </w:pPr>
            <w:r>
              <w:rPr>
                <w:noProof/>
              </w:rPr>
              <w:t>2026</w:t>
            </w:r>
          </w:p>
        </w:tc>
        <w:tc>
          <w:tcPr>
            <w:tcW w:w="3953" w:type="dxa"/>
            <w:shd w:val="clear" w:color="auto" w:fill="C6EFCE"/>
            <w:noWrap/>
          </w:tcPr>
          <w:p w14:paraId="50BDAF08" w14:textId="77777777" w:rsidR="00FA7C11" w:rsidRDefault="00D84965">
            <w:pPr>
              <w:pStyle w:val="P68B1DB1-Normal66"/>
              <w:spacing w:after="200" w:line="276" w:lineRule="auto"/>
              <w:rPr>
                <w:noProof/>
                <w:color w:val="000000" w:themeColor="text1"/>
                <w:highlight w:val="yellow"/>
              </w:rPr>
            </w:pPr>
            <w:r>
              <w:rPr>
                <w:noProof/>
              </w:rPr>
              <w:t xml:space="preserve">Cel puțin 60 de sisteme de energie din surse regenerabile se instalează în clădirile publice renovate în cadrul acestei investiții. </w:t>
            </w:r>
          </w:p>
        </w:tc>
      </w:tr>
      <w:tr w:rsidR="00FA7C11" w14:paraId="26057E14" w14:textId="77777777">
        <w:trPr>
          <w:jc w:val="center"/>
        </w:trPr>
        <w:tc>
          <w:tcPr>
            <w:tcW w:w="846" w:type="dxa"/>
            <w:shd w:val="clear" w:color="auto" w:fill="C6EFCE"/>
            <w:noWrap/>
          </w:tcPr>
          <w:p w14:paraId="07973842" w14:textId="77777777" w:rsidR="00FA7C11" w:rsidRDefault="00D84965">
            <w:pPr>
              <w:pStyle w:val="P68B1DB1-Normal89"/>
              <w:spacing w:after="0" w:line="276" w:lineRule="auto"/>
              <w:jc w:val="center"/>
              <w:rPr>
                <w:noProof/>
                <w:highlight w:val="yellow"/>
              </w:rPr>
            </w:pPr>
            <w:r>
              <w:rPr>
                <w:noProof/>
              </w:rPr>
              <w:t>438</w:t>
            </w:r>
          </w:p>
        </w:tc>
        <w:tc>
          <w:tcPr>
            <w:tcW w:w="1134" w:type="dxa"/>
            <w:shd w:val="clear" w:color="auto" w:fill="C6EFCE"/>
            <w:noWrap/>
          </w:tcPr>
          <w:p w14:paraId="4F55EB55" w14:textId="77777777" w:rsidR="00FA7C11" w:rsidRDefault="00D84965">
            <w:pPr>
              <w:pStyle w:val="P68B1DB1-Normal102"/>
              <w:spacing w:after="200" w:line="276" w:lineRule="auto"/>
              <w:jc w:val="center"/>
              <w:rPr>
                <w:noProof/>
                <w:color w:val="000000" w:themeColor="text1"/>
                <w:highlight w:val="yellow"/>
              </w:rPr>
            </w:pPr>
            <w:r>
              <w:rPr>
                <w:noProof/>
              </w:rPr>
              <w:t>C7.2 I2</w:t>
            </w:r>
          </w:p>
        </w:tc>
        <w:tc>
          <w:tcPr>
            <w:tcW w:w="1010" w:type="dxa"/>
            <w:shd w:val="clear" w:color="auto" w:fill="C6EFCE"/>
            <w:noWrap/>
          </w:tcPr>
          <w:p w14:paraId="2E31EDED" w14:textId="77777777" w:rsidR="00FA7C11" w:rsidRDefault="00D84965">
            <w:pPr>
              <w:pStyle w:val="P68B1DB1-Normal70"/>
              <w:spacing w:after="200" w:line="276" w:lineRule="auto"/>
              <w:jc w:val="center"/>
              <w:rPr>
                <w:noProof/>
              </w:rPr>
            </w:pPr>
            <w:r>
              <w:rPr>
                <w:noProof/>
              </w:rPr>
              <w:t>T</w:t>
            </w:r>
          </w:p>
        </w:tc>
        <w:tc>
          <w:tcPr>
            <w:tcW w:w="2250" w:type="dxa"/>
            <w:shd w:val="clear" w:color="auto" w:fill="C6EFCE"/>
            <w:noWrap/>
          </w:tcPr>
          <w:p w14:paraId="4C8172F7" w14:textId="77777777" w:rsidR="00FA7C11" w:rsidRDefault="00D84965">
            <w:pPr>
              <w:pStyle w:val="P68B1DB1-Normal66"/>
              <w:spacing w:after="200" w:line="276" w:lineRule="auto"/>
              <w:rPr>
                <w:noProof/>
                <w:color w:val="000000" w:themeColor="text1"/>
              </w:rPr>
            </w:pPr>
            <w:r>
              <w:rPr>
                <w:noProof/>
              </w:rPr>
              <w:t>Contracte semnate pentru renovarea energetică a imobilelor colective afectate de cutremure</w:t>
            </w:r>
          </w:p>
        </w:tc>
        <w:tc>
          <w:tcPr>
            <w:tcW w:w="2126" w:type="dxa"/>
            <w:shd w:val="clear" w:color="auto" w:fill="C6EFCE"/>
            <w:noWrap/>
          </w:tcPr>
          <w:p w14:paraId="1D244DB7" w14:textId="77777777" w:rsidR="00FA7C11" w:rsidRDefault="00FA7C11">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14C6331C" w14:textId="77777777" w:rsidR="00FA7C11" w:rsidRDefault="00D84965">
            <w:pPr>
              <w:pStyle w:val="P68B1DB1-Normal66"/>
              <w:spacing w:after="200" w:line="276" w:lineRule="auto"/>
              <w:jc w:val="center"/>
              <w:rPr>
                <w:noProof/>
                <w:color w:val="000000" w:themeColor="text1"/>
              </w:rPr>
            </w:pPr>
            <w:r>
              <w:rPr>
                <w:noProof/>
              </w:rPr>
              <w:t>EUR</w:t>
            </w:r>
          </w:p>
        </w:tc>
        <w:tc>
          <w:tcPr>
            <w:tcW w:w="850" w:type="dxa"/>
            <w:shd w:val="clear" w:color="auto" w:fill="C6EFCE"/>
            <w:noWrap/>
          </w:tcPr>
          <w:p w14:paraId="12A3738B" w14:textId="77777777" w:rsidR="00FA7C11" w:rsidRDefault="00D84965">
            <w:pPr>
              <w:pStyle w:val="P68B1DB1-Normal70"/>
              <w:spacing w:after="200" w:line="276" w:lineRule="auto"/>
              <w:jc w:val="center"/>
              <w:rPr>
                <w:noProof/>
              </w:rPr>
            </w:pPr>
            <w:r>
              <w:rPr>
                <w:noProof/>
              </w:rPr>
              <w:t>0</w:t>
            </w:r>
          </w:p>
        </w:tc>
        <w:tc>
          <w:tcPr>
            <w:tcW w:w="1077" w:type="dxa"/>
            <w:shd w:val="clear" w:color="auto" w:fill="C6EFCE"/>
            <w:noWrap/>
          </w:tcPr>
          <w:p w14:paraId="23946215" w14:textId="77777777" w:rsidR="00FA7C11" w:rsidRDefault="00D84965">
            <w:pPr>
              <w:pStyle w:val="P68B1DB1-Normal70"/>
              <w:spacing w:after="200" w:line="276" w:lineRule="auto"/>
              <w:jc w:val="center"/>
              <w:rPr>
                <w:noProof/>
              </w:rPr>
            </w:pPr>
            <w:r>
              <w:rPr>
                <w:noProof/>
              </w:rPr>
              <w:t>13 000 000</w:t>
            </w:r>
          </w:p>
        </w:tc>
        <w:tc>
          <w:tcPr>
            <w:tcW w:w="891" w:type="dxa"/>
            <w:shd w:val="clear" w:color="auto" w:fill="C6EFCE"/>
            <w:noWrap/>
          </w:tcPr>
          <w:p w14:paraId="0E837727" w14:textId="77777777" w:rsidR="00FA7C11" w:rsidRDefault="00D84965">
            <w:pPr>
              <w:pStyle w:val="P68B1DB1-Normal70"/>
              <w:spacing w:after="200" w:line="276" w:lineRule="auto"/>
              <w:jc w:val="center"/>
              <w:rPr>
                <w:noProof/>
              </w:rPr>
            </w:pPr>
            <w:r>
              <w:rPr>
                <w:noProof/>
              </w:rPr>
              <w:t>Î2</w:t>
            </w:r>
          </w:p>
        </w:tc>
        <w:tc>
          <w:tcPr>
            <w:tcW w:w="600" w:type="dxa"/>
            <w:shd w:val="clear" w:color="auto" w:fill="C6EFCE"/>
            <w:noWrap/>
          </w:tcPr>
          <w:p w14:paraId="647EDD7F" w14:textId="77777777" w:rsidR="00FA7C11" w:rsidRDefault="00D84965">
            <w:pPr>
              <w:pStyle w:val="P68B1DB1-Normal70"/>
              <w:spacing w:after="200" w:line="276" w:lineRule="auto"/>
              <w:jc w:val="center"/>
              <w:rPr>
                <w:noProof/>
              </w:rPr>
            </w:pPr>
            <w:r>
              <w:rPr>
                <w:noProof/>
              </w:rPr>
              <w:t>2024</w:t>
            </w:r>
          </w:p>
        </w:tc>
        <w:tc>
          <w:tcPr>
            <w:tcW w:w="3953" w:type="dxa"/>
            <w:shd w:val="clear" w:color="auto" w:fill="C6EFCE"/>
            <w:noWrap/>
          </w:tcPr>
          <w:p w14:paraId="7204322B" w14:textId="26A3941E" w:rsidR="00FA7C11" w:rsidRDefault="00D84965">
            <w:pPr>
              <w:pStyle w:val="P68B1DB1-Normal66"/>
              <w:spacing w:after="200" w:line="276" w:lineRule="auto"/>
              <w:rPr>
                <w:noProof/>
                <w:color w:val="000000" w:themeColor="text1"/>
              </w:rPr>
            </w:pPr>
            <w:r>
              <w:rPr>
                <w:noProof/>
              </w:rPr>
              <w:t>Contracte semnate prin care se atribuie cel puțin 13 milioane EUR pentru renovarea energetică a clădirilor colective afectate de cutremure. Toate contractele impun (i) o reducere minimă a consumului de energie pentru încălzire cu cel puțin 50 % în comparație cu consumul anual de energie pentru încălzire înainte de renovare pentru fiecare clădire (cu excepția clădirilor cu statut de bun cultural), ceea ce contribuie la realizarea unei creșteri cu cel puțin 30 % a economiilor de energie primară în comparație cu starea anterioară renovării și (ii) respectarea principiului de „a nu prejudicia în mod semnificativ”, astfel cum este prevăzut la articolul 17 din Regulamentul (UE) 2020/852 de instituire a unui cadru de facilitare a investițiilor durabile.</w:t>
            </w:r>
          </w:p>
        </w:tc>
      </w:tr>
      <w:tr w:rsidR="00FA7C11" w14:paraId="037C826A" w14:textId="77777777">
        <w:trPr>
          <w:trHeight w:val="1675"/>
          <w:jc w:val="center"/>
        </w:trPr>
        <w:tc>
          <w:tcPr>
            <w:tcW w:w="846" w:type="dxa"/>
            <w:shd w:val="clear" w:color="auto" w:fill="C6EFCE"/>
            <w:noWrap/>
          </w:tcPr>
          <w:p w14:paraId="3BC292D1" w14:textId="77777777" w:rsidR="00FA7C11" w:rsidRDefault="00D84965">
            <w:pPr>
              <w:pStyle w:val="P68B1DB1-Normal89"/>
              <w:spacing w:after="0" w:line="276" w:lineRule="auto"/>
              <w:jc w:val="center"/>
              <w:rPr>
                <w:rFonts w:eastAsia="Calibri"/>
                <w:noProof/>
              </w:rPr>
            </w:pPr>
            <w:r>
              <w:rPr>
                <w:noProof/>
              </w:rPr>
              <w:t>356</w:t>
            </w:r>
          </w:p>
        </w:tc>
        <w:tc>
          <w:tcPr>
            <w:tcW w:w="1134" w:type="dxa"/>
            <w:shd w:val="clear" w:color="auto" w:fill="C6EFCE"/>
            <w:noWrap/>
          </w:tcPr>
          <w:p w14:paraId="328735B1" w14:textId="77777777" w:rsidR="00FA7C11" w:rsidRDefault="00D84965">
            <w:pPr>
              <w:pStyle w:val="P68B1DB1-Normal102"/>
              <w:spacing w:after="200" w:line="276" w:lineRule="auto"/>
              <w:jc w:val="center"/>
              <w:rPr>
                <w:noProof/>
                <w:color w:val="000000" w:themeColor="text1"/>
              </w:rPr>
            </w:pPr>
            <w:r>
              <w:rPr>
                <w:noProof/>
              </w:rPr>
              <w:t>C7.2 I2</w:t>
            </w:r>
          </w:p>
        </w:tc>
        <w:tc>
          <w:tcPr>
            <w:tcW w:w="1010" w:type="dxa"/>
            <w:shd w:val="clear" w:color="auto" w:fill="C6EFCE"/>
            <w:noWrap/>
          </w:tcPr>
          <w:p w14:paraId="08239202" w14:textId="77777777" w:rsidR="00FA7C11" w:rsidRDefault="00D84965">
            <w:pPr>
              <w:pStyle w:val="P68B1DB1-Normal70"/>
              <w:spacing w:after="200" w:line="276" w:lineRule="auto"/>
              <w:jc w:val="center"/>
              <w:rPr>
                <w:noProof/>
              </w:rPr>
            </w:pPr>
            <w:r>
              <w:rPr>
                <w:noProof/>
              </w:rPr>
              <w:t>T</w:t>
            </w:r>
          </w:p>
        </w:tc>
        <w:tc>
          <w:tcPr>
            <w:tcW w:w="2250" w:type="dxa"/>
            <w:shd w:val="clear" w:color="auto" w:fill="C6EFCE"/>
            <w:noWrap/>
          </w:tcPr>
          <w:p w14:paraId="57A50DDF" w14:textId="77777777" w:rsidR="00FA7C11" w:rsidRDefault="00D84965">
            <w:pPr>
              <w:pStyle w:val="P68B1DB1-Normal66"/>
              <w:spacing w:after="200" w:line="276" w:lineRule="auto"/>
              <w:rPr>
                <w:noProof/>
              </w:rPr>
            </w:pPr>
            <w:r>
              <w:rPr>
                <w:noProof/>
              </w:rPr>
              <w:t>Renovarea energetică și post-cutremur a imobilelor colective afectate de cutremure</w:t>
            </w:r>
          </w:p>
        </w:tc>
        <w:tc>
          <w:tcPr>
            <w:tcW w:w="2126" w:type="dxa"/>
            <w:shd w:val="clear" w:color="auto" w:fill="C6EFCE"/>
            <w:noWrap/>
          </w:tcPr>
          <w:p w14:paraId="72121839" w14:textId="77777777" w:rsidR="00FA7C11" w:rsidRDefault="00FA7C11">
            <w:pPr>
              <w:spacing w:after="200" w:line="276" w:lineRule="auto"/>
              <w:rPr>
                <w:rFonts w:ascii="Times New Roman" w:eastAsia="Calibri" w:hAnsi="Times New Roman" w:cs="Times New Roman"/>
                <w:noProof/>
                <w:sz w:val="20"/>
                <w:szCs w:val="20"/>
              </w:rPr>
            </w:pPr>
          </w:p>
        </w:tc>
        <w:tc>
          <w:tcPr>
            <w:tcW w:w="851" w:type="dxa"/>
            <w:shd w:val="clear" w:color="auto" w:fill="C6EFCE"/>
            <w:noWrap/>
          </w:tcPr>
          <w:p w14:paraId="3B383858" w14:textId="77777777" w:rsidR="00FA7C11" w:rsidRDefault="00D84965">
            <w:pPr>
              <w:pStyle w:val="P68B1DB1-Normal59"/>
              <w:spacing w:after="200" w:line="276" w:lineRule="auto"/>
              <w:jc w:val="center"/>
              <w:rPr>
                <w:rFonts w:ascii="Times New Roman" w:eastAsia="Times New Roman" w:hAnsi="Times New Roman" w:cs="Times New Roman"/>
                <w:noProof/>
              </w:rPr>
            </w:pPr>
            <w:r>
              <w:rPr>
                <w:rFonts w:ascii="Times New Roman" w:eastAsia="Calibri" w:hAnsi="Times New Roman" w:cs="Times New Roman"/>
                <w:noProof/>
                <w:color w:val="000000" w:themeColor="text1"/>
              </w:rPr>
              <w:t>Număr (m²)</w:t>
            </w:r>
            <w:r>
              <w:rPr>
                <w:rFonts w:ascii="Times New Roman" w:hAnsi="Times New Roman" w:cs="Times New Roman"/>
                <w:noProof/>
              </w:rPr>
              <w:br/>
            </w:r>
            <w:r>
              <w:rPr>
                <w:rFonts w:ascii="Times New Roman" w:eastAsia="Calibri" w:hAnsi="Times New Roman" w:cs="Times New Roman"/>
                <w:noProof/>
                <w:color w:val="000000" w:themeColor="text1"/>
              </w:rPr>
              <w:t xml:space="preserve"> </w:t>
            </w:r>
          </w:p>
        </w:tc>
        <w:tc>
          <w:tcPr>
            <w:tcW w:w="850" w:type="dxa"/>
            <w:shd w:val="clear" w:color="auto" w:fill="C6EFCE"/>
            <w:noWrap/>
          </w:tcPr>
          <w:p w14:paraId="76D668B3" w14:textId="77777777" w:rsidR="00FA7C11" w:rsidRDefault="00D84965">
            <w:pPr>
              <w:pStyle w:val="P68B1DB1-Normal70"/>
              <w:spacing w:after="200" w:line="276" w:lineRule="auto"/>
              <w:jc w:val="center"/>
              <w:rPr>
                <w:noProof/>
              </w:rPr>
            </w:pPr>
            <w:r>
              <w:rPr>
                <w:noProof/>
              </w:rPr>
              <w:t>0</w:t>
            </w:r>
          </w:p>
        </w:tc>
        <w:tc>
          <w:tcPr>
            <w:tcW w:w="1077" w:type="dxa"/>
            <w:shd w:val="clear" w:color="auto" w:fill="C6EFCE"/>
            <w:noWrap/>
          </w:tcPr>
          <w:p w14:paraId="1A7B87FA" w14:textId="77777777" w:rsidR="00FA7C11" w:rsidRDefault="00D84965">
            <w:pPr>
              <w:pStyle w:val="P68B1DB1-Normal70"/>
              <w:spacing w:after="200" w:line="276" w:lineRule="auto"/>
              <w:jc w:val="center"/>
              <w:rPr>
                <w:noProof/>
              </w:rPr>
            </w:pPr>
            <w:r>
              <w:rPr>
                <w:noProof/>
              </w:rPr>
              <w:t>78 350</w:t>
            </w:r>
          </w:p>
        </w:tc>
        <w:tc>
          <w:tcPr>
            <w:tcW w:w="891" w:type="dxa"/>
            <w:shd w:val="clear" w:color="auto" w:fill="C6EFCE"/>
            <w:noWrap/>
          </w:tcPr>
          <w:p w14:paraId="101C397F" w14:textId="77777777" w:rsidR="00FA7C11" w:rsidRDefault="00D84965">
            <w:pPr>
              <w:pStyle w:val="P68B1DB1-Normal70"/>
              <w:spacing w:after="200" w:line="276" w:lineRule="auto"/>
              <w:jc w:val="center"/>
              <w:rPr>
                <w:noProof/>
              </w:rPr>
            </w:pPr>
            <w:r>
              <w:rPr>
                <w:noProof/>
              </w:rPr>
              <w:t>Î2</w:t>
            </w:r>
          </w:p>
        </w:tc>
        <w:tc>
          <w:tcPr>
            <w:tcW w:w="600" w:type="dxa"/>
            <w:shd w:val="clear" w:color="auto" w:fill="C6EFCE"/>
            <w:noWrap/>
          </w:tcPr>
          <w:p w14:paraId="25D66F0A" w14:textId="77777777" w:rsidR="00FA7C11" w:rsidRDefault="00D84965">
            <w:pPr>
              <w:pStyle w:val="P68B1DB1-Normal70"/>
              <w:spacing w:after="200" w:line="276" w:lineRule="auto"/>
              <w:jc w:val="center"/>
              <w:rPr>
                <w:noProof/>
              </w:rPr>
            </w:pPr>
            <w:r>
              <w:rPr>
                <w:noProof/>
              </w:rPr>
              <w:t>2026</w:t>
            </w:r>
          </w:p>
        </w:tc>
        <w:tc>
          <w:tcPr>
            <w:tcW w:w="3953" w:type="dxa"/>
            <w:shd w:val="clear" w:color="auto" w:fill="C6EFCE"/>
            <w:noWrap/>
          </w:tcPr>
          <w:p w14:paraId="2E6EAB6D" w14:textId="3CBF2CD8" w:rsidR="00FA7C11" w:rsidRDefault="00D84965">
            <w:pPr>
              <w:pStyle w:val="P68B1DB1-Normal66"/>
              <w:spacing w:after="200" w:line="276" w:lineRule="auto"/>
              <w:rPr>
                <w:noProof/>
                <w:color w:val="000000" w:themeColor="text1"/>
              </w:rPr>
            </w:pPr>
            <w:r>
              <w:rPr>
                <w:noProof/>
              </w:rPr>
              <w:t>Renovarea energetică și post-cutremur a cel puțin 78 350 m² de clădiri colective afectate de cutremure (în una dintre următoarele zone: orașul Zagreb, districtul Krapina-Zagorje, districtul Zagreb, districtul Sisak-Moslavina, districtul Karlovac, districtul Varaždin, districtul Međimurje, districtul Brod-Posavina, districtul Koprivnica-Križevci și districtul Bjelovar-Bilogora), îndeplinind o cerință minimă de reducere a consumului anual de energie pentru încălzire cu cel puțin 50 % în comparație cu consumul anual de energie pentru încălzire înainte de renovare pentru fiecare clădire (cu excepția clădirilor cu statut de bun cultural), ceea ce trebuie să asigure o creștere cu 30 % a economiilor de energie primară la nivelul obiectivului în comparație cu starea anterioară renovării și să fie în conformitate cu principiul DNSH.</w:t>
            </w:r>
          </w:p>
          <w:p w14:paraId="66B33170" w14:textId="77777777" w:rsidR="00FA7C11" w:rsidRDefault="00D84965">
            <w:pPr>
              <w:pStyle w:val="P68B1DB1-Normal66"/>
              <w:spacing w:after="200" w:line="276" w:lineRule="auto"/>
              <w:rPr>
                <w:noProof/>
                <w:color w:val="000000" w:themeColor="text1"/>
              </w:rPr>
            </w:pPr>
            <w:r>
              <w:rPr>
                <w:noProof/>
              </w:rPr>
              <w:t>Costul instalării cazanelor cu condensare de gaz care înlocuiesc cazanele existente pe bază de gaz, cărbune și petrol reprezintă cel mult 20 % din costul renovării.</w:t>
            </w:r>
          </w:p>
        </w:tc>
      </w:tr>
      <w:tr w:rsidR="00FA7C11" w14:paraId="52C03579" w14:textId="77777777">
        <w:trPr>
          <w:trHeight w:val="300"/>
          <w:jc w:val="center"/>
        </w:trPr>
        <w:tc>
          <w:tcPr>
            <w:tcW w:w="846" w:type="dxa"/>
            <w:shd w:val="clear" w:color="auto" w:fill="C6EFCE"/>
            <w:noWrap/>
          </w:tcPr>
          <w:p w14:paraId="5AA3BF20" w14:textId="77777777" w:rsidR="00FA7C11" w:rsidRDefault="00D84965">
            <w:pPr>
              <w:pStyle w:val="P68B1DB1-Normal89"/>
              <w:spacing w:after="0" w:line="276" w:lineRule="auto"/>
              <w:jc w:val="center"/>
              <w:rPr>
                <w:noProof/>
                <w:highlight w:val="yellow"/>
              </w:rPr>
            </w:pPr>
            <w:r>
              <w:rPr>
                <w:noProof/>
              </w:rPr>
              <w:t>357</w:t>
            </w:r>
          </w:p>
        </w:tc>
        <w:tc>
          <w:tcPr>
            <w:tcW w:w="1134" w:type="dxa"/>
            <w:shd w:val="clear" w:color="auto" w:fill="C6EFCE"/>
            <w:noWrap/>
          </w:tcPr>
          <w:p w14:paraId="56E80551" w14:textId="77777777" w:rsidR="00FA7C11" w:rsidRDefault="00D84965">
            <w:pPr>
              <w:pStyle w:val="P68B1DB1-Normal102"/>
              <w:spacing w:line="276" w:lineRule="auto"/>
              <w:jc w:val="center"/>
              <w:rPr>
                <w:noProof/>
                <w:color w:val="000000" w:themeColor="text1"/>
                <w:highlight w:val="yellow"/>
              </w:rPr>
            </w:pPr>
            <w:r>
              <w:rPr>
                <w:noProof/>
              </w:rPr>
              <w:t>C7.2 I2</w:t>
            </w:r>
          </w:p>
        </w:tc>
        <w:tc>
          <w:tcPr>
            <w:tcW w:w="1010" w:type="dxa"/>
            <w:shd w:val="clear" w:color="auto" w:fill="C6EFCE"/>
            <w:noWrap/>
          </w:tcPr>
          <w:p w14:paraId="1E20D456" w14:textId="77777777" w:rsidR="00FA7C11" w:rsidRDefault="00D84965">
            <w:pPr>
              <w:pStyle w:val="P68B1DB1-Normal66"/>
              <w:spacing w:line="276" w:lineRule="auto"/>
              <w:jc w:val="center"/>
              <w:rPr>
                <w:noProof/>
                <w:color w:val="000000" w:themeColor="text1"/>
              </w:rPr>
            </w:pPr>
            <w:r>
              <w:rPr>
                <w:noProof/>
              </w:rPr>
              <w:t>T</w:t>
            </w:r>
          </w:p>
        </w:tc>
        <w:tc>
          <w:tcPr>
            <w:tcW w:w="2250" w:type="dxa"/>
            <w:shd w:val="clear" w:color="auto" w:fill="C6EFCE"/>
            <w:noWrap/>
          </w:tcPr>
          <w:p w14:paraId="6C7EADE6" w14:textId="77777777" w:rsidR="00FA7C11" w:rsidRDefault="00D84965">
            <w:pPr>
              <w:pStyle w:val="P68B1DB1-Normal66"/>
              <w:spacing w:line="276" w:lineRule="auto"/>
              <w:rPr>
                <w:noProof/>
                <w:color w:val="000000" w:themeColor="text1"/>
              </w:rPr>
            </w:pPr>
            <w:r>
              <w:rPr>
                <w:noProof/>
              </w:rPr>
              <w:t>Renovarea energetică și post-cutremur a clădirilor publice afectate de cutremure</w:t>
            </w:r>
          </w:p>
        </w:tc>
        <w:tc>
          <w:tcPr>
            <w:tcW w:w="2126" w:type="dxa"/>
            <w:shd w:val="clear" w:color="auto" w:fill="C6EFCE"/>
            <w:noWrap/>
          </w:tcPr>
          <w:p w14:paraId="52E23568" w14:textId="77777777" w:rsidR="00FA7C11" w:rsidRDefault="00FA7C11">
            <w:pPr>
              <w:spacing w:line="276" w:lineRule="auto"/>
              <w:rPr>
                <w:rFonts w:ascii="Times New Roman" w:eastAsia="Calibri" w:hAnsi="Times New Roman" w:cs="Times New Roman"/>
                <w:noProof/>
                <w:color w:val="000000" w:themeColor="text1"/>
                <w:sz w:val="20"/>
                <w:szCs w:val="20"/>
              </w:rPr>
            </w:pPr>
          </w:p>
        </w:tc>
        <w:tc>
          <w:tcPr>
            <w:tcW w:w="851" w:type="dxa"/>
            <w:shd w:val="clear" w:color="auto" w:fill="C6EFCE"/>
            <w:noWrap/>
          </w:tcPr>
          <w:p w14:paraId="4B27C380" w14:textId="77777777" w:rsidR="00FA7C11" w:rsidRDefault="00D84965">
            <w:pPr>
              <w:pStyle w:val="P68B1DB1-Normal59"/>
              <w:spacing w:after="200" w:line="276" w:lineRule="auto"/>
              <w:jc w:val="center"/>
              <w:rPr>
                <w:rFonts w:ascii="Times New Roman" w:eastAsia="Times New Roman" w:hAnsi="Times New Roman" w:cs="Times New Roman"/>
                <w:noProof/>
              </w:rPr>
            </w:pPr>
            <w:r>
              <w:rPr>
                <w:rFonts w:ascii="Times New Roman" w:eastAsia="Calibri" w:hAnsi="Times New Roman" w:cs="Times New Roman"/>
                <w:noProof/>
                <w:color w:val="000000" w:themeColor="text1"/>
              </w:rPr>
              <w:t>Număr</w:t>
            </w:r>
            <w:r>
              <w:rPr>
                <w:rFonts w:ascii="Times New Roman" w:hAnsi="Times New Roman" w:cs="Times New Roman"/>
                <w:noProof/>
              </w:rPr>
              <w:br/>
            </w:r>
            <w:r>
              <w:rPr>
                <w:rFonts w:ascii="Times New Roman" w:eastAsia="Calibri" w:hAnsi="Times New Roman" w:cs="Times New Roman"/>
                <w:noProof/>
                <w:color w:val="000000" w:themeColor="text1"/>
              </w:rPr>
              <w:t xml:space="preserve"> (m²)</w:t>
            </w:r>
          </w:p>
          <w:p w14:paraId="4F83F4D8" w14:textId="77777777" w:rsidR="00FA7C11" w:rsidRDefault="00FA7C11">
            <w:pPr>
              <w:spacing w:line="276" w:lineRule="auto"/>
              <w:jc w:val="center"/>
              <w:rPr>
                <w:rFonts w:ascii="Times New Roman" w:eastAsia="Calibri" w:hAnsi="Times New Roman" w:cs="Times New Roman"/>
                <w:noProof/>
                <w:color w:val="000000" w:themeColor="text1"/>
                <w:sz w:val="20"/>
                <w:szCs w:val="20"/>
              </w:rPr>
            </w:pPr>
          </w:p>
        </w:tc>
        <w:tc>
          <w:tcPr>
            <w:tcW w:w="850" w:type="dxa"/>
            <w:shd w:val="clear" w:color="auto" w:fill="C6EFCE"/>
            <w:noWrap/>
          </w:tcPr>
          <w:p w14:paraId="1454D92A" w14:textId="77777777" w:rsidR="00FA7C11" w:rsidRDefault="00D84965">
            <w:pPr>
              <w:pStyle w:val="P68B1DB1-Normal70"/>
              <w:spacing w:line="276" w:lineRule="auto"/>
              <w:jc w:val="center"/>
              <w:rPr>
                <w:noProof/>
              </w:rPr>
            </w:pPr>
            <w:r>
              <w:rPr>
                <w:noProof/>
              </w:rPr>
              <w:t>0</w:t>
            </w:r>
          </w:p>
        </w:tc>
        <w:tc>
          <w:tcPr>
            <w:tcW w:w="1077" w:type="dxa"/>
            <w:shd w:val="clear" w:color="auto" w:fill="C6EFCE"/>
            <w:noWrap/>
          </w:tcPr>
          <w:p w14:paraId="161BD9CE" w14:textId="77777777" w:rsidR="00FA7C11" w:rsidRDefault="00D84965">
            <w:pPr>
              <w:pStyle w:val="P68B1DB1-Normal70"/>
              <w:spacing w:line="276" w:lineRule="auto"/>
              <w:jc w:val="center"/>
              <w:rPr>
                <w:noProof/>
              </w:rPr>
            </w:pPr>
            <w:r>
              <w:rPr>
                <w:noProof/>
              </w:rPr>
              <w:t>574 317</w:t>
            </w:r>
          </w:p>
        </w:tc>
        <w:tc>
          <w:tcPr>
            <w:tcW w:w="891" w:type="dxa"/>
            <w:shd w:val="clear" w:color="auto" w:fill="C6EFCE"/>
            <w:noWrap/>
          </w:tcPr>
          <w:p w14:paraId="457F7A7E" w14:textId="77777777" w:rsidR="00FA7C11" w:rsidRDefault="00D84965">
            <w:pPr>
              <w:pStyle w:val="P68B1DB1-Normal70"/>
              <w:spacing w:line="276" w:lineRule="auto"/>
              <w:jc w:val="center"/>
              <w:rPr>
                <w:noProof/>
              </w:rPr>
            </w:pPr>
            <w:r>
              <w:rPr>
                <w:noProof/>
              </w:rPr>
              <w:t>Î2</w:t>
            </w:r>
          </w:p>
        </w:tc>
        <w:tc>
          <w:tcPr>
            <w:tcW w:w="600" w:type="dxa"/>
            <w:shd w:val="clear" w:color="auto" w:fill="C6EFCE"/>
            <w:noWrap/>
          </w:tcPr>
          <w:p w14:paraId="468B18A0" w14:textId="77777777" w:rsidR="00FA7C11" w:rsidRDefault="00D84965">
            <w:pPr>
              <w:pStyle w:val="P68B1DB1-Normal70"/>
              <w:spacing w:line="276" w:lineRule="auto"/>
              <w:jc w:val="center"/>
              <w:rPr>
                <w:noProof/>
              </w:rPr>
            </w:pPr>
            <w:r>
              <w:rPr>
                <w:noProof/>
              </w:rPr>
              <w:t>2026</w:t>
            </w:r>
          </w:p>
        </w:tc>
        <w:tc>
          <w:tcPr>
            <w:tcW w:w="3953" w:type="dxa"/>
            <w:shd w:val="clear" w:color="auto" w:fill="C6EFCE"/>
            <w:noWrap/>
          </w:tcPr>
          <w:p w14:paraId="613C9EB2" w14:textId="77777777" w:rsidR="00FA7C11" w:rsidRDefault="00D84965">
            <w:pPr>
              <w:pStyle w:val="P68B1DB1-Normal66"/>
              <w:spacing w:line="276" w:lineRule="auto"/>
              <w:rPr>
                <w:noProof/>
                <w:color w:val="000000" w:themeColor="text1"/>
              </w:rPr>
            </w:pPr>
            <w:r>
              <w:rPr>
                <w:noProof/>
              </w:rPr>
              <w:t xml:space="preserve">Renovarea energetică și post-cutremur a cel puțin 574 317 m² de clădiri publice afectate de cutremure (în una sau mai multe dintre următoarele zone: orașul Zagreb, districtul Krapina-Zagorje, districtul Zagreb, districtul Sisak-Moslavina, districtul Karlovac, districtul Varaždin, districtul Međimurje, districtul Brod-Posavina, districtul Koprivnica-Križevci și districtul Bjelovar-Bilogora), îndeplinind o cerință minimă de reducere a consumului anual de energie pentru încălzire cu cel puțin 50 % în comparație cu consumul anual de energie pentru încălzire înainte de renovare pentru fiecare clădire (cu excepția clădirilor cu statut de bun cultural), ceea ce va asigura o creștere cu 30 % a economiilor de energie primară la nivelul obiectivului în comparație cu starea anterioară renovării și va fi în conformitate cu principiul DNSH. </w:t>
            </w:r>
          </w:p>
          <w:p w14:paraId="6DA0F412" w14:textId="77777777" w:rsidR="00FA7C11" w:rsidRDefault="00D84965">
            <w:pPr>
              <w:pStyle w:val="P68B1DB1-Normal66"/>
              <w:spacing w:line="276" w:lineRule="auto"/>
              <w:rPr>
                <w:noProof/>
                <w:color w:val="000000" w:themeColor="text1"/>
              </w:rPr>
            </w:pPr>
            <w:r>
              <w:rPr>
                <w:noProof/>
              </w:rPr>
              <w:t>Costul instalării cazanelor cu condensare de gaz care înlocuiesc cazanele existente pe bază de gaz, cărbune și petrol reprezintă cel mult 20 % din costul renovării.</w:t>
            </w:r>
          </w:p>
        </w:tc>
      </w:tr>
      <w:tr w:rsidR="00FA7C11" w14:paraId="0CCFC57B" w14:textId="77777777">
        <w:trPr>
          <w:trHeight w:val="966"/>
          <w:jc w:val="center"/>
        </w:trPr>
        <w:tc>
          <w:tcPr>
            <w:tcW w:w="846" w:type="dxa"/>
            <w:shd w:val="clear" w:color="auto" w:fill="C6EFCE"/>
            <w:noWrap/>
          </w:tcPr>
          <w:p w14:paraId="32D04231" w14:textId="77777777" w:rsidR="00FA7C11" w:rsidRDefault="00D84965">
            <w:pPr>
              <w:pStyle w:val="P68B1DB1-Normal89"/>
              <w:spacing w:after="0" w:line="276" w:lineRule="auto"/>
              <w:jc w:val="center"/>
              <w:rPr>
                <w:noProof/>
                <w:highlight w:val="yellow"/>
              </w:rPr>
            </w:pPr>
            <w:r>
              <w:rPr>
                <w:noProof/>
              </w:rPr>
              <w:t>439</w:t>
            </w:r>
          </w:p>
        </w:tc>
        <w:tc>
          <w:tcPr>
            <w:tcW w:w="1134" w:type="dxa"/>
            <w:shd w:val="clear" w:color="auto" w:fill="C6EFCE"/>
            <w:noWrap/>
          </w:tcPr>
          <w:p w14:paraId="7A882677" w14:textId="77777777" w:rsidR="00FA7C11" w:rsidRDefault="00D84965">
            <w:pPr>
              <w:pStyle w:val="P68B1DB1-Normal102"/>
              <w:spacing w:line="276" w:lineRule="auto"/>
              <w:jc w:val="center"/>
              <w:rPr>
                <w:noProof/>
                <w:color w:val="000000" w:themeColor="text1"/>
              </w:rPr>
            </w:pPr>
            <w:r>
              <w:rPr>
                <w:noProof/>
              </w:rPr>
              <w:t>C7.2 I2</w:t>
            </w:r>
          </w:p>
        </w:tc>
        <w:tc>
          <w:tcPr>
            <w:tcW w:w="1010" w:type="dxa"/>
            <w:shd w:val="clear" w:color="auto" w:fill="C6EFCE"/>
            <w:noWrap/>
          </w:tcPr>
          <w:p w14:paraId="5438AD2C" w14:textId="77777777" w:rsidR="00FA7C11" w:rsidRDefault="00D84965">
            <w:pPr>
              <w:pStyle w:val="P68B1DB1-Normal66"/>
              <w:spacing w:line="276" w:lineRule="auto"/>
              <w:jc w:val="center"/>
              <w:rPr>
                <w:noProof/>
                <w:color w:val="000000" w:themeColor="text1"/>
              </w:rPr>
            </w:pPr>
            <w:r>
              <w:rPr>
                <w:noProof/>
              </w:rPr>
              <w:t>T</w:t>
            </w:r>
          </w:p>
        </w:tc>
        <w:tc>
          <w:tcPr>
            <w:tcW w:w="2250" w:type="dxa"/>
            <w:shd w:val="clear" w:color="auto" w:fill="C6EFCE"/>
            <w:noWrap/>
          </w:tcPr>
          <w:p w14:paraId="1D585A43" w14:textId="77777777" w:rsidR="00FA7C11" w:rsidRDefault="00D84965">
            <w:pPr>
              <w:pStyle w:val="P68B1DB1-Normal66"/>
              <w:spacing w:line="276" w:lineRule="auto"/>
              <w:rPr>
                <w:noProof/>
                <w:color w:val="000000" w:themeColor="text1"/>
              </w:rPr>
            </w:pPr>
            <w:r>
              <w:rPr>
                <w:noProof/>
              </w:rPr>
              <w:t>Instalarea de sisteme de energie din surse regenerabile în clădirile publice afectate de cutremure</w:t>
            </w:r>
          </w:p>
        </w:tc>
        <w:tc>
          <w:tcPr>
            <w:tcW w:w="2126" w:type="dxa"/>
            <w:shd w:val="clear" w:color="auto" w:fill="C6EFCE"/>
            <w:noWrap/>
          </w:tcPr>
          <w:p w14:paraId="618B77AE" w14:textId="77777777" w:rsidR="00FA7C11" w:rsidRDefault="00FA7C11">
            <w:pPr>
              <w:spacing w:line="276" w:lineRule="auto"/>
              <w:rPr>
                <w:rFonts w:ascii="Times New Roman" w:eastAsia="Calibri" w:hAnsi="Times New Roman" w:cs="Times New Roman"/>
                <w:noProof/>
                <w:color w:val="000000" w:themeColor="text1"/>
                <w:sz w:val="20"/>
                <w:szCs w:val="20"/>
              </w:rPr>
            </w:pPr>
          </w:p>
        </w:tc>
        <w:tc>
          <w:tcPr>
            <w:tcW w:w="851" w:type="dxa"/>
            <w:shd w:val="clear" w:color="auto" w:fill="C6EFCE"/>
            <w:noWrap/>
          </w:tcPr>
          <w:p w14:paraId="3E7B4905" w14:textId="77777777" w:rsidR="00FA7C11" w:rsidRDefault="00D84965">
            <w:pPr>
              <w:pStyle w:val="P68B1DB1-Normal66"/>
              <w:spacing w:after="200" w:line="276" w:lineRule="auto"/>
              <w:jc w:val="center"/>
              <w:rPr>
                <w:noProof/>
                <w:color w:val="000000" w:themeColor="text1"/>
              </w:rPr>
            </w:pPr>
            <w:r>
              <w:rPr>
                <w:noProof/>
              </w:rPr>
              <w:t>Număr</w:t>
            </w:r>
          </w:p>
        </w:tc>
        <w:tc>
          <w:tcPr>
            <w:tcW w:w="850" w:type="dxa"/>
            <w:shd w:val="clear" w:color="auto" w:fill="C6EFCE"/>
            <w:noWrap/>
          </w:tcPr>
          <w:p w14:paraId="1AAD137E" w14:textId="77777777" w:rsidR="00FA7C11" w:rsidRDefault="00D84965">
            <w:pPr>
              <w:pStyle w:val="P68B1DB1-Normal70"/>
              <w:spacing w:line="276" w:lineRule="auto"/>
              <w:jc w:val="center"/>
              <w:rPr>
                <w:noProof/>
              </w:rPr>
            </w:pPr>
            <w:r>
              <w:rPr>
                <w:noProof/>
              </w:rPr>
              <w:t>0</w:t>
            </w:r>
          </w:p>
        </w:tc>
        <w:tc>
          <w:tcPr>
            <w:tcW w:w="1077" w:type="dxa"/>
            <w:shd w:val="clear" w:color="auto" w:fill="C6EFCE"/>
            <w:noWrap/>
          </w:tcPr>
          <w:p w14:paraId="7CD197F8" w14:textId="77777777" w:rsidR="00FA7C11" w:rsidRDefault="00D84965">
            <w:pPr>
              <w:pStyle w:val="P68B1DB1-Normal70"/>
              <w:spacing w:line="276" w:lineRule="auto"/>
              <w:jc w:val="center"/>
              <w:rPr>
                <w:noProof/>
              </w:rPr>
            </w:pPr>
            <w:r>
              <w:rPr>
                <w:noProof/>
              </w:rPr>
              <w:t>50</w:t>
            </w:r>
          </w:p>
        </w:tc>
        <w:tc>
          <w:tcPr>
            <w:tcW w:w="891" w:type="dxa"/>
            <w:shd w:val="clear" w:color="auto" w:fill="C6EFCE"/>
            <w:noWrap/>
          </w:tcPr>
          <w:p w14:paraId="0FC00513" w14:textId="77777777" w:rsidR="00FA7C11" w:rsidRDefault="00D84965">
            <w:pPr>
              <w:pStyle w:val="P68B1DB1-Normal70"/>
              <w:spacing w:line="276" w:lineRule="auto"/>
              <w:jc w:val="center"/>
              <w:rPr>
                <w:noProof/>
                <w:highlight w:val="yellow"/>
              </w:rPr>
            </w:pPr>
            <w:r>
              <w:rPr>
                <w:noProof/>
              </w:rPr>
              <w:t>Î2</w:t>
            </w:r>
          </w:p>
        </w:tc>
        <w:tc>
          <w:tcPr>
            <w:tcW w:w="600" w:type="dxa"/>
            <w:shd w:val="clear" w:color="auto" w:fill="C6EFCE"/>
            <w:noWrap/>
          </w:tcPr>
          <w:p w14:paraId="548F66AB" w14:textId="77777777" w:rsidR="00FA7C11" w:rsidRDefault="00D84965">
            <w:pPr>
              <w:pStyle w:val="P68B1DB1-Normal70"/>
              <w:spacing w:line="276" w:lineRule="auto"/>
              <w:jc w:val="center"/>
              <w:rPr>
                <w:noProof/>
                <w:highlight w:val="yellow"/>
              </w:rPr>
            </w:pPr>
            <w:r>
              <w:rPr>
                <w:noProof/>
              </w:rPr>
              <w:t>2026</w:t>
            </w:r>
          </w:p>
        </w:tc>
        <w:tc>
          <w:tcPr>
            <w:tcW w:w="3953" w:type="dxa"/>
            <w:shd w:val="clear" w:color="auto" w:fill="C6EFCE"/>
            <w:noWrap/>
          </w:tcPr>
          <w:p w14:paraId="1C6293E0" w14:textId="77777777" w:rsidR="00FA7C11" w:rsidRDefault="00D84965">
            <w:pPr>
              <w:pStyle w:val="P68B1DB1-Normal66"/>
              <w:spacing w:line="276" w:lineRule="auto"/>
              <w:rPr>
                <w:noProof/>
                <w:color w:val="000000" w:themeColor="text1"/>
                <w:highlight w:val="yellow"/>
              </w:rPr>
            </w:pPr>
            <w:r>
              <w:rPr>
                <w:noProof/>
              </w:rPr>
              <w:t>Cel puțin 50 de sisteme de energie din surse regenerabile se instalează în clădirile publice renovate în cadrul acestei investiții.</w:t>
            </w:r>
          </w:p>
        </w:tc>
      </w:tr>
    </w:tbl>
    <w:p w14:paraId="19D7AFA4" w14:textId="77777777" w:rsidR="00FA7C11" w:rsidRDefault="00FA7C11">
      <w:pPr>
        <w:rPr>
          <w:noProof/>
        </w:rPr>
        <w:sectPr w:rsidR="00FA7C11" w:rsidSect="00FA29B2">
          <w:headerReference w:type="even" r:id="rId452"/>
          <w:headerReference w:type="default" r:id="rId453"/>
          <w:footerReference w:type="even" r:id="rId454"/>
          <w:footerReference w:type="default" r:id="rId455"/>
          <w:headerReference w:type="first" r:id="rId456"/>
          <w:footerReference w:type="first" r:id="rId457"/>
          <w:pgSz w:w="16839" w:h="11907" w:orient="landscape"/>
          <w:pgMar w:top="1134" w:right="1134" w:bottom="1134" w:left="1134" w:header="567" w:footer="567" w:gutter="0"/>
          <w:cols w:space="708"/>
          <w:docGrid w:linePitch="360"/>
        </w:sectPr>
      </w:pPr>
    </w:p>
    <w:p w14:paraId="0279E3A6" w14:textId="77777777" w:rsidR="00FA7C11" w:rsidRDefault="00D84965">
      <w:pPr>
        <w:pStyle w:val="P68B1DB1-Normal24"/>
        <w:numPr>
          <w:ilvl w:val="0"/>
          <w:numId w:val="77"/>
        </w:numPr>
        <w:tabs>
          <w:tab w:val="clear" w:pos="720"/>
        </w:tabs>
        <w:spacing w:before="120" w:after="120" w:line="240" w:lineRule="auto"/>
        <w:ind w:left="850" w:hanging="283"/>
        <w:jc w:val="both"/>
        <w:rPr>
          <w:bCs/>
          <w:noProof/>
        </w:rPr>
      </w:pPr>
      <w:r>
        <w:rPr>
          <w:noProof/>
        </w:rPr>
        <w:t>Costul total estimat al planului de redresare și reziliență </w:t>
      </w:r>
    </w:p>
    <w:p w14:paraId="191F0C35" w14:textId="77777777" w:rsidR="00FA7C11" w:rsidRDefault="00FA7C11">
      <w:pPr>
        <w:spacing w:after="0" w:line="240" w:lineRule="auto"/>
        <w:ind w:left="840"/>
        <w:jc w:val="both"/>
        <w:textAlignment w:val="baseline"/>
        <w:rPr>
          <w:rFonts w:ascii="Times New Roman" w:eastAsia="Times New Roman" w:hAnsi="Times New Roman" w:cs="Times New Roman"/>
          <w:noProof/>
          <w:sz w:val="24"/>
          <w:szCs w:val="28"/>
        </w:rPr>
      </w:pPr>
    </w:p>
    <w:p w14:paraId="572409DF" w14:textId="0513321D" w:rsidR="00FA7C11" w:rsidRDefault="00D84965">
      <w:pPr>
        <w:pStyle w:val="P68B1DB1-Normal125"/>
        <w:spacing w:after="0" w:line="240" w:lineRule="auto"/>
        <w:jc w:val="both"/>
        <w:textAlignment w:val="baseline"/>
        <w:rPr>
          <w:noProof/>
        </w:rPr>
      </w:pPr>
      <w:r>
        <w:rPr>
          <w:noProof/>
        </w:rPr>
        <w:t>Costurile totale estimate ale planului de redresare și reziliență al Croației sunt de 9 961 398 190 EUR. </w:t>
      </w:r>
    </w:p>
    <w:p w14:paraId="1C9B9ED5" w14:textId="77777777" w:rsidR="00FA7C11" w:rsidRDefault="00FA7C11">
      <w:pPr>
        <w:spacing w:after="0" w:line="240" w:lineRule="auto"/>
        <w:jc w:val="both"/>
        <w:textAlignment w:val="baseline"/>
        <w:rPr>
          <w:rFonts w:ascii="Times New Roman" w:eastAsia="Times New Roman" w:hAnsi="Times New Roman" w:cs="Times New Roman"/>
          <w:noProof/>
          <w:sz w:val="20"/>
          <w:szCs w:val="20"/>
        </w:rPr>
      </w:pPr>
    </w:p>
    <w:p w14:paraId="59638C6C" w14:textId="06371E81" w:rsidR="00FA7C11" w:rsidRDefault="00D84965">
      <w:pPr>
        <w:pStyle w:val="P68B1DB1-Normal125"/>
        <w:spacing w:after="0" w:line="240" w:lineRule="auto"/>
        <w:jc w:val="both"/>
        <w:textAlignment w:val="baseline"/>
        <w:rPr>
          <w:noProof/>
          <w:sz w:val="20"/>
          <w:szCs w:val="20"/>
        </w:rPr>
      </w:pPr>
      <w:r>
        <w:rPr>
          <w:noProof/>
        </w:rPr>
        <w:t xml:space="preserve">Costurile totale estimate ale capitolului REPowerEU sunt de 2 721 804 579 EUR. În special, costurile totale estimate ale măsurilor menționate la articolul 21c alineatul (3) litera (a) din Regulamentul (UE) 2023/435 sunt de 559 000 000 EUR, în timp ce costurile celorlalte măsuri din capitolul REPowerEU sunt de 2 162 804 579 EUR. </w:t>
      </w:r>
    </w:p>
    <w:p w14:paraId="5B0EF5A2" w14:textId="77777777" w:rsidR="00FA7C11" w:rsidRDefault="00D84965">
      <w:pPr>
        <w:pStyle w:val="P68B1DB1-Normal125"/>
        <w:spacing w:after="0" w:line="240" w:lineRule="auto"/>
        <w:jc w:val="both"/>
        <w:textAlignment w:val="baseline"/>
        <w:rPr>
          <w:noProof/>
          <w:sz w:val="20"/>
          <w:szCs w:val="20"/>
        </w:rPr>
      </w:pPr>
      <w:r>
        <w:rPr>
          <w:noProof/>
        </w:rPr>
        <w:t> </w:t>
      </w:r>
    </w:p>
    <w:p w14:paraId="67F21EFE" w14:textId="77777777" w:rsidR="00FA7C11" w:rsidRDefault="00D84965">
      <w:pPr>
        <w:pStyle w:val="P68B1DB1-Normal140"/>
        <w:spacing w:after="0" w:line="240" w:lineRule="auto"/>
        <w:jc w:val="both"/>
        <w:textAlignment w:val="baseline"/>
        <w:rPr>
          <w:bCs/>
          <w:noProof/>
        </w:rPr>
      </w:pPr>
      <w:r>
        <w:rPr>
          <w:noProof/>
        </w:rPr>
        <w:t>SECȚIUNEA 2: SPRIJIN FINANCIAR </w:t>
      </w:r>
    </w:p>
    <w:p w14:paraId="4E9BD9A1" w14:textId="77777777" w:rsidR="00FA7C11" w:rsidRDefault="00D84965">
      <w:pPr>
        <w:pStyle w:val="P68B1DB1-Normal125"/>
        <w:spacing w:after="0" w:line="240" w:lineRule="auto"/>
        <w:jc w:val="both"/>
        <w:textAlignment w:val="baseline"/>
        <w:rPr>
          <w:noProof/>
          <w:sz w:val="20"/>
          <w:szCs w:val="20"/>
        </w:rPr>
      </w:pPr>
      <w:r>
        <w:rPr>
          <w:noProof/>
        </w:rPr>
        <w:t> </w:t>
      </w:r>
    </w:p>
    <w:p w14:paraId="4BF8C9C8" w14:textId="2D4D7AC7" w:rsidR="00FA7C11" w:rsidRDefault="00D84965">
      <w:pPr>
        <w:pStyle w:val="P68B1DB1-Normal140"/>
        <w:spacing w:after="0" w:line="240" w:lineRule="auto"/>
        <w:ind w:left="360"/>
        <w:jc w:val="both"/>
        <w:textAlignment w:val="baseline"/>
        <w:rPr>
          <w:noProof/>
        </w:rPr>
      </w:pPr>
      <w:r>
        <w:rPr>
          <w:noProof/>
        </w:rPr>
        <w:t xml:space="preserve">1. Financiară adecvată </w:t>
      </w:r>
    </w:p>
    <w:p w14:paraId="2261E4C2" w14:textId="77777777" w:rsidR="00FA7C11" w:rsidRDefault="00FA7C11">
      <w:pPr>
        <w:spacing w:after="0" w:line="240" w:lineRule="auto"/>
        <w:ind w:left="840"/>
        <w:jc w:val="both"/>
        <w:textAlignment w:val="baseline"/>
        <w:rPr>
          <w:rFonts w:ascii="Times New Roman" w:eastAsia="Times New Roman" w:hAnsi="Times New Roman" w:cs="Times New Roman"/>
          <w:noProof/>
          <w:sz w:val="24"/>
          <w:szCs w:val="28"/>
        </w:rPr>
      </w:pPr>
    </w:p>
    <w:p w14:paraId="2091BDEC" w14:textId="77777777" w:rsidR="00FA7C11" w:rsidRDefault="00D84965">
      <w:pPr>
        <w:pStyle w:val="P68B1DB1-Normal125"/>
        <w:spacing w:after="0" w:line="240" w:lineRule="auto"/>
        <w:ind w:left="840"/>
        <w:jc w:val="both"/>
        <w:textAlignment w:val="baseline"/>
        <w:rPr>
          <w:noProof/>
          <w:sz w:val="20"/>
          <w:szCs w:val="20"/>
        </w:rPr>
      </w:pPr>
      <w:r>
        <w:rPr>
          <w:noProof/>
        </w:rPr>
        <w:t>Tranșele menționate la articolul 2 alineatul (2) se organizează după cum urmează: </w:t>
      </w:r>
    </w:p>
    <w:p w14:paraId="122FB93D" w14:textId="77777777" w:rsidR="00FA7C11" w:rsidRDefault="00D84965">
      <w:pPr>
        <w:pStyle w:val="P68B1DB1-Normal125"/>
        <w:spacing w:after="0" w:line="240" w:lineRule="auto"/>
        <w:jc w:val="both"/>
        <w:textAlignment w:val="baseline"/>
        <w:rPr>
          <w:noProof/>
          <w:sz w:val="20"/>
          <w:szCs w:val="20"/>
        </w:rPr>
      </w:pPr>
      <w:r>
        <w:rPr>
          <w:noProof/>
        </w:rPr>
        <w:t> </w:t>
      </w:r>
    </w:p>
    <w:p w14:paraId="4BE21CF8" w14:textId="15F65E95" w:rsidR="00FA7C11" w:rsidRDefault="00D84965">
      <w:pPr>
        <w:pStyle w:val="P68B1DB1-Normal125"/>
        <w:numPr>
          <w:ilvl w:val="0"/>
          <w:numId w:val="78"/>
        </w:numPr>
        <w:spacing w:line="240" w:lineRule="auto"/>
        <w:jc w:val="both"/>
        <w:textAlignment w:val="baseline"/>
        <w:rPr>
          <w:noProof/>
        </w:rPr>
      </w:pPr>
      <w:r>
        <w:rPr>
          <w:noProof/>
        </w:rPr>
        <w:t xml:space="preserve">Prima tranșă (sprijin nerambursabil): </w:t>
      </w:r>
    </w:p>
    <w:tbl>
      <w:tblPr>
        <w:tblW w:w="9401"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2"/>
        <w:gridCol w:w="1631"/>
        <w:gridCol w:w="1352"/>
        <w:gridCol w:w="5326"/>
      </w:tblGrid>
      <w:tr w:rsidR="00FA7C11" w14:paraId="3FC85583" w14:textId="77777777">
        <w:trPr>
          <w:trHeight w:val="1105"/>
          <w:tblHeader/>
        </w:trPr>
        <w:tc>
          <w:tcPr>
            <w:tcW w:w="1095"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3C7E3EB2"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42"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5237FC05"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6" w:type="dxa"/>
            <w:tcBorders>
              <w:top w:val="single" w:sz="6" w:space="0" w:color="auto"/>
              <w:left w:val="single" w:sz="6" w:space="0" w:color="auto"/>
              <w:bottom w:val="single" w:sz="6" w:space="0" w:color="000000"/>
              <w:right w:val="single" w:sz="4" w:space="0" w:color="auto"/>
            </w:tcBorders>
            <w:shd w:val="clear" w:color="auto" w:fill="BDD7EE"/>
            <w:vAlign w:val="center"/>
            <w:hideMark/>
          </w:tcPr>
          <w:p w14:paraId="48CC1EFD"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8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CD9B36"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75DAFE07" w14:textId="77777777">
        <w:trPr>
          <w:trHeight w:val="367"/>
        </w:trPr>
        <w:tc>
          <w:tcPr>
            <w:tcW w:w="1095" w:type="dxa"/>
            <w:tcBorders>
              <w:top w:val="nil"/>
              <w:left w:val="single" w:sz="6" w:space="0" w:color="auto"/>
              <w:bottom w:val="single" w:sz="6" w:space="0" w:color="auto"/>
              <w:right w:val="single" w:sz="6" w:space="0" w:color="auto"/>
            </w:tcBorders>
            <w:shd w:val="clear" w:color="auto" w:fill="C6EFCE"/>
            <w:vAlign w:val="center"/>
            <w:hideMark/>
          </w:tcPr>
          <w:p w14:paraId="038555D7" w14:textId="77777777" w:rsidR="00FA7C11" w:rsidRDefault="00D84965">
            <w:pPr>
              <w:pStyle w:val="P68B1DB1-Normal102"/>
              <w:spacing w:after="0" w:line="240" w:lineRule="auto"/>
              <w:jc w:val="center"/>
              <w:textAlignment w:val="baseline"/>
              <w:rPr>
                <w:rFonts w:eastAsia="Times New Roman"/>
                <w:noProof/>
              </w:rPr>
            </w:pPr>
            <w:r>
              <w:rPr>
                <w:noProof/>
              </w:rPr>
              <w:t>45</w:t>
            </w:r>
          </w:p>
        </w:tc>
        <w:tc>
          <w:tcPr>
            <w:tcW w:w="1642" w:type="dxa"/>
            <w:tcBorders>
              <w:top w:val="nil"/>
              <w:left w:val="nil"/>
              <w:bottom w:val="single" w:sz="6" w:space="0" w:color="auto"/>
              <w:right w:val="single" w:sz="6" w:space="0" w:color="auto"/>
            </w:tcBorders>
            <w:shd w:val="clear" w:color="auto" w:fill="C6EFCE"/>
            <w:vAlign w:val="center"/>
            <w:hideMark/>
          </w:tcPr>
          <w:p w14:paraId="2D3AC504" w14:textId="77777777" w:rsidR="00FA7C11" w:rsidRDefault="00D84965">
            <w:pPr>
              <w:pStyle w:val="P68B1DB1-Normal102"/>
              <w:spacing w:after="0" w:line="240" w:lineRule="auto"/>
              <w:jc w:val="center"/>
              <w:textAlignment w:val="baseline"/>
              <w:rPr>
                <w:rFonts w:eastAsia="Times New Roman"/>
                <w:noProof/>
              </w:rPr>
            </w:pPr>
            <w:r>
              <w:rPr>
                <w:noProof/>
              </w:rPr>
              <w:t>C1.2. R1-I2</w:t>
            </w:r>
          </w:p>
        </w:tc>
        <w:tc>
          <w:tcPr>
            <w:tcW w:w="1276" w:type="dxa"/>
            <w:tcBorders>
              <w:top w:val="nil"/>
              <w:left w:val="nil"/>
              <w:bottom w:val="single" w:sz="6" w:space="0" w:color="auto"/>
              <w:right w:val="single" w:sz="6" w:space="0" w:color="auto"/>
            </w:tcBorders>
            <w:shd w:val="clear" w:color="auto" w:fill="C6EFCE"/>
            <w:vAlign w:val="center"/>
            <w:hideMark/>
          </w:tcPr>
          <w:p w14:paraId="42A4EEDD"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88" w:type="dxa"/>
            <w:tcBorders>
              <w:top w:val="single" w:sz="4" w:space="0" w:color="auto"/>
              <w:left w:val="nil"/>
              <w:bottom w:val="single" w:sz="6" w:space="0" w:color="auto"/>
              <w:right w:val="single" w:sz="6" w:space="0" w:color="auto"/>
            </w:tcBorders>
            <w:shd w:val="clear" w:color="auto" w:fill="C6EFCE"/>
            <w:vAlign w:val="center"/>
            <w:hideMark/>
          </w:tcPr>
          <w:p w14:paraId="4C6C67E8" w14:textId="77777777" w:rsidR="00FA7C11" w:rsidRDefault="00D84965">
            <w:pPr>
              <w:pStyle w:val="P68B1DB1-Normal102"/>
              <w:spacing w:after="0" w:line="240" w:lineRule="auto"/>
              <w:textAlignment w:val="baseline"/>
              <w:rPr>
                <w:rFonts w:eastAsia="Times New Roman"/>
                <w:noProof/>
              </w:rPr>
            </w:pPr>
            <w:r>
              <w:rPr>
                <w:noProof/>
              </w:rPr>
              <w:t>Adoptarea de către guvern a unui program privind eficiența energetică pentru decarbonizarea sectorului energetic</w:t>
            </w:r>
          </w:p>
        </w:tc>
      </w:tr>
      <w:tr w:rsidR="00FA7C11" w14:paraId="7FA886D8"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hideMark/>
          </w:tcPr>
          <w:p w14:paraId="6D504F12" w14:textId="77777777" w:rsidR="00FA7C11" w:rsidRDefault="00D84965">
            <w:pPr>
              <w:pStyle w:val="P68B1DB1-Normal102"/>
              <w:spacing w:after="0" w:line="240" w:lineRule="auto"/>
              <w:jc w:val="center"/>
              <w:textAlignment w:val="baseline"/>
              <w:rPr>
                <w:rFonts w:eastAsia="Times New Roman"/>
                <w:noProof/>
              </w:rPr>
            </w:pPr>
            <w:r>
              <w:rPr>
                <w:noProof/>
              </w:rPr>
              <w:t>46</w:t>
            </w:r>
          </w:p>
        </w:tc>
        <w:tc>
          <w:tcPr>
            <w:tcW w:w="1642" w:type="dxa"/>
            <w:tcBorders>
              <w:top w:val="single" w:sz="6" w:space="0" w:color="auto"/>
              <w:left w:val="nil"/>
              <w:bottom w:val="single" w:sz="6" w:space="0" w:color="auto"/>
              <w:right w:val="single" w:sz="6" w:space="0" w:color="auto"/>
            </w:tcBorders>
            <w:shd w:val="clear" w:color="auto" w:fill="C6EFCE"/>
            <w:vAlign w:val="center"/>
            <w:hideMark/>
          </w:tcPr>
          <w:p w14:paraId="3CF6618C" w14:textId="77777777" w:rsidR="00FA7C11" w:rsidRDefault="00D84965">
            <w:pPr>
              <w:pStyle w:val="P68B1DB1-Normal102"/>
              <w:spacing w:after="0" w:line="240" w:lineRule="auto"/>
              <w:jc w:val="center"/>
              <w:textAlignment w:val="baseline"/>
              <w:rPr>
                <w:rFonts w:eastAsia="Times New Roman"/>
                <w:noProof/>
              </w:rPr>
            </w:pPr>
            <w:r>
              <w:rPr>
                <w:noProof/>
              </w:rPr>
              <w:t>C1.2. R1-I2</w:t>
            </w:r>
          </w:p>
        </w:tc>
        <w:tc>
          <w:tcPr>
            <w:tcW w:w="1276" w:type="dxa"/>
            <w:tcBorders>
              <w:top w:val="single" w:sz="6" w:space="0" w:color="auto"/>
              <w:left w:val="nil"/>
              <w:bottom w:val="single" w:sz="6" w:space="0" w:color="auto"/>
              <w:right w:val="single" w:sz="6" w:space="0" w:color="auto"/>
            </w:tcBorders>
            <w:shd w:val="clear" w:color="auto" w:fill="C6EFCE"/>
            <w:vAlign w:val="center"/>
            <w:hideMark/>
          </w:tcPr>
          <w:p w14:paraId="53090303" w14:textId="77777777" w:rsidR="00FA7C11" w:rsidRDefault="00D84965">
            <w:pPr>
              <w:pStyle w:val="P68B1DB1-Normal102"/>
              <w:spacing w:after="0" w:line="240" w:lineRule="auto"/>
              <w:jc w:val="center"/>
              <w:textAlignment w:val="baseline"/>
              <w:rPr>
                <w:rFonts w:eastAsia="Times New Roman"/>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hideMark/>
          </w:tcPr>
          <w:p w14:paraId="1BC56B0D" w14:textId="77777777" w:rsidR="00FA7C11" w:rsidRDefault="00D84965">
            <w:pPr>
              <w:pStyle w:val="P68B1DB1-Normal102"/>
              <w:spacing w:after="0" w:line="240" w:lineRule="auto"/>
              <w:textAlignment w:val="baseline"/>
              <w:rPr>
                <w:rFonts w:eastAsia="Times New Roman"/>
                <w:noProof/>
              </w:rPr>
            </w:pPr>
            <w:r>
              <w:rPr>
                <w:noProof/>
              </w:rPr>
              <w:t>Numărul de întreprinderi care beneficiază de sprijin pentru eficiența energetică și utilizarea de energie din surse regenerabile în industrie</w:t>
            </w:r>
          </w:p>
        </w:tc>
      </w:tr>
      <w:tr w:rsidR="00FA7C11" w14:paraId="70EAE333"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F4A045A" w14:textId="77777777" w:rsidR="00FA7C11" w:rsidRDefault="00D84965">
            <w:pPr>
              <w:pStyle w:val="P68B1DB1-Normal102"/>
              <w:spacing w:after="0" w:line="240" w:lineRule="auto"/>
              <w:jc w:val="center"/>
              <w:textAlignment w:val="baseline"/>
              <w:rPr>
                <w:noProof/>
              </w:rPr>
            </w:pPr>
            <w:r>
              <w:rPr>
                <w:noProof/>
              </w:rPr>
              <w:t>49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595E283" w14:textId="77777777" w:rsidR="00FA7C11" w:rsidRDefault="00D84965">
            <w:pPr>
              <w:pStyle w:val="P68B1DB1-Normal102"/>
              <w:spacing w:after="0" w:line="240" w:lineRule="auto"/>
              <w:jc w:val="center"/>
              <w:textAlignment w:val="baseline"/>
              <w:rPr>
                <w:noProof/>
              </w:rPr>
            </w:pPr>
            <w:r>
              <w:rPr>
                <w:noProof/>
              </w:rPr>
              <w:t>C1.2.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21F9221"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035F453" w14:textId="77777777" w:rsidR="00FA7C11" w:rsidRDefault="00D84965">
            <w:pPr>
              <w:pStyle w:val="P68B1DB1-Normal102"/>
              <w:spacing w:after="0" w:line="240" w:lineRule="auto"/>
              <w:textAlignment w:val="baseline"/>
              <w:rPr>
                <w:noProof/>
              </w:rPr>
            </w:pPr>
            <w:r>
              <w:rPr>
                <w:noProof/>
              </w:rPr>
              <w:t>Intrarea în vigoare a Legii privind combustibilii alternativi pentru transport</w:t>
            </w:r>
          </w:p>
        </w:tc>
      </w:tr>
      <w:tr w:rsidR="00FA7C11" w14:paraId="69A118CA"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E1B0D91" w14:textId="77777777" w:rsidR="00FA7C11" w:rsidRDefault="00D84965">
            <w:pPr>
              <w:pStyle w:val="P68B1DB1-Normal102"/>
              <w:spacing w:after="0" w:line="240" w:lineRule="auto"/>
              <w:jc w:val="center"/>
              <w:textAlignment w:val="baseline"/>
              <w:rPr>
                <w:noProof/>
              </w:rPr>
            </w:pPr>
            <w:r>
              <w:rPr>
                <w:noProof/>
              </w:rPr>
              <w:t>59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EE45F32" w14:textId="77777777" w:rsidR="00FA7C11" w:rsidRDefault="00D84965">
            <w:pPr>
              <w:pStyle w:val="P68B1DB1-Normal102"/>
              <w:spacing w:after="0" w:line="240" w:lineRule="auto"/>
              <w:jc w:val="center"/>
              <w:textAlignment w:val="baseline"/>
              <w:rPr>
                <w:noProof/>
              </w:rPr>
            </w:pPr>
            <w:r>
              <w:rPr>
                <w:noProof/>
              </w:rPr>
              <w:t>C1.3.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A24F42E"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6B85BA9" w14:textId="77777777" w:rsidR="00FA7C11" w:rsidRDefault="00D84965">
            <w:pPr>
              <w:pStyle w:val="P68B1DB1-Normal102"/>
              <w:spacing w:after="0" w:line="240" w:lineRule="auto"/>
              <w:textAlignment w:val="baseline"/>
              <w:rPr>
                <w:noProof/>
              </w:rPr>
            </w:pPr>
            <w:r>
              <w:rPr>
                <w:noProof/>
              </w:rPr>
              <w:t>Adoptarea programului multianual de construcție pentru tratarea apei și a apelor urbane reziduale</w:t>
            </w:r>
          </w:p>
        </w:tc>
      </w:tr>
      <w:tr w:rsidR="00FA7C11" w14:paraId="77B329CD"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440F8A3" w14:textId="77777777" w:rsidR="00FA7C11" w:rsidRDefault="00D84965">
            <w:pPr>
              <w:pStyle w:val="P68B1DB1-Normal102"/>
              <w:spacing w:after="0" w:line="240" w:lineRule="auto"/>
              <w:jc w:val="center"/>
              <w:textAlignment w:val="baseline"/>
              <w:rPr>
                <w:noProof/>
              </w:rPr>
            </w:pPr>
            <w:r>
              <w:rPr>
                <w:noProof/>
              </w:rPr>
              <w:t>81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B8F7DB3" w14:textId="77777777" w:rsidR="00FA7C11" w:rsidRDefault="00D84965">
            <w:pPr>
              <w:pStyle w:val="P68B1DB1-Normal102"/>
              <w:spacing w:after="0" w:line="240" w:lineRule="auto"/>
              <w:jc w:val="center"/>
              <w:textAlignment w:val="baseline"/>
              <w:rPr>
                <w:noProof/>
              </w:rPr>
            </w:pPr>
            <w:r>
              <w:rPr>
                <w:noProof/>
              </w:rPr>
              <w:t>C1.3.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AD618DD"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284B226" w14:textId="77777777" w:rsidR="00FA7C11" w:rsidRDefault="00D84965">
            <w:pPr>
              <w:pStyle w:val="P68B1DB1-Normal102"/>
              <w:spacing w:after="0" w:line="240" w:lineRule="auto"/>
              <w:textAlignment w:val="baseline"/>
              <w:rPr>
                <w:noProof/>
              </w:rPr>
            </w:pPr>
            <w:r>
              <w:rPr>
                <w:noProof/>
              </w:rPr>
              <w:t xml:space="preserve">Adoptarea Legii privind gestionarea deșeurilor </w:t>
            </w:r>
          </w:p>
        </w:tc>
      </w:tr>
      <w:tr w:rsidR="00FA7C11" w14:paraId="75B27F8A"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F57A10C" w14:textId="77777777" w:rsidR="00FA7C11" w:rsidRDefault="00D84965">
            <w:pPr>
              <w:pStyle w:val="P68B1DB1-Normal102"/>
              <w:spacing w:after="0" w:line="240" w:lineRule="auto"/>
              <w:jc w:val="center"/>
              <w:textAlignment w:val="baseline"/>
              <w:rPr>
                <w:noProof/>
              </w:rPr>
            </w:pPr>
            <w:r>
              <w:rPr>
                <w:noProof/>
              </w:rPr>
              <w:t>82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4FCA21B3" w14:textId="77777777" w:rsidR="00FA7C11" w:rsidRDefault="00D84965">
            <w:pPr>
              <w:pStyle w:val="P68B1DB1-Normal102"/>
              <w:spacing w:after="0" w:line="240" w:lineRule="auto"/>
              <w:jc w:val="center"/>
              <w:textAlignment w:val="baseline"/>
              <w:rPr>
                <w:noProof/>
              </w:rPr>
            </w:pPr>
            <w:r>
              <w:rPr>
                <w:noProof/>
              </w:rPr>
              <w:t>C1.3.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87BAFCA"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C13911A" w14:textId="77777777" w:rsidR="00FA7C11" w:rsidRDefault="00D84965">
            <w:pPr>
              <w:pStyle w:val="P68B1DB1-Normal102"/>
              <w:spacing w:after="0" w:line="240" w:lineRule="auto"/>
              <w:textAlignment w:val="baseline"/>
              <w:rPr>
                <w:noProof/>
              </w:rPr>
            </w:pPr>
            <w:r>
              <w:rPr>
                <w:noProof/>
              </w:rPr>
              <w:t>Revizuirea Planului de gestionare a deșeurilor al Republicii Croația pentru perioada 2017-2022</w:t>
            </w:r>
          </w:p>
        </w:tc>
      </w:tr>
      <w:tr w:rsidR="00FA7C11" w14:paraId="2FA34BC0"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BD3BCF4" w14:textId="77777777" w:rsidR="00FA7C11" w:rsidRDefault="00D84965">
            <w:pPr>
              <w:pStyle w:val="P68B1DB1-Normal102"/>
              <w:spacing w:after="0" w:line="240" w:lineRule="auto"/>
              <w:jc w:val="center"/>
              <w:textAlignment w:val="baseline"/>
              <w:rPr>
                <w:noProof/>
              </w:rPr>
            </w:pPr>
            <w:r>
              <w:rPr>
                <w:noProof/>
              </w:rPr>
              <w:t>91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504C52A" w14:textId="77777777" w:rsidR="00FA7C11" w:rsidRDefault="00D84965">
            <w:pPr>
              <w:pStyle w:val="P68B1DB1-Normal102"/>
              <w:spacing w:after="0" w:line="240" w:lineRule="auto"/>
              <w:jc w:val="center"/>
              <w:textAlignment w:val="baseline"/>
              <w:rPr>
                <w:noProof/>
              </w:rPr>
            </w:pPr>
            <w:r>
              <w:rPr>
                <w:noProof/>
              </w:rPr>
              <w:t>C1.4.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30CC503"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BEEB505" w14:textId="77777777" w:rsidR="00FA7C11" w:rsidRDefault="00D84965">
            <w:pPr>
              <w:pStyle w:val="P68B1DB1-Normal102"/>
              <w:spacing w:after="0" w:line="240" w:lineRule="auto"/>
              <w:textAlignment w:val="baseline"/>
              <w:rPr>
                <w:noProof/>
              </w:rPr>
            </w:pPr>
            <w:r>
              <w:rPr>
                <w:noProof/>
              </w:rPr>
              <w:t xml:space="preserve">Modificările aduse Legii drumurilor </w:t>
            </w:r>
          </w:p>
        </w:tc>
      </w:tr>
      <w:tr w:rsidR="00FA7C11" w14:paraId="5FBE866F"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69DC172" w14:textId="77777777" w:rsidR="00FA7C11" w:rsidRDefault="00D84965">
            <w:pPr>
              <w:pStyle w:val="P68B1DB1-Normal102"/>
              <w:spacing w:after="0" w:line="240" w:lineRule="auto"/>
              <w:jc w:val="center"/>
              <w:textAlignment w:val="baseline"/>
              <w:rPr>
                <w:noProof/>
              </w:rPr>
            </w:pPr>
            <w:r>
              <w:rPr>
                <w:noProof/>
              </w:rPr>
              <w:t>92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D12EAD7" w14:textId="77777777" w:rsidR="00FA7C11" w:rsidRDefault="00D84965">
            <w:pPr>
              <w:pStyle w:val="P68B1DB1-Normal102"/>
              <w:spacing w:after="0" w:line="240" w:lineRule="auto"/>
              <w:jc w:val="center"/>
              <w:textAlignment w:val="baseline"/>
              <w:rPr>
                <w:noProof/>
              </w:rPr>
            </w:pPr>
            <w:r>
              <w:rPr>
                <w:noProof/>
              </w:rPr>
              <w:t>C1.4.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9C7E4F7"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74A7ADAC" w14:textId="77777777" w:rsidR="00FA7C11" w:rsidRDefault="00D84965">
            <w:pPr>
              <w:pStyle w:val="P68B1DB1-Normal102"/>
              <w:spacing w:after="0" w:line="240" w:lineRule="auto"/>
              <w:textAlignment w:val="baseline"/>
              <w:rPr>
                <w:noProof/>
              </w:rPr>
            </w:pPr>
            <w:r>
              <w:rPr>
                <w:noProof/>
              </w:rPr>
              <w:t>Programul național de siguranță rutieră 2021-2030</w:t>
            </w:r>
          </w:p>
        </w:tc>
      </w:tr>
      <w:tr w:rsidR="00FA7C11" w14:paraId="765EA635"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B384058" w14:textId="77777777" w:rsidR="00FA7C11" w:rsidRDefault="00D84965">
            <w:pPr>
              <w:pStyle w:val="P68B1DB1-Normal102"/>
              <w:spacing w:after="0" w:line="240" w:lineRule="auto"/>
              <w:jc w:val="center"/>
              <w:textAlignment w:val="baseline"/>
              <w:rPr>
                <w:noProof/>
              </w:rPr>
            </w:pPr>
            <w:r>
              <w:rPr>
                <w:noProof/>
              </w:rPr>
              <w:t>98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80938A7" w14:textId="77777777" w:rsidR="00FA7C11" w:rsidRDefault="00D84965">
            <w:pPr>
              <w:pStyle w:val="P68B1DB1-Normal102"/>
              <w:spacing w:after="0" w:line="240" w:lineRule="auto"/>
              <w:jc w:val="center"/>
              <w:textAlignment w:val="baseline"/>
              <w:rPr>
                <w:noProof/>
              </w:rPr>
            </w:pPr>
            <w:r>
              <w:rPr>
                <w:noProof/>
              </w:rPr>
              <w:t>C1.4.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4CF197E"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8119A71" w14:textId="77777777" w:rsidR="00FA7C11" w:rsidRDefault="00D84965">
            <w:pPr>
              <w:pStyle w:val="P68B1DB1-Normal102"/>
              <w:spacing w:after="0" w:line="240" w:lineRule="auto"/>
              <w:textAlignment w:val="baseline"/>
              <w:rPr>
                <w:noProof/>
              </w:rPr>
            </w:pPr>
            <w:r>
              <w:rPr>
                <w:noProof/>
              </w:rPr>
              <w:t xml:space="preserve">Adoptarea scrisorii privind politica sectorială </w:t>
            </w:r>
          </w:p>
        </w:tc>
      </w:tr>
      <w:tr w:rsidR="00FA7C11" w14:paraId="679EE84F"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81B3232" w14:textId="77777777" w:rsidR="00FA7C11" w:rsidRDefault="00D84965">
            <w:pPr>
              <w:pStyle w:val="P68B1DB1-Normal102"/>
              <w:spacing w:after="0" w:line="240" w:lineRule="auto"/>
              <w:jc w:val="center"/>
              <w:textAlignment w:val="baseline"/>
              <w:rPr>
                <w:noProof/>
              </w:rPr>
            </w:pPr>
            <w:r>
              <w:rPr>
                <w:noProof/>
              </w:rPr>
              <w:t>109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6617438" w14:textId="77777777" w:rsidR="00FA7C11" w:rsidRDefault="00D84965">
            <w:pPr>
              <w:pStyle w:val="P68B1DB1-Normal102"/>
              <w:spacing w:after="0" w:line="240" w:lineRule="auto"/>
              <w:jc w:val="center"/>
              <w:textAlignment w:val="baseline"/>
              <w:rPr>
                <w:noProof/>
              </w:rPr>
            </w:pPr>
            <w:r>
              <w:rPr>
                <w:noProof/>
              </w:rPr>
              <w:t>C1.4.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3B449D5"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68140C7" w14:textId="77777777" w:rsidR="00FA7C11" w:rsidRDefault="00D84965">
            <w:pPr>
              <w:pStyle w:val="P68B1DB1-Normal102"/>
              <w:spacing w:after="0" w:line="240" w:lineRule="auto"/>
              <w:textAlignment w:val="baseline"/>
              <w:rPr>
                <w:noProof/>
              </w:rPr>
            </w:pPr>
            <w:r>
              <w:rPr>
                <w:noProof/>
              </w:rPr>
              <w:t xml:space="preserve">Noua Lege privind traficul costier regulat și sezonier </w:t>
            </w:r>
          </w:p>
        </w:tc>
      </w:tr>
      <w:tr w:rsidR="00FA7C11" w14:paraId="35A23441"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6430C9E" w14:textId="77777777" w:rsidR="00FA7C11" w:rsidRDefault="00D84965">
            <w:pPr>
              <w:pStyle w:val="P68B1DB1-Normal102"/>
              <w:spacing w:after="0" w:line="240" w:lineRule="auto"/>
              <w:jc w:val="center"/>
              <w:textAlignment w:val="baseline"/>
              <w:rPr>
                <w:noProof/>
              </w:rPr>
            </w:pPr>
            <w:r>
              <w:rPr>
                <w:noProof/>
              </w:rPr>
              <w:t>110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547F525" w14:textId="77777777" w:rsidR="00FA7C11" w:rsidRDefault="00D84965">
            <w:pPr>
              <w:pStyle w:val="P68B1DB1-Normal102"/>
              <w:spacing w:after="0" w:line="240" w:lineRule="auto"/>
              <w:jc w:val="center"/>
              <w:textAlignment w:val="baseline"/>
              <w:rPr>
                <w:noProof/>
              </w:rPr>
            </w:pPr>
            <w:r>
              <w:rPr>
                <w:noProof/>
              </w:rPr>
              <w:t>C1.4.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4946DED"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D49DCA4" w14:textId="77777777" w:rsidR="00FA7C11" w:rsidRDefault="00D84965">
            <w:pPr>
              <w:pStyle w:val="P68B1DB1-Normal102"/>
              <w:spacing w:after="0" w:line="240" w:lineRule="auto"/>
              <w:textAlignment w:val="baseline"/>
              <w:rPr>
                <w:noProof/>
              </w:rPr>
            </w:pPr>
            <w:r>
              <w:rPr>
                <w:noProof/>
              </w:rPr>
              <w:t>Noua Lege privind navigația interioară și porturile</w:t>
            </w:r>
          </w:p>
        </w:tc>
      </w:tr>
      <w:tr w:rsidR="00FA7C11" w14:paraId="69EBAF77"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ABB6FB1" w14:textId="77777777" w:rsidR="00FA7C11" w:rsidRDefault="00D84965">
            <w:pPr>
              <w:pStyle w:val="P68B1DB1-Normal102"/>
              <w:spacing w:after="0" w:line="240" w:lineRule="auto"/>
              <w:jc w:val="center"/>
              <w:textAlignment w:val="baseline"/>
              <w:rPr>
                <w:noProof/>
              </w:rPr>
            </w:pPr>
            <w:r>
              <w:rPr>
                <w:noProof/>
              </w:rPr>
              <w:t>126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3B8971D" w14:textId="77777777" w:rsidR="00FA7C11" w:rsidRDefault="00D84965">
            <w:pPr>
              <w:pStyle w:val="P68B1DB1-Normal102"/>
              <w:spacing w:after="0" w:line="240" w:lineRule="auto"/>
              <w:jc w:val="center"/>
              <w:textAlignment w:val="baseline"/>
              <w:rPr>
                <w:noProof/>
              </w:rPr>
            </w:pPr>
            <w:r>
              <w:rPr>
                <w:noProof/>
              </w:rPr>
              <w:t>C1.5.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B8A2E1F"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F181508" w14:textId="77777777" w:rsidR="00FA7C11" w:rsidRDefault="00D84965">
            <w:pPr>
              <w:pStyle w:val="P68B1DB1-Normal102"/>
              <w:spacing w:after="0" w:line="240" w:lineRule="auto"/>
              <w:textAlignment w:val="baseline"/>
              <w:rPr>
                <w:noProof/>
              </w:rPr>
            </w:pPr>
            <w:r>
              <w:rPr>
                <w:noProof/>
              </w:rPr>
              <w:t>Programul operațional pentru consolidarea capacității de piață a sectorului fructelor și legumelor pentru perioada 2021-2026</w:t>
            </w:r>
          </w:p>
        </w:tc>
      </w:tr>
      <w:tr w:rsidR="00FA7C11" w14:paraId="182615D4"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1B76716" w14:textId="77777777" w:rsidR="00FA7C11" w:rsidRDefault="00D84965">
            <w:pPr>
              <w:pStyle w:val="P68B1DB1-Normal102"/>
              <w:spacing w:after="0" w:line="240" w:lineRule="auto"/>
              <w:jc w:val="center"/>
              <w:textAlignment w:val="baseline"/>
              <w:rPr>
                <w:noProof/>
              </w:rPr>
            </w:pPr>
            <w:r>
              <w:rPr>
                <w:noProof/>
              </w:rPr>
              <w:t>134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43FA7E53" w14:textId="77777777" w:rsidR="00FA7C11" w:rsidRDefault="00D84965">
            <w:pPr>
              <w:pStyle w:val="P68B1DB1-Normal102"/>
              <w:spacing w:after="0" w:line="240" w:lineRule="auto"/>
              <w:jc w:val="center"/>
              <w:textAlignment w:val="baseline"/>
              <w:rPr>
                <w:noProof/>
              </w:rPr>
            </w:pPr>
            <w:r>
              <w:rPr>
                <w:noProof/>
              </w:rPr>
              <w:t>C1.5.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BCD0CFE"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4785A1F" w14:textId="77777777" w:rsidR="00FA7C11" w:rsidRDefault="00D84965">
            <w:pPr>
              <w:pStyle w:val="P68B1DB1-Normal102"/>
              <w:spacing w:after="0" w:line="240" w:lineRule="auto"/>
              <w:textAlignment w:val="baseline"/>
              <w:rPr>
                <w:noProof/>
              </w:rPr>
            </w:pPr>
            <w:r>
              <w:rPr>
                <w:noProof/>
              </w:rPr>
              <w:t xml:space="preserve">Înființarea unei unități pentru punerea în aplicare și gestionarea proiectelor de transformare digitală în cadrul Ministerului Agriculturii </w:t>
            </w:r>
          </w:p>
        </w:tc>
      </w:tr>
      <w:tr w:rsidR="00FA7C11" w14:paraId="4873BB90"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8203332" w14:textId="77777777" w:rsidR="00FA7C11" w:rsidRDefault="00D84965">
            <w:pPr>
              <w:pStyle w:val="P68B1DB1-Normal102"/>
              <w:spacing w:after="0" w:line="240" w:lineRule="auto"/>
              <w:jc w:val="center"/>
              <w:textAlignment w:val="baseline"/>
              <w:rPr>
                <w:noProof/>
              </w:rPr>
            </w:pPr>
            <w:r>
              <w:rPr>
                <w:noProof/>
              </w:rPr>
              <w:t>140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658BC16" w14:textId="77777777" w:rsidR="00FA7C11" w:rsidRDefault="00D84965">
            <w:pPr>
              <w:pStyle w:val="P68B1DB1-Normal102"/>
              <w:spacing w:after="0" w:line="240" w:lineRule="auto"/>
              <w:jc w:val="center"/>
              <w:textAlignment w:val="baseline"/>
              <w:rPr>
                <w:noProof/>
              </w:rPr>
            </w:pPr>
            <w:r>
              <w:rPr>
                <w:noProof/>
              </w:rPr>
              <w:t>C1.6.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534774E"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8D1A09C" w14:textId="77777777" w:rsidR="00FA7C11" w:rsidRDefault="00D84965">
            <w:pPr>
              <w:pStyle w:val="P68B1DB1-Normal102"/>
              <w:spacing w:after="0" w:line="240" w:lineRule="auto"/>
              <w:textAlignment w:val="baseline"/>
              <w:rPr>
                <w:noProof/>
              </w:rPr>
            </w:pPr>
            <w:r>
              <w:rPr>
                <w:noProof/>
              </w:rPr>
              <w:t xml:space="preserve">Analiza scenariilor ca parte a dezvoltării turismului durabil </w:t>
            </w:r>
          </w:p>
          <w:p w14:paraId="4D0B6021" w14:textId="77777777" w:rsidR="00FA7C11" w:rsidRDefault="00D84965">
            <w:pPr>
              <w:pStyle w:val="P68B1DB1-Normal102"/>
              <w:spacing w:after="0" w:line="240" w:lineRule="auto"/>
              <w:textAlignment w:val="baseline"/>
              <w:rPr>
                <w:noProof/>
              </w:rPr>
            </w:pPr>
            <w:r>
              <w:rPr>
                <w:noProof/>
              </w:rPr>
              <w:t>Strategia pentru 2030</w:t>
            </w:r>
          </w:p>
        </w:tc>
      </w:tr>
      <w:tr w:rsidR="00FA7C11" w14:paraId="64A25A5D"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AEF5A88" w14:textId="77777777" w:rsidR="00FA7C11" w:rsidRDefault="00D84965">
            <w:pPr>
              <w:pStyle w:val="P68B1DB1-Normal102"/>
              <w:spacing w:after="0" w:line="240" w:lineRule="auto"/>
              <w:jc w:val="center"/>
              <w:textAlignment w:val="baseline"/>
              <w:rPr>
                <w:noProof/>
              </w:rPr>
            </w:pPr>
            <w:r>
              <w:rPr>
                <w:noProof/>
              </w:rPr>
              <w:t>156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B70D75D" w14:textId="77777777" w:rsidR="00FA7C11" w:rsidRDefault="00D84965">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3030152"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5568E6B" w14:textId="77777777" w:rsidR="00FA7C11" w:rsidRDefault="00D84965">
            <w:pPr>
              <w:pStyle w:val="P68B1DB1-Normal102"/>
              <w:spacing w:after="0" w:line="240" w:lineRule="auto"/>
              <w:textAlignment w:val="baseline"/>
              <w:rPr>
                <w:noProof/>
              </w:rPr>
            </w:pPr>
            <w:r>
              <w:rPr>
                <w:noProof/>
              </w:rPr>
              <w:t>Modificarea statutului ARPA în vederea redefinirii mandatului său</w:t>
            </w:r>
          </w:p>
        </w:tc>
      </w:tr>
      <w:tr w:rsidR="00FA7C11" w14:paraId="105A6443"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4371842B" w14:textId="77777777" w:rsidR="00FA7C11" w:rsidRDefault="00D84965">
            <w:pPr>
              <w:pStyle w:val="P68B1DB1-Normal102"/>
              <w:spacing w:after="0" w:line="240" w:lineRule="auto"/>
              <w:jc w:val="center"/>
              <w:textAlignment w:val="baseline"/>
              <w:rPr>
                <w:noProof/>
              </w:rPr>
            </w:pPr>
            <w:r>
              <w:rPr>
                <w:noProof/>
              </w:rPr>
              <w:t>157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4E82C0D" w14:textId="77777777" w:rsidR="00FA7C11" w:rsidRDefault="00D84965">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9EEE50A"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CD55CEB" w14:textId="77777777" w:rsidR="00FA7C11" w:rsidRDefault="00D84965">
            <w:pPr>
              <w:pStyle w:val="P68B1DB1-Normal102"/>
              <w:spacing w:after="0" w:line="240" w:lineRule="auto"/>
              <w:textAlignment w:val="baseline"/>
              <w:rPr>
                <w:noProof/>
              </w:rPr>
            </w:pPr>
            <w:r>
              <w:rPr>
                <w:noProof/>
              </w:rPr>
              <w:t>Instituirea sistemului de punere în aplicare, de audit și de control pentru planul de redresare și reziliență</w:t>
            </w:r>
          </w:p>
        </w:tc>
      </w:tr>
      <w:tr w:rsidR="00FA7C11" w14:paraId="18C49728"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6C51D5A" w14:textId="77777777" w:rsidR="00FA7C11" w:rsidRDefault="00D84965">
            <w:pPr>
              <w:pStyle w:val="P68B1DB1-Normal102"/>
              <w:spacing w:after="0" w:line="240" w:lineRule="auto"/>
              <w:jc w:val="center"/>
              <w:textAlignment w:val="baseline"/>
              <w:rPr>
                <w:noProof/>
              </w:rPr>
            </w:pPr>
            <w:r>
              <w:rPr>
                <w:noProof/>
              </w:rPr>
              <w:t>158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303FCAF" w14:textId="77777777" w:rsidR="00FA7C11" w:rsidRDefault="00D84965">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B018A22"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51D1BEA" w14:textId="77777777" w:rsidR="00FA7C11" w:rsidRDefault="00D84965">
            <w:pPr>
              <w:pStyle w:val="P68B1DB1-Normal102"/>
              <w:spacing w:after="0" w:line="240" w:lineRule="auto"/>
              <w:textAlignment w:val="baseline"/>
              <w:rPr>
                <w:noProof/>
              </w:rPr>
            </w:pPr>
            <w:r>
              <w:rPr>
                <w:noProof/>
              </w:rPr>
              <w:t>Adoptarea Legii privind cadrul instituțional pentru fondurile UE</w:t>
            </w:r>
          </w:p>
        </w:tc>
      </w:tr>
      <w:tr w:rsidR="00FA7C11" w14:paraId="3D853D17"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48E7A762" w14:textId="77777777" w:rsidR="00FA7C11" w:rsidRDefault="00D84965">
            <w:pPr>
              <w:pStyle w:val="P68B1DB1-Normal102"/>
              <w:spacing w:after="0" w:line="240" w:lineRule="auto"/>
              <w:jc w:val="center"/>
              <w:textAlignment w:val="baseline"/>
              <w:rPr>
                <w:noProof/>
              </w:rPr>
            </w:pPr>
            <w:r>
              <w:rPr>
                <w:noProof/>
              </w:rPr>
              <w:t>159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A0D29DF" w14:textId="77777777" w:rsidR="00FA7C11" w:rsidRDefault="00D84965">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60C56F5"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270D418" w14:textId="77777777" w:rsidR="00FA7C11" w:rsidRDefault="00D84965">
            <w:pPr>
              <w:pStyle w:val="P68B1DB1-Normal102"/>
              <w:spacing w:after="0" w:line="240" w:lineRule="auto"/>
              <w:textAlignment w:val="baseline"/>
              <w:rPr>
                <w:noProof/>
              </w:rPr>
            </w:pPr>
            <w:r>
              <w:rPr>
                <w:noProof/>
              </w:rPr>
              <w:t xml:space="preserve">Evaluarea capacității administrative </w:t>
            </w:r>
          </w:p>
        </w:tc>
      </w:tr>
      <w:tr w:rsidR="00FA7C11" w14:paraId="434F7467"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B8560D1" w14:textId="77777777" w:rsidR="00FA7C11" w:rsidRDefault="00D84965">
            <w:pPr>
              <w:pStyle w:val="P68B1DB1-Normal102"/>
              <w:spacing w:after="0" w:line="240" w:lineRule="auto"/>
              <w:jc w:val="center"/>
              <w:textAlignment w:val="baseline"/>
              <w:rPr>
                <w:noProof/>
              </w:rPr>
            </w:pPr>
            <w:r>
              <w:rPr>
                <w:noProof/>
              </w:rPr>
              <w:t>207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6E00B05" w14:textId="77777777" w:rsidR="00FA7C11" w:rsidRDefault="00D84965">
            <w:pPr>
              <w:pStyle w:val="P68B1DB1-Normal102"/>
              <w:spacing w:after="0" w:line="240" w:lineRule="auto"/>
              <w:jc w:val="center"/>
              <w:textAlignment w:val="baseline"/>
              <w:rPr>
                <w:noProof/>
              </w:rPr>
            </w:pPr>
            <w:r>
              <w:rPr>
                <w:noProof/>
              </w:rPr>
              <w:t>C2.4.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C13712B"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70E95ADB" w14:textId="77777777" w:rsidR="00FA7C11" w:rsidRDefault="00D84965">
            <w:pPr>
              <w:pStyle w:val="P68B1DB1-Normal102"/>
              <w:spacing w:after="0" w:line="240" w:lineRule="auto"/>
              <w:textAlignment w:val="baseline"/>
              <w:rPr>
                <w:noProof/>
              </w:rPr>
            </w:pPr>
            <w:r>
              <w:rPr>
                <w:noProof/>
              </w:rPr>
              <w:t xml:space="preserve">A fost adoptată o nouă hotărâre a guvernului croat privind întreprinderile de stat care prezintă un interes deosebit pentru Croația </w:t>
            </w:r>
          </w:p>
        </w:tc>
      </w:tr>
      <w:tr w:rsidR="00FA7C11" w14:paraId="37A43F73"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A315C2C" w14:textId="77777777" w:rsidR="00FA7C11" w:rsidRDefault="00D84965">
            <w:pPr>
              <w:pStyle w:val="P68B1DB1-Normal102"/>
              <w:spacing w:after="0" w:line="240" w:lineRule="auto"/>
              <w:jc w:val="center"/>
              <w:textAlignment w:val="baseline"/>
              <w:rPr>
                <w:noProof/>
              </w:rPr>
            </w:pPr>
            <w:r>
              <w:rPr>
                <w:noProof/>
              </w:rPr>
              <w:t>231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2A9EC23" w14:textId="77777777" w:rsidR="00FA7C11" w:rsidRDefault="00D84965">
            <w:pPr>
              <w:pStyle w:val="P68B1DB1-Normal102"/>
              <w:spacing w:after="0" w:line="240" w:lineRule="auto"/>
              <w:jc w:val="center"/>
              <w:textAlignment w:val="baseline"/>
              <w:rPr>
                <w:noProof/>
              </w:rPr>
            </w:pPr>
            <w:r>
              <w:rPr>
                <w:noProof/>
              </w:rPr>
              <w:t>C2.6.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BD4C0A0"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BEE7FA8" w14:textId="77777777" w:rsidR="00FA7C11" w:rsidRDefault="00D84965">
            <w:pPr>
              <w:pStyle w:val="P68B1DB1-Normal102"/>
              <w:spacing w:after="0" w:line="240" w:lineRule="auto"/>
              <w:textAlignment w:val="baseline"/>
              <w:rPr>
                <w:noProof/>
              </w:rPr>
            </w:pPr>
            <w:r>
              <w:rPr>
                <w:noProof/>
              </w:rPr>
              <w:t>Adoptarea unei noi strategii anticorupție pentru perioada 2021-2030</w:t>
            </w:r>
          </w:p>
        </w:tc>
      </w:tr>
      <w:tr w:rsidR="00FA7C11" w14:paraId="7D5498E0"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322FC84" w14:textId="77777777" w:rsidR="00FA7C11" w:rsidRDefault="00D84965">
            <w:pPr>
              <w:pStyle w:val="P68B1DB1-Normal102"/>
              <w:spacing w:after="0" w:line="240" w:lineRule="auto"/>
              <w:jc w:val="center"/>
              <w:textAlignment w:val="baseline"/>
              <w:rPr>
                <w:noProof/>
              </w:rPr>
            </w:pPr>
            <w:r>
              <w:rPr>
                <w:noProof/>
              </w:rPr>
              <w:t>232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03E1058" w14:textId="77777777" w:rsidR="00FA7C11" w:rsidRDefault="00D84965">
            <w:pPr>
              <w:pStyle w:val="P68B1DB1-Normal102"/>
              <w:spacing w:after="0" w:line="240" w:lineRule="auto"/>
              <w:jc w:val="center"/>
              <w:textAlignment w:val="baseline"/>
              <w:rPr>
                <w:noProof/>
              </w:rPr>
            </w:pPr>
            <w:r>
              <w:rPr>
                <w:noProof/>
              </w:rPr>
              <w:t>C2.6.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805E93E"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5D1D13B" w14:textId="77777777" w:rsidR="00FA7C11" w:rsidRDefault="00D84965">
            <w:pPr>
              <w:pStyle w:val="P68B1DB1-Normal102"/>
              <w:spacing w:after="0" w:line="240" w:lineRule="auto"/>
              <w:textAlignment w:val="baseline"/>
              <w:rPr>
                <w:noProof/>
              </w:rPr>
            </w:pPr>
            <w:r>
              <w:rPr>
                <w:noProof/>
              </w:rPr>
              <w:t xml:space="preserve">Adoptarea noii legi privind prevenirea conflictelor de interese </w:t>
            </w:r>
          </w:p>
        </w:tc>
      </w:tr>
      <w:tr w:rsidR="00FA7C11" w14:paraId="0C57B2F4"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179BE6A" w14:textId="77777777" w:rsidR="00FA7C11" w:rsidRDefault="00D84965">
            <w:pPr>
              <w:pStyle w:val="P68B1DB1-Normal102"/>
              <w:spacing w:after="0" w:line="240" w:lineRule="auto"/>
              <w:jc w:val="center"/>
              <w:textAlignment w:val="baseline"/>
              <w:rPr>
                <w:noProof/>
              </w:rPr>
            </w:pPr>
            <w:r>
              <w:rPr>
                <w:noProof/>
              </w:rPr>
              <w:t>247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68AB7DC" w14:textId="77777777" w:rsidR="00FA7C11" w:rsidRDefault="00D84965">
            <w:pPr>
              <w:pStyle w:val="P68B1DB1-Normal102"/>
              <w:spacing w:after="0" w:line="240" w:lineRule="auto"/>
              <w:jc w:val="center"/>
              <w:textAlignment w:val="baseline"/>
              <w:rPr>
                <w:noProof/>
              </w:rPr>
            </w:pPr>
            <w:r>
              <w:rPr>
                <w:noProof/>
              </w:rPr>
              <w:t>C2.7.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2BC341C"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7927F10F" w14:textId="77777777" w:rsidR="00FA7C11" w:rsidRDefault="00D84965">
            <w:pPr>
              <w:pStyle w:val="P68B1DB1-Normal102"/>
              <w:spacing w:after="0" w:line="240" w:lineRule="auto"/>
              <w:textAlignment w:val="baseline"/>
              <w:rPr>
                <w:noProof/>
              </w:rPr>
            </w:pPr>
            <w:r>
              <w:rPr>
                <w:noProof/>
              </w:rPr>
              <w:t>Consolidarea cadrului fiscal prin modificarea legii bugetului în vederea îmbunătățirii proceselor bugetare</w:t>
            </w:r>
          </w:p>
        </w:tc>
      </w:tr>
      <w:tr w:rsidR="00FA7C11" w14:paraId="446D6AB3"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B7900B3" w14:textId="77777777" w:rsidR="00FA7C11" w:rsidRDefault="00D84965">
            <w:pPr>
              <w:pStyle w:val="P68B1DB1-Normal102"/>
              <w:spacing w:after="0" w:line="240" w:lineRule="auto"/>
              <w:jc w:val="center"/>
              <w:textAlignment w:val="baseline"/>
              <w:rPr>
                <w:noProof/>
              </w:rPr>
            </w:pPr>
            <w:r>
              <w:rPr>
                <w:noProof/>
              </w:rPr>
              <w:t>248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C1CA680" w14:textId="77777777" w:rsidR="00FA7C11" w:rsidRDefault="00D84965">
            <w:pPr>
              <w:pStyle w:val="P68B1DB1-Normal102"/>
              <w:spacing w:after="0" w:line="240" w:lineRule="auto"/>
              <w:jc w:val="center"/>
              <w:textAlignment w:val="baseline"/>
              <w:rPr>
                <w:noProof/>
              </w:rPr>
            </w:pPr>
            <w:r>
              <w:rPr>
                <w:noProof/>
              </w:rPr>
              <w:t>C2.7.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22C3D50"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6390479" w14:textId="77777777" w:rsidR="00FA7C11" w:rsidRDefault="00D84965">
            <w:pPr>
              <w:pStyle w:val="P68B1DB1-Normal102"/>
              <w:spacing w:after="0" w:line="240" w:lineRule="auto"/>
              <w:textAlignment w:val="baseline"/>
              <w:rPr>
                <w:noProof/>
              </w:rPr>
            </w:pPr>
            <w:r>
              <w:rPr>
                <w:noProof/>
              </w:rPr>
              <w:t>Asigurarea funcționalității depline a Comisiei pentru politica bugetară.</w:t>
            </w:r>
          </w:p>
        </w:tc>
      </w:tr>
      <w:tr w:rsidR="00FA7C11" w14:paraId="22447F3B"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4A33F94" w14:textId="77777777" w:rsidR="00FA7C11" w:rsidRDefault="00D84965">
            <w:pPr>
              <w:pStyle w:val="P68B1DB1-Normal102"/>
              <w:spacing w:after="0" w:line="240" w:lineRule="auto"/>
              <w:jc w:val="center"/>
              <w:textAlignment w:val="baseline"/>
              <w:rPr>
                <w:noProof/>
              </w:rPr>
            </w:pPr>
            <w:r>
              <w:rPr>
                <w:noProof/>
              </w:rPr>
              <w:t>250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5CACF7A" w14:textId="77777777" w:rsidR="00FA7C11" w:rsidRDefault="00D84965">
            <w:pPr>
              <w:pStyle w:val="P68B1DB1-Normal102"/>
              <w:spacing w:after="0" w:line="240" w:lineRule="auto"/>
              <w:jc w:val="center"/>
              <w:textAlignment w:val="baseline"/>
              <w:rPr>
                <w:noProof/>
              </w:rPr>
            </w:pPr>
            <w:r>
              <w:rPr>
                <w:noProof/>
              </w:rPr>
              <w:t>C2.8.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0867CCD"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26E7327" w14:textId="77777777" w:rsidR="00FA7C11" w:rsidRDefault="00D84965">
            <w:pPr>
              <w:pStyle w:val="P68B1DB1-Normal102"/>
              <w:spacing w:after="0" w:line="240" w:lineRule="auto"/>
              <w:textAlignment w:val="baseline"/>
              <w:rPr>
                <w:noProof/>
              </w:rPr>
            </w:pPr>
            <w:r>
              <w:rPr>
                <w:noProof/>
              </w:rPr>
              <w:t>Sensibilizarea tuturor părților responsabile prin formare periodică</w:t>
            </w:r>
          </w:p>
        </w:tc>
      </w:tr>
      <w:tr w:rsidR="00FA7C11" w14:paraId="1041DC8D"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8D1B421" w14:textId="77777777" w:rsidR="00FA7C11" w:rsidRDefault="00D84965">
            <w:pPr>
              <w:pStyle w:val="P68B1DB1-Normal102"/>
              <w:spacing w:after="0" w:line="240" w:lineRule="auto"/>
              <w:jc w:val="center"/>
              <w:textAlignment w:val="baseline"/>
              <w:rPr>
                <w:noProof/>
              </w:rPr>
            </w:pPr>
            <w:r>
              <w:rPr>
                <w:noProof/>
              </w:rPr>
              <w:t>251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FF82A95" w14:textId="77777777" w:rsidR="00FA7C11" w:rsidRDefault="00D84965">
            <w:pPr>
              <w:pStyle w:val="P68B1DB1-Normal102"/>
              <w:spacing w:after="0" w:line="240" w:lineRule="auto"/>
              <w:jc w:val="center"/>
              <w:textAlignment w:val="baseline"/>
              <w:rPr>
                <w:noProof/>
              </w:rPr>
            </w:pPr>
            <w:r>
              <w:rPr>
                <w:noProof/>
              </w:rPr>
              <w:t>C2.8.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E8672BD"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6ECA9FC" w14:textId="77777777" w:rsidR="00FA7C11" w:rsidRDefault="00D84965">
            <w:pPr>
              <w:pStyle w:val="P68B1DB1-Normal102"/>
              <w:spacing w:after="0" w:line="240" w:lineRule="auto"/>
              <w:textAlignment w:val="baseline"/>
              <w:rPr>
                <w:noProof/>
              </w:rPr>
            </w:pPr>
            <w:r>
              <w:rPr>
                <w:noProof/>
              </w:rPr>
              <w:t xml:space="preserve">Continuarea cooperării dintre Oficiul pentru Combaterea Spălării Banilor și autoritățile de supraveghere </w:t>
            </w:r>
          </w:p>
        </w:tc>
      </w:tr>
      <w:tr w:rsidR="00FA7C11" w14:paraId="54C8E2E7"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49B6C2F2" w14:textId="77777777" w:rsidR="00FA7C11" w:rsidRDefault="00D84965">
            <w:pPr>
              <w:pStyle w:val="P68B1DB1-Normal102"/>
              <w:spacing w:after="0" w:line="240" w:lineRule="auto"/>
              <w:jc w:val="center"/>
              <w:textAlignment w:val="baseline"/>
              <w:rPr>
                <w:noProof/>
              </w:rPr>
            </w:pPr>
            <w:r>
              <w:rPr>
                <w:noProof/>
              </w:rPr>
              <w:t>253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361A0D3" w14:textId="77777777" w:rsidR="00FA7C11" w:rsidRDefault="00D84965">
            <w:pPr>
              <w:pStyle w:val="P68B1DB1-Normal102"/>
              <w:spacing w:after="0" w:line="240" w:lineRule="auto"/>
              <w:jc w:val="center"/>
              <w:textAlignment w:val="baseline"/>
              <w:rPr>
                <w:noProof/>
              </w:rPr>
            </w:pPr>
            <w:r>
              <w:rPr>
                <w:noProof/>
              </w:rPr>
              <w:t>C2.8.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3636923"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7C53D2E" w14:textId="77777777" w:rsidR="00FA7C11" w:rsidRDefault="00D84965">
            <w:pPr>
              <w:pStyle w:val="P68B1DB1-Normal102"/>
              <w:spacing w:after="0" w:line="240" w:lineRule="auto"/>
              <w:textAlignment w:val="baseline"/>
              <w:rPr>
                <w:noProof/>
              </w:rPr>
            </w:pPr>
            <w:r>
              <w:rPr>
                <w:noProof/>
              </w:rPr>
              <w:t>Finalizarea punerii în aplicare a noului plan de acțiune pentru atenuarea riscurilor identificate de spălare a banilor și de finanțare a terorismului, pe baza unei evaluări actualizate a riscurilor la nivel național.</w:t>
            </w:r>
          </w:p>
        </w:tc>
      </w:tr>
      <w:tr w:rsidR="00FA7C11" w14:paraId="0B77AA58"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9B5A5EA" w14:textId="77777777" w:rsidR="00FA7C11" w:rsidRDefault="00D84965">
            <w:pPr>
              <w:pStyle w:val="P68B1DB1-Normal102"/>
              <w:spacing w:after="0" w:line="240" w:lineRule="auto"/>
              <w:jc w:val="center"/>
              <w:textAlignment w:val="baseline"/>
              <w:rPr>
                <w:noProof/>
              </w:rPr>
            </w:pPr>
            <w:r>
              <w:rPr>
                <w:noProof/>
              </w:rPr>
              <w:t>265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8AACE5D" w14:textId="77777777" w:rsidR="00FA7C11" w:rsidRDefault="00D84965">
            <w:pPr>
              <w:pStyle w:val="P68B1DB1-Normal102"/>
              <w:spacing w:after="0" w:line="240" w:lineRule="auto"/>
              <w:jc w:val="center"/>
              <w:textAlignment w:val="baseline"/>
              <w:rPr>
                <w:noProof/>
              </w:rPr>
            </w:pPr>
            <w:r>
              <w:rPr>
                <w:noProof/>
              </w:rPr>
              <w:t>C3.1.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BBB7CC9"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2AEEAF0" w14:textId="77777777" w:rsidR="00FA7C11" w:rsidRDefault="00D84965">
            <w:pPr>
              <w:pStyle w:val="P68B1DB1-Normal102"/>
              <w:spacing w:after="0" w:line="240" w:lineRule="auto"/>
              <w:textAlignment w:val="baseline"/>
              <w:rPr>
                <w:noProof/>
              </w:rPr>
            </w:pPr>
            <w:r>
              <w:rPr>
                <w:noProof/>
              </w:rPr>
              <w:t xml:space="preserve">Adoptarea cadrului juridic revizuit privind învățarea în rândul adulților </w:t>
            </w:r>
          </w:p>
        </w:tc>
      </w:tr>
      <w:tr w:rsidR="00FA7C11" w14:paraId="433B6C71"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8CEAB72" w14:textId="77777777" w:rsidR="00FA7C11" w:rsidRDefault="00D84965">
            <w:pPr>
              <w:pStyle w:val="P68B1DB1-Normal102"/>
              <w:spacing w:after="0" w:line="240" w:lineRule="auto"/>
              <w:jc w:val="center"/>
              <w:textAlignment w:val="baseline"/>
              <w:rPr>
                <w:noProof/>
              </w:rPr>
            </w:pPr>
            <w:r>
              <w:rPr>
                <w:noProof/>
              </w:rPr>
              <w:t>293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B93E4BB" w14:textId="77777777" w:rsidR="00FA7C11" w:rsidRDefault="00D84965">
            <w:pPr>
              <w:pStyle w:val="P68B1DB1-Normal102"/>
              <w:spacing w:after="0" w:line="240" w:lineRule="auto"/>
              <w:jc w:val="center"/>
              <w:textAlignment w:val="baseline"/>
              <w:rPr>
                <w:noProof/>
              </w:rPr>
            </w:pPr>
            <w:r>
              <w:rPr>
                <w:noProof/>
              </w:rPr>
              <w:t>C4.1. R4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3BAD0F2"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0EEC654" w14:textId="77777777" w:rsidR="00FA7C11" w:rsidRDefault="00D84965">
            <w:pPr>
              <w:pStyle w:val="P68B1DB1-Normal102"/>
              <w:spacing w:after="0" w:line="240" w:lineRule="auto"/>
              <w:textAlignment w:val="baseline"/>
              <w:rPr>
                <w:noProof/>
              </w:rPr>
            </w:pPr>
            <w:r>
              <w:rPr>
                <w:noProof/>
              </w:rPr>
              <w:t>Intrarea în vigoare a modificărilor aduse Legii privind salariul minim</w:t>
            </w:r>
          </w:p>
        </w:tc>
      </w:tr>
      <w:tr w:rsidR="00FA7C11" w14:paraId="1C9045BD"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9BC026A" w14:textId="77777777" w:rsidR="00FA7C11" w:rsidRDefault="00D84965">
            <w:pPr>
              <w:pStyle w:val="P68B1DB1-Normal102"/>
              <w:spacing w:after="0" w:line="240" w:lineRule="auto"/>
              <w:jc w:val="center"/>
              <w:textAlignment w:val="baseline"/>
              <w:rPr>
                <w:noProof/>
              </w:rPr>
            </w:pPr>
            <w:r>
              <w:rPr>
                <w:noProof/>
              </w:rPr>
              <w:t>302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CB594C5" w14:textId="77777777" w:rsidR="00FA7C11" w:rsidRDefault="00D84965">
            <w:pPr>
              <w:pStyle w:val="P68B1DB1-Normal102"/>
              <w:spacing w:after="0" w:line="240" w:lineRule="auto"/>
              <w:jc w:val="center"/>
              <w:textAlignment w:val="baseline"/>
              <w:rPr>
                <w:noProof/>
              </w:rPr>
            </w:pPr>
            <w:r>
              <w:rPr>
                <w:noProof/>
              </w:rPr>
              <w:t>C4.3.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D19117F"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5C11D5D" w14:textId="77777777" w:rsidR="00FA7C11" w:rsidRDefault="00D84965">
            <w:pPr>
              <w:pStyle w:val="P68B1DB1-Normal102"/>
              <w:spacing w:after="0" w:line="240" w:lineRule="auto"/>
              <w:textAlignment w:val="baseline"/>
              <w:rPr>
                <w:noProof/>
              </w:rPr>
            </w:pPr>
            <w:r>
              <w:rPr>
                <w:noProof/>
              </w:rPr>
              <w:t>Adoptarea Planului național de combatere a sărăciei și a excluziunii sociale 2021-2027</w:t>
            </w:r>
          </w:p>
        </w:tc>
      </w:tr>
      <w:tr w:rsidR="00FA7C11" w14:paraId="6FB0FF38"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5D02C0A" w14:textId="77777777" w:rsidR="00FA7C11" w:rsidRDefault="00D84965">
            <w:pPr>
              <w:pStyle w:val="P68B1DB1-Normal102"/>
              <w:spacing w:after="0" w:line="240" w:lineRule="auto"/>
              <w:jc w:val="center"/>
              <w:textAlignment w:val="baseline"/>
              <w:rPr>
                <w:noProof/>
              </w:rPr>
            </w:pPr>
            <w:r>
              <w:rPr>
                <w:noProof/>
              </w:rPr>
              <w:t>312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E36674D" w14:textId="77777777" w:rsidR="00FA7C11" w:rsidRDefault="00D84965">
            <w:pPr>
              <w:pStyle w:val="P68B1DB1-Normal102"/>
              <w:spacing w:after="0" w:line="240" w:lineRule="auto"/>
              <w:jc w:val="center"/>
              <w:textAlignment w:val="baseline"/>
              <w:rPr>
                <w:noProof/>
              </w:rPr>
            </w:pPr>
            <w:r>
              <w:rPr>
                <w:noProof/>
              </w:rPr>
              <w:t>C4.3.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825F5DA"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3556FDB" w14:textId="77777777" w:rsidR="00FA7C11" w:rsidRDefault="00D84965">
            <w:pPr>
              <w:pStyle w:val="P68B1DB1-Normal102"/>
              <w:spacing w:after="0" w:line="240" w:lineRule="auto"/>
              <w:textAlignment w:val="baseline"/>
              <w:rPr>
                <w:noProof/>
              </w:rPr>
            </w:pPr>
            <w:r>
              <w:rPr>
                <w:noProof/>
              </w:rPr>
              <w:t>Adoptarea Planului național de dezvoltare a serviciilor sociale 2021-2027</w:t>
            </w:r>
          </w:p>
        </w:tc>
      </w:tr>
      <w:tr w:rsidR="00FA7C11" w14:paraId="1C55FB80"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43BFF4D" w14:textId="77777777" w:rsidR="00FA7C11" w:rsidRDefault="00D84965">
            <w:pPr>
              <w:pStyle w:val="P68B1DB1-Normal102"/>
              <w:spacing w:after="0" w:line="240" w:lineRule="auto"/>
              <w:jc w:val="center"/>
              <w:textAlignment w:val="baseline"/>
              <w:rPr>
                <w:noProof/>
              </w:rPr>
            </w:pPr>
            <w:r>
              <w:rPr>
                <w:noProof/>
              </w:rPr>
              <w:t>333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CBE25D5" w14:textId="77777777" w:rsidR="00FA7C11" w:rsidRDefault="00D84965">
            <w:pPr>
              <w:pStyle w:val="P68B1DB1-Normal102"/>
              <w:spacing w:after="0" w:line="240" w:lineRule="auto"/>
              <w:jc w:val="center"/>
              <w:textAlignment w:val="baseline"/>
              <w:rPr>
                <w:noProof/>
              </w:rPr>
            </w:pPr>
            <w:r>
              <w:rPr>
                <w:noProof/>
              </w:rPr>
              <w:t>C5.1.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5BE35C4"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D2194CB" w14:textId="77777777" w:rsidR="00FA7C11" w:rsidRDefault="00D84965">
            <w:pPr>
              <w:pStyle w:val="P68B1DB1-Normal102"/>
              <w:spacing w:after="0" w:line="240" w:lineRule="auto"/>
              <w:textAlignment w:val="baseline"/>
              <w:rPr>
                <w:noProof/>
              </w:rPr>
            </w:pPr>
            <w:r>
              <w:rPr>
                <w:noProof/>
              </w:rPr>
              <w:t>Planul național de dezvoltare a sănătății 2021-2027</w:t>
            </w:r>
          </w:p>
        </w:tc>
      </w:tr>
      <w:tr w:rsidR="00FA7C11" w14:paraId="36E7DA76"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99E297B" w14:textId="77777777" w:rsidR="00FA7C11" w:rsidRDefault="00D84965">
            <w:pPr>
              <w:pStyle w:val="P68B1DB1-Normal102"/>
              <w:spacing w:after="0" w:line="240" w:lineRule="auto"/>
              <w:jc w:val="center"/>
              <w:textAlignment w:val="baseline"/>
              <w:rPr>
                <w:noProof/>
              </w:rPr>
            </w:pPr>
            <w:r>
              <w:rPr>
                <w:noProof/>
              </w:rPr>
              <w:t>351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3AA0E34" w14:textId="77777777" w:rsidR="00FA7C11" w:rsidRDefault="00D84965">
            <w:pPr>
              <w:pStyle w:val="P68B1DB1-Normal102"/>
              <w:spacing w:after="0" w:line="240" w:lineRule="auto"/>
              <w:jc w:val="center"/>
              <w:textAlignment w:val="baseline"/>
              <w:rPr>
                <w:noProof/>
              </w:rPr>
            </w:pPr>
            <w:r>
              <w:rPr>
                <w:noProof/>
              </w:rPr>
              <w:t>C6.1.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DEFB56A"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00F52CA" w14:textId="7188F944" w:rsidR="00FA7C11" w:rsidRDefault="00D84965">
            <w:pPr>
              <w:pStyle w:val="P68B1DB1-Normal102"/>
              <w:spacing w:after="0" w:line="240" w:lineRule="auto"/>
              <w:textAlignment w:val="baseline"/>
              <w:rPr>
                <w:noProof/>
              </w:rPr>
            </w:pPr>
            <w:r>
              <w:rPr>
                <w:noProof/>
              </w:rPr>
              <w:t>Adoptarea programelor naționale de renovare energetică pentru (i) clădirile cu mai multe locuințe, (ii) clădirile care au statutul de bun cultural (atât pentru perioada 2021-30), cât și pentru (iii) reducerea sărăciei energetice în domenii de interes special pentru stat (pentru perioada 2021-25)</w:t>
            </w:r>
          </w:p>
        </w:tc>
      </w:tr>
      <w:tr w:rsidR="00FA7C11" w14:paraId="43E58A25"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7B4BADA" w14:textId="77777777" w:rsidR="00FA7C11" w:rsidRDefault="00D84965">
            <w:pPr>
              <w:pStyle w:val="P68B1DB1-Normal102"/>
              <w:spacing w:after="0" w:line="240" w:lineRule="auto"/>
              <w:jc w:val="center"/>
              <w:textAlignment w:val="baseline"/>
              <w:rPr>
                <w:noProof/>
              </w:rPr>
            </w:pPr>
            <w:r>
              <w:rPr>
                <w:noProof/>
              </w:rPr>
              <w:t>362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B71432A" w14:textId="77777777" w:rsidR="00FA7C11" w:rsidRDefault="00D84965">
            <w:pPr>
              <w:pStyle w:val="P68B1DB1-Normal102"/>
              <w:spacing w:after="0" w:line="240" w:lineRule="auto"/>
              <w:jc w:val="center"/>
              <w:textAlignment w:val="baseline"/>
              <w:rPr>
                <w:noProof/>
              </w:rPr>
            </w:pPr>
            <w:r>
              <w:rPr>
                <w:noProof/>
              </w:rPr>
              <w:t>C6.1.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32A99C4"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459E99E" w14:textId="77777777" w:rsidR="00FA7C11" w:rsidRDefault="00D84965">
            <w:pPr>
              <w:pStyle w:val="P68B1DB1-Normal102"/>
              <w:spacing w:after="0" w:line="240" w:lineRule="auto"/>
              <w:textAlignment w:val="baseline"/>
              <w:rPr>
                <w:noProof/>
              </w:rPr>
            </w:pPr>
            <w:r>
              <w:rPr>
                <w:noProof/>
              </w:rPr>
              <w:t xml:space="preserve">Un ghișeu unic fizic pentru renovarea energetică și seismică </w:t>
            </w:r>
          </w:p>
          <w:p w14:paraId="48641E27" w14:textId="77777777" w:rsidR="00FA7C11" w:rsidRDefault="00D84965">
            <w:pPr>
              <w:pStyle w:val="P68B1DB1-Normal102"/>
              <w:spacing w:after="0" w:line="240" w:lineRule="auto"/>
              <w:textAlignment w:val="baseline"/>
              <w:rPr>
                <w:noProof/>
              </w:rPr>
            </w:pPr>
            <w:r>
              <w:rPr>
                <w:noProof/>
              </w:rPr>
              <w:t>consolidare instituită și operațională</w:t>
            </w:r>
          </w:p>
        </w:tc>
      </w:tr>
      <w:tr w:rsidR="00FA7C11" w14:paraId="5600CD2A"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7F18E53" w14:textId="77777777" w:rsidR="00FA7C11" w:rsidRDefault="00D84965">
            <w:pPr>
              <w:pStyle w:val="P68B1DB1-Normal102"/>
              <w:spacing w:after="0" w:line="240" w:lineRule="auto"/>
              <w:jc w:val="center"/>
              <w:textAlignment w:val="baseline"/>
              <w:rPr>
                <w:noProof/>
              </w:rPr>
            </w:pPr>
            <w:r>
              <w:rPr>
                <w:noProof/>
              </w:rPr>
              <w:t>368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8EDDAAB" w14:textId="77777777" w:rsidR="00FA7C11" w:rsidRDefault="00D84965">
            <w:pPr>
              <w:pStyle w:val="P68B1DB1-Normal102"/>
              <w:spacing w:after="0" w:line="240" w:lineRule="auto"/>
              <w:jc w:val="center"/>
              <w:textAlignment w:val="baseline"/>
              <w:rPr>
                <w:noProof/>
              </w:rPr>
            </w:pPr>
            <w:r>
              <w:rPr>
                <w:noProof/>
              </w:rPr>
              <w:t>C6.1. R5</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7EACE22"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5F29311" w14:textId="77777777" w:rsidR="00FA7C11" w:rsidRDefault="00D84965">
            <w:pPr>
              <w:pStyle w:val="P68B1DB1-Normal102"/>
              <w:spacing w:after="0" w:line="240" w:lineRule="auto"/>
              <w:textAlignment w:val="baseline"/>
              <w:rPr>
                <w:noProof/>
              </w:rPr>
            </w:pPr>
            <w:r>
              <w:rPr>
                <w:noProof/>
              </w:rPr>
              <w:t>Adoptarea Programului de dezvoltare a gestionării circulare a spațiului și clădirilor pentru perioada 2021-2030 și a Programului de dezvoltare a infrastructurii urbane verzi pentru perioada 2021-2030</w:t>
            </w:r>
          </w:p>
        </w:tc>
      </w:tr>
      <w:tr w:rsidR="00FA7C11" w14:paraId="6E73A169" w14:textId="77777777">
        <w:trPr>
          <w:trHeight w:val="36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7CBA3DD"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642" w:type="dxa"/>
            <w:tcBorders>
              <w:top w:val="single" w:sz="6" w:space="0" w:color="auto"/>
              <w:left w:val="nil"/>
              <w:bottom w:val="single" w:sz="6" w:space="0" w:color="auto"/>
              <w:right w:val="single" w:sz="6" w:space="0" w:color="auto"/>
            </w:tcBorders>
            <w:shd w:val="clear" w:color="auto" w:fill="C6EFCE"/>
            <w:vAlign w:val="center"/>
          </w:tcPr>
          <w:p w14:paraId="5A5A4CCB"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276" w:type="dxa"/>
            <w:tcBorders>
              <w:top w:val="single" w:sz="6" w:space="0" w:color="auto"/>
              <w:left w:val="nil"/>
              <w:bottom w:val="single" w:sz="6" w:space="0" w:color="auto"/>
              <w:right w:val="single" w:sz="6" w:space="0" w:color="auto"/>
            </w:tcBorders>
            <w:shd w:val="clear" w:color="auto" w:fill="C6EFCE"/>
            <w:vAlign w:val="center"/>
          </w:tcPr>
          <w:p w14:paraId="5540FD28" w14:textId="77777777" w:rsidR="00FA7C11" w:rsidRDefault="00D84965">
            <w:pPr>
              <w:pStyle w:val="P68B1DB1-Normal102"/>
              <w:spacing w:after="0" w:line="240" w:lineRule="auto"/>
              <w:jc w:val="center"/>
              <w:textAlignment w:val="baseline"/>
              <w:rPr>
                <w:noProof/>
              </w:rPr>
            </w:pPr>
            <w:r>
              <w:rPr>
                <w:noProof/>
              </w:rPr>
              <w:t>Cuantumul tranșei</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93CD993" w14:textId="76F9D16E" w:rsidR="00FA7C11" w:rsidRDefault="00D84965">
            <w:pPr>
              <w:pStyle w:val="P68B1DB1-Normal102"/>
              <w:spacing w:after="0" w:line="240" w:lineRule="auto"/>
              <w:textAlignment w:val="baseline"/>
              <w:rPr>
                <w:noProof/>
              </w:rPr>
            </w:pPr>
            <w:r>
              <w:rPr>
                <w:noProof/>
              </w:rPr>
              <w:t>804 597 701 MIL.</w:t>
            </w:r>
          </w:p>
        </w:tc>
      </w:tr>
    </w:tbl>
    <w:p w14:paraId="65041E25" w14:textId="77777777" w:rsidR="00FA7C11" w:rsidRDefault="00FA7C11">
      <w:pPr>
        <w:rPr>
          <w:noProof/>
        </w:rPr>
      </w:pPr>
    </w:p>
    <w:p w14:paraId="6A056BF2" w14:textId="77777777" w:rsidR="00FA7C11" w:rsidRDefault="00D84965">
      <w:pPr>
        <w:pStyle w:val="P68B1DB1-Normal134"/>
        <w:spacing w:after="0" w:line="240" w:lineRule="auto"/>
        <w:jc w:val="both"/>
        <w:textAlignment w:val="baseline"/>
        <w:rPr>
          <w:noProof/>
        </w:rPr>
      </w:pPr>
      <w:r>
        <w:rPr>
          <w:noProof/>
        </w:rPr>
        <w:t> </w:t>
      </w:r>
    </w:p>
    <w:p w14:paraId="6D0B2271" w14:textId="6D451C3C" w:rsidR="00FA7C11" w:rsidRDefault="00D84965">
      <w:pPr>
        <w:pStyle w:val="P68B1DB1-Normal125"/>
        <w:numPr>
          <w:ilvl w:val="0"/>
          <w:numId w:val="79"/>
        </w:numPr>
        <w:spacing w:line="240" w:lineRule="auto"/>
        <w:jc w:val="both"/>
        <w:textAlignment w:val="baseline"/>
        <w:rPr>
          <w:noProof/>
        </w:rPr>
      </w:pPr>
      <w:r>
        <w:rPr>
          <w:noProof/>
        </w:rPr>
        <w:t xml:space="preserve">A doua tranșă (sprijin nerambursabil): </w:t>
      </w:r>
    </w:p>
    <w:tbl>
      <w:tblPr>
        <w:tblW w:w="9401"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2"/>
        <w:gridCol w:w="1629"/>
        <w:gridCol w:w="1352"/>
        <w:gridCol w:w="5328"/>
      </w:tblGrid>
      <w:tr w:rsidR="00FA7C11" w14:paraId="728D75D2" w14:textId="77777777">
        <w:trPr>
          <w:trHeight w:val="1191"/>
          <w:tblHeader/>
        </w:trPr>
        <w:tc>
          <w:tcPr>
            <w:tcW w:w="1095"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5F3528BC"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42"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15688C7E"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6" w:type="dxa"/>
            <w:tcBorders>
              <w:top w:val="single" w:sz="6" w:space="0" w:color="auto"/>
              <w:left w:val="single" w:sz="6" w:space="0" w:color="auto"/>
              <w:bottom w:val="single" w:sz="6" w:space="0" w:color="000000"/>
              <w:right w:val="single" w:sz="4" w:space="0" w:color="auto"/>
            </w:tcBorders>
            <w:shd w:val="clear" w:color="auto" w:fill="BDD7EE"/>
            <w:vAlign w:val="center"/>
            <w:hideMark/>
          </w:tcPr>
          <w:p w14:paraId="66E2693B"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8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EBE3C3"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2F354117" w14:textId="77777777">
        <w:trPr>
          <w:trHeight w:val="397"/>
        </w:trPr>
        <w:tc>
          <w:tcPr>
            <w:tcW w:w="1095" w:type="dxa"/>
            <w:tcBorders>
              <w:top w:val="nil"/>
              <w:left w:val="single" w:sz="6" w:space="0" w:color="auto"/>
              <w:bottom w:val="single" w:sz="6" w:space="0" w:color="auto"/>
              <w:right w:val="single" w:sz="6" w:space="0" w:color="auto"/>
            </w:tcBorders>
            <w:shd w:val="clear" w:color="auto" w:fill="C6EFCE"/>
            <w:vAlign w:val="center"/>
            <w:hideMark/>
          </w:tcPr>
          <w:p w14:paraId="37EDEC28" w14:textId="77777777" w:rsidR="00FA7C11" w:rsidRDefault="00D84965">
            <w:pPr>
              <w:pStyle w:val="P68B1DB1-Normal102"/>
              <w:spacing w:after="0" w:line="240" w:lineRule="auto"/>
              <w:jc w:val="center"/>
              <w:textAlignment w:val="baseline"/>
              <w:rPr>
                <w:rFonts w:eastAsia="Times New Roman"/>
                <w:noProof/>
              </w:rPr>
            </w:pPr>
            <w:r>
              <w:rPr>
                <w:noProof/>
              </w:rPr>
              <w:t>2</w:t>
            </w:r>
          </w:p>
        </w:tc>
        <w:tc>
          <w:tcPr>
            <w:tcW w:w="1642" w:type="dxa"/>
            <w:tcBorders>
              <w:top w:val="nil"/>
              <w:left w:val="nil"/>
              <w:bottom w:val="single" w:sz="6" w:space="0" w:color="auto"/>
              <w:right w:val="single" w:sz="6" w:space="0" w:color="auto"/>
            </w:tcBorders>
            <w:shd w:val="clear" w:color="auto" w:fill="C6EFCE"/>
            <w:vAlign w:val="center"/>
            <w:hideMark/>
          </w:tcPr>
          <w:p w14:paraId="3D897F8A" w14:textId="77777777" w:rsidR="00FA7C11" w:rsidRDefault="00D84965">
            <w:pPr>
              <w:pStyle w:val="P68B1DB1-Normal102"/>
              <w:spacing w:after="0" w:line="240" w:lineRule="auto"/>
              <w:jc w:val="center"/>
              <w:textAlignment w:val="baseline"/>
              <w:rPr>
                <w:rFonts w:eastAsia="Times New Roman"/>
                <w:noProof/>
              </w:rPr>
            </w:pPr>
            <w:r>
              <w:rPr>
                <w:noProof/>
              </w:rPr>
              <w:t>C1.1.1. R1-I1</w:t>
            </w:r>
          </w:p>
        </w:tc>
        <w:tc>
          <w:tcPr>
            <w:tcW w:w="1276" w:type="dxa"/>
            <w:tcBorders>
              <w:top w:val="nil"/>
              <w:left w:val="nil"/>
              <w:bottom w:val="single" w:sz="6" w:space="0" w:color="auto"/>
              <w:right w:val="single" w:sz="6" w:space="0" w:color="auto"/>
            </w:tcBorders>
            <w:shd w:val="clear" w:color="auto" w:fill="C6EFCE"/>
            <w:vAlign w:val="center"/>
            <w:hideMark/>
          </w:tcPr>
          <w:p w14:paraId="5EEEB622"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88" w:type="dxa"/>
            <w:tcBorders>
              <w:top w:val="single" w:sz="4" w:space="0" w:color="auto"/>
              <w:left w:val="nil"/>
              <w:bottom w:val="single" w:sz="6" w:space="0" w:color="auto"/>
              <w:right w:val="single" w:sz="6" w:space="0" w:color="auto"/>
            </w:tcBorders>
            <w:shd w:val="clear" w:color="auto" w:fill="C6EFCE"/>
            <w:vAlign w:val="center"/>
            <w:hideMark/>
          </w:tcPr>
          <w:p w14:paraId="06CE30DD" w14:textId="77777777" w:rsidR="00FA7C11" w:rsidRDefault="00D84965">
            <w:pPr>
              <w:pStyle w:val="P68B1DB1-Normal102"/>
              <w:spacing w:after="0" w:line="240" w:lineRule="auto"/>
              <w:textAlignment w:val="baseline"/>
              <w:rPr>
                <w:rFonts w:eastAsia="Times New Roman"/>
                <w:noProof/>
              </w:rPr>
            </w:pPr>
            <w:r>
              <w:rPr>
                <w:noProof/>
              </w:rPr>
              <w:t xml:space="preserve">Platformă digitală operațională pentru plata taxelor </w:t>
            </w:r>
          </w:p>
        </w:tc>
      </w:tr>
      <w:tr w:rsidR="00FA7C11" w14:paraId="57E6B05F" w14:textId="77777777">
        <w:trPr>
          <w:trHeight w:val="633"/>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hideMark/>
          </w:tcPr>
          <w:p w14:paraId="290EC8AD" w14:textId="77777777" w:rsidR="00FA7C11" w:rsidRDefault="00D84965">
            <w:pPr>
              <w:pStyle w:val="P68B1DB1-Normal102"/>
              <w:spacing w:after="0" w:line="240" w:lineRule="auto"/>
              <w:jc w:val="center"/>
              <w:textAlignment w:val="baseline"/>
              <w:rPr>
                <w:rFonts w:eastAsia="Times New Roman"/>
                <w:noProof/>
              </w:rPr>
            </w:pPr>
            <w:r>
              <w:rPr>
                <w:noProof/>
              </w:rPr>
              <w:t>6</w:t>
            </w:r>
          </w:p>
        </w:tc>
        <w:tc>
          <w:tcPr>
            <w:tcW w:w="1642" w:type="dxa"/>
            <w:tcBorders>
              <w:top w:val="single" w:sz="6" w:space="0" w:color="auto"/>
              <w:left w:val="nil"/>
              <w:bottom w:val="single" w:sz="6" w:space="0" w:color="auto"/>
              <w:right w:val="single" w:sz="6" w:space="0" w:color="auto"/>
            </w:tcBorders>
            <w:shd w:val="clear" w:color="auto" w:fill="C6EFCE"/>
            <w:vAlign w:val="center"/>
            <w:hideMark/>
          </w:tcPr>
          <w:p w14:paraId="37356CF7" w14:textId="77777777" w:rsidR="00FA7C11" w:rsidRDefault="00D84965">
            <w:pPr>
              <w:pStyle w:val="P68B1DB1-Normal102"/>
              <w:spacing w:after="0" w:line="240" w:lineRule="auto"/>
              <w:jc w:val="center"/>
              <w:textAlignment w:val="baseline"/>
              <w:rPr>
                <w:rFonts w:eastAsia="Times New Roman"/>
                <w:noProof/>
              </w:rPr>
            </w:pPr>
            <w:r>
              <w:rPr>
                <w:noProof/>
              </w:rPr>
              <w:t>C1.1.1. R1-I2</w:t>
            </w:r>
          </w:p>
        </w:tc>
        <w:tc>
          <w:tcPr>
            <w:tcW w:w="1276" w:type="dxa"/>
            <w:tcBorders>
              <w:top w:val="single" w:sz="6" w:space="0" w:color="auto"/>
              <w:left w:val="nil"/>
              <w:bottom w:val="single" w:sz="6" w:space="0" w:color="auto"/>
              <w:right w:val="single" w:sz="6" w:space="0" w:color="auto"/>
            </w:tcBorders>
            <w:shd w:val="clear" w:color="auto" w:fill="C6EFCE"/>
            <w:vAlign w:val="center"/>
            <w:hideMark/>
          </w:tcPr>
          <w:p w14:paraId="17A20A96" w14:textId="77777777" w:rsidR="00FA7C11" w:rsidRDefault="00D84965">
            <w:pPr>
              <w:pStyle w:val="P68B1DB1-Normal102"/>
              <w:spacing w:after="0" w:line="240" w:lineRule="auto"/>
              <w:jc w:val="center"/>
              <w:textAlignment w:val="baseline"/>
              <w:rPr>
                <w:rFonts w:eastAsia="Times New Roman"/>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hideMark/>
          </w:tcPr>
          <w:p w14:paraId="3E7CE194" w14:textId="77777777" w:rsidR="00FA7C11" w:rsidRDefault="00D84965">
            <w:pPr>
              <w:pStyle w:val="P68B1DB1-Normal102"/>
              <w:spacing w:after="0" w:line="240" w:lineRule="auto"/>
              <w:textAlignment w:val="baseline"/>
              <w:rPr>
                <w:rFonts w:eastAsia="Times New Roman"/>
                <w:noProof/>
              </w:rPr>
            </w:pPr>
            <w:r>
              <w:rPr>
                <w:noProof/>
              </w:rPr>
              <w:t>Punerea în aplicare a Planului de acțiune pentru reducerea taxelor nefiscale și parafiscale 2020</w:t>
            </w:r>
          </w:p>
        </w:tc>
      </w:tr>
      <w:tr w:rsidR="00FA7C11" w14:paraId="56E13BC3" w14:textId="77777777">
        <w:trPr>
          <w:trHeight w:val="1208"/>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480922E6" w14:textId="77777777" w:rsidR="00FA7C11" w:rsidRDefault="00D84965">
            <w:pPr>
              <w:pStyle w:val="P68B1DB1-Normal102"/>
              <w:spacing w:after="0" w:line="240" w:lineRule="auto"/>
              <w:jc w:val="center"/>
              <w:textAlignment w:val="baseline"/>
              <w:rPr>
                <w:noProof/>
              </w:rPr>
            </w:pPr>
            <w:r>
              <w:rPr>
                <w:noProof/>
              </w:rPr>
              <w:t>14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18CAB19" w14:textId="77777777" w:rsidR="00FA7C11" w:rsidRDefault="00D84965">
            <w:pPr>
              <w:pStyle w:val="P68B1DB1-Normal102"/>
              <w:spacing w:after="0" w:line="240" w:lineRule="auto"/>
              <w:jc w:val="center"/>
              <w:textAlignment w:val="baseline"/>
              <w:rPr>
                <w:noProof/>
              </w:rPr>
            </w:pPr>
            <w:r>
              <w:rPr>
                <w:noProof/>
              </w:rPr>
              <w:t>C1.1.1. R4-I1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C8C93E2"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812089D" w14:textId="77777777" w:rsidR="00FA7C11" w:rsidRDefault="00D84965">
            <w:pPr>
              <w:pStyle w:val="P68B1DB1-Normal102"/>
              <w:spacing w:after="0" w:line="240" w:lineRule="auto"/>
              <w:textAlignment w:val="baseline"/>
              <w:rPr>
                <w:noProof/>
              </w:rPr>
            </w:pPr>
            <w:r>
              <w:rPr>
                <w:noProof/>
              </w:rPr>
              <w:t>Publicarea cererilor de finanțare pentru investiții care vizează activități ecologice cu criterii de eligibilitate stabilite pentru solicitanți și proiecte (inclusiv criterii de conformitate cu principiul de „a nu aduce prejudicii semnificative”)</w:t>
            </w:r>
          </w:p>
        </w:tc>
      </w:tr>
      <w:tr w:rsidR="00FA7C11" w14:paraId="27C92FC1"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9BE81AE" w14:textId="77777777" w:rsidR="00FA7C11" w:rsidRDefault="00D84965">
            <w:pPr>
              <w:pStyle w:val="P68B1DB1-Normal102"/>
              <w:spacing w:after="0" w:line="240" w:lineRule="auto"/>
              <w:jc w:val="center"/>
              <w:textAlignment w:val="baseline"/>
              <w:rPr>
                <w:noProof/>
              </w:rPr>
            </w:pPr>
            <w:r>
              <w:rPr>
                <w:noProof/>
              </w:rPr>
              <w:t>16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C81C1E2" w14:textId="77777777" w:rsidR="00FA7C11" w:rsidRDefault="00D84965">
            <w:pPr>
              <w:pStyle w:val="P68B1DB1-Normal102"/>
              <w:spacing w:after="0" w:line="240" w:lineRule="auto"/>
              <w:jc w:val="center"/>
              <w:textAlignment w:val="baseline"/>
              <w:rPr>
                <w:noProof/>
              </w:rPr>
            </w:pPr>
            <w:r>
              <w:rPr>
                <w:noProof/>
              </w:rPr>
              <w:t>C1.1.1. R4-I2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8F7D47D"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69FB400" w14:textId="77777777" w:rsidR="00FA7C11" w:rsidRDefault="00D84965">
            <w:pPr>
              <w:pStyle w:val="P68B1DB1-Normal102"/>
              <w:spacing w:after="0" w:line="240" w:lineRule="auto"/>
              <w:textAlignment w:val="baseline"/>
              <w:rPr>
                <w:noProof/>
              </w:rPr>
            </w:pPr>
            <w:r>
              <w:rPr>
                <w:noProof/>
              </w:rPr>
              <w:t>Instituirea unui instrument financiar pentru sprijinirea investițiilor microîntreprinderilor și ale întreprinderilor mici și mijlocii</w:t>
            </w:r>
          </w:p>
        </w:tc>
      </w:tr>
      <w:tr w:rsidR="00FA7C11" w14:paraId="5E636EE9" w14:textId="77777777">
        <w:trPr>
          <w:trHeight w:val="615"/>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C39CB17" w14:textId="77777777" w:rsidR="00FA7C11" w:rsidRDefault="00D84965">
            <w:pPr>
              <w:pStyle w:val="P68B1DB1-Normal102"/>
              <w:spacing w:after="0" w:line="240" w:lineRule="auto"/>
              <w:jc w:val="center"/>
              <w:textAlignment w:val="baseline"/>
              <w:rPr>
                <w:noProof/>
              </w:rPr>
            </w:pPr>
            <w:r>
              <w:rPr>
                <w:noProof/>
              </w:rPr>
              <w:t>19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031123E" w14:textId="77777777" w:rsidR="00FA7C11" w:rsidRDefault="00D84965">
            <w:pPr>
              <w:pStyle w:val="P68B1DB1-Normal102"/>
              <w:spacing w:after="0" w:line="240" w:lineRule="auto"/>
              <w:jc w:val="center"/>
              <w:textAlignment w:val="baseline"/>
              <w:rPr>
                <w:noProof/>
              </w:rPr>
            </w:pPr>
            <w:r>
              <w:rPr>
                <w:noProof/>
              </w:rPr>
              <w:t>C1.1.1. R4-I3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59582C0"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3C602BB" w14:textId="77777777" w:rsidR="00FA7C11" w:rsidRDefault="00D84965">
            <w:pPr>
              <w:pStyle w:val="P68B1DB1-Normal102"/>
              <w:spacing w:after="0" w:line="240" w:lineRule="auto"/>
              <w:textAlignment w:val="baseline"/>
              <w:rPr>
                <w:noProof/>
              </w:rPr>
            </w:pPr>
            <w:r>
              <w:rPr>
                <w:noProof/>
              </w:rPr>
              <w:t>Instituirea unui instrument financiar pentru sprijinirea investițiilor întreprinderilor cu capitalizare medie și ale întreprinderilor mari</w:t>
            </w:r>
          </w:p>
        </w:tc>
      </w:tr>
      <w:tr w:rsidR="00FA7C11" w14:paraId="6A953AD3" w14:textId="77777777">
        <w:trPr>
          <w:trHeight w:val="695"/>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27A2DC94" w14:textId="77777777" w:rsidR="00FA7C11" w:rsidRDefault="00D84965">
            <w:pPr>
              <w:pStyle w:val="P68B1DB1-Normal102"/>
              <w:spacing w:after="0" w:line="240" w:lineRule="auto"/>
              <w:jc w:val="center"/>
              <w:textAlignment w:val="baseline"/>
              <w:rPr>
                <w:noProof/>
              </w:rPr>
            </w:pPr>
            <w:r>
              <w:rPr>
                <w:noProof/>
              </w:rPr>
              <w:t>21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DF4DDE0" w14:textId="77777777" w:rsidR="00FA7C11" w:rsidRDefault="00D84965">
            <w:pPr>
              <w:pStyle w:val="P68B1DB1-Normal102"/>
              <w:spacing w:after="0" w:line="240" w:lineRule="auto"/>
              <w:jc w:val="center"/>
              <w:textAlignment w:val="baseline"/>
              <w:rPr>
                <w:noProof/>
              </w:rPr>
            </w:pPr>
            <w:r>
              <w:rPr>
                <w:noProof/>
              </w:rPr>
              <w:t>C1.1.1. R4-I4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5F0B87D"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EE24C48" w14:textId="6973C1EA" w:rsidR="00FA7C11" w:rsidRDefault="00D84965">
            <w:pPr>
              <w:pStyle w:val="P68B1DB1-Normal102"/>
              <w:spacing w:after="0" w:line="240" w:lineRule="auto"/>
              <w:textAlignment w:val="baseline"/>
              <w:rPr>
                <w:noProof/>
              </w:rPr>
            </w:pPr>
            <w:r>
              <w:rPr>
                <w:noProof/>
              </w:rPr>
              <w:t>Instituirea unui instrument financiar pentru o finanțare mai favorabilă a entităților publice</w:t>
            </w:r>
          </w:p>
        </w:tc>
      </w:tr>
      <w:tr w:rsidR="00FA7C11" w14:paraId="5F496F88"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9FE943B" w14:textId="77777777" w:rsidR="00FA7C11" w:rsidRDefault="00D84965">
            <w:pPr>
              <w:pStyle w:val="P68B1DB1-Normal102"/>
              <w:spacing w:after="0" w:line="240" w:lineRule="auto"/>
              <w:jc w:val="center"/>
              <w:textAlignment w:val="baseline"/>
              <w:rPr>
                <w:noProof/>
              </w:rPr>
            </w:pPr>
            <w:r>
              <w:rPr>
                <w:noProof/>
              </w:rPr>
              <w:t>25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68984A2" w14:textId="77777777" w:rsidR="00FA7C11" w:rsidRDefault="00D84965">
            <w:pPr>
              <w:pStyle w:val="P68B1DB1-Normal102"/>
              <w:spacing w:after="0" w:line="240" w:lineRule="auto"/>
              <w:jc w:val="center"/>
              <w:textAlignment w:val="baseline"/>
              <w:rPr>
                <w:noProof/>
              </w:rPr>
            </w:pPr>
            <w:r>
              <w:rPr>
                <w:noProof/>
              </w:rPr>
              <w:t>C1.1.1. R6</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4B21597"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EF31A6C" w14:textId="77777777" w:rsidR="00FA7C11" w:rsidRDefault="00D84965">
            <w:pPr>
              <w:pStyle w:val="P68B1DB1-Normal102"/>
              <w:spacing w:after="0" w:line="240" w:lineRule="auto"/>
              <w:textAlignment w:val="baseline"/>
              <w:rPr>
                <w:noProof/>
              </w:rPr>
            </w:pPr>
            <w:r>
              <w:rPr>
                <w:noProof/>
              </w:rPr>
              <w:t>Modificări ale cadrului juridic</w:t>
            </w:r>
          </w:p>
        </w:tc>
      </w:tr>
      <w:tr w:rsidR="00FA7C11" w14:paraId="772A9A13" w14:textId="77777777">
        <w:trPr>
          <w:trHeight w:val="1278"/>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F48AD7E" w14:textId="77777777" w:rsidR="00FA7C11" w:rsidRDefault="00D84965">
            <w:pPr>
              <w:pStyle w:val="P68B1DB1-Normal102"/>
              <w:spacing w:after="0" w:line="240" w:lineRule="auto"/>
              <w:jc w:val="center"/>
              <w:textAlignment w:val="baseline"/>
              <w:rPr>
                <w:noProof/>
              </w:rPr>
            </w:pPr>
            <w:r>
              <w:rPr>
                <w:noProof/>
              </w:rPr>
              <w:t>36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423482A1" w14:textId="77777777" w:rsidR="00FA7C11" w:rsidRDefault="00D84965">
            <w:pPr>
              <w:pStyle w:val="P68B1DB1-Normal102"/>
              <w:spacing w:after="0" w:line="240" w:lineRule="auto"/>
              <w:jc w:val="center"/>
              <w:textAlignment w:val="baseline"/>
              <w:rPr>
                <w:noProof/>
              </w:rPr>
            </w:pPr>
            <w:r>
              <w:rPr>
                <w:noProof/>
              </w:rPr>
              <w:t>C1.2.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3843BBE"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2F4DF63" w14:textId="77777777" w:rsidR="00FA7C11" w:rsidRDefault="00D84965">
            <w:pPr>
              <w:pStyle w:val="P68B1DB1-Normal102"/>
              <w:spacing w:after="0" w:line="240" w:lineRule="auto"/>
              <w:textAlignment w:val="baseline"/>
              <w:rPr>
                <w:noProof/>
              </w:rPr>
            </w:pPr>
            <w:r>
              <w:rPr>
                <w:noProof/>
              </w:rPr>
              <w:t>Publicarea unui document de evaluare cu recomandări pentru reducerea barierelor și a procedurilor administrative care limitează utilizarea pe scară mai largă a surselor regenerabile de energie</w:t>
            </w:r>
          </w:p>
        </w:tc>
      </w:tr>
      <w:tr w:rsidR="00FA7C11" w14:paraId="0D648698" w14:textId="77777777">
        <w:trPr>
          <w:trHeight w:val="403"/>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865C530" w14:textId="77777777" w:rsidR="00FA7C11" w:rsidRDefault="00D84965">
            <w:pPr>
              <w:pStyle w:val="P68B1DB1-Normal102"/>
              <w:spacing w:after="0" w:line="240" w:lineRule="auto"/>
              <w:jc w:val="center"/>
              <w:textAlignment w:val="baseline"/>
              <w:rPr>
                <w:noProof/>
              </w:rPr>
            </w:pPr>
            <w:r>
              <w:rPr>
                <w:noProof/>
              </w:rPr>
              <w:t>50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34A86B3" w14:textId="77777777" w:rsidR="00FA7C11" w:rsidRDefault="00D84965">
            <w:pPr>
              <w:pStyle w:val="P68B1DB1-Normal102"/>
              <w:spacing w:after="0" w:line="240" w:lineRule="auto"/>
              <w:jc w:val="center"/>
              <w:textAlignment w:val="baseline"/>
              <w:rPr>
                <w:noProof/>
              </w:rPr>
            </w:pPr>
            <w:r>
              <w:rPr>
                <w:noProof/>
              </w:rPr>
              <w:t>C1.2.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D1E46B6"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D8B8B1D" w14:textId="77777777" w:rsidR="00FA7C11" w:rsidRDefault="00D84965">
            <w:pPr>
              <w:pStyle w:val="P68B1DB1-Normal102"/>
              <w:spacing w:after="0" w:line="240" w:lineRule="auto"/>
              <w:textAlignment w:val="baseline"/>
              <w:rPr>
                <w:noProof/>
              </w:rPr>
            </w:pPr>
            <w:r>
              <w:rPr>
                <w:noProof/>
              </w:rPr>
              <w:t>Adoptarea strategiei de dezvoltare a hidrogenului</w:t>
            </w:r>
          </w:p>
        </w:tc>
      </w:tr>
      <w:tr w:rsidR="00FA7C11" w14:paraId="29024F2D"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48C2B64" w14:textId="77777777" w:rsidR="00FA7C11" w:rsidRDefault="00D84965">
            <w:pPr>
              <w:pStyle w:val="P68B1DB1-Normal102"/>
              <w:spacing w:after="0" w:line="240" w:lineRule="auto"/>
              <w:jc w:val="center"/>
              <w:textAlignment w:val="baseline"/>
              <w:rPr>
                <w:noProof/>
              </w:rPr>
            </w:pPr>
            <w:r>
              <w:rPr>
                <w:noProof/>
              </w:rPr>
              <w:t>63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06981AD" w14:textId="77777777" w:rsidR="00FA7C11" w:rsidRDefault="00D84965">
            <w:pPr>
              <w:pStyle w:val="P68B1DB1-Normal102"/>
              <w:spacing w:after="0" w:line="240" w:lineRule="auto"/>
              <w:jc w:val="center"/>
              <w:textAlignment w:val="baseline"/>
              <w:rPr>
                <w:noProof/>
              </w:rPr>
            </w:pPr>
            <w:r>
              <w:rPr>
                <w:noProof/>
              </w:rPr>
              <w:t>C1.3. R1-I1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AA0CEB3" w14:textId="77777777" w:rsidR="00FA7C11" w:rsidRDefault="00D84965">
            <w:pPr>
              <w:pStyle w:val="P68B1DB1-Normal102"/>
              <w:spacing w:after="0" w:line="240" w:lineRule="auto"/>
              <w:jc w:val="center"/>
              <w:textAlignment w:val="baseline"/>
              <w:rPr>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6265E74" w14:textId="77777777" w:rsidR="00FA7C11" w:rsidRDefault="00D84965">
            <w:pPr>
              <w:pStyle w:val="P68B1DB1-Normal102"/>
              <w:spacing w:after="0" w:line="240" w:lineRule="auto"/>
              <w:textAlignment w:val="baseline"/>
              <w:rPr>
                <w:noProof/>
              </w:rPr>
            </w:pPr>
            <w:r>
              <w:rPr>
                <w:noProof/>
              </w:rPr>
              <w:t xml:space="preserve">Rețea publică de canalizare construită sau reconstruită </w:t>
            </w:r>
          </w:p>
        </w:tc>
      </w:tr>
      <w:tr w:rsidR="00FA7C11" w14:paraId="6BDB64DB"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8A42C51" w14:textId="77777777" w:rsidR="00FA7C11" w:rsidRDefault="00D84965">
            <w:pPr>
              <w:pStyle w:val="P68B1DB1-Normal102"/>
              <w:spacing w:after="0" w:line="240" w:lineRule="auto"/>
              <w:jc w:val="center"/>
              <w:textAlignment w:val="baseline"/>
              <w:rPr>
                <w:noProof/>
              </w:rPr>
            </w:pPr>
            <w:r>
              <w:rPr>
                <w:noProof/>
              </w:rPr>
              <w:t>68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D44F765" w14:textId="77777777" w:rsidR="00FA7C11" w:rsidRDefault="00D84965">
            <w:pPr>
              <w:pStyle w:val="P68B1DB1-Normal102"/>
              <w:spacing w:after="0" w:line="240" w:lineRule="auto"/>
              <w:jc w:val="center"/>
              <w:textAlignment w:val="baseline"/>
              <w:rPr>
                <w:noProof/>
              </w:rPr>
            </w:pPr>
            <w:r>
              <w:rPr>
                <w:noProof/>
              </w:rPr>
              <w:t>C1.3. R1-I2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9D39A9C" w14:textId="77777777" w:rsidR="00FA7C11" w:rsidRDefault="00D84965">
            <w:pPr>
              <w:pStyle w:val="P68B1DB1-Normal102"/>
              <w:spacing w:after="0" w:line="240" w:lineRule="auto"/>
              <w:jc w:val="center"/>
              <w:textAlignment w:val="baseline"/>
              <w:rPr>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5DF1FFF" w14:textId="77777777" w:rsidR="00FA7C11" w:rsidRDefault="00D84965">
            <w:pPr>
              <w:pStyle w:val="P68B1DB1-Normal102"/>
              <w:spacing w:after="0" w:line="240" w:lineRule="auto"/>
              <w:textAlignment w:val="baseline"/>
              <w:rPr>
                <w:noProof/>
              </w:rPr>
            </w:pPr>
            <w:r>
              <w:rPr>
                <w:noProof/>
              </w:rPr>
              <w:t xml:space="preserve">Rețea publică de alimentare cu apă construită sau reconstruită </w:t>
            </w:r>
          </w:p>
        </w:tc>
      </w:tr>
      <w:tr w:rsidR="00FA7C11" w14:paraId="22E717A7"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5AB922FD" w14:textId="77777777" w:rsidR="00FA7C11" w:rsidRDefault="00D84965">
            <w:pPr>
              <w:pStyle w:val="P68B1DB1-Normal102"/>
              <w:spacing w:after="0" w:line="240" w:lineRule="auto"/>
              <w:jc w:val="center"/>
              <w:textAlignment w:val="baseline"/>
              <w:rPr>
                <w:noProof/>
              </w:rPr>
            </w:pPr>
            <w:r>
              <w:rPr>
                <w:noProof/>
              </w:rPr>
              <w:t>131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B802073" w14:textId="77777777" w:rsidR="00FA7C11" w:rsidRDefault="00D84965">
            <w:pPr>
              <w:pStyle w:val="P68B1DB1-Normal102"/>
              <w:spacing w:after="0" w:line="240" w:lineRule="auto"/>
              <w:jc w:val="center"/>
              <w:textAlignment w:val="baseline"/>
              <w:rPr>
                <w:noProof/>
              </w:rPr>
            </w:pPr>
            <w:r>
              <w:rPr>
                <w:noProof/>
              </w:rPr>
              <w:t>C1.5.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D699BC4"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7898CB0" w14:textId="77777777" w:rsidR="00FA7C11" w:rsidRDefault="00D84965">
            <w:pPr>
              <w:pStyle w:val="P68B1DB1-Normal102"/>
              <w:spacing w:after="0" w:line="240" w:lineRule="auto"/>
              <w:textAlignment w:val="baseline"/>
              <w:rPr>
                <w:noProof/>
              </w:rPr>
            </w:pPr>
            <w:r>
              <w:rPr>
                <w:noProof/>
              </w:rPr>
              <w:t>Noua lege privind consolidarea terenurilor agricole</w:t>
            </w:r>
          </w:p>
        </w:tc>
      </w:tr>
      <w:tr w:rsidR="00FA7C11" w14:paraId="3F7F9C8B"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68321BC" w14:textId="77777777" w:rsidR="00FA7C11" w:rsidRDefault="00D84965">
            <w:pPr>
              <w:pStyle w:val="P68B1DB1-Normal102"/>
              <w:spacing w:after="0" w:line="240" w:lineRule="auto"/>
              <w:jc w:val="center"/>
              <w:textAlignment w:val="baseline"/>
              <w:rPr>
                <w:noProof/>
              </w:rPr>
            </w:pPr>
            <w:r>
              <w:rPr>
                <w:noProof/>
              </w:rPr>
              <w:t>138</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FB1E863" w14:textId="77777777" w:rsidR="00FA7C11" w:rsidRDefault="00D84965">
            <w:pPr>
              <w:pStyle w:val="P68B1DB1-Normal102"/>
              <w:spacing w:after="0" w:line="240" w:lineRule="auto"/>
              <w:jc w:val="center"/>
              <w:textAlignment w:val="baseline"/>
              <w:rPr>
                <w:noProof/>
              </w:rPr>
            </w:pPr>
            <w:r>
              <w:rPr>
                <w:noProof/>
              </w:rPr>
              <w:t>C1.5. R4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72CF58F"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02D52F64" w14:textId="77777777" w:rsidR="00FA7C11" w:rsidRDefault="00D84965">
            <w:pPr>
              <w:pStyle w:val="P68B1DB1-Normal102"/>
              <w:spacing w:after="0" w:line="240" w:lineRule="auto"/>
              <w:textAlignment w:val="baseline"/>
              <w:rPr>
                <w:noProof/>
              </w:rPr>
            </w:pPr>
            <w:r>
              <w:rPr>
                <w:noProof/>
              </w:rPr>
              <w:t xml:space="preserve">Platforma online pentru prevenirea risipei de alimente și modernizarea alimentelor </w:t>
            </w:r>
          </w:p>
          <w:p w14:paraId="4787CAE5" w14:textId="77777777" w:rsidR="00FA7C11" w:rsidRDefault="00D84965">
            <w:pPr>
              <w:pStyle w:val="P68B1DB1-Normal102"/>
              <w:spacing w:after="0" w:line="240" w:lineRule="auto"/>
              <w:textAlignment w:val="baseline"/>
              <w:rPr>
                <w:noProof/>
              </w:rPr>
            </w:pPr>
            <w:r>
              <w:rPr>
                <w:noProof/>
              </w:rPr>
              <w:t>sistemul informatic pentru donații</w:t>
            </w:r>
          </w:p>
        </w:tc>
      </w:tr>
      <w:tr w:rsidR="00FA7C11" w14:paraId="5BFCBE35"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DA559D0" w14:textId="77777777" w:rsidR="00FA7C11" w:rsidRDefault="00D84965">
            <w:pPr>
              <w:pStyle w:val="P68B1DB1-Normal102"/>
              <w:spacing w:after="0" w:line="240" w:lineRule="auto"/>
              <w:jc w:val="center"/>
              <w:textAlignment w:val="baseline"/>
              <w:rPr>
                <w:noProof/>
              </w:rPr>
            </w:pPr>
            <w:r>
              <w:rPr>
                <w:noProof/>
              </w:rPr>
              <w:t>160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B7347D1" w14:textId="77777777" w:rsidR="00FA7C11" w:rsidRDefault="00D84965">
            <w:pPr>
              <w:pStyle w:val="P68B1DB1-Normal102"/>
              <w:spacing w:after="0" w:line="240" w:lineRule="auto"/>
              <w:jc w:val="center"/>
              <w:textAlignment w:val="baseline"/>
              <w:rPr>
                <w:noProof/>
              </w:rPr>
            </w:pPr>
            <w:r>
              <w:rPr>
                <w:noProof/>
              </w:rPr>
              <w:t>C2.1.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097132A"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30B8511" w14:textId="315577CB" w:rsidR="00FA7C11" w:rsidRDefault="00D84965">
            <w:pPr>
              <w:pStyle w:val="P68B1DB1-Normal102"/>
              <w:spacing w:after="0" w:line="240" w:lineRule="auto"/>
              <w:textAlignment w:val="baseline"/>
              <w:rPr>
                <w:noProof/>
              </w:rPr>
            </w:pPr>
            <w:r>
              <w:rPr>
                <w:noProof/>
              </w:rPr>
              <w:t>Modernizarea sistemului informatic eFondovi: Sistemul de repertorii pentru audit și controale: informații pentru monitorizarea punerii în aplicare a Mecanismului de redresare și reziliență</w:t>
            </w:r>
          </w:p>
        </w:tc>
      </w:tr>
      <w:tr w:rsidR="00FA7C11" w14:paraId="2BC96ABA"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A19D9B7" w14:textId="77777777" w:rsidR="00FA7C11" w:rsidRDefault="00D84965">
            <w:pPr>
              <w:pStyle w:val="P68B1DB1-Normal102"/>
              <w:spacing w:after="0" w:line="240" w:lineRule="auto"/>
              <w:jc w:val="center"/>
              <w:textAlignment w:val="baseline"/>
              <w:rPr>
                <w:noProof/>
              </w:rPr>
            </w:pPr>
            <w:r>
              <w:rPr>
                <w:noProof/>
              </w:rPr>
              <w:t>174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CC1E885" w14:textId="77777777" w:rsidR="00FA7C11" w:rsidRDefault="00D84965">
            <w:pPr>
              <w:pStyle w:val="P68B1DB1-Normal102"/>
              <w:spacing w:after="0" w:line="240" w:lineRule="auto"/>
              <w:jc w:val="center"/>
              <w:textAlignment w:val="baseline"/>
              <w:rPr>
                <w:noProof/>
              </w:rPr>
            </w:pPr>
            <w:r>
              <w:rPr>
                <w:noProof/>
              </w:rPr>
              <w:t>C2.2. R4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6020225"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26191864" w14:textId="77777777" w:rsidR="00FA7C11" w:rsidRDefault="00D84965">
            <w:pPr>
              <w:pStyle w:val="P68B1DB1-Normal102"/>
              <w:spacing w:after="0" w:line="240" w:lineRule="auto"/>
              <w:textAlignment w:val="baseline"/>
              <w:rPr>
                <w:noProof/>
              </w:rPr>
            </w:pPr>
            <w:r>
              <w:rPr>
                <w:noProof/>
              </w:rPr>
              <w:t>Modificarea cadrelor legislative pentru a încuraja fuziunea voluntară funcțională sau efectivă a unităților administrației publice locale (UAL) și adoptarea unei decizii a guvernului croat privind criteriile de acordare a stimulentelor fiscale pentru fuziunile voluntare funcționale sau efective</w:t>
            </w:r>
          </w:p>
        </w:tc>
      </w:tr>
      <w:tr w:rsidR="00FA7C11" w14:paraId="32A48811"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9103676" w14:textId="77777777" w:rsidR="00FA7C11" w:rsidRDefault="00D84965">
            <w:pPr>
              <w:pStyle w:val="P68B1DB1-Normal102"/>
              <w:spacing w:after="0" w:line="240" w:lineRule="auto"/>
              <w:jc w:val="center"/>
              <w:textAlignment w:val="baseline"/>
              <w:rPr>
                <w:noProof/>
              </w:rPr>
            </w:pPr>
            <w:r>
              <w:rPr>
                <w:noProof/>
              </w:rPr>
              <w:t>202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E06455A" w14:textId="77777777" w:rsidR="00FA7C11" w:rsidRDefault="00D84965">
            <w:pPr>
              <w:pStyle w:val="P68B1DB1-Normal102"/>
              <w:spacing w:after="0" w:line="240" w:lineRule="auto"/>
              <w:jc w:val="center"/>
              <w:textAlignment w:val="baseline"/>
              <w:rPr>
                <w:noProof/>
              </w:rPr>
            </w:pPr>
            <w:r>
              <w:rPr>
                <w:noProof/>
              </w:rPr>
              <w:t>C2.3. R4</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19F6A88"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BC6BF45" w14:textId="77777777" w:rsidR="00FA7C11" w:rsidRDefault="00D84965">
            <w:pPr>
              <w:pStyle w:val="P68B1DB1-Normal102"/>
              <w:spacing w:after="0" w:line="240" w:lineRule="auto"/>
              <w:textAlignment w:val="baseline"/>
              <w:rPr>
                <w:noProof/>
              </w:rPr>
            </w:pPr>
            <w:r>
              <w:rPr>
                <w:noProof/>
              </w:rPr>
              <w:t xml:space="preserve">Optimizarea procesului de acordare a autorizațiilor pentru investițiile în conectivitate </w:t>
            </w:r>
          </w:p>
        </w:tc>
      </w:tr>
      <w:tr w:rsidR="00FA7C11" w14:paraId="4B334154"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6D04D162" w14:textId="77777777" w:rsidR="00FA7C11" w:rsidRDefault="00D84965">
            <w:pPr>
              <w:pStyle w:val="P68B1DB1-Normal102"/>
              <w:spacing w:after="0" w:line="240" w:lineRule="auto"/>
              <w:jc w:val="center"/>
              <w:textAlignment w:val="baseline"/>
              <w:rPr>
                <w:noProof/>
              </w:rPr>
            </w:pPr>
            <w:r>
              <w:rPr>
                <w:noProof/>
              </w:rPr>
              <w:t>214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CE19B4E" w14:textId="77777777" w:rsidR="00FA7C11" w:rsidRDefault="00D84965">
            <w:pPr>
              <w:pStyle w:val="P68B1DB1-Normal102"/>
              <w:spacing w:after="0" w:line="240" w:lineRule="auto"/>
              <w:jc w:val="center"/>
              <w:textAlignment w:val="baseline"/>
              <w:rPr>
                <w:noProof/>
              </w:rPr>
            </w:pPr>
            <w:r>
              <w:rPr>
                <w:noProof/>
              </w:rPr>
              <w:t>C2.5.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60FDF2C"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49F15AC0" w14:textId="77777777" w:rsidR="00FA7C11" w:rsidRDefault="00D84965">
            <w:pPr>
              <w:pStyle w:val="P68B1DB1-Normal102"/>
              <w:spacing w:after="0" w:line="240" w:lineRule="auto"/>
              <w:textAlignment w:val="baseline"/>
              <w:rPr>
                <w:noProof/>
              </w:rPr>
            </w:pPr>
            <w:r>
              <w:rPr>
                <w:noProof/>
              </w:rPr>
              <w:t>Instrumente electronice furnizate și capacități administrative adecvate pentru Consiliul Judiciar de Stat (Državno sudbeno vijeće, DSV) și Consiliul Parchetului de Stat (Državnoodvjetničko vijeće, DOV)</w:t>
            </w:r>
          </w:p>
        </w:tc>
      </w:tr>
      <w:tr w:rsidR="00FA7C11" w14:paraId="18BCAB41"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85E1B98" w14:textId="77777777" w:rsidR="00FA7C11" w:rsidRDefault="00D84965">
            <w:pPr>
              <w:pStyle w:val="P68B1DB1-Normal102"/>
              <w:spacing w:after="0" w:line="240" w:lineRule="auto"/>
              <w:jc w:val="center"/>
              <w:textAlignment w:val="baseline"/>
              <w:rPr>
                <w:noProof/>
              </w:rPr>
            </w:pPr>
            <w:r>
              <w:rPr>
                <w:noProof/>
              </w:rPr>
              <w:t>215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D555529" w14:textId="77777777" w:rsidR="00FA7C11" w:rsidRDefault="00D84965">
            <w:pPr>
              <w:pStyle w:val="P68B1DB1-Normal102"/>
              <w:spacing w:after="0" w:line="240" w:lineRule="auto"/>
              <w:jc w:val="center"/>
              <w:textAlignment w:val="baseline"/>
              <w:rPr>
                <w:noProof/>
              </w:rPr>
            </w:pPr>
            <w:r>
              <w:rPr>
                <w:noProof/>
              </w:rPr>
              <w:t>C2.5.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DB0CF8C"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3171CE7" w14:textId="77777777" w:rsidR="00FA7C11" w:rsidRDefault="00D84965">
            <w:pPr>
              <w:pStyle w:val="P68B1DB1-Normal102"/>
              <w:spacing w:after="0" w:line="240" w:lineRule="auto"/>
              <w:textAlignment w:val="baseline"/>
              <w:rPr>
                <w:noProof/>
              </w:rPr>
            </w:pPr>
            <w:r>
              <w:rPr>
                <w:noProof/>
              </w:rPr>
              <w:t>Modificări adoptate la Legea privind falimentul și la Legea privind insolvența consumatorilor</w:t>
            </w:r>
          </w:p>
        </w:tc>
      </w:tr>
      <w:tr w:rsidR="00FA7C11" w14:paraId="24102A41"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9028E38" w14:textId="77777777" w:rsidR="00FA7C11" w:rsidRDefault="00D84965">
            <w:pPr>
              <w:pStyle w:val="P68B1DB1-Normal102"/>
              <w:spacing w:after="0" w:line="240" w:lineRule="auto"/>
              <w:jc w:val="center"/>
              <w:textAlignment w:val="baseline"/>
              <w:rPr>
                <w:noProof/>
              </w:rPr>
            </w:pPr>
            <w:r>
              <w:rPr>
                <w:noProof/>
              </w:rPr>
              <w:t>216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216B743" w14:textId="77777777" w:rsidR="00FA7C11" w:rsidRDefault="00D84965">
            <w:pPr>
              <w:pStyle w:val="P68B1DB1-Normal102"/>
              <w:spacing w:after="0" w:line="240" w:lineRule="auto"/>
              <w:jc w:val="center"/>
              <w:textAlignment w:val="baseline"/>
              <w:rPr>
                <w:noProof/>
              </w:rPr>
            </w:pPr>
            <w:r>
              <w:rPr>
                <w:noProof/>
              </w:rPr>
              <w:t>C2.5.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C8152AB"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84D2EFB" w14:textId="77777777" w:rsidR="00FA7C11" w:rsidRDefault="00D84965">
            <w:pPr>
              <w:pStyle w:val="P68B1DB1-Normal102"/>
              <w:spacing w:after="0" w:line="240" w:lineRule="auto"/>
              <w:textAlignment w:val="baseline"/>
              <w:rPr>
                <w:noProof/>
              </w:rPr>
            </w:pPr>
            <w:r>
              <w:rPr>
                <w:noProof/>
              </w:rPr>
              <w:t>Modificări adoptate ale Codului de procedură penală</w:t>
            </w:r>
          </w:p>
        </w:tc>
      </w:tr>
      <w:tr w:rsidR="00FA7C11" w14:paraId="4AB26005"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1B31B5A4" w14:textId="77777777" w:rsidR="00FA7C11" w:rsidRDefault="00D84965">
            <w:pPr>
              <w:pStyle w:val="P68B1DB1-Normal102"/>
              <w:spacing w:after="0" w:line="240" w:lineRule="auto"/>
              <w:jc w:val="center"/>
              <w:textAlignment w:val="baseline"/>
              <w:rPr>
                <w:noProof/>
              </w:rPr>
            </w:pPr>
            <w:r>
              <w:rPr>
                <w:noProof/>
              </w:rPr>
              <w:t>266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D1206A1" w14:textId="77777777" w:rsidR="00FA7C11" w:rsidRDefault="00D84965">
            <w:pPr>
              <w:pStyle w:val="P68B1DB1-Normal102"/>
              <w:spacing w:after="0" w:line="240" w:lineRule="auto"/>
              <w:jc w:val="center"/>
              <w:textAlignment w:val="baseline"/>
              <w:rPr>
                <w:noProof/>
              </w:rPr>
            </w:pPr>
            <w:r>
              <w:rPr>
                <w:noProof/>
              </w:rPr>
              <w:t>C3.1.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7953538"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22759F1" w14:textId="77777777" w:rsidR="00FA7C11" w:rsidRDefault="00D84965">
            <w:pPr>
              <w:pStyle w:val="P68B1DB1-Normal102"/>
              <w:spacing w:after="0" w:line="240" w:lineRule="auto"/>
              <w:textAlignment w:val="baseline"/>
              <w:rPr>
                <w:noProof/>
              </w:rPr>
            </w:pPr>
            <w:r>
              <w:rPr>
                <w:noProof/>
              </w:rPr>
              <w:t>O analiză cuprinzătoare a nevoilor în materie de învățământ secundar</w:t>
            </w:r>
          </w:p>
        </w:tc>
      </w:tr>
      <w:tr w:rsidR="00FA7C11" w14:paraId="5D2C56CF"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81A881E" w14:textId="77777777" w:rsidR="00FA7C11" w:rsidRDefault="00D84965">
            <w:pPr>
              <w:pStyle w:val="P68B1DB1-Normal102"/>
              <w:spacing w:after="0" w:line="240" w:lineRule="auto"/>
              <w:jc w:val="center"/>
              <w:textAlignment w:val="baseline"/>
              <w:rPr>
                <w:noProof/>
              </w:rPr>
            </w:pPr>
            <w:r>
              <w:rPr>
                <w:noProof/>
              </w:rPr>
              <w:t>286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CE4BABE" w14:textId="77777777" w:rsidR="00FA7C11" w:rsidRDefault="00D84965">
            <w:pPr>
              <w:pStyle w:val="P68B1DB1-Normal102"/>
              <w:spacing w:after="0" w:line="240" w:lineRule="auto"/>
              <w:jc w:val="center"/>
              <w:textAlignment w:val="baseline"/>
              <w:rPr>
                <w:noProof/>
              </w:rPr>
            </w:pPr>
            <w:r>
              <w:rPr>
                <w:noProof/>
              </w:rPr>
              <w:t>C4.1.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DDCEEAE"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3FBD532A" w14:textId="77777777" w:rsidR="00FA7C11" w:rsidRDefault="00D84965">
            <w:pPr>
              <w:pStyle w:val="P68B1DB1-Normal102"/>
              <w:spacing w:after="0" w:line="240" w:lineRule="auto"/>
              <w:textAlignment w:val="baseline"/>
              <w:rPr>
                <w:noProof/>
              </w:rPr>
            </w:pPr>
            <w:r>
              <w:rPr>
                <w:noProof/>
              </w:rPr>
              <w:t>Completarea politicilor active în domeniul pieței forței de muncă</w:t>
            </w:r>
          </w:p>
        </w:tc>
      </w:tr>
      <w:tr w:rsidR="00FA7C11" w14:paraId="2A5E23EC"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090B3A44" w14:textId="77777777" w:rsidR="00FA7C11" w:rsidRDefault="00D84965">
            <w:pPr>
              <w:pStyle w:val="P68B1DB1-Normal102"/>
              <w:spacing w:after="0" w:line="240" w:lineRule="auto"/>
              <w:jc w:val="center"/>
              <w:textAlignment w:val="baseline"/>
              <w:rPr>
                <w:noProof/>
              </w:rPr>
            </w:pPr>
            <w:r>
              <w:rPr>
                <w:noProof/>
              </w:rPr>
              <w:t>291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EC6E7DF" w14:textId="77777777" w:rsidR="00FA7C11" w:rsidRDefault="00D84965">
            <w:pPr>
              <w:pStyle w:val="P68B1DB1-Normal102"/>
              <w:spacing w:after="0" w:line="240" w:lineRule="auto"/>
              <w:jc w:val="center"/>
              <w:textAlignment w:val="baseline"/>
              <w:rPr>
                <w:noProof/>
              </w:rPr>
            </w:pPr>
            <w:r>
              <w:rPr>
                <w:noProof/>
              </w:rPr>
              <w:t>C4.1.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FBA0D15"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F94CBE0" w14:textId="77777777" w:rsidR="00FA7C11" w:rsidRDefault="00D84965">
            <w:pPr>
              <w:pStyle w:val="P68B1DB1-Normal102"/>
              <w:spacing w:after="0" w:line="240" w:lineRule="auto"/>
              <w:textAlignment w:val="baseline"/>
              <w:rPr>
                <w:noProof/>
              </w:rPr>
            </w:pPr>
            <w:r>
              <w:rPr>
                <w:noProof/>
              </w:rPr>
              <w:t>Dezvoltarea competențelor în funcție de nevoile pieței</w:t>
            </w:r>
          </w:p>
        </w:tc>
      </w:tr>
      <w:tr w:rsidR="00FA7C11" w14:paraId="12A3FAAB"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894DC83" w14:textId="77777777" w:rsidR="00FA7C11" w:rsidRDefault="00D84965">
            <w:pPr>
              <w:pStyle w:val="P68B1DB1-Normal102"/>
              <w:spacing w:after="0" w:line="240" w:lineRule="auto"/>
              <w:jc w:val="center"/>
              <w:textAlignment w:val="baseline"/>
              <w:rPr>
                <w:noProof/>
              </w:rPr>
            </w:pPr>
            <w:r>
              <w:rPr>
                <w:noProof/>
              </w:rPr>
              <w:t>303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1DC8E3F" w14:textId="77777777" w:rsidR="00FA7C11" w:rsidRDefault="00D84965">
            <w:pPr>
              <w:pStyle w:val="P68B1DB1-Normal102"/>
              <w:spacing w:after="0" w:line="240" w:lineRule="auto"/>
              <w:jc w:val="center"/>
              <w:textAlignment w:val="baseline"/>
              <w:rPr>
                <w:noProof/>
              </w:rPr>
            </w:pPr>
            <w:r>
              <w:rPr>
                <w:noProof/>
              </w:rPr>
              <w:t>C4.3.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549B5B9"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77CD1B79" w14:textId="77777777" w:rsidR="00FA7C11" w:rsidRDefault="00D84965">
            <w:pPr>
              <w:pStyle w:val="P68B1DB1-Normal102"/>
              <w:spacing w:after="0" w:line="240" w:lineRule="auto"/>
              <w:textAlignment w:val="baseline"/>
              <w:rPr>
                <w:noProof/>
              </w:rPr>
            </w:pPr>
            <w:r>
              <w:rPr>
                <w:noProof/>
              </w:rPr>
              <w:t>Adoptarea noii Legi privind protecția socială</w:t>
            </w:r>
          </w:p>
        </w:tc>
      </w:tr>
      <w:tr w:rsidR="00FA7C11" w14:paraId="038E1AB2"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37D43748" w14:textId="77777777" w:rsidR="00FA7C11" w:rsidRDefault="00D84965">
            <w:pPr>
              <w:pStyle w:val="P68B1DB1-Normal102"/>
              <w:spacing w:after="0" w:line="240" w:lineRule="auto"/>
              <w:jc w:val="center"/>
              <w:textAlignment w:val="baseline"/>
              <w:rPr>
                <w:noProof/>
              </w:rPr>
            </w:pPr>
            <w:r>
              <w:rPr>
                <w:noProof/>
              </w:rPr>
              <w:t>309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35991BB" w14:textId="77777777" w:rsidR="00FA7C11" w:rsidRDefault="00D84965">
            <w:pPr>
              <w:pStyle w:val="P68B1DB1-Normal102"/>
              <w:spacing w:after="0" w:line="240" w:lineRule="auto"/>
              <w:jc w:val="center"/>
              <w:textAlignment w:val="baseline"/>
              <w:rPr>
                <w:noProof/>
              </w:rPr>
            </w:pPr>
            <w:r>
              <w:rPr>
                <w:noProof/>
              </w:rPr>
              <w:t>C4.3.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E38A532" w14:textId="77777777" w:rsidR="00FA7C11" w:rsidRDefault="00D84965">
            <w:pPr>
              <w:pStyle w:val="P68B1DB1-Normal102"/>
              <w:spacing w:after="0" w:line="240" w:lineRule="auto"/>
              <w:jc w:val="center"/>
              <w:textAlignment w:val="baseline"/>
              <w:rPr>
                <w:noProof/>
              </w:rPr>
            </w:pPr>
            <w:r>
              <w:rPr>
                <w:noProof/>
              </w:rPr>
              <w:t>T</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5E266F71" w14:textId="77777777" w:rsidR="00FA7C11" w:rsidRDefault="00D84965">
            <w:pPr>
              <w:pStyle w:val="P68B1DB1-Normal102"/>
              <w:spacing w:after="0" w:line="240" w:lineRule="auto"/>
              <w:textAlignment w:val="baseline"/>
              <w:rPr>
                <w:noProof/>
              </w:rPr>
            </w:pPr>
            <w:r>
              <w:rPr>
                <w:noProof/>
              </w:rPr>
              <w:t xml:space="preserve">Formarea mai multor profesioniști din domeniul mentoratului social </w:t>
            </w:r>
          </w:p>
        </w:tc>
      </w:tr>
      <w:tr w:rsidR="00FA7C11" w14:paraId="45417278"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DA2CD91" w14:textId="77777777" w:rsidR="00FA7C11" w:rsidRDefault="00D84965">
            <w:pPr>
              <w:pStyle w:val="P68B1DB1-Normal102"/>
              <w:spacing w:after="0" w:line="240" w:lineRule="auto"/>
              <w:jc w:val="center"/>
              <w:textAlignment w:val="baseline"/>
              <w:rPr>
                <w:noProof/>
              </w:rPr>
            </w:pPr>
            <w:r>
              <w:rPr>
                <w:noProof/>
              </w:rPr>
              <w:t>352</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9B528A3" w14:textId="77777777" w:rsidR="00FA7C11" w:rsidRDefault="00D84965">
            <w:pPr>
              <w:pStyle w:val="P68B1DB1-Normal102"/>
              <w:spacing w:after="0" w:line="240" w:lineRule="auto"/>
              <w:jc w:val="center"/>
              <w:textAlignment w:val="baseline"/>
              <w:rPr>
                <w:noProof/>
              </w:rPr>
            </w:pPr>
            <w:r>
              <w:rPr>
                <w:noProof/>
              </w:rPr>
              <w:t>C6.1.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5E4E3E2" w14:textId="77777777" w:rsidR="00FA7C11" w:rsidRDefault="00D84965">
            <w:pPr>
              <w:pStyle w:val="P68B1DB1-Normal102"/>
              <w:spacing w:after="0" w:line="240" w:lineRule="auto"/>
              <w:jc w:val="center"/>
              <w:textAlignment w:val="baseline"/>
              <w:rPr>
                <w:noProof/>
              </w:rPr>
            </w:pPr>
            <w:r>
              <w:rPr>
                <w:noProof/>
              </w:rPr>
              <w:t>M</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190739CF" w14:textId="77777777" w:rsidR="00FA7C11" w:rsidRDefault="00D84965">
            <w:pPr>
              <w:pStyle w:val="P68B1DB1-Normal102"/>
              <w:spacing w:after="0" w:line="240" w:lineRule="auto"/>
              <w:textAlignment w:val="baseline"/>
              <w:rPr>
                <w:noProof/>
              </w:rPr>
            </w:pPr>
            <w:r>
              <w:rPr>
                <w:noProof/>
              </w:rPr>
              <w:t>Adoptarea programului de renovare energetică a clădirilor din sectorul public pentru perioada 2021-2030</w:t>
            </w:r>
          </w:p>
        </w:tc>
      </w:tr>
      <w:tr w:rsidR="00FA7C11" w14:paraId="07E6AE12" w14:textId="77777777">
        <w:trPr>
          <w:trHeight w:val="397"/>
        </w:trPr>
        <w:tc>
          <w:tcPr>
            <w:tcW w:w="1095" w:type="dxa"/>
            <w:tcBorders>
              <w:top w:val="single" w:sz="6" w:space="0" w:color="auto"/>
              <w:left w:val="single" w:sz="6" w:space="0" w:color="auto"/>
              <w:bottom w:val="single" w:sz="6" w:space="0" w:color="auto"/>
              <w:right w:val="single" w:sz="6" w:space="0" w:color="auto"/>
            </w:tcBorders>
            <w:shd w:val="clear" w:color="auto" w:fill="C6EFCE"/>
            <w:vAlign w:val="center"/>
          </w:tcPr>
          <w:p w14:paraId="7AD14F3D"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642" w:type="dxa"/>
            <w:tcBorders>
              <w:top w:val="single" w:sz="6" w:space="0" w:color="auto"/>
              <w:left w:val="nil"/>
              <w:bottom w:val="single" w:sz="6" w:space="0" w:color="auto"/>
              <w:right w:val="single" w:sz="6" w:space="0" w:color="auto"/>
            </w:tcBorders>
            <w:shd w:val="clear" w:color="auto" w:fill="C6EFCE"/>
            <w:vAlign w:val="center"/>
          </w:tcPr>
          <w:p w14:paraId="4AD9DBB5"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276" w:type="dxa"/>
            <w:tcBorders>
              <w:top w:val="single" w:sz="6" w:space="0" w:color="auto"/>
              <w:left w:val="nil"/>
              <w:bottom w:val="single" w:sz="6" w:space="0" w:color="auto"/>
              <w:right w:val="single" w:sz="6" w:space="0" w:color="auto"/>
            </w:tcBorders>
            <w:shd w:val="clear" w:color="auto" w:fill="C6EFCE"/>
            <w:vAlign w:val="center"/>
          </w:tcPr>
          <w:p w14:paraId="22CE9508" w14:textId="77777777" w:rsidR="00FA7C11" w:rsidRDefault="00D84965">
            <w:pPr>
              <w:pStyle w:val="P68B1DB1-Normal102"/>
              <w:spacing w:after="0" w:line="240" w:lineRule="auto"/>
              <w:jc w:val="center"/>
              <w:textAlignment w:val="baseline"/>
              <w:rPr>
                <w:noProof/>
              </w:rPr>
            </w:pPr>
            <w:r>
              <w:rPr>
                <w:noProof/>
              </w:rPr>
              <w:t>Cuantumul tranșei</w:t>
            </w:r>
          </w:p>
        </w:tc>
        <w:tc>
          <w:tcPr>
            <w:tcW w:w="5388" w:type="dxa"/>
            <w:tcBorders>
              <w:top w:val="single" w:sz="6" w:space="0" w:color="auto"/>
              <w:left w:val="nil"/>
              <w:bottom w:val="single" w:sz="6" w:space="0" w:color="auto"/>
              <w:right w:val="single" w:sz="6" w:space="0" w:color="auto"/>
            </w:tcBorders>
            <w:shd w:val="clear" w:color="auto" w:fill="C6EFCE"/>
            <w:vAlign w:val="center"/>
          </w:tcPr>
          <w:p w14:paraId="6A382B6C" w14:textId="1ECB54C3" w:rsidR="00FA7C11" w:rsidRDefault="00D84965">
            <w:pPr>
              <w:pStyle w:val="P68B1DB1-Normal102"/>
              <w:spacing w:after="0" w:line="240" w:lineRule="auto"/>
              <w:textAlignment w:val="baseline"/>
              <w:rPr>
                <w:noProof/>
              </w:rPr>
            </w:pPr>
            <w:r>
              <w:rPr>
                <w:noProof/>
              </w:rPr>
              <w:t>804 597 701 MIL.</w:t>
            </w:r>
          </w:p>
        </w:tc>
      </w:tr>
    </w:tbl>
    <w:p w14:paraId="37B0A83B" w14:textId="77777777" w:rsidR="00FA7C11" w:rsidRDefault="00FA7C11">
      <w:pPr>
        <w:spacing w:after="0" w:line="240" w:lineRule="auto"/>
        <w:jc w:val="both"/>
        <w:textAlignment w:val="baseline"/>
        <w:rPr>
          <w:rFonts w:eastAsia="Times New Roman"/>
          <w:noProof/>
          <w:szCs w:val="24"/>
        </w:rPr>
      </w:pPr>
    </w:p>
    <w:p w14:paraId="0F32A20C" w14:textId="77777777" w:rsidR="00FA7C11" w:rsidRDefault="00FA7C11">
      <w:pPr>
        <w:spacing w:after="0" w:line="240" w:lineRule="auto"/>
        <w:jc w:val="both"/>
        <w:textAlignment w:val="baseline"/>
        <w:rPr>
          <w:rFonts w:ascii="Segoe UI" w:eastAsia="Times New Roman" w:hAnsi="Segoe UI" w:cs="Segoe UI"/>
          <w:noProof/>
          <w:sz w:val="18"/>
          <w:szCs w:val="18"/>
        </w:rPr>
      </w:pPr>
    </w:p>
    <w:p w14:paraId="247F6C32" w14:textId="77777777" w:rsidR="00FA7C11" w:rsidRDefault="00FA7C11">
      <w:pPr>
        <w:spacing w:after="0" w:line="240" w:lineRule="auto"/>
        <w:jc w:val="both"/>
        <w:textAlignment w:val="baseline"/>
        <w:rPr>
          <w:rFonts w:ascii="Segoe UI" w:eastAsia="Times New Roman" w:hAnsi="Segoe UI" w:cs="Segoe UI"/>
          <w:noProof/>
          <w:sz w:val="18"/>
          <w:szCs w:val="18"/>
        </w:rPr>
      </w:pPr>
    </w:p>
    <w:p w14:paraId="476678BB" w14:textId="77777777" w:rsidR="00FA7C11" w:rsidRDefault="00FA7C11">
      <w:pPr>
        <w:spacing w:after="0" w:line="240" w:lineRule="auto"/>
        <w:jc w:val="both"/>
        <w:textAlignment w:val="baseline"/>
        <w:rPr>
          <w:rFonts w:ascii="Segoe UI" w:eastAsia="Times New Roman" w:hAnsi="Segoe UI" w:cs="Segoe UI"/>
          <w:noProof/>
          <w:sz w:val="18"/>
          <w:szCs w:val="18"/>
        </w:rPr>
      </w:pPr>
    </w:p>
    <w:p w14:paraId="41326B1C" w14:textId="5EC9BB47" w:rsidR="00FA7C11" w:rsidRDefault="00D84965">
      <w:pPr>
        <w:pStyle w:val="P68B1DB1-Normal125"/>
        <w:numPr>
          <w:ilvl w:val="0"/>
          <w:numId w:val="80"/>
        </w:numPr>
        <w:spacing w:line="240" w:lineRule="auto"/>
        <w:jc w:val="both"/>
        <w:textAlignment w:val="baseline"/>
        <w:rPr>
          <w:noProof/>
        </w:rPr>
      </w:pPr>
      <w:r>
        <w:rPr>
          <w:noProof/>
        </w:rPr>
        <w:t xml:space="preserve">A treia tranșă (sprijin nerambursabil): </w:t>
      </w:r>
    </w:p>
    <w:tbl>
      <w:tblPr>
        <w:tblW w:w="9401"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3"/>
        <w:gridCol w:w="1630"/>
        <w:gridCol w:w="1352"/>
        <w:gridCol w:w="5326"/>
      </w:tblGrid>
      <w:tr w:rsidR="00FA7C11" w14:paraId="2C1C141F" w14:textId="77777777">
        <w:trPr>
          <w:trHeight w:val="517"/>
          <w:tblHeader/>
        </w:trPr>
        <w:tc>
          <w:tcPr>
            <w:tcW w:w="1096"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4643EE75"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42" w:type="dxa"/>
            <w:tcBorders>
              <w:top w:val="single" w:sz="6" w:space="0" w:color="auto"/>
              <w:left w:val="single" w:sz="6" w:space="0" w:color="auto"/>
              <w:bottom w:val="single" w:sz="6" w:space="0" w:color="000000"/>
              <w:right w:val="single" w:sz="6" w:space="0" w:color="auto"/>
            </w:tcBorders>
            <w:shd w:val="clear" w:color="auto" w:fill="BDD7EE"/>
            <w:vAlign w:val="center"/>
            <w:hideMark/>
          </w:tcPr>
          <w:p w14:paraId="371FDDD0"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6" w:type="dxa"/>
            <w:tcBorders>
              <w:top w:val="single" w:sz="6" w:space="0" w:color="auto"/>
              <w:left w:val="single" w:sz="6" w:space="0" w:color="auto"/>
              <w:bottom w:val="single" w:sz="6" w:space="0" w:color="000000"/>
              <w:right w:val="single" w:sz="4" w:space="0" w:color="auto"/>
            </w:tcBorders>
            <w:shd w:val="clear" w:color="auto" w:fill="BDD7EE"/>
            <w:vAlign w:val="center"/>
            <w:hideMark/>
          </w:tcPr>
          <w:p w14:paraId="5C8D5033"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44A93FD"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48B19B02" w14:textId="77777777">
        <w:trPr>
          <w:trHeight w:val="51"/>
        </w:trPr>
        <w:tc>
          <w:tcPr>
            <w:tcW w:w="1096" w:type="dxa"/>
            <w:tcBorders>
              <w:top w:val="nil"/>
              <w:left w:val="single" w:sz="6" w:space="0" w:color="auto"/>
              <w:bottom w:val="single" w:sz="6" w:space="0" w:color="auto"/>
              <w:right w:val="single" w:sz="6" w:space="0" w:color="auto"/>
            </w:tcBorders>
            <w:shd w:val="clear" w:color="auto" w:fill="C6EFCE"/>
            <w:vAlign w:val="center"/>
            <w:hideMark/>
          </w:tcPr>
          <w:p w14:paraId="4C3CC07A" w14:textId="77777777" w:rsidR="00FA7C11" w:rsidRDefault="00D84965">
            <w:pPr>
              <w:pStyle w:val="P68B1DB1-Normal102"/>
              <w:spacing w:after="0" w:line="240" w:lineRule="auto"/>
              <w:jc w:val="center"/>
              <w:textAlignment w:val="baseline"/>
              <w:rPr>
                <w:rFonts w:eastAsia="Times New Roman"/>
                <w:noProof/>
              </w:rPr>
            </w:pPr>
            <w:r>
              <w:rPr>
                <w:noProof/>
              </w:rPr>
              <w:t>1</w:t>
            </w:r>
          </w:p>
        </w:tc>
        <w:tc>
          <w:tcPr>
            <w:tcW w:w="1642" w:type="dxa"/>
            <w:tcBorders>
              <w:top w:val="nil"/>
              <w:left w:val="nil"/>
              <w:bottom w:val="single" w:sz="6" w:space="0" w:color="auto"/>
              <w:right w:val="single" w:sz="6" w:space="0" w:color="auto"/>
            </w:tcBorders>
            <w:shd w:val="clear" w:color="auto" w:fill="C6EFCE"/>
            <w:vAlign w:val="center"/>
            <w:hideMark/>
          </w:tcPr>
          <w:p w14:paraId="51B0F2A5" w14:textId="77777777" w:rsidR="00FA7C11" w:rsidRDefault="00D84965">
            <w:pPr>
              <w:pStyle w:val="P68B1DB1-Normal102"/>
              <w:spacing w:after="0" w:line="240" w:lineRule="auto"/>
              <w:jc w:val="center"/>
              <w:textAlignment w:val="baseline"/>
              <w:rPr>
                <w:rFonts w:eastAsia="Times New Roman"/>
                <w:noProof/>
              </w:rPr>
            </w:pPr>
            <w:r>
              <w:rPr>
                <w:noProof/>
              </w:rPr>
              <w:t>C1.1.1. R1</w:t>
            </w:r>
          </w:p>
        </w:tc>
        <w:tc>
          <w:tcPr>
            <w:tcW w:w="1276" w:type="dxa"/>
            <w:tcBorders>
              <w:top w:val="nil"/>
              <w:left w:val="nil"/>
              <w:bottom w:val="single" w:sz="6" w:space="0" w:color="auto"/>
              <w:right w:val="single" w:sz="6" w:space="0" w:color="auto"/>
            </w:tcBorders>
            <w:shd w:val="clear" w:color="auto" w:fill="C6EFCE"/>
            <w:vAlign w:val="center"/>
            <w:hideMark/>
          </w:tcPr>
          <w:p w14:paraId="0C59741E"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87" w:type="dxa"/>
            <w:tcBorders>
              <w:top w:val="single" w:sz="4" w:space="0" w:color="auto"/>
              <w:left w:val="nil"/>
              <w:bottom w:val="single" w:sz="6" w:space="0" w:color="auto"/>
              <w:right w:val="single" w:sz="6" w:space="0" w:color="auto"/>
            </w:tcBorders>
            <w:shd w:val="clear" w:color="auto" w:fill="C6EFCE"/>
            <w:vAlign w:val="center"/>
            <w:hideMark/>
          </w:tcPr>
          <w:p w14:paraId="5EC86402" w14:textId="77777777" w:rsidR="00FA7C11" w:rsidRDefault="00D84965">
            <w:pPr>
              <w:pStyle w:val="P68B1DB1-Normal102"/>
              <w:spacing w:after="0" w:line="240" w:lineRule="auto"/>
              <w:textAlignment w:val="baseline"/>
              <w:rPr>
                <w:rFonts w:eastAsia="Times New Roman"/>
                <w:noProof/>
              </w:rPr>
            </w:pPr>
            <w:r>
              <w:rPr>
                <w:noProof/>
              </w:rPr>
              <w:t xml:space="preserve">Adoptarea de către guvernul croat a Strategiei pentru evaluarea efectelor economice ale Regulamentului privind sectorul IMM-urilor și a planului de acțiune aferent </w:t>
            </w:r>
          </w:p>
        </w:tc>
      </w:tr>
      <w:tr w:rsidR="00FA7C11" w14:paraId="143213BC"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hideMark/>
          </w:tcPr>
          <w:p w14:paraId="60948659" w14:textId="77777777" w:rsidR="00FA7C11" w:rsidRDefault="00D84965">
            <w:pPr>
              <w:pStyle w:val="P68B1DB1-Normal102"/>
              <w:spacing w:after="0" w:line="240" w:lineRule="auto"/>
              <w:jc w:val="center"/>
              <w:textAlignment w:val="baseline"/>
              <w:rPr>
                <w:rFonts w:eastAsia="Times New Roman"/>
                <w:noProof/>
              </w:rPr>
            </w:pPr>
            <w:r>
              <w:rPr>
                <w:noProof/>
              </w:rPr>
              <w:t>7</w:t>
            </w:r>
          </w:p>
        </w:tc>
        <w:tc>
          <w:tcPr>
            <w:tcW w:w="1642" w:type="dxa"/>
            <w:tcBorders>
              <w:top w:val="single" w:sz="6" w:space="0" w:color="auto"/>
              <w:left w:val="nil"/>
              <w:bottom w:val="single" w:sz="6" w:space="0" w:color="auto"/>
              <w:right w:val="single" w:sz="6" w:space="0" w:color="auto"/>
            </w:tcBorders>
            <w:shd w:val="clear" w:color="auto" w:fill="C6EFCE"/>
            <w:vAlign w:val="center"/>
            <w:hideMark/>
          </w:tcPr>
          <w:p w14:paraId="3CF2F061" w14:textId="77777777" w:rsidR="00FA7C11" w:rsidRDefault="00D84965">
            <w:pPr>
              <w:pStyle w:val="P68B1DB1-Normal102"/>
              <w:spacing w:after="0" w:line="240" w:lineRule="auto"/>
              <w:jc w:val="center"/>
              <w:textAlignment w:val="baseline"/>
              <w:rPr>
                <w:rFonts w:eastAsia="Times New Roman"/>
                <w:noProof/>
              </w:rPr>
            </w:pPr>
            <w:r>
              <w:rPr>
                <w:noProof/>
              </w:rPr>
              <w:t>C1.1.1. R1-I2</w:t>
            </w:r>
          </w:p>
        </w:tc>
        <w:tc>
          <w:tcPr>
            <w:tcW w:w="1276" w:type="dxa"/>
            <w:tcBorders>
              <w:top w:val="single" w:sz="6" w:space="0" w:color="auto"/>
              <w:left w:val="nil"/>
              <w:bottom w:val="single" w:sz="6" w:space="0" w:color="auto"/>
              <w:right w:val="single" w:sz="6" w:space="0" w:color="auto"/>
            </w:tcBorders>
            <w:shd w:val="clear" w:color="auto" w:fill="C6EFCE"/>
            <w:vAlign w:val="center"/>
            <w:hideMark/>
          </w:tcPr>
          <w:p w14:paraId="4EFC903B" w14:textId="77777777" w:rsidR="00FA7C11" w:rsidRDefault="00D84965">
            <w:pPr>
              <w:pStyle w:val="P68B1DB1-Normal102"/>
              <w:spacing w:after="0" w:line="240" w:lineRule="auto"/>
              <w:jc w:val="center"/>
              <w:textAlignment w:val="baseline"/>
              <w:rPr>
                <w:rFonts w:eastAsia="Times New Roman"/>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hideMark/>
          </w:tcPr>
          <w:p w14:paraId="4A35FCDA" w14:textId="77777777" w:rsidR="00FA7C11" w:rsidRDefault="00D84965">
            <w:pPr>
              <w:pStyle w:val="P68B1DB1-Normal102"/>
              <w:spacing w:after="0" w:line="240" w:lineRule="auto"/>
              <w:textAlignment w:val="baseline"/>
              <w:rPr>
                <w:rFonts w:eastAsia="Times New Roman"/>
                <w:noProof/>
              </w:rPr>
            </w:pPr>
            <w:r>
              <w:rPr>
                <w:noProof/>
              </w:rPr>
              <w:t>Punerea în aplicare a măsurilor din planurile de acțiune pentru reducerea sarcinii administrative asupra economiei 2018, 2019, 2020</w:t>
            </w:r>
          </w:p>
        </w:tc>
      </w:tr>
      <w:tr w:rsidR="00FA7C11" w14:paraId="5FB7BEF8"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02BD349" w14:textId="77777777" w:rsidR="00FA7C11" w:rsidRDefault="00D84965">
            <w:pPr>
              <w:pStyle w:val="P68B1DB1-Normal102"/>
              <w:spacing w:after="0" w:line="240" w:lineRule="auto"/>
              <w:jc w:val="center"/>
              <w:textAlignment w:val="baseline"/>
              <w:rPr>
                <w:noProof/>
              </w:rPr>
            </w:pPr>
            <w:r>
              <w:rPr>
                <w:noProof/>
              </w:rPr>
              <w:t>23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C557602" w14:textId="77777777" w:rsidR="00FA7C11" w:rsidRDefault="00D84965">
            <w:pPr>
              <w:pStyle w:val="P68B1DB1-Normal102"/>
              <w:spacing w:after="0" w:line="240" w:lineRule="auto"/>
              <w:jc w:val="center"/>
              <w:textAlignment w:val="baseline"/>
              <w:rPr>
                <w:noProof/>
              </w:rPr>
            </w:pPr>
            <w:r>
              <w:rPr>
                <w:noProof/>
              </w:rPr>
              <w:t>C1.1.1. R5-I1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59CE013"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E4D1F55" w14:textId="77777777" w:rsidR="00FA7C11" w:rsidRDefault="00D84965">
            <w:pPr>
              <w:pStyle w:val="P68B1DB1-Normal102"/>
              <w:spacing w:after="0" w:line="240" w:lineRule="auto"/>
              <w:textAlignment w:val="baseline"/>
              <w:rPr>
                <w:noProof/>
              </w:rPr>
            </w:pPr>
            <w:r>
              <w:rPr>
                <w:noProof/>
              </w:rPr>
              <w:t xml:space="preserve">Crearea unui instrument de finanțare prin capitaluri proprii și cvasicapitaluri (PE) </w:t>
            </w:r>
          </w:p>
        </w:tc>
      </w:tr>
      <w:tr w:rsidR="00FA7C11" w14:paraId="3AEB369F"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272607B0" w14:textId="77777777" w:rsidR="00FA7C11" w:rsidRDefault="00D84965">
            <w:pPr>
              <w:pStyle w:val="P68B1DB1-Normal102"/>
              <w:spacing w:after="0" w:line="240" w:lineRule="auto"/>
              <w:jc w:val="center"/>
              <w:textAlignment w:val="baseline"/>
              <w:rPr>
                <w:noProof/>
              </w:rPr>
            </w:pPr>
            <w:r>
              <w:rPr>
                <w:noProof/>
              </w:rPr>
              <w:t>37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901AB5F" w14:textId="77777777" w:rsidR="00FA7C11" w:rsidRDefault="00D84965">
            <w:pPr>
              <w:pStyle w:val="P68B1DB1-Normal102"/>
              <w:spacing w:after="0" w:line="240" w:lineRule="auto"/>
              <w:jc w:val="center"/>
              <w:textAlignment w:val="baseline"/>
              <w:rPr>
                <w:noProof/>
              </w:rPr>
            </w:pPr>
            <w:r>
              <w:rPr>
                <w:noProof/>
              </w:rPr>
              <w:t>C1.2.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01863CE"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2B9BF42" w14:textId="77777777" w:rsidR="00FA7C11" w:rsidRDefault="00D84965">
            <w:pPr>
              <w:pStyle w:val="P68B1DB1-Normal102"/>
              <w:spacing w:after="0" w:line="240" w:lineRule="auto"/>
              <w:textAlignment w:val="baseline"/>
              <w:rPr>
                <w:noProof/>
              </w:rPr>
            </w:pPr>
            <w:r>
              <w:rPr>
                <w:noProof/>
              </w:rPr>
              <w:t>Intrarea în vigoare a legislației și/sau a reglementărilor menite să îmbunătățească utilizarea surselor regenerabile de energie, inclusiv introducerea unui sistem bazat pe prime pentru sprijinirea surselor regenerabile de energie.</w:t>
            </w:r>
          </w:p>
        </w:tc>
      </w:tr>
      <w:tr w:rsidR="00FA7C11" w14:paraId="406EE044"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C9B3DF6" w14:textId="77777777" w:rsidR="00FA7C11" w:rsidRDefault="00D84965">
            <w:pPr>
              <w:pStyle w:val="P68B1DB1-Normal102"/>
              <w:spacing w:after="0" w:line="240" w:lineRule="auto"/>
              <w:jc w:val="center"/>
              <w:textAlignment w:val="baseline"/>
              <w:rPr>
                <w:noProof/>
              </w:rPr>
            </w:pPr>
            <w:r>
              <w:rPr>
                <w:noProof/>
              </w:rPr>
              <w:t>60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AA4FC28" w14:textId="77777777" w:rsidR="00FA7C11" w:rsidRDefault="00D84965">
            <w:pPr>
              <w:pStyle w:val="P68B1DB1-Normal102"/>
              <w:spacing w:after="0" w:line="240" w:lineRule="auto"/>
              <w:jc w:val="center"/>
              <w:textAlignment w:val="baseline"/>
              <w:rPr>
                <w:noProof/>
              </w:rPr>
            </w:pPr>
            <w:r>
              <w:rPr>
                <w:noProof/>
              </w:rPr>
              <w:t>C1.3.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66A52B0"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77F300B4" w14:textId="77777777" w:rsidR="00FA7C11" w:rsidRDefault="00D84965">
            <w:pPr>
              <w:pStyle w:val="P68B1DB1-Normal102"/>
              <w:spacing w:after="0" w:line="240" w:lineRule="auto"/>
              <w:textAlignment w:val="baseline"/>
              <w:rPr>
                <w:noProof/>
              </w:rPr>
            </w:pPr>
            <w:r>
              <w:rPr>
                <w:noProof/>
              </w:rPr>
              <w:t xml:space="preserve">Modificări ale cadrului juridic în sectorul apei </w:t>
            </w:r>
          </w:p>
        </w:tc>
      </w:tr>
      <w:tr w:rsidR="00FA7C11" w14:paraId="30540796"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789E79AD" w14:textId="77777777" w:rsidR="00FA7C11" w:rsidRDefault="00D84965">
            <w:pPr>
              <w:pStyle w:val="P68B1DB1-Normal102"/>
              <w:spacing w:after="0" w:line="240" w:lineRule="auto"/>
              <w:jc w:val="center"/>
              <w:textAlignment w:val="baseline"/>
              <w:rPr>
                <w:noProof/>
              </w:rPr>
            </w:pPr>
            <w:r>
              <w:rPr>
                <w:noProof/>
              </w:rPr>
              <w:t>69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2AECE0B" w14:textId="77777777" w:rsidR="00FA7C11" w:rsidRDefault="00D84965">
            <w:pPr>
              <w:pStyle w:val="P68B1DB1-Normal102"/>
              <w:spacing w:after="0" w:line="240" w:lineRule="auto"/>
              <w:jc w:val="center"/>
              <w:textAlignment w:val="baseline"/>
              <w:rPr>
                <w:noProof/>
              </w:rPr>
            </w:pPr>
            <w:r>
              <w:rPr>
                <w:noProof/>
              </w:rPr>
              <w:t>C1.3. R1-I2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72360ED"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634A3159" w14:textId="77777777" w:rsidR="00FA7C11" w:rsidRDefault="00D84965">
            <w:pPr>
              <w:pStyle w:val="P68B1DB1-Normal102"/>
              <w:spacing w:after="0" w:line="240" w:lineRule="auto"/>
              <w:textAlignment w:val="baseline"/>
              <w:rPr>
                <w:noProof/>
              </w:rPr>
            </w:pPr>
            <w:r>
              <w:rPr>
                <w:noProof/>
              </w:rPr>
              <w:t xml:space="preserve">Dispozitive de contorizare a apei instalate în locurile de captare a apei </w:t>
            </w:r>
          </w:p>
        </w:tc>
      </w:tr>
      <w:tr w:rsidR="00FA7C11" w14:paraId="5877FAE2"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22B3E0AF" w14:textId="77777777" w:rsidR="00FA7C11" w:rsidRDefault="00D84965">
            <w:pPr>
              <w:pStyle w:val="P68B1DB1-Normal102"/>
              <w:spacing w:after="0" w:line="240" w:lineRule="auto"/>
              <w:jc w:val="center"/>
              <w:textAlignment w:val="baseline"/>
              <w:rPr>
                <w:noProof/>
              </w:rPr>
            </w:pPr>
            <w:r>
              <w:rPr>
                <w:noProof/>
              </w:rPr>
              <w:t>74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9BF4F38" w14:textId="77777777" w:rsidR="00FA7C11" w:rsidRDefault="00D84965">
            <w:pPr>
              <w:pStyle w:val="P68B1DB1-Normal102"/>
              <w:spacing w:after="0" w:line="240" w:lineRule="auto"/>
              <w:jc w:val="center"/>
              <w:textAlignment w:val="baseline"/>
              <w:rPr>
                <w:noProof/>
              </w:rPr>
            </w:pPr>
            <w:r>
              <w:rPr>
                <w:noProof/>
              </w:rPr>
              <w:t>C1.3.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B4F19A4"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497A3E9" w14:textId="77777777" w:rsidR="00FA7C11" w:rsidRDefault="00D84965">
            <w:pPr>
              <w:pStyle w:val="P68B1DB1-Normal102"/>
              <w:spacing w:after="0" w:line="240" w:lineRule="auto"/>
              <w:textAlignment w:val="baseline"/>
              <w:rPr>
                <w:noProof/>
              </w:rPr>
            </w:pPr>
            <w:r>
              <w:rPr>
                <w:noProof/>
              </w:rPr>
              <w:t xml:space="preserve">Contracte de lucrări încheiate pentru proiecte de protecție împotriva inundațiilor </w:t>
            </w:r>
          </w:p>
        </w:tc>
      </w:tr>
      <w:tr w:rsidR="00FA7C11" w14:paraId="0834BF8E"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DE096C2" w14:textId="77777777" w:rsidR="00FA7C11" w:rsidRDefault="00D84965">
            <w:pPr>
              <w:pStyle w:val="P68B1DB1-Normal102"/>
              <w:spacing w:after="0" w:line="240" w:lineRule="auto"/>
              <w:jc w:val="center"/>
              <w:textAlignment w:val="baseline"/>
              <w:rPr>
                <w:noProof/>
              </w:rPr>
            </w:pPr>
            <w:r>
              <w:rPr>
                <w:noProof/>
              </w:rPr>
              <w:t>75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C043E1B" w14:textId="77777777" w:rsidR="00FA7C11" w:rsidRDefault="00D84965">
            <w:pPr>
              <w:pStyle w:val="P68B1DB1-Normal102"/>
              <w:spacing w:after="0" w:line="240" w:lineRule="auto"/>
              <w:jc w:val="center"/>
              <w:textAlignment w:val="baseline"/>
              <w:rPr>
                <w:noProof/>
              </w:rPr>
            </w:pPr>
            <w:r>
              <w:rPr>
                <w:noProof/>
              </w:rPr>
              <w:t>C1.3.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9CF8366"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38F0C7FB" w14:textId="77777777" w:rsidR="00FA7C11" w:rsidRDefault="00D84965">
            <w:pPr>
              <w:pStyle w:val="P68B1DB1-Normal102"/>
              <w:spacing w:after="0" w:line="240" w:lineRule="auto"/>
              <w:textAlignment w:val="baseline"/>
              <w:rPr>
                <w:noProof/>
              </w:rPr>
            </w:pPr>
            <w:r>
              <w:rPr>
                <w:noProof/>
              </w:rPr>
              <w:t xml:space="preserve">Structuri de protecție împotriva inundațiilor construite </w:t>
            </w:r>
          </w:p>
        </w:tc>
      </w:tr>
      <w:tr w:rsidR="00FA7C11" w14:paraId="45955CCC"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AA5561E" w14:textId="77777777" w:rsidR="00FA7C11" w:rsidRDefault="00D84965">
            <w:pPr>
              <w:pStyle w:val="P68B1DB1-Normal102"/>
              <w:spacing w:after="0" w:line="240" w:lineRule="auto"/>
              <w:jc w:val="center"/>
              <w:textAlignment w:val="baseline"/>
              <w:rPr>
                <w:noProof/>
              </w:rPr>
            </w:pPr>
            <w:r>
              <w:rPr>
                <w:noProof/>
              </w:rPr>
              <w:t>76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3E5AB31" w14:textId="77777777" w:rsidR="00FA7C11" w:rsidRDefault="00D84965">
            <w:pPr>
              <w:pStyle w:val="P68B1DB1-Normal102"/>
              <w:spacing w:after="0" w:line="240" w:lineRule="auto"/>
              <w:jc w:val="center"/>
              <w:textAlignment w:val="baseline"/>
              <w:rPr>
                <w:noProof/>
              </w:rPr>
            </w:pPr>
            <w:r>
              <w:rPr>
                <w:noProof/>
              </w:rPr>
              <w:t>C1.3. R1-I3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CE55F06"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67B5C6C" w14:textId="77777777" w:rsidR="00FA7C11" w:rsidRDefault="00D84965">
            <w:pPr>
              <w:pStyle w:val="P68B1DB1-Normal102"/>
              <w:spacing w:after="0" w:line="240" w:lineRule="auto"/>
              <w:textAlignment w:val="baseline"/>
              <w:rPr>
                <w:noProof/>
              </w:rPr>
            </w:pPr>
            <w:r>
              <w:rPr>
                <w:noProof/>
              </w:rPr>
              <w:t xml:space="preserve">Cursuri de apă revitalizate </w:t>
            </w:r>
          </w:p>
        </w:tc>
      </w:tr>
      <w:tr w:rsidR="00FA7C11" w14:paraId="4F309DE8"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E15D57B" w14:textId="77777777" w:rsidR="00FA7C11" w:rsidRDefault="00D84965">
            <w:pPr>
              <w:pStyle w:val="P68B1DB1-Normal102"/>
              <w:spacing w:after="0" w:line="240" w:lineRule="auto"/>
              <w:jc w:val="center"/>
              <w:textAlignment w:val="baseline"/>
              <w:rPr>
                <w:noProof/>
              </w:rPr>
            </w:pPr>
            <w:r>
              <w:rPr>
                <w:noProof/>
              </w:rPr>
              <w:t>83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6AB7B37" w14:textId="77777777" w:rsidR="00FA7C11" w:rsidRDefault="00D84965">
            <w:pPr>
              <w:pStyle w:val="P68B1DB1-Normal102"/>
              <w:spacing w:after="0" w:line="240" w:lineRule="auto"/>
              <w:jc w:val="center"/>
              <w:textAlignment w:val="baseline"/>
              <w:rPr>
                <w:noProof/>
              </w:rPr>
            </w:pPr>
            <w:r>
              <w:rPr>
                <w:noProof/>
              </w:rPr>
              <w:t>C1.3.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BA2DB47"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1C2F4A8" w14:textId="77777777" w:rsidR="00FA7C11" w:rsidRDefault="00D84965">
            <w:pPr>
              <w:pStyle w:val="P68B1DB1-Normal102"/>
              <w:spacing w:after="0" w:line="240" w:lineRule="auto"/>
              <w:textAlignment w:val="baseline"/>
              <w:rPr>
                <w:noProof/>
              </w:rPr>
            </w:pPr>
            <w:r>
              <w:rPr>
                <w:noProof/>
              </w:rPr>
              <w:t>Adoptarea Planului de gestionare a deșeurilor al Republicii Croația pentru perioada 2023-2029</w:t>
            </w:r>
          </w:p>
        </w:tc>
      </w:tr>
      <w:tr w:rsidR="00FA7C11" w14:paraId="405CB2CA"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1726B50F" w14:textId="77777777" w:rsidR="00FA7C11" w:rsidRDefault="00D84965">
            <w:pPr>
              <w:pStyle w:val="P68B1DB1-Normal102"/>
              <w:spacing w:after="0" w:line="240" w:lineRule="auto"/>
              <w:jc w:val="center"/>
              <w:textAlignment w:val="baseline"/>
              <w:rPr>
                <w:noProof/>
              </w:rPr>
            </w:pPr>
            <w:r>
              <w:rPr>
                <w:noProof/>
              </w:rPr>
              <w:t>84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42FCC9E1" w14:textId="77777777" w:rsidR="00FA7C11" w:rsidRDefault="00D84965">
            <w:pPr>
              <w:pStyle w:val="P68B1DB1-Normal102"/>
              <w:spacing w:after="0" w:line="240" w:lineRule="auto"/>
              <w:jc w:val="center"/>
              <w:textAlignment w:val="baseline"/>
              <w:rPr>
                <w:noProof/>
              </w:rPr>
            </w:pPr>
            <w:r>
              <w:rPr>
                <w:noProof/>
              </w:rPr>
              <w:t>C1.3. R2-I1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6D996E0"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147DFCEC" w14:textId="77777777" w:rsidR="00FA7C11" w:rsidRDefault="00D84965">
            <w:pPr>
              <w:pStyle w:val="P68B1DB1-Normal102"/>
              <w:spacing w:after="0" w:line="240" w:lineRule="auto"/>
              <w:textAlignment w:val="baseline"/>
              <w:rPr>
                <w:noProof/>
              </w:rPr>
            </w:pPr>
            <w:r>
              <w:rPr>
                <w:noProof/>
              </w:rPr>
              <w:t>Reducerea ponderii deșeurilor municipale trimise spre eliminare (49 %)</w:t>
            </w:r>
          </w:p>
        </w:tc>
      </w:tr>
      <w:tr w:rsidR="00FA7C11" w14:paraId="7A4C6D0C"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3F43CD0B" w14:textId="77777777" w:rsidR="00FA7C11" w:rsidRDefault="00D84965">
            <w:pPr>
              <w:pStyle w:val="P68B1DB1-Normal102"/>
              <w:spacing w:after="0" w:line="240" w:lineRule="auto"/>
              <w:jc w:val="center"/>
              <w:textAlignment w:val="baseline"/>
              <w:rPr>
                <w:noProof/>
              </w:rPr>
            </w:pPr>
            <w:r>
              <w:rPr>
                <w:noProof/>
              </w:rPr>
              <w:t>99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71DFAC9" w14:textId="77777777" w:rsidR="00FA7C11" w:rsidRDefault="00D84965">
            <w:pPr>
              <w:pStyle w:val="P68B1DB1-Normal102"/>
              <w:spacing w:after="0" w:line="240" w:lineRule="auto"/>
              <w:jc w:val="center"/>
              <w:textAlignment w:val="baseline"/>
              <w:rPr>
                <w:noProof/>
              </w:rPr>
            </w:pPr>
            <w:r>
              <w:rPr>
                <w:noProof/>
              </w:rPr>
              <w:t>C1.4.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42AB80D"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35E3AC0E" w14:textId="77777777" w:rsidR="00FA7C11" w:rsidRDefault="00D84965">
            <w:pPr>
              <w:pStyle w:val="P68B1DB1-Normal102"/>
              <w:spacing w:after="0" w:line="240" w:lineRule="auto"/>
              <w:textAlignment w:val="baseline"/>
              <w:rPr>
                <w:noProof/>
              </w:rPr>
            </w:pPr>
            <w:r>
              <w:rPr>
                <w:noProof/>
              </w:rPr>
              <w:t>Planul Național de Dezvoltare a Infrastructurii Feroviare și Planul Național de Administrare a Infrastructurii Feroviare și a Infrastructurii de Servicii</w:t>
            </w:r>
          </w:p>
        </w:tc>
      </w:tr>
      <w:tr w:rsidR="00FA7C11" w14:paraId="3AFA79F5"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1006F00" w14:textId="77777777" w:rsidR="00FA7C11" w:rsidRDefault="00D84965">
            <w:pPr>
              <w:pStyle w:val="P68B1DB1-Normal102"/>
              <w:spacing w:after="0" w:line="240" w:lineRule="auto"/>
              <w:jc w:val="center"/>
              <w:textAlignment w:val="baseline"/>
              <w:rPr>
                <w:noProof/>
              </w:rPr>
            </w:pPr>
            <w:r>
              <w:rPr>
                <w:noProof/>
              </w:rPr>
              <w:t>111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8AF46C3" w14:textId="77777777" w:rsidR="00FA7C11" w:rsidRDefault="00D84965">
            <w:pPr>
              <w:pStyle w:val="P68B1DB1-Normal102"/>
              <w:spacing w:after="0" w:line="240" w:lineRule="auto"/>
              <w:jc w:val="center"/>
              <w:textAlignment w:val="baseline"/>
              <w:rPr>
                <w:noProof/>
              </w:rPr>
            </w:pPr>
            <w:r>
              <w:rPr>
                <w:noProof/>
              </w:rPr>
              <w:t>C1.4. R3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273A9908"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E0D9ADB" w14:textId="77777777" w:rsidR="00FA7C11" w:rsidRDefault="00D84965">
            <w:pPr>
              <w:pStyle w:val="P68B1DB1-Normal102"/>
              <w:spacing w:after="0" w:line="240" w:lineRule="auto"/>
              <w:textAlignment w:val="baseline"/>
              <w:rPr>
                <w:noProof/>
              </w:rPr>
            </w:pPr>
            <w:r>
              <w:rPr>
                <w:noProof/>
              </w:rPr>
              <w:t>Noua Lege privind domeniul maritim și porturile maritime</w:t>
            </w:r>
          </w:p>
        </w:tc>
      </w:tr>
      <w:tr w:rsidR="00FA7C11" w14:paraId="1F58F5B1"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362580E6" w14:textId="77777777" w:rsidR="00FA7C11" w:rsidRDefault="00D84965">
            <w:pPr>
              <w:pStyle w:val="P68B1DB1-Normal102"/>
              <w:spacing w:after="0" w:line="240" w:lineRule="auto"/>
              <w:jc w:val="center"/>
              <w:textAlignment w:val="baseline"/>
              <w:rPr>
                <w:noProof/>
              </w:rPr>
            </w:pPr>
            <w:r>
              <w:rPr>
                <w:noProof/>
              </w:rPr>
              <w:t>114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7CEC9AD" w14:textId="77777777" w:rsidR="00FA7C11" w:rsidRDefault="00D84965">
            <w:pPr>
              <w:pStyle w:val="P68B1DB1-Normal102"/>
              <w:spacing w:after="0" w:line="240" w:lineRule="auto"/>
              <w:jc w:val="center"/>
              <w:textAlignment w:val="baseline"/>
              <w:rPr>
                <w:noProof/>
              </w:rPr>
            </w:pPr>
            <w:r>
              <w:rPr>
                <w:noProof/>
              </w:rPr>
              <w:t>C1.4. R3-I3</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331BCEAF"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4CD4EB70" w14:textId="77777777" w:rsidR="00FA7C11" w:rsidRDefault="00D84965">
            <w:pPr>
              <w:pStyle w:val="P68B1DB1-Normal102"/>
              <w:spacing w:after="0" w:line="240" w:lineRule="auto"/>
              <w:textAlignment w:val="baseline"/>
              <w:rPr>
                <w:noProof/>
              </w:rPr>
            </w:pPr>
            <w:r>
              <w:rPr>
                <w:noProof/>
              </w:rPr>
              <w:t>Nou feribot prin cablu „Križnica”, operațional pe râul Drava, în municipalitatea Pitomača</w:t>
            </w:r>
          </w:p>
        </w:tc>
      </w:tr>
      <w:tr w:rsidR="00FA7C11" w14:paraId="618637C4"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32D63E26" w14:textId="77777777" w:rsidR="00FA7C11" w:rsidRDefault="00D84965">
            <w:pPr>
              <w:pStyle w:val="P68B1DB1-Normal102"/>
              <w:spacing w:after="0" w:line="240" w:lineRule="auto"/>
              <w:jc w:val="center"/>
              <w:textAlignment w:val="baseline"/>
              <w:rPr>
                <w:noProof/>
              </w:rPr>
            </w:pPr>
            <w:r>
              <w:rPr>
                <w:noProof/>
              </w:rPr>
              <w:t>141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01B1025" w14:textId="77777777" w:rsidR="00FA7C11" w:rsidRDefault="00D84965">
            <w:pPr>
              <w:pStyle w:val="P68B1DB1-Normal102"/>
              <w:spacing w:after="0" w:line="240" w:lineRule="auto"/>
              <w:jc w:val="center"/>
              <w:textAlignment w:val="baseline"/>
              <w:rPr>
                <w:noProof/>
              </w:rPr>
            </w:pPr>
            <w:r>
              <w:rPr>
                <w:noProof/>
              </w:rPr>
              <w:t>C1.6.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9473B34"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CB6F29D" w14:textId="537708F1" w:rsidR="00FA7C11" w:rsidRDefault="00D84965">
            <w:pPr>
              <w:pStyle w:val="P68B1DB1-Normal102"/>
              <w:spacing w:after="0" w:line="240" w:lineRule="auto"/>
              <w:textAlignment w:val="baseline"/>
              <w:rPr>
                <w:noProof/>
              </w:rPr>
            </w:pPr>
            <w:r>
              <w:rPr>
                <w:noProof/>
              </w:rPr>
              <w:t xml:space="preserve">Adoptarea Strategiei pentru dezvoltarea turismului durabil până în 2030 a Guvernului Republicii Croația </w:t>
            </w:r>
          </w:p>
        </w:tc>
      </w:tr>
      <w:tr w:rsidR="00FA7C11" w14:paraId="489ED4E4"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75164606" w14:textId="77777777" w:rsidR="00FA7C11" w:rsidRDefault="00D84965">
            <w:pPr>
              <w:pStyle w:val="P68B1DB1-Normal102"/>
              <w:spacing w:after="0" w:line="240" w:lineRule="auto"/>
              <w:jc w:val="center"/>
              <w:textAlignment w:val="baseline"/>
              <w:rPr>
                <w:noProof/>
              </w:rPr>
            </w:pPr>
            <w:r>
              <w:rPr>
                <w:noProof/>
              </w:rPr>
              <w:t>144</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2893CA1" w14:textId="77777777" w:rsidR="00FA7C11" w:rsidRDefault="00D84965">
            <w:pPr>
              <w:pStyle w:val="P68B1DB1-Normal102"/>
              <w:spacing w:after="0" w:line="240" w:lineRule="auto"/>
              <w:jc w:val="center"/>
              <w:textAlignment w:val="baseline"/>
              <w:rPr>
                <w:noProof/>
              </w:rPr>
            </w:pPr>
            <w:r>
              <w:rPr>
                <w:noProof/>
              </w:rPr>
              <w:t>C1.6. R1-I1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5E7CE6C"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78E6C84B" w14:textId="77777777" w:rsidR="00FA7C11" w:rsidRDefault="00D84965">
            <w:pPr>
              <w:pStyle w:val="P68B1DB1-Normal102"/>
              <w:spacing w:after="0" w:line="240" w:lineRule="auto"/>
              <w:textAlignment w:val="baseline"/>
              <w:rPr>
                <w:noProof/>
              </w:rPr>
            </w:pPr>
            <w:r>
              <w:rPr>
                <w:noProof/>
              </w:rPr>
              <w:t>Lansarea de cereri publice de propuneri pentru tranziția verde și digitală a infrastructurii turistice publice existente și dezvoltarea infrastructurii turistice publice dincolo de principalele zone turistice și de coastă</w:t>
            </w:r>
          </w:p>
        </w:tc>
      </w:tr>
      <w:tr w:rsidR="00FA7C11" w14:paraId="7D1AC0E1"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1059FB2F" w14:textId="77777777" w:rsidR="00FA7C11" w:rsidRDefault="00D84965">
            <w:pPr>
              <w:pStyle w:val="P68B1DB1-Normal102"/>
              <w:spacing w:after="0" w:line="240" w:lineRule="auto"/>
              <w:jc w:val="center"/>
              <w:textAlignment w:val="baseline"/>
              <w:rPr>
                <w:noProof/>
              </w:rPr>
            </w:pPr>
            <w:r>
              <w:rPr>
                <w:noProof/>
              </w:rPr>
              <w:t>146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705F112" w14:textId="77777777" w:rsidR="00FA7C11" w:rsidRDefault="00D84965">
            <w:pPr>
              <w:pStyle w:val="P68B1DB1-Normal102"/>
              <w:spacing w:after="0" w:line="240" w:lineRule="auto"/>
              <w:jc w:val="center"/>
              <w:textAlignment w:val="baseline"/>
              <w:rPr>
                <w:noProof/>
              </w:rPr>
            </w:pPr>
            <w:r>
              <w:rPr>
                <w:noProof/>
              </w:rPr>
              <w:t>C1.6. R1-I2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9FE25D0"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5FD9A71" w14:textId="77777777" w:rsidR="00FA7C11" w:rsidRDefault="00D84965">
            <w:pPr>
              <w:pStyle w:val="P68B1DB1-Normal102"/>
              <w:spacing w:after="0" w:line="240" w:lineRule="auto"/>
              <w:textAlignment w:val="baseline"/>
              <w:rPr>
                <w:noProof/>
              </w:rPr>
            </w:pPr>
            <w:r>
              <w:rPr>
                <w:noProof/>
              </w:rPr>
              <w:t>Lansarea de cereri publice de propuneri pentru consolidarea sustenabilității și stimularea tranziției verzi și digitale a antreprenorilor din domeniul turismului, cel puțin 50 % din totalul investițiilor sprijinind tranziția verde</w:t>
            </w:r>
          </w:p>
        </w:tc>
      </w:tr>
      <w:tr w:rsidR="00FA7C11" w14:paraId="677D2379"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6668428" w14:textId="77777777" w:rsidR="00FA7C11" w:rsidRDefault="00D84965">
            <w:pPr>
              <w:pStyle w:val="P68B1DB1-Normal102"/>
              <w:spacing w:after="0" w:line="240" w:lineRule="auto"/>
              <w:jc w:val="center"/>
              <w:textAlignment w:val="baseline"/>
              <w:rPr>
                <w:noProof/>
              </w:rPr>
            </w:pPr>
            <w:r>
              <w:rPr>
                <w:noProof/>
              </w:rPr>
              <w:t>150</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5E8B54B" w14:textId="77777777" w:rsidR="00FA7C11" w:rsidRDefault="00D84965">
            <w:pPr>
              <w:pStyle w:val="P68B1DB1-Normal102"/>
              <w:spacing w:after="0" w:line="240" w:lineRule="auto"/>
              <w:jc w:val="center"/>
              <w:textAlignment w:val="baseline"/>
              <w:rPr>
                <w:noProof/>
              </w:rPr>
            </w:pPr>
            <w:r>
              <w:rPr>
                <w:noProof/>
              </w:rPr>
              <w:t>C2.1.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B7FD203"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1A8C024" w14:textId="77777777" w:rsidR="00FA7C11" w:rsidRDefault="00D84965">
            <w:pPr>
              <w:pStyle w:val="P68B1DB1-Normal102"/>
              <w:spacing w:after="0" w:line="240" w:lineRule="auto"/>
              <w:textAlignment w:val="baseline"/>
              <w:rPr>
                <w:noProof/>
              </w:rPr>
            </w:pPr>
            <w:r>
              <w:rPr>
                <w:noProof/>
              </w:rPr>
              <w:t xml:space="preserve">Modificări ale Legii privind sistemul de planificare strategică și </w:t>
            </w:r>
          </w:p>
          <w:p w14:paraId="61DFF314" w14:textId="77777777" w:rsidR="00FA7C11" w:rsidRDefault="00D84965">
            <w:pPr>
              <w:pStyle w:val="P68B1DB1-Normal102"/>
              <w:spacing w:after="0" w:line="240" w:lineRule="auto"/>
              <w:textAlignment w:val="baseline"/>
              <w:rPr>
                <w:noProof/>
              </w:rPr>
            </w:pPr>
            <w:r>
              <w:rPr>
                <w:noProof/>
              </w:rPr>
              <w:t>Gestionarea dezvoltării Republicii Croația și a statutelor</w:t>
            </w:r>
          </w:p>
        </w:tc>
      </w:tr>
      <w:tr w:rsidR="00FA7C11" w14:paraId="771A44CA"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46C6D7A9" w14:textId="77777777" w:rsidR="00FA7C11" w:rsidRDefault="00D84965">
            <w:pPr>
              <w:pStyle w:val="P68B1DB1-Normal102"/>
              <w:spacing w:after="0" w:line="240" w:lineRule="auto"/>
              <w:jc w:val="center"/>
              <w:textAlignment w:val="baseline"/>
              <w:rPr>
                <w:noProof/>
              </w:rPr>
            </w:pPr>
            <w:r>
              <w:rPr>
                <w:noProof/>
              </w:rPr>
              <w:t>161</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554C4E27" w14:textId="77777777" w:rsidR="00FA7C11" w:rsidRDefault="00D84965">
            <w:pPr>
              <w:pStyle w:val="P68B1DB1-Normal102"/>
              <w:spacing w:after="0" w:line="240" w:lineRule="auto"/>
              <w:jc w:val="center"/>
              <w:textAlignment w:val="baseline"/>
              <w:rPr>
                <w:noProof/>
              </w:rPr>
            </w:pPr>
            <w:r>
              <w:rPr>
                <w:noProof/>
              </w:rPr>
              <w:t>C2.1. R2-I1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B5F0D40"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388C3D59" w14:textId="77777777" w:rsidR="00FA7C11" w:rsidRDefault="00D84965">
            <w:pPr>
              <w:pStyle w:val="P68B1DB1-Normal102"/>
              <w:spacing w:after="0" w:line="240" w:lineRule="auto"/>
              <w:textAlignment w:val="baseline"/>
              <w:rPr>
                <w:noProof/>
              </w:rPr>
            </w:pPr>
            <w:r>
              <w:rPr>
                <w:noProof/>
              </w:rPr>
              <w:t>Pregătirea documentației tehnice a proiectului pentru proiectele de tranziție verde și digitală</w:t>
            </w:r>
          </w:p>
        </w:tc>
      </w:tr>
      <w:tr w:rsidR="00FA7C11" w14:paraId="5C165C97"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45CDE1D5" w14:textId="77777777" w:rsidR="00FA7C11" w:rsidRDefault="00D84965">
            <w:pPr>
              <w:pStyle w:val="P68B1DB1-Normal102"/>
              <w:spacing w:after="0" w:line="240" w:lineRule="auto"/>
              <w:jc w:val="center"/>
              <w:textAlignment w:val="baseline"/>
              <w:rPr>
                <w:noProof/>
              </w:rPr>
            </w:pPr>
            <w:r>
              <w:rPr>
                <w:noProof/>
              </w:rPr>
              <w:t>165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65D8A50" w14:textId="77777777" w:rsidR="00FA7C11" w:rsidRDefault="00D84965">
            <w:pPr>
              <w:pStyle w:val="P68B1DB1-Normal102"/>
              <w:spacing w:after="0" w:line="240" w:lineRule="auto"/>
              <w:jc w:val="center"/>
              <w:textAlignment w:val="baseline"/>
              <w:rPr>
                <w:noProof/>
              </w:rPr>
            </w:pPr>
            <w:r>
              <w:rPr>
                <w:noProof/>
              </w:rPr>
              <w:t>C2.2. R1-I2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D8FE20C"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3DFCF09" w14:textId="20B65EF8" w:rsidR="00FA7C11" w:rsidRDefault="00D84965">
            <w:pPr>
              <w:pStyle w:val="P68B1DB1-Normal102"/>
              <w:spacing w:after="0" w:line="240" w:lineRule="auto"/>
              <w:textAlignment w:val="baseline"/>
              <w:rPr>
                <w:noProof/>
              </w:rPr>
            </w:pPr>
            <w:r>
              <w:rPr>
                <w:noProof/>
              </w:rPr>
              <w:t xml:space="preserve">100 % dintre funcționarii din toate instituțiile publice care trebuie să promoveze examenul de stat trec digital examenul de stat, pe baza unui nou model de examen. </w:t>
            </w:r>
          </w:p>
        </w:tc>
      </w:tr>
      <w:tr w:rsidR="00FA7C11" w14:paraId="2961DBCF"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0EB0244" w14:textId="77777777" w:rsidR="00FA7C11" w:rsidRDefault="00D84965">
            <w:pPr>
              <w:pStyle w:val="P68B1DB1-Normal102"/>
              <w:spacing w:after="0" w:line="240" w:lineRule="auto"/>
              <w:jc w:val="center"/>
              <w:textAlignment w:val="baseline"/>
              <w:rPr>
                <w:noProof/>
              </w:rPr>
            </w:pPr>
            <w:r>
              <w:rPr>
                <w:noProof/>
              </w:rPr>
              <w:t>176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32C2DCBF" w14:textId="77777777" w:rsidR="00FA7C11" w:rsidRDefault="00D84965">
            <w:pPr>
              <w:pStyle w:val="P68B1DB1-Normal102"/>
              <w:spacing w:after="0" w:line="240" w:lineRule="auto"/>
              <w:jc w:val="center"/>
              <w:textAlignment w:val="baseline"/>
              <w:rPr>
                <w:noProof/>
              </w:rPr>
            </w:pPr>
            <w:r>
              <w:rPr>
                <w:noProof/>
              </w:rPr>
              <w:t>C2.3.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89B5064"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796817B1" w14:textId="77777777" w:rsidR="00FA7C11" w:rsidRDefault="00D84965">
            <w:pPr>
              <w:pStyle w:val="P68B1DB1-Normal102"/>
              <w:spacing w:after="0" w:line="240" w:lineRule="auto"/>
              <w:textAlignment w:val="baseline"/>
              <w:rPr>
                <w:noProof/>
              </w:rPr>
            </w:pPr>
            <w:r>
              <w:rPr>
                <w:noProof/>
              </w:rPr>
              <w:t xml:space="preserve"> Strategia digitală pentru Croația </w:t>
            </w:r>
          </w:p>
        </w:tc>
      </w:tr>
      <w:tr w:rsidR="00FA7C11" w14:paraId="1D876FEA"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2A3A6D71" w14:textId="77777777" w:rsidR="00FA7C11" w:rsidRDefault="00D84965">
            <w:pPr>
              <w:pStyle w:val="P68B1DB1-Normal102"/>
              <w:spacing w:after="0" w:line="240" w:lineRule="auto"/>
              <w:jc w:val="center"/>
              <w:textAlignment w:val="baseline"/>
              <w:rPr>
                <w:noProof/>
              </w:rPr>
            </w:pPr>
            <w:r>
              <w:rPr>
                <w:noProof/>
              </w:rPr>
              <w:t>177</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E854857" w14:textId="77777777" w:rsidR="00FA7C11" w:rsidRDefault="00D84965">
            <w:pPr>
              <w:pStyle w:val="P68B1DB1-Normal102"/>
              <w:spacing w:after="0" w:line="240" w:lineRule="auto"/>
              <w:jc w:val="center"/>
              <w:textAlignment w:val="baseline"/>
              <w:rPr>
                <w:noProof/>
              </w:rPr>
            </w:pPr>
            <w:r>
              <w:rPr>
                <w:noProof/>
              </w:rPr>
              <w:t>C2.3. R2</w:t>
            </w:r>
            <w:r>
              <w:rPr>
                <w:noProof/>
              </w:rPr>
              <w:br/>
              <w:t>C2.3. R2.I2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A350599"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F24B02C" w14:textId="77777777" w:rsidR="00FA7C11" w:rsidRDefault="00D84965">
            <w:pPr>
              <w:pStyle w:val="P68B1DB1-Normal102"/>
              <w:spacing w:after="0" w:line="240" w:lineRule="auto"/>
              <w:textAlignment w:val="baseline"/>
              <w:rPr>
                <w:noProof/>
              </w:rPr>
            </w:pPr>
            <w:r>
              <w:rPr>
                <w:noProof/>
              </w:rPr>
              <w:t xml:space="preserve">Crearea platformelor pentru sistemul central de interoperabilitate </w:t>
            </w:r>
          </w:p>
        </w:tc>
      </w:tr>
      <w:tr w:rsidR="00FA7C11" w14:paraId="495205A5"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FDD1502" w14:textId="77777777" w:rsidR="00FA7C11" w:rsidRDefault="00D84965">
            <w:pPr>
              <w:pStyle w:val="P68B1DB1-Normal102"/>
              <w:spacing w:after="0" w:line="240" w:lineRule="auto"/>
              <w:jc w:val="center"/>
              <w:textAlignment w:val="baseline"/>
              <w:rPr>
                <w:noProof/>
              </w:rPr>
            </w:pPr>
            <w:r>
              <w:rPr>
                <w:noProof/>
              </w:rPr>
              <w:t>179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0F7BE5FD" w14:textId="77777777" w:rsidR="00FA7C11" w:rsidRDefault="00D84965">
            <w:pPr>
              <w:pStyle w:val="P68B1DB1-Normal102"/>
              <w:spacing w:after="0" w:line="240" w:lineRule="auto"/>
              <w:jc w:val="center"/>
              <w:textAlignment w:val="baseline"/>
              <w:rPr>
                <w:noProof/>
              </w:rPr>
            </w:pPr>
            <w:r>
              <w:rPr>
                <w:noProof/>
              </w:rPr>
              <w:t>C2.3. R3-I1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1F32E2EB"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7E381A33" w14:textId="77777777" w:rsidR="00FA7C11" w:rsidRDefault="00D84965">
            <w:pPr>
              <w:pStyle w:val="P68B1DB1-Normal102"/>
              <w:spacing w:after="0" w:line="240" w:lineRule="auto"/>
              <w:textAlignment w:val="baseline"/>
              <w:rPr>
                <w:noProof/>
              </w:rPr>
            </w:pPr>
            <w:r>
              <w:rPr>
                <w:noProof/>
              </w:rPr>
              <w:t xml:space="preserve">Modernizarea cloudului de stat </w:t>
            </w:r>
          </w:p>
        </w:tc>
      </w:tr>
      <w:tr w:rsidR="00FA7C11" w14:paraId="00B394D5"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6AAF732A" w14:textId="77777777" w:rsidR="00FA7C11" w:rsidRDefault="00D84965">
            <w:pPr>
              <w:pStyle w:val="P68B1DB1-Normal102"/>
              <w:spacing w:after="0" w:line="240" w:lineRule="auto"/>
              <w:jc w:val="center"/>
              <w:textAlignment w:val="baseline"/>
              <w:rPr>
                <w:noProof/>
              </w:rPr>
            </w:pPr>
            <w:r>
              <w:rPr>
                <w:noProof/>
              </w:rPr>
              <w:t>195</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67E2057F" w14:textId="77777777" w:rsidR="00FA7C11" w:rsidRDefault="00D84965">
            <w:pPr>
              <w:pStyle w:val="P68B1DB1-Normal102"/>
              <w:spacing w:after="0" w:line="240" w:lineRule="auto"/>
              <w:jc w:val="center"/>
              <w:textAlignment w:val="baseline"/>
              <w:rPr>
                <w:noProof/>
              </w:rPr>
            </w:pPr>
            <w:r>
              <w:rPr>
                <w:noProof/>
              </w:rPr>
              <w:t>C2.3. R3-I12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64F9C0E9"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5C6A9A70" w14:textId="77777777" w:rsidR="00FA7C11" w:rsidRDefault="00D84965">
            <w:pPr>
              <w:pStyle w:val="P68B1DB1-Normal102"/>
              <w:spacing w:after="0" w:line="240" w:lineRule="auto"/>
              <w:textAlignment w:val="baseline"/>
              <w:rPr>
                <w:noProof/>
              </w:rPr>
            </w:pPr>
            <w:r>
              <w:rPr>
                <w:noProof/>
              </w:rPr>
              <w:t>Arhivele digitale ale Institutului Croat de Asigurări de Pensii (HZMO)</w:t>
            </w:r>
          </w:p>
        </w:tc>
      </w:tr>
      <w:tr w:rsidR="00FA7C11" w14:paraId="595E3358"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4615034" w14:textId="77777777" w:rsidR="00FA7C11" w:rsidRDefault="00D84965">
            <w:pPr>
              <w:pStyle w:val="P68B1DB1-Normal102"/>
              <w:spacing w:after="0" w:line="240" w:lineRule="auto"/>
              <w:jc w:val="center"/>
              <w:textAlignment w:val="baseline"/>
              <w:rPr>
                <w:noProof/>
              </w:rPr>
            </w:pPr>
            <w:r>
              <w:rPr>
                <w:noProof/>
              </w:rPr>
              <w:t>229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44E7D70" w14:textId="77777777" w:rsidR="00FA7C11" w:rsidRDefault="00D84965">
            <w:pPr>
              <w:pStyle w:val="P68B1DB1-Normal102"/>
              <w:spacing w:after="0" w:line="240" w:lineRule="auto"/>
              <w:jc w:val="center"/>
              <w:textAlignment w:val="baseline"/>
              <w:rPr>
                <w:noProof/>
              </w:rPr>
            </w:pPr>
            <w:r>
              <w:rPr>
                <w:noProof/>
              </w:rPr>
              <w:t>C2.5. R1-I6</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722EE68B"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C4F4D89" w14:textId="77777777" w:rsidR="00FA7C11" w:rsidRDefault="00D84965">
            <w:pPr>
              <w:pStyle w:val="P68B1DB1-Normal102"/>
              <w:spacing w:after="0" w:line="240" w:lineRule="auto"/>
              <w:textAlignment w:val="baseline"/>
              <w:rPr>
                <w:noProof/>
              </w:rPr>
            </w:pPr>
            <w:r>
              <w:rPr>
                <w:noProof/>
              </w:rPr>
              <w:t>Toate instanțele de prim grad de jurisdicție sunt echipate și îndeplinesc condițiile pentru a fi audiate de la distanță.</w:t>
            </w:r>
          </w:p>
        </w:tc>
      </w:tr>
      <w:tr w:rsidR="00FA7C11" w14:paraId="64F77473"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DE4A81D" w14:textId="77777777" w:rsidR="00FA7C11" w:rsidRDefault="00D84965">
            <w:pPr>
              <w:pStyle w:val="P68B1DB1-Normal102"/>
              <w:spacing w:after="0" w:line="240" w:lineRule="auto"/>
              <w:jc w:val="center"/>
              <w:textAlignment w:val="baseline"/>
              <w:rPr>
                <w:noProof/>
              </w:rPr>
            </w:pPr>
            <w:r>
              <w:rPr>
                <w:noProof/>
              </w:rPr>
              <w:t>233</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18121EA7" w14:textId="77777777" w:rsidR="00FA7C11" w:rsidRDefault="00D84965">
            <w:pPr>
              <w:pStyle w:val="P68B1DB1-Normal102"/>
              <w:spacing w:after="0" w:line="240" w:lineRule="auto"/>
              <w:jc w:val="center"/>
              <w:textAlignment w:val="baseline"/>
              <w:rPr>
                <w:noProof/>
              </w:rPr>
            </w:pPr>
            <w:r>
              <w:rPr>
                <w:noProof/>
              </w:rPr>
              <w:t>C2.6.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0A2EB667"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3D1836B4" w14:textId="77777777" w:rsidR="00FA7C11" w:rsidRDefault="00D84965">
            <w:pPr>
              <w:pStyle w:val="P68B1DB1-Normal102"/>
              <w:spacing w:after="0" w:line="240" w:lineRule="auto"/>
              <w:textAlignment w:val="baseline"/>
              <w:rPr>
                <w:noProof/>
              </w:rPr>
            </w:pPr>
            <w:r>
              <w:rPr>
                <w:noProof/>
              </w:rPr>
              <w:t>Adoptarea modificărilor la Legea privind protecția persoanelor care raportează nereguli</w:t>
            </w:r>
          </w:p>
        </w:tc>
      </w:tr>
      <w:tr w:rsidR="00FA7C11" w14:paraId="27E1397A"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43B508C" w14:textId="77777777" w:rsidR="00FA7C11" w:rsidRDefault="00D84965">
            <w:pPr>
              <w:pStyle w:val="P68B1DB1-Normal102"/>
              <w:spacing w:after="0" w:line="240" w:lineRule="auto"/>
              <w:jc w:val="center"/>
              <w:textAlignment w:val="baseline"/>
              <w:rPr>
                <w:noProof/>
              </w:rPr>
            </w:pPr>
            <w:r>
              <w:rPr>
                <w:noProof/>
              </w:rPr>
              <w:t>249</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728DCC7E" w14:textId="77777777" w:rsidR="00FA7C11" w:rsidRDefault="00D84965">
            <w:pPr>
              <w:pStyle w:val="P68B1DB1-Normal102"/>
              <w:spacing w:after="0" w:line="240" w:lineRule="auto"/>
              <w:jc w:val="center"/>
              <w:textAlignment w:val="baseline"/>
              <w:rPr>
                <w:noProof/>
              </w:rPr>
            </w:pPr>
            <w:r>
              <w:rPr>
                <w:noProof/>
              </w:rPr>
              <w:t>C2.7. R2</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44EB0279"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06CAA9D0" w14:textId="77777777" w:rsidR="00FA7C11" w:rsidRDefault="00D84965">
            <w:pPr>
              <w:pStyle w:val="P68B1DB1-Normal102"/>
              <w:spacing w:after="0" w:line="240" w:lineRule="auto"/>
              <w:textAlignment w:val="baseline"/>
              <w:rPr>
                <w:noProof/>
              </w:rPr>
            </w:pPr>
            <w:r>
              <w:rPr>
                <w:noProof/>
              </w:rPr>
              <w:t>Dezvoltarea unui model macroeconomic structural al economiei croate pentru elaborarea de previziuni macroeconomice pe termen mediu, planificare bugetară</w:t>
            </w:r>
            <w:r>
              <w:rPr>
                <w:noProof/>
              </w:rPr>
              <w:br/>
              <w:t>și analize de politică economică</w:t>
            </w:r>
          </w:p>
        </w:tc>
      </w:tr>
      <w:tr w:rsidR="00FA7C11" w14:paraId="1F587075" w14:textId="77777777">
        <w:trPr>
          <w:trHeight w:val="51"/>
        </w:trPr>
        <w:tc>
          <w:tcPr>
            <w:tcW w:w="1096" w:type="dxa"/>
            <w:tcBorders>
              <w:top w:val="single" w:sz="6" w:space="0" w:color="auto"/>
              <w:left w:val="single" w:sz="6" w:space="0" w:color="auto"/>
              <w:bottom w:val="single" w:sz="6" w:space="0" w:color="auto"/>
              <w:right w:val="single" w:sz="6" w:space="0" w:color="auto"/>
            </w:tcBorders>
            <w:shd w:val="clear" w:color="auto" w:fill="C6EFCE"/>
            <w:vAlign w:val="center"/>
          </w:tcPr>
          <w:p w14:paraId="0666B78B" w14:textId="77777777" w:rsidR="00FA7C11" w:rsidRDefault="00D84965">
            <w:pPr>
              <w:pStyle w:val="P68B1DB1-Normal102"/>
              <w:spacing w:after="0" w:line="240" w:lineRule="auto"/>
              <w:jc w:val="center"/>
              <w:textAlignment w:val="baseline"/>
              <w:rPr>
                <w:noProof/>
              </w:rPr>
            </w:pPr>
            <w:r>
              <w:rPr>
                <w:noProof/>
              </w:rPr>
              <w:t>256</w:t>
            </w:r>
          </w:p>
        </w:tc>
        <w:tc>
          <w:tcPr>
            <w:tcW w:w="1642" w:type="dxa"/>
            <w:tcBorders>
              <w:top w:val="single" w:sz="6" w:space="0" w:color="auto"/>
              <w:left w:val="nil"/>
              <w:bottom w:val="single" w:sz="6" w:space="0" w:color="auto"/>
              <w:right w:val="single" w:sz="6" w:space="0" w:color="auto"/>
            </w:tcBorders>
            <w:shd w:val="clear" w:color="auto" w:fill="C6EFCE"/>
            <w:vAlign w:val="center"/>
          </w:tcPr>
          <w:p w14:paraId="2D9C0825" w14:textId="77777777" w:rsidR="00FA7C11" w:rsidRDefault="00D84965">
            <w:pPr>
              <w:pStyle w:val="P68B1DB1-Normal102"/>
              <w:spacing w:after="0" w:line="240" w:lineRule="auto"/>
              <w:jc w:val="center"/>
              <w:textAlignment w:val="baseline"/>
              <w:rPr>
                <w:noProof/>
              </w:rPr>
            </w:pPr>
            <w:r>
              <w:rPr>
                <w:noProof/>
              </w:rPr>
              <w:t>C2.9. R1</w:t>
            </w:r>
          </w:p>
        </w:tc>
        <w:tc>
          <w:tcPr>
            <w:tcW w:w="1276" w:type="dxa"/>
            <w:tcBorders>
              <w:top w:val="single" w:sz="6" w:space="0" w:color="auto"/>
              <w:left w:val="nil"/>
              <w:bottom w:val="single" w:sz="6" w:space="0" w:color="auto"/>
              <w:right w:val="single" w:sz="6" w:space="0" w:color="auto"/>
            </w:tcBorders>
            <w:shd w:val="clear" w:color="auto" w:fill="C6EFCE"/>
            <w:vAlign w:val="center"/>
          </w:tcPr>
          <w:p w14:paraId="55F13334"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6" w:space="0" w:color="auto"/>
              <w:right w:val="single" w:sz="6" w:space="0" w:color="auto"/>
            </w:tcBorders>
            <w:shd w:val="clear" w:color="auto" w:fill="C6EFCE"/>
            <w:vAlign w:val="center"/>
          </w:tcPr>
          <w:p w14:paraId="214641D6" w14:textId="77777777" w:rsidR="00FA7C11" w:rsidRDefault="00D84965">
            <w:pPr>
              <w:pStyle w:val="P68B1DB1-Normal102"/>
              <w:spacing w:after="0" w:line="240" w:lineRule="auto"/>
              <w:textAlignment w:val="baseline"/>
              <w:rPr>
                <w:noProof/>
              </w:rPr>
            </w:pPr>
            <w:r>
              <w:rPr>
                <w:noProof/>
              </w:rPr>
              <w:t xml:space="preserve">Orientări privind îmbunătățirea participării IMM-urilor la procedurile de achiziții publice și punerea în comun a acestora </w:t>
            </w:r>
          </w:p>
        </w:tc>
      </w:tr>
      <w:tr w:rsidR="00FA7C11" w14:paraId="004B6AD1" w14:textId="77777777">
        <w:trPr>
          <w:trHeight w:val="51"/>
        </w:trPr>
        <w:tc>
          <w:tcPr>
            <w:tcW w:w="1096" w:type="dxa"/>
            <w:tcBorders>
              <w:top w:val="single" w:sz="6" w:space="0" w:color="auto"/>
              <w:left w:val="single" w:sz="6" w:space="0" w:color="auto"/>
              <w:bottom w:val="single" w:sz="4" w:space="0" w:color="auto"/>
              <w:right w:val="single" w:sz="6" w:space="0" w:color="auto"/>
            </w:tcBorders>
            <w:shd w:val="clear" w:color="auto" w:fill="C6EFCE"/>
            <w:vAlign w:val="center"/>
          </w:tcPr>
          <w:p w14:paraId="1EDEF772" w14:textId="77777777" w:rsidR="00FA7C11" w:rsidRDefault="00D84965">
            <w:pPr>
              <w:pStyle w:val="P68B1DB1-Normal102"/>
              <w:spacing w:after="0" w:line="240" w:lineRule="auto"/>
              <w:jc w:val="center"/>
              <w:textAlignment w:val="baseline"/>
              <w:rPr>
                <w:noProof/>
              </w:rPr>
            </w:pPr>
            <w:r>
              <w:rPr>
                <w:noProof/>
              </w:rPr>
              <w:t>259</w:t>
            </w:r>
          </w:p>
        </w:tc>
        <w:tc>
          <w:tcPr>
            <w:tcW w:w="1642" w:type="dxa"/>
            <w:tcBorders>
              <w:top w:val="single" w:sz="6" w:space="0" w:color="auto"/>
              <w:left w:val="nil"/>
              <w:bottom w:val="single" w:sz="4" w:space="0" w:color="auto"/>
              <w:right w:val="single" w:sz="6" w:space="0" w:color="auto"/>
            </w:tcBorders>
            <w:shd w:val="clear" w:color="auto" w:fill="C6EFCE"/>
            <w:vAlign w:val="center"/>
          </w:tcPr>
          <w:p w14:paraId="6AC79A11" w14:textId="77777777" w:rsidR="00FA7C11" w:rsidRDefault="00D84965">
            <w:pPr>
              <w:pStyle w:val="P68B1DB1-Normal102"/>
              <w:spacing w:after="0" w:line="240" w:lineRule="auto"/>
              <w:jc w:val="center"/>
              <w:textAlignment w:val="baseline"/>
              <w:rPr>
                <w:noProof/>
              </w:rPr>
            </w:pPr>
            <w:r>
              <w:rPr>
                <w:noProof/>
              </w:rPr>
              <w:t>C2.9. R1-I1</w:t>
            </w:r>
          </w:p>
        </w:tc>
        <w:tc>
          <w:tcPr>
            <w:tcW w:w="1276" w:type="dxa"/>
            <w:tcBorders>
              <w:top w:val="single" w:sz="6" w:space="0" w:color="auto"/>
              <w:left w:val="nil"/>
              <w:bottom w:val="single" w:sz="4" w:space="0" w:color="auto"/>
              <w:right w:val="single" w:sz="6" w:space="0" w:color="auto"/>
            </w:tcBorders>
            <w:shd w:val="clear" w:color="auto" w:fill="C6EFCE"/>
            <w:vAlign w:val="center"/>
          </w:tcPr>
          <w:p w14:paraId="066E6D39"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6" w:space="0" w:color="auto"/>
              <w:left w:val="nil"/>
              <w:bottom w:val="single" w:sz="4" w:space="0" w:color="auto"/>
              <w:right w:val="single" w:sz="6" w:space="0" w:color="auto"/>
            </w:tcBorders>
            <w:shd w:val="clear" w:color="auto" w:fill="C6EFCE"/>
            <w:vAlign w:val="center"/>
          </w:tcPr>
          <w:p w14:paraId="5560DEAD" w14:textId="77777777" w:rsidR="00FA7C11" w:rsidRDefault="00D84965">
            <w:pPr>
              <w:pStyle w:val="P68B1DB1-Normal102"/>
              <w:spacing w:after="0" w:line="240" w:lineRule="auto"/>
              <w:textAlignment w:val="baseline"/>
              <w:rPr>
                <w:noProof/>
              </w:rPr>
            </w:pPr>
            <w:r>
              <w:rPr>
                <w:noProof/>
              </w:rPr>
              <w:t>Publicarea unei analize independente și a unor recomandări concrete pentru a îmbunătăți gestionarea sarcinii întregului personal al instituțiilor-cheie din sistemul de achiziții publice (MINGOR, SAFU, DKOM).</w:t>
            </w:r>
          </w:p>
        </w:tc>
      </w:tr>
      <w:tr w:rsidR="00FA7C11" w14:paraId="3973CD4B"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684D90D7" w14:textId="77777777" w:rsidR="00FA7C11" w:rsidRDefault="00D84965">
            <w:pPr>
              <w:pStyle w:val="P68B1DB1-Normal102"/>
              <w:spacing w:after="0" w:line="240" w:lineRule="auto"/>
              <w:jc w:val="center"/>
              <w:textAlignment w:val="baseline"/>
              <w:rPr>
                <w:noProof/>
              </w:rPr>
            </w:pPr>
            <w:r>
              <w:rPr>
                <w:noProof/>
              </w:rPr>
              <w:t>260</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02BA7BCD" w14:textId="77777777" w:rsidR="00FA7C11" w:rsidRDefault="00D84965">
            <w:pPr>
              <w:pStyle w:val="P68B1DB1-Normal102"/>
              <w:spacing w:after="0" w:line="240" w:lineRule="auto"/>
              <w:jc w:val="center"/>
              <w:textAlignment w:val="baseline"/>
              <w:rPr>
                <w:noProof/>
              </w:rPr>
            </w:pPr>
            <w:r>
              <w:rPr>
                <w:noProof/>
              </w:rPr>
              <w:t>C2.9. R2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72C145B"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0115B956" w14:textId="77777777" w:rsidR="00FA7C11" w:rsidRDefault="00D84965">
            <w:pPr>
              <w:pStyle w:val="P68B1DB1-Normal102"/>
              <w:spacing w:after="0" w:line="240" w:lineRule="auto"/>
              <w:textAlignment w:val="baseline"/>
              <w:rPr>
                <w:noProof/>
              </w:rPr>
            </w:pPr>
            <w:r>
              <w:rPr>
                <w:noProof/>
              </w:rPr>
              <w:t>Modificarea cadrului legislativ privind achizițiile publice, astfel încât utilizarea căii de atac electronice să devină un mijloc obligatoriu de introducere a unei căi de atac</w:t>
            </w:r>
          </w:p>
        </w:tc>
      </w:tr>
      <w:tr w:rsidR="00FA7C11" w14:paraId="2F3A1A69"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2A9780CD" w14:textId="77777777" w:rsidR="00FA7C11" w:rsidRDefault="00D84965">
            <w:pPr>
              <w:pStyle w:val="P68B1DB1-Normal102"/>
              <w:spacing w:after="0" w:line="240" w:lineRule="auto"/>
              <w:jc w:val="center"/>
              <w:textAlignment w:val="baseline"/>
              <w:rPr>
                <w:noProof/>
              </w:rPr>
            </w:pPr>
            <w:r>
              <w:rPr>
                <w:noProof/>
              </w:rPr>
              <w:t>273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11351384" w14:textId="77777777" w:rsidR="00FA7C11" w:rsidRDefault="00D84965">
            <w:pPr>
              <w:pStyle w:val="P68B1DB1-Normal102"/>
              <w:spacing w:after="0" w:line="240" w:lineRule="auto"/>
              <w:jc w:val="center"/>
              <w:textAlignment w:val="baseline"/>
              <w:rPr>
                <w:noProof/>
              </w:rPr>
            </w:pPr>
            <w:r>
              <w:rPr>
                <w:noProof/>
              </w:rPr>
              <w:t>C3.1. R2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C3A56AA"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251B9BF0" w14:textId="77777777" w:rsidR="00FA7C11" w:rsidRDefault="00D84965">
            <w:pPr>
              <w:pStyle w:val="P68B1DB1-Normal102"/>
              <w:spacing w:after="0" w:line="240" w:lineRule="auto"/>
              <w:textAlignment w:val="baseline"/>
              <w:rPr>
                <w:noProof/>
              </w:rPr>
            </w:pPr>
            <w:r>
              <w:rPr>
                <w:noProof/>
              </w:rPr>
              <w:t xml:space="preserve">Adoptarea noii legi privind activitatea științifică și învățământul superior </w:t>
            </w:r>
          </w:p>
        </w:tc>
      </w:tr>
      <w:tr w:rsidR="00FA7C11" w14:paraId="1B7D2581"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6313E7EA" w14:textId="77777777" w:rsidR="00FA7C11" w:rsidRDefault="00D84965">
            <w:pPr>
              <w:pStyle w:val="P68B1DB1-Normal102"/>
              <w:spacing w:after="0" w:line="240" w:lineRule="auto"/>
              <w:jc w:val="center"/>
              <w:textAlignment w:val="baseline"/>
              <w:rPr>
                <w:noProof/>
              </w:rPr>
            </w:pPr>
            <w:r>
              <w:rPr>
                <w:noProof/>
              </w:rPr>
              <w:t>275</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0DB4D793" w14:textId="77777777" w:rsidR="00FA7C11" w:rsidRDefault="00D84965">
            <w:pPr>
              <w:pStyle w:val="P68B1DB1-Normal102"/>
              <w:spacing w:after="0" w:line="240" w:lineRule="auto"/>
              <w:jc w:val="center"/>
              <w:textAlignment w:val="baseline"/>
              <w:rPr>
                <w:noProof/>
              </w:rPr>
            </w:pPr>
            <w:r>
              <w:rPr>
                <w:noProof/>
              </w:rPr>
              <w:t>C3.2. R1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DBED487"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4CEC2CBD" w14:textId="77777777" w:rsidR="00FA7C11" w:rsidRDefault="00D84965">
            <w:pPr>
              <w:pStyle w:val="P68B1DB1-Normal102"/>
              <w:spacing w:after="0" w:line="240" w:lineRule="auto"/>
              <w:textAlignment w:val="baseline"/>
              <w:rPr>
                <w:noProof/>
              </w:rPr>
            </w:pPr>
            <w:r>
              <w:rPr>
                <w:noProof/>
              </w:rPr>
              <w:t>Noua lege privind știința și învățământul superior</w:t>
            </w:r>
          </w:p>
        </w:tc>
      </w:tr>
      <w:tr w:rsidR="00FA7C11" w14:paraId="70FDFF3F"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2B148D59" w14:textId="77777777" w:rsidR="00FA7C11" w:rsidRDefault="00D84965">
            <w:pPr>
              <w:pStyle w:val="P68B1DB1-Normal102"/>
              <w:spacing w:after="0" w:line="240" w:lineRule="auto"/>
              <w:jc w:val="center"/>
              <w:textAlignment w:val="baseline"/>
              <w:rPr>
                <w:noProof/>
              </w:rPr>
            </w:pPr>
            <w:r>
              <w:rPr>
                <w:noProof/>
              </w:rPr>
              <w:t>281</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E7F4DBF" w14:textId="77777777" w:rsidR="00FA7C11" w:rsidRDefault="00D84965">
            <w:pPr>
              <w:pStyle w:val="P68B1DB1-Normal102"/>
              <w:spacing w:after="0" w:line="240" w:lineRule="auto"/>
              <w:jc w:val="center"/>
              <w:textAlignment w:val="baseline"/>
              <w:rPr>
                <w:noProof/>
              </w:rPr>
            </w:pPr>
            <w:r>
              <w:rPr>
                <w:noProof/>
              </w:rPr>
              <w:t>C3.2. R2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4D67DFE"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33AC3870" w14:textId="77777777" w:rsidR="00FA7C11" w:rsidRDefault="00D84965">
            <w:pPr>
              <w:pStyle w:val="P68B1DB1-Normal102"/>
              <w:spacing w:after="0" w:line="240" w:lineRule="auto"/>
              <w:textAlignment w:val="baseline"/>
              <w:rPr>
                <w:noProof/>
              </w:rPr>
            </w:pPr>
            <w:r>
              <w:rPr>
                <w:noProof/>
              </w:rPr>
              <w:t xml:space="preserve">Noul cadru juridic care reglementează cerințele de calitate pentru programele de studii, studiile doctorale și condițiile de muncă pentru instituțiile științifice </w:t>
            </w:r>
          </w:p>
        </w:tc>
      </w:tr>
      <w:tr w:rsidR="00FA7C11" w14:paraId="5FB0CF4B"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5B35F691" w14:textId="77777777" w:rsidR="00FA7C11" w:rsidRDefault="00D84965">
            <w:pPr>
              <w:pStyle w:val="P68B1DB1-Normal102"/>
              <w:spacing w:after="0" w:line="240" w:lineRule="auto"/>
              <w:jc w:val="center"/>
              <w:textAlignment w:val="baseline"/>
              <w:rPr>
                <w:noProof/>
              </w:rPr>
            </w:pPr>
            <w:r>
              <w:rPr>
                <w:noProof/>
              </w:rPr>
              <w:t>284</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040FB0F" w14:textId="77777777" w:rsidR="00FA7C11" w:rsidRDefault="00D84965">
            <w:pPr>
              <w:pStyle w:val="P68B1DB1-Normal102"/>
              <w:spacing w:after="0" w:line="240" w:lineRule="auto"/>
              <w:jc w:val="center"/>
              <w:textAlignment w:val="baseline"/>
              <w:rPr>
                <w:noProof/>
              </w:rPr>
            </w:pPr>
            <w:r>
              <w:rPr>
                <w:noProof/>
              </w:rPr>
              <w:t>C3.2. R3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7EC34E2"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5BB5920C" w14:textId="77777777" w:rsidR="00FA7C11" w:rsidRDefault="00D84965">
            <w:pPr>
              <w:pStyle w:val="P68B1DB1-Normal102"/>
              <w:spacing w:after="0" w:line="240" w:lineRule="auto"/>
              <w:textAlignment w:val="baseline"/>
              <w:rPr>
                <w:noProof/>
              </w:rPr>
            </w:pPr>
            <w:r>
              <w:rPr>
                <w:noProof/>
              </w:rPr>
              <w:t>O nouă lege privind Fundația croată pentru știință</w:t>
            </w:r>
          </w:p>
        </w:tc>
      </w:tr>
      <w:tr w:rsidR="00FA7C11" w14:paraId="48C4FE64"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1D0D5088" w14:textId="77777777" w:rsidR="00FA7C11" w:rsidRDefault="00D84965">
            <w:pPr>
              <w:pStyle w:val="P68B1DB1-Normal102"/>
              <w:spacing w:after="0" w:line="240" w:lineRule="auto"/>
              <w:jc w:val="center"/>
              <w:textAlignment w:val="baseline"/>
              <w:rPr>
                <w:noProof/>
              </w:rPr>
            </w:pPr>
            <w:r>
              <w:rPr>
                <w:noProof/>
              </w:rPr>
              <w:t>294</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22D7348B" w14:textId="77777777" w:rsidR="00FA7C11" w:rsidRDefault="00D84965">
            <w:pPr>
              <w:pStyle w:val="P68B1DB1-Normal102"/>
              <w:spacing w:after="0" w:line="240" w:lineRule="auto"/>
              <w:jc w:val="center"/>
              <w:textAlignment w:val="baseline"/>
              <w:rPr>
                <w:noProof/>
              </w:rPr>
            </w:pPr>
            <w:r>
              <w:rPr>
                <w:noProof/>
              </w:rPr>
              <w:t>C4.1. R4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50788BF"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7D15CF77" w14:textId="77777777" w:rsidR="00FA7C11" w:rsidRDefault="00D84965">
            <w:pPr>
              <w:pStyle w:val="P68B1DB1-Normal102"/>
              <w:spacing w:after="0" w:line="240" w:lineRule="auto"/>
              <w:textAlignment w:val="baseline"/>
              <w:rPr>
                <w:noProof/>
              </w:rPr>
            </w:pPr>
            <w:r>
              <w:rPr>
                <w:noProof/>
              </w:rPr>
              <w:t>Adoptarea legii privind combaterea muncii nedeclarate și a noii legi a muncii</w:t>
            </w:r>
          </w:p>
        </w:tc>
      </w:tr>
      <w:tr w:rsidR="00FA7C11" w14:paraId="798219AB"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48602D67" w14:textId="77777777" w:rsidR="00FA7C11" w:rsidRDefault="00D84965">
            <w:pPr>
              <w:pStyle w:val="P68B1DB1-Normal102"/>
              <w:spacing w:after="0" w:line="240" w:lineRule="auto"/>
              <w:jc w:val="center"/>
              <w:textAlignment w:val="baseline"/>
              <w:rPr>
                <w:noProof/>
              </w:rPr>
            </w:pPr>
            <w:r>
              <w:rPr>
                <w:noProof/>
              </w:rPr>
              <w:t>313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2CBA918D" w14:textId="77777777" w:rsidR="00FA7C11" w:rsidRDefault="00D84965">
            <w:pPr>
              <w:pStyle w:val="P68B1DB1-Normal102"/>
              <w:spacing w:after="0" w:line="240" w:lineRule="auto"/>
              <w:jc w:val="center"/>
              <w:textAlignment w:val="baseline"/>
              <w:rPr>
                <w:noProof/>
              </w:rPr>
            </w:pPr>
            <w:r>
              <w:rPr>
                <w:noProof/>
              </w:rPr>
              <w:t>C4.3. R3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C6E8C7E"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08106F14" w14:textId="77777777" w:rsidR="00FA7C11" w:rsidRDefault="00D84965">
            <w:pPr>
              <w:pStyle w:val="P68B1DB1-Normal102"/>
              <w:spacing w:after="0" w:line="240" w:lineRule="auto"/>
              <w:textAlignment w:val="baseline"/>
              <w:rPr>
                <w:noProof/>
              </w:rPr>
            </w:pPr>
            <w:r>
              <w:rPr>
                <w:noProof/>
              </w:rPr>
              <w:t xml:space="preserve">Adoptarea standardelor de tratament pentru asistenții familiali </w:t>
            </w:r>
          </w:p>
        </w:tc>
      </w:tr>
      <w:tr w:rsidR="00FA7C11" w14:paraId="36585304"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F1FB94C" w14:textId="77777777" w:rsidR="00FA7C11" w:rsidRDefault="00D84965">
            <w:pPr>
              <w:pStyle w:val="P68B1DB1-Normal102"/>
              <w:spacing w:after="0" w:line="240" w:lineRule="auto"/>
              <w:jc w:val="center"/>
              <w:textAlignment w:val="baseline"/>
              <w:rPr>
                <w:noProof/>
              </w:rPr>
            </w:pPr>
            <w:r>
              <w:rPr>
                <w:noProof/>
              </w:rPr>
              <w:t>318</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F145BF8" w14:textId="77777777" w:rsidR="00FA7C11" w:rsidRDefault="00D84965">
            <w:pPr>
              <w:pStyle w:val="P68B1DB1-Normal102"/>
              <w:spacing w:after="0" w:line="240" w:lineRule="auto"/>
              <w:jc w:val="center"/>
              <w:textAlignment w:val="baseline"/>
              <w:rPr>
                <w:noProof/>
              </w:rPr>
            </w:pPr>
            <w:r>
              <w:rPr>
                <w:noProof/>
              </w:rPr>
              <w:t>C5.1. R1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B191E3F"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6DAA38F7" w14:textId="77777777" w:rsidR="00FA7C11" w:rsidRDefault="00D84965">
            <w:pPr>
              <w:pStyle w:val="P68B1DB1-Normal102"/>
              <w:spacing w:after="0" w:line="240" w:lineRule="auto"/>
              <w:textAlignment w:val="baseline"/>
              <w:rPr>
                <w:noProof/>
              </w:rPr>
            </w:pPr>
            <w:r>
              <w:rPr>
                <w:noProof/>
              </w:rPr>
              <w:t xml:space="preserve">Adoptarea cadrului de evaluare a performanței sistemului de sănătate (HSPA) </w:t>
            </w:r>
          </w:p>
        </w:tc>
      </w:tr>
      <w:tr w:rsidR="00FA7C11" w14:paraId="4C44809C"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7575A0E2" w14:textId="77777777" w:rsidR="00FA7C11" w:rsidRDefault="00D84965">
            <w:pPr>
              <w:pStyle w:val="P68B1DB1-Normal102"/>
              <w:spacing w:after="0" w:line="240" w:lineRule="auto"/>
              <w:jc w:val="center"/>
              <w:textAlignment w:val="baseline"/>
              <w:rPr>
                <w:noProof/>
              </w:rPr>
            </w:pPr>
            <w:r>
              <w:rPr>
                <w:noProof/>
              </w:rPr>
              <w:t>323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3CA9F58A" w14:textId="77777777" w:rsidR="00FA7C11" w:rsidRDefault="00D84965">
            <w:pPr>
              <w:pStyle w:val="P68B1DB1-Normal102"/>
              <w:spacing w:after="0" w:line="240" w:lineRule="auto"/>
              <w:jc w:val="center"/>
              <w:textAlignment w:val="baseline"/>
              <w:rPr>
                <w:noProof/>
              </w:rPr>
            </w:pPr>
            <w:r>
              <w:rPr>
                <w:noProof/>
              </w:rPr>
              <w:t>C5.1. R1-I4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F3D774A"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541628A6" w14:textId="77777777" w:rsidR="00FA7C11" w:rsidRDefault="00D84965">
            <w:pPr>
              <w:pStyle w:val="P68B1DB1-Normal102"/>
              <w:spacing w:after="0" w:line="240" w:lineRule="auto"/>
              <w:textAlignment w:val="baseline"/>
              <w:rPr>
                <w:noProof/>
              </w:rPr>
            </w:pPr>
            <w:r>
              <w:rPr>
                <w:noProof/>
              </w:rPr>
              <w:t xml:space="preserve">Modernizarea serviciilor de sănătate în centrul spitalicesc clinic KBC </w:t>
            </w:r>
          </w:p>
          <w:p w14:paraId="71224F2E" w14:textId="77777777" w:rsidR="00FA7C11" w:rsidRDefault="00D84965">
            <w:pPr>
              <w:pStyle w:val="P68B1DB1-Normal102"/>
              <w:spacing w:after="0" w:line="240" w:lineRule="auto"/>
              <w:textAlignment w:val="baseline"/>
              <w:rPr>
                <w:noProof/>
              </w:rPr>
            </w:pPr>
            <w:r>
              <w:rPr>
                <w:noProof/>
              </w:rPr>
              <w:t>Împarte</w:t>
            </w:r>
          </w:p>
        </w:tc>
      </w:tr>
      <w:tr w:rsidR="00FA7C11" w14:paraId="6BC9FC83"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7B06C5E6" w14:textId="77777777" w:rsidR="00FA7C11" w:rsidRDefault="00D84965">
            <w:pPr>
              <w:pStyle w:val="P68B1DB1-Normal102"/>
              <w:spacing w:after="0" w:line="240" w:lineRule="auto"/>
              <w:jc w:val="center"/>
              <w:textAlignment w:val="baseline"/>
              <w:rPr>
                <w:noProof/>
              </w:rPr>
            </w:pPr>
            <w:r>
              <w:rPr>
                <w:noProof/>
              </w:rPr>
              <w:t>336</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DE2F19B" w14:textId="77777777" w:rsidR="00FA7C11" w:rsidRDefault="00D84965">
            <w:pPr>
              <w:pStyle w:val="P68B1DB1-Normal102"/>
              <w:spacing w:after="0" w:line="240" w:lineRule="auto"/>
              <w:jc w:val="center"/>
              <w:textAlignment w:val="baseline"/>
              <w:rPr>
                <w:noProof/>
              </w:rPr>
            </w:pPr>
            <w:r>
              <w:rPr>
                <w:noProof/>
              </w:rPr>
              <w:t>C5.1. R4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65B9443"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525396B8" w14:textId="77777777" w:rsidR="00FA7C11" w:rsidRDefault="00D84965">
            <w:pPr>
              <w:pStyle w:val="P68B1DB1-Normal102"/>
              <w:spacing w:after="0" w:line="240" w:lineRule="auto"/>
              <w:textAlignment w:val="baseline"/>
              <w:rPr>
                <w:noProof/>
              </w:rPr>
            </w:pPr>
            <w:r>
              <w:rPr>
                <w:noProof/>
              </w:rPr>
              <w:t>Modificarea Legii privind asistența medicală și a Legii privind asigurările obligatorii de sănătate</w:t>
            </w:r>
          </w:p>
        </w:tc>
      </w:tr>
      <w:tr w:rsidR="00FA7C11" w14:paraId="30A6F0C0"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3EE92E78" w14:textId="77777777" w:rsidR="00FA7C11" w:rsidRDefault="00D84965">
            <w:pPr>
              <w:pStyle w:val="P68B1DB1-Normal102"/>
              <w:spacing w:after="0" w:line="240" w:lineRule="auto"/>
              <w:jc w:val="center"/>
              <w:textAlignment w:val="baseline"/>
              <w:rPr>
                <w:noProof/>
              </w:rPr>
            </w:pPr>
            <w:r>
              <w:rPr>
                <w:noProof/>
              </w:rPr>
              <w:t>346</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12A87542" w14:textId="77777777" w:rsidR="00FA7C11" w:rsidRDefault="00D84965">
            <w:pPr>
              <w:pStyle w:val="P68B1DB1-Normal102"/>
              <w:spacing w:after="0" w:line="240" w:lineRule="auto"/>
              <w:jc w:val="center"/>
              <w:textAlignment w:val="baseline"/>
              <w:rPr>
                <w:noProof/>
              </w:rPr>
            </w:pPr>
            <w:r>
              <w:rPr>
                <w:noProof/>
              </w:rPr>
              <w:t>C5.1. R5</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3A71946"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C818A64" w14:textId="77777777" w:rsidR="00FA7C11" w:rsidRDefault="00D84965">
            <w:pPr>
              <w:pStyle w:val="P68B1DB1-Normal102"/>
              <w:spacing w:after="0" w:line="240" w:lineRule="auto"/>
              <w:textAlignment w:val="baseline"/>
              <w:rPr>
                <w:noProof/>
              </w:rPr>
            </w:pPr>
            <w:r>
              <w:rPr>
                <w:noProof/>
              </w:rPr>
              <w:t>Îmbunătățirea și extinderea serviciilor de telemedicină</w:t>
            </w:r>
          </w:p>
        </w:tc>
      </w:tr>
      <w:tr w:rsidR="00FA7C11" w14:paraId="1EDD6914"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F6EC819" w14:textId="77777777" w:rsidR="00FA7C11" w:rsidRDefault="00D84965">
            <w:pPr>
              <w:pStyle w:val="P68B1DB1-Normal102"/>
              <w:spacing w:after="0" w:line="240" w:lineRule="auto"/>
              <w:jc w:val="center"/>
              <w:textAlignment w:val="baseline"/>
              <w:rPr>
                <w:noProof/>
              </w:rPr>
            </w:pPr>
            <w:r>
              <w:rPr>
                <w:noProof/>
              </w:rPr>
              <w:t>349</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27FF3276" w14:textId="77777777" w:rsidR="00FA7C11" w:rsidRDefault="00D84965">
            <w:pPr>
              <w:pStyle w:val="P68B1DB1-Normal102"/>
              <w:spacing w:after="0" w:line="240" w:lineRule="auto"/>
              <w:jc w:val="center"/>
              <w:textAlignment w:val="baseline"/>
              <w:rPr>
                <w:noProof/>
              </w:rPr>
            </w:pPr>
            <w:r>
              <w:rPr>
                <w:noProof/>
              </w:rPr>
              <w:t>C5.1. R5-I3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43FA85F"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92AED47" w14:textId="77777777" w:rsidR="00FA7C11" w:rsidRDefault="00D84965">
            <w:pPr>
              <w:pStyle w:val="P68B1DB1-Normal102"/>
              <w:spacing w:after="0" w:line="240" w:lineRule="auto"/>
              <w:textAlignment w:val="baseline"/>
              <w:rPr>
                <w:noProof/>
              </w:rPr>
            </w:pPr>
            <w:r>
              <w:rPr>
                <w:noProof/>
              </w:rPr>
              <w:t xml:space="preserve">Servicii de teletransfuzie </w:t>
            </w:r>
          </w:p>
        </w:tc>
      </w:tr>
      <w:tr w:rsidR="00FA7C11" w14:paraId="3C5C79F1"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2F14E528" w14:textId="77777777" w:rsidR="00FA7C11" w:rsidRDefault="00D84965">
            <w:pPr>
              <w:pStyle w:val="P68B1DB1-Normal102"/>
              <w:spacing w:after="0" w:line="240" w:lineRule="auto"/>
              <w:jc w:val="center"/>
              <w:textAlignment w:val="baseline"/>
              <w:rPr>
                <w:noProof/>
              </w:rPr>
            </w:pPr>
            <w:r>
              <w:rPr>
                <w:noProof/>
              </w:rPr>
              <w:t>353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4FA7EE8C" w14:textId="77777777" w:rsidR="00FA7C11" w:rsidRDefault="00D84965">
            <w:pPr>
              <w:pStyle w:val="P68B1DB1-Normal102"/>
              <w:spacing w:after="0" w:line="240" w:lineRule="auto"/>
              <w:jc w:val="center"/>
              <w:textAlignment w:val="baseline"/>
              <w:rPr>
                <w:noProof/>
              </w:rPr>
            </w:pPr>
            <w:r>
              <w:rPr>
                <w:noProof/>
              </w:rPr>
              <w:t>C6.1. R1-I1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877417B"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217F69C" w14:textId="77777777" w:rsidR="00FA7C11" w:rsidRDefault="00D84965">
            <w:pPr>
              <w:pStyle w:val="P68B1DB1-Normal102"/>
              <w:spacing w:after="0" w:line="240" w:lineRule="auto"/>
              <w:textAlignment w:val="baseline"/>
              <w:rPr>
                <w:noProof/>
              </w:rPr>
            </w:pPr>
            <w:r>
              <w:rPr>
                <w:noProof/>
              </w:rPr>
              <w:t xml:space="preserve">Contracte semnate pentru renovarea energetică a clădirilor publice și a imobilelor colective </w:t>
            </w:r>
          </w:p>
        </w:tc>
      </w:tr>
      <w:tr w:rsidR="00FA7C11" w14:paraId="4824B887"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42BEE007" w14:textId="77777777" w:rsidR="00FA7C11" w:rsidRDefault="00D84965">
            <w:pPr>
              <w:pStyle w:val="P68B1DB1-Normal102"/>
              <w:spacing w:after="0" w:line="240" w:lineRule="auto"/>
              <w:jc w:val="center"/>
              <w:textAlignment w:val="baseline"/>
              <w:rPr>
                <w:noProof/>
              </w:rPr>
            </w:pPr>
            <w:r>
              <w:rPr>
                <w:noProof/>
              </w:rPr>
              <w:t>359</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2FA53F57" w14:textId="77777777" w:rsidR="00FA7C11" w:rsidRDefault="00D84965">
            <w:pPr>
              <w:pStyle w:val="P68B1DB1-Normal102"/>
              <w:spacing w:after="0" w:line="240" w:lineRule="auto"/>
              <w:jc w:val="center"/>
              <w:textAlignment w:val="baseline"/>
              <w:rPr>
                <w:noProof/>
              </w:rPr>
            </w:pPr>
            <w:r>
              <w:rPr>
                <w:noProof/>
              </w:rPr>
              <w:t>C6.1. R2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17BBB6D"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32D24819" w14:textId="77777777" w:rsidR="00FA7C11" w:rsidRDefault="00D84965">
            <w:pPr>
              <w:pStyle w:val="P68B1DB1-Normal102"/>
              <w:spacing w:after="0" w:line="240" w:lineRule="auto"/>
              <w:textAlignment w:val="baseline"/>
              <w:rPr>
                <w:noProof/>
              </w:rPr>
            </w:pPr>
            <w:r>
              <w:rPr>
                <w:noProof/>
              </w:rPr>
              <w:t>Adoptarea Planului național de dezvoltare a competențelor în contextul locurilor de muncă ecologice legate de eficiența energetică și reconstrucția post-cutremur</w:t>
            </w:r>
          </w:p>
        </w:tc>
      </w:tr>
      <w:tr w:rsidR="00FA7C11" w14:paraId="04BA99F9"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43C7FDE4" w14:textId="77777777" w:rsidR="00FA7C11" w:rsidRDefault="00D84965">
            <w:pPr>
              <w:pStyle w:val="P68B1DB1-Normal102"/>
              <w:spacing w:after="0" w:line="240" w:lineRule="auto"/>
              <w:jc w:val="center"/>
              <w:textAlignment w:val="baseline"/>
              <w:rPr>
                <w:noProof/>
              </w:rPr>
            </w:pPr>
            <w:r>
              <w:rPr>
                <w:noProof/>
              </w:rPr>
              <w:t>363</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6A63EE6A" w14:textId="77777777" w:rsidR="00FA7C11" w:rsidRDefault="00D84965">
            <w:pPr>
              <w:pStyle w:val="P68B1DB1-Normal102"/>
              <w:spacing w:after="0" w:line="240" w:lineRule="auto"/>
              <w:jc w:val="center"/>
              <w:textAlignment w:val="baseline"/>
              <w:rPr>
                <w:noProof/>
              </w:rPr>
            </w:pPr>
            <w:r>
              <w:rPr>
                <w:noProof/>
              </w:rPr>
              <w:t>C6.1. R3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6BE4981" w14:textId="77777777" w:rsidR="00FA7C11" w:rsidRDefault="00D84965">
            <w:pPr>
              <w:pStyle w:val="P68B1DB1-Normal102"/>
              <w:spacing w:after="0" w:line="240" w:lineRule="auto"/>
              <w:jc w:val="center"/>
              <w:textAlignment w:val="baseline"/>
              <w:rPr>
                <w:noProof/>
              </w:rPr>
            </w:pPr>
            <w:r>
              <w:rPr>
                <w:noProof/>
              </w:rPr>
              <w:t>M</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D168A0B" w14:textId="77777777" w:rsidR="00FA7C11" w:rsidRDefault="00D84965">
            <w:pPr>
              <w:pStyle w:val="P68B1DB1-Normal102"/>
              <w:spacing w:after="0" w:line="240" w:lineRule="auto"/>
              <w:textAlignment w:val="baseline"/>
              <w:rPr>
                <w:noProof/>
              </w:rPr>
            </w:pPr>
            <w:r>
              <w:rPr>
                <w:noProof/>
              </w:rPr>
              <w:t xml:space="preserve">Înființarea și punerea în funcțiune a unui ghișeu unic online pentru renovarea energetică și consolidarea seismică </w:t>
            </w:r>
          </w:p>
        </w:tc>
      </w:tr>
      <w:tr w:rsidR="00FA7C11" w14:paraId="707F7EF1"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5B18DFF" w14:textId="77777777" w:rsidR="00FA7C11" w:rsidRDefault="00D84965">
            <w:pPr>
              <w:pStyle w:val="P68B1DB1-Normal102"/>
              <w:spacing w:after="0" w:line="240" w:lineRule="auto"/>
              <w:jc w:val="center"/>
              <w:textAlignment w:val="baseline"/>
              <w:rPr>
                <w:noProof/>
              </w:rPr>
            </w:pPr>
            <w:r>
              <w:rPr>
                <w:noProof/>
              </w:rPr>
              <w:t>366</w:t>
            </w: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07A12D62" w14:textId="77777777" w:rsidR="00FA7C11" w:rsidRDefault="00D84965">
            <w:pPr>
              <w:pStyle w:val="P68B1DB1-Normal102"/>
              <w:spacing w:after="0" w:line="240" w:lineRule="auto"/>
              <w:jc w:val="center"/>
              <w:textAlignment w:val="baseline"/>
              <w:rPr>
                <w:noProof/>
              </w:rPr>
            </w:pPr>
            <w:r>
              <w:rPr>
                <w:noProof/>
              </w:rPr>
              <w:t>C6.1. R4-I1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D56AF7D" w14:textId="77777777" w:rsidR="00FA7C11" w:rsidRDefault="00D84965">
            <w:pPr>
              <w:pStyle w:val="P68B1DB1-Normal102"/>
              <w:spacing w:after="0" w:line="240" w:lineRule="auto"/>
              <w:jc w:val="center"/>
              <w:textAlignment w:val="baseline"/>
              <w:rPr>
                <w:noProof/>
              </w:rPr>
            </w:pPr>
            <w:r>
              <w:rPr>
                <w:noProof/>
              </w:rPr>
              <w:t>T</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19732AB" w14:textId="77777777" w:rsidR="00FA7C11" w:rsidRDefault="00D84965">
            <w:pPr>
              <w:pStyle w:val="P68B1DB1-Normal102"/>
              <w:spacing w:after="0" w:line="240" w:lineRule="auto"/>
              <w:textAlignment w:val="baseline"/>
              <w:rPr>
                <w:noProof/>
              </w:rPr>
            </w:pPr>
            <w:r>
              <w:rPr>
                <w:noProof/>
              </w:rPr>
              <w:t xml:space="preserve">Unități de echipamente seismice achiziționate </w:t>
            </w:r>
          </w:p>
        </w:tc>
      </w:tr>
      <w:tr w:rsidR="00FA7C11" w14:paraId="71CE4BF6"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6635E5ED"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642" w:type="dxa"/>
            <w:tcBorders>
              <w:top w:val="single" w:sz="4" w:space="0" w:color="auto"/>
              <w:left w:val="single" w:sz="4" w:space="0" w:color="auto"/>
              <w:bottom w:val="single" w:sz="4" w:space="0" w:color="auto"/>
              <w:right w:val="single" w:sz="4" w:space="0" w:color="auto"/>
            </w:tcBorders>
            <w:shd w:val="clear" w:color="auto" w:fill="C6EFCE"/>
            <w:vAlign w:val="center"/>
          </w:tcPr>
          <w:p w14:paraId="3CC29109"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F42DB3E" w14:textId="77777777" w:rsidR="00FA7C11" w:rsidRDefault="00D84965">
            <w:pPr>
              <w:pStyle w:val="P68B1DB1-Normal102"/>
              <w:spacing w:after="0" w:line="240" w:lineRule="auto"/>
              <w:jc w:val="center"/>
              <w:textAlignment w:val="baseline"/>
              <w:rPr>
                <w:noProof/>
              </w:rPr>
            </w:pPr>
            <w:r>
              <w:rPr>
                <w:noProof/>
              </w:rPr>
              <w:t>Cuantumul tranșei</w:t>
            </w:r>
          </w:p>
        </w:tc>
        <w:tc>
          <w:tcPr>
            <w:tcW w:w="5387" w:type="dxa"/>
            <w:tcBorders>
              <w:top w:val="single" w:sz="4" w:space="0" w:color="auto"/>
              <w:left w:val="single" w:sz="4" w:space="0" w:color="auto"/>
              <w:bottom w:val="single" w:sz="4" w:space="0" w:color="auto"/>
              <w:right w:val="single" w:sz="4" w:space="0" w:color="auto"/>
            </w:tcBorders>
            <w:shd w:val="clear" w:color="auto" w:fill="C6EFCE"/>
            <w:vAlign w:val="center"/>
          </w:tcPr>
          <w:p w14:paraId="12E18C41" w14:textId="2AAB3217" w:rsidR="00FA7C11" w:rsidRDefault="00D84965">
            <w:pPr>
              <w:pStyle w:val="P68B1DB1-Normal102"/>
              <w:spacing w:after="0" w:line="240" w:lineRule="auto"/>
              <w:textAlignment w:val="baseline"/>
              <w:rPr>
                <w:noProof/>
              </w:rPr>
            </w:pPr>
            <w:r>
              <w:rPr>
                <w:noProof/>
              </w:rPr>
              <w:t>804 597 701 MIL.</w:t>
            </w:r>
          </w:p>
        </w:tc>
      </w:tr>
    </w:tbl>
    <w:p w14:paraId="12451EF8" w14:textId="77777777" w:rsidR="00FA7C11" w:rsidRDefault="00FA7C11">
      <w:pPr>
        <w:rPr>
          <w:noProof/>
          <w:sz w:val="20"/>
          <w:szCs w:val="20"/>
        </w:rPr>
      </w:pPr>
    </w:p>
    <w:p w14:paraId="00C1DAA7" w14:textId="5B07E2A7" w:rsidR="00FA7C11" w:rsidRDefault="00D84965">
      <w:pPr>
        <w:pStyle w:val="P68B1DB1-Normal83"/>
        <w:numPr>
          <w:ilvl w:val="0"/>
          <w:numId w:val="80"/>
        </w:numPr>
        <w:spacing w:line="240" w:lineRule="auto"/>
        <w:contextualSpacing/>
        <w:jc w:val="both"/>
        <w:textAlignment w:val="baseline"/>
        <w:rPr>
          <w:noProof/>
        </w:rPr>
      </w:pPr>
      <w:r>
        <w:rPr>
          <w:noProof/>
        </w:rPr>
        <w:t xml:space="preserve"> A patra tranșă (sprijin nerambursabil): </w:t>
      </w:r>
    </w:p>
    <w:p w14:paraId="27EDE1E1" w14:textId="77777777" w:rsidR="00FA7C11" w:rsidRDefault="00FA7C11">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3"/>
        <w:gridCol w:w="1627"/>
        <w:gridCol w:w="1349"/>
        <w:gridCol w:w="5287"/>
      </w:tblGrid>
      <w:tr w:rsidR="00FA7C11" w14:paraId="26DC3D26" w14:textId="77777777">
        <w:trPr>
          <w:trHeight w:val="517"/>
          <w:tblHeader/>
        </w:trPr>
        <w:tc>
          <w:tcPr>
            <w:tcW w:w="1096" w:type="dxa"/>
            <w:shd w:val="clear" w:color="auto" w:fill="BDD7EE"/>
            <w:vAlign w:val="center"/>
            <w:hideMark/>
          </w:tcPr>
          <w:p w14:paraId="6BFF4AD4"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39" w:type="dxa"/>
            <w:shd w:val="clear" w:color="auto" w:fill="BDD7EE"/>
            <w:vAlign w:val="center"/>
            <w:hideMark/>
          </w:tcPr>
          <w:p w14:paraId="3BE6A768"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4" w:type="dxa"/>
            <w:shd w:val="clear" w:color="auto" w:fill="BDD7EE"/>
            <w:vAlign w:val="center"/>
            <w:hideMark/>
          </w:tcPr>
          <w:p w14:paraId="1AB110BB"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47" w:type="dxa"/>
            <w:shd w:val="clear" w:color="auto" w:fill="BDD7EE"/>
            <w:vAlign w:val="center"/>
            <w:hideMark/>
          </w:tcPr>
          <w:p w14:paraId="15DBA882"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44194399" w14:textId="77777777">
        <w:trPr>
          <w:trHeight w:val="51"/>
        </w:trPr>
        <w:tc>
          <w:tcPr>
            <w:tcW w:w="1096" w:type="dxa"/>
            <w:shd w:val="clear" w:color="auto" w:fill="C6EFCE"/>
            <w:vAlign w:val="center"/>
            <w:hideMark/>
          </w:tcPr>
          <w:p w14:paraId="6A229DF0" w14:textId="77777777" w:rsidR="00FA7C11" w:rsidRDefault="00D84965">
            <w:pPr>
              <w:pStyle w:val="P68B1DB1-Normal102"/>
              <w:spacing w:after="0" w:line="240" w:lineRule="auto"/>
              <w:jc w:val="center"/>
              <w:textAlignment w:val="baseline"/>
              <w:rPr>
                <w:rFonts w:eastAsia="Times New Roman"/>
                <w:noProof/>
              </w:rPr>
            </w:pPr>
            <w:r>
              <w:rPr>
                <w:noProof/>
              </w:rPr>
              <w:t>39</w:t>
            </w:r>
          </w:p>
        </w:tc>
        <w:tc>
          <w:tcPr>
            <w:tcW w:w="1639" w:type="dxa"/>
            <w:shd w:val="clear" w:color="auto" w:fill="C6EFCE"/>
            <w:vAlign w:val="center"/>
            <w:hideMark/>
          </w:tcPr>
          <w:p w14:paraId="4D11F6CC" w14:textId="77777777" w:rsidR="00FA7C11" w:rsidRDefault="00D84965">
            <w:pPr>
              <w:pStyle w:val="P68B1DB1-Normal102"/>
              <w:spacing w:after="0" w:line="240" w:lineRule="auto"/>
              <w:jc w:val="center"/>
              <w:textAlignment w:val="baseline"/>
              <w:rPr>
                <w:rFonts w:eastAsia="Times New Roman"/>
                <w:noProof/>
              </w:rPr>
            </w:pPr>
            <w:r>
              <w:rPr>
                <w:noProof/>
              </w:rPr>
              <w:t>C1.2. R1-I1</w:t>
            </w:r>
          </w:p>
        </w:tc>
        <w:tc>
          <w:tcPr>
            <w:tcW w:w="1274" w:type="dxa"/>
            <w:shd w:val="clear" w:color="auto" w:fill="C6EFCE"/>
            <w:vAlign w:val="center"/>
            <w:hideMark/>
          </w:tcPr>
          <w:p w14:paraId="4535DE8E"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3EA7BD63" w14:textId="77777777" w:rsidR="00FA7C11" w:rsidRDefault="00D84965">
            <w:pPr>
              <w:pStyle w:val="P68B1DB1-Normal102"/>
              <w:spacing w:after="0" w:line="240" w:lineRule="auto"/>
              <w:textAlignment w:val="baseline"/>
              <w:rPr>
                <w:rFonts w:eastAsia="Times New Roman"/>
                <w:noProof/>
              </w:rPr>
            </w:pPr>
            <w:r>
              <w:rPr>
                <w:noProof/>
              </w:rPr>
              <w:t>Autorizație de construcție acordată pentru modernizarea rețelei de înaltă tensiune</w:t>
            </w:r>
          </w:p>
        </w:tc>
      </w:tr>
      <w:tr w:rsidR="00FA7C11" w14:paraId="27027D32" w14:textId="77777777">
        <w:trPr>
          <w:trHeight w:val="51"/>
        </w:trPr>
        <w:tc>
          <w:tcPr>
            <w:tcW w:w="1096" w:type="dxa"/>
            <w:shd w:val="clear" w:color="auto" w:fill="C6EFCE"/>
            <w:vAlign w:val="center"/>
            <w:hideMark/>
          </w:tcPr>
          <w:p w14:paraId="18432D1C" w14:textId="77777777" w:rsidR="00FA7C11" w:rsidRDefault="00D84965">
            <w:pPr>
              <w:pStyle w:val="P68B1DB1-Normal102"/>
              <w:spacing w:after="0" w:line="240" w:lineRule="auto"/>
              <w:jc w:val="center"/>
              <w:textAlignment w:val="baseline"/>
              <w:rPr>
                <w:rFonts w:eastAsia="Times New Roman"/>
                <w:noProof/>
              </w:rPr>
            </w:pPr>
            <w:r>
              <w:rPr>
                <w:noProof/>
              </w:rPr>
              <w:t>163</w:t>
            </w:r>
          </w:p>
        </w:tc>
        <w:tc>
          <w:tcPr>
            <w:tcW w:w="1639" w:type="dxa"/>
            <w:shd w:val="clear" w:color="auto" w:fill="C6EFCE"/>
            <w:vAlign w:val="center"/>
            <w:hideMark/>
          </w:tcPr>
          <w:p w14:paraId="64264D8E" w14:textId="77777777" w:rsidR="00FA7C11" w:rsidRDefault="00D84965">
            <w:pPr>
              <w:pStyle w:val="P68B1DB1-Normal102"/>
              <w:spacing w:after="0" w:line="240" w:lineRule="auto"/>
              <w:jc w:val="center"/>
              <w:textAlignment w:val="baseline"/>
              <w:rPr>
                <w:rFonts w:eastAsia="Times New Roman"/>
                <w:noProof/>
              </w:rPr>
            </w:pPr>
            <w:r>
              <w:rPr>
                <w:noProof/>
              </w:rPr>
              <w:t>C2.2. R1</w:t>
            </w:r>
          </w:p>
        </w:tc>
        <w:tc>
          <w:tcPr>
            <w:tcW w:w="1274" w:type="dxa"/>
            <w:shd w:val="clear" w:color="auto" w:fill="C6EFCE"/>
            <w:vAlign w:val="center"/>
            <w:hideMark/>
          </w:tcPr>
          <w:p w14:paraId="2C7A3E3E"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68B29B73" w14:textId="77777777" w:rsidR="00FA7C11" w:rsidRDefault="00D84965">
            <w:pPr>
              <w:pStyle w:val="P68B1DB1-Normal102"/>
              <w:spacing w:after="0" w:line="240" w:lineRule="auto"/>
              <w:textAlignment w:val="baseline"/>
              <w:rPr>
                <w:rFonts w:eastAsia="Times New Roman"/>
                <w:noProof/>
              </w:rPr>
            </w:pPr>
            <w:r>
              <w:rPr>
                <w:noProof/>
              </w:rPr>
              <w:t>Cadrul legislativ modificat pentru un sistem centralizat de selecție în administrația de stat, identificând calificările necesare ale funcționarilor publici și instituind un sistem modern de recrutare</w:t>
            </w:r>
          </w:p>
        </w:tc>
      </w:tr>
      <w:tr w:rsidR="00FA7C11" w14:paraId="00E0DC98" w14:textId="77777777">
        <w:trPr>
          <w:trHeight w:val="51"/>
        </w:trPr>
        <w:tc>
          <w:tcPr>
            <w:tcW w:w="1096" w:type="dxa"/>
            <w:shd w:val="clear" w:color="auto" w:fill="C6EFCE"/>
            <w:vAlign w:val="center"/>
            <w:hideMark/>
          </w:tcPr>
          <w:p w14:paraId="2589A8A7" w14:textId="77777777" w:rsidR="00FA7C11" w:rsidRDefault="00D84965">
            <w:pPr>
              <w:pStyle w:val="P68B1DB1-Normal102"/>
              <w:spacing w:after="0" w:line="240" w:lineRule="auto"/>
              <w:jc w:val="center"/>
              <w:textAlignment w:val="baseline"/>
              <w:rPr>
                <w:rFonts w:eastAsia="Times New Roman"/>
                <w:noProof/>
              </w:rPr>
            </w:pPr>
            <w:r>
              <w:rPr>
                <w:noProof/>
              </w:rPr>
              <w:t>166</w:t>
            </w:r>
          </w:p>
        </w:tc>
        <w:tc>
          <w:tcPr>
            <w:tcW w:w="1639" w:type="dxa"/>
            <w:shd w:val="clear" w:color="auto" w:fill="C6EFCE"/>
            <w:vAlign w:val="center"/>
            <w:hideMark/>
          </w:tcPr>
          <w:p w14:paraId="2D17DF11" w14:textId="77777777" w:rsidR="00FA7C11" w:rsidRDefault="00D84965">
            <w:pPr>
              <w:pStyle w:val="P68B1DB1-Normal102"/>
              <w:spacing w:after="0" w:line="240" w:lineRule="auto"/>
              <w:jc w:val="center"/>
              <w:textAlignment w:val="baseline"/>
              <w:rPr>
                <w:rFonts w:eastAsia="Times New Roman"/>
                <w:noProof/>
              </w:rPr>
            </w:pPr>
            <w:r>
              <w:rPr>
                <w:noProof/>
              </w:rPr>
              <w:t>C2.2. R2</w:t>
            </w:r>
          </w:p>
        </w:tc>
        <w:tc>
          <w:tcPr>
            <w:tcW w:w="1274" w:type="dxa"/>
            <w:shd w:val="clear" w:color="auto" w:fill="C6EFCE"/>
            <w:vAlign w:val="center"/>
            <w:hideMark/>
          </w:tcPr>
          <w:p w14:paraId="07D56532"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2097F6B9" w14:textId="77777777" w:rsidR="00FA7C11" w:rsidRDefault="00D84965">
            <w:pPr>
              <w:pStyle w:val="P68B1DB1-Normal102"/>
              <w:spacing w:after="0" w:line="240" w:lineRule="auto"/>
              <w:textAlignment w:val="baseline"/>
              <w:rPr>
                <w:rFonts w:eastAsia="Times New Roman"/>
                <w:noProof/>
              </w:rPr>
            </w:pPr>
            <w:r>
              <w:rPr>
                <w:noProof/>
              </w:rPr>
              <w:t>Intrarea în vigoare a legilor privind salariile în administrația de stat și în serviciile publice și a regulamentelor privind mobilitatea</w:t>
            </w:r>
          </w:p>
        </w:tc>
      </w:tr>
      <w:tr w:rsidR="00FA7C11" w14:paraId="73CFDCED" w14:textId="77777777">
        <w:trPr>
          <w:trHeight w:val="51"/>
        </w:trPr>
        <w:tc>
          <w:tcPr>
            <w:tcW w:w="1096" w:type="dxa"/>
            <w:shd w:val="clear" w:color="auto" w:fill="C6EFCE"/>
            <w:vAlign w:val="center"/>
          </w:tcPr>
          <w:p w14:paraId="4D7B6E56" w14:textId="77777777" w:rsidR="00FA7C11" w:rsidRDefault="00D84965">
            <w:pPr>
              <w:pStyle w:val="P68B1DB1-Normal102"/>
              <w:spacing w:after="0" w:line="240" w:lineRule="auto"/>
              <w:jc w:val="center"/>
              <w:textAlignment w:val="baseline"/>
              <w:rPr>
                <w:noProof/>
              </w:rPr>
            </w:pPr>
            <w:r>
              <w:rPr>
                <w:noProof/>
              </w:rPr>
              <w:t>205</w:t>
            </w:r>
          </w:p>
        </w:tc>
        <w:tc>
          <w:tcPr>
            <w:tcW w:w="1639" w:type="dxa"/>
            <w:shd w:val="clear" w:color="auto" w:fill="C6EFCE"/>
            <w:vAlign w:val="center"/>
          </w:tcPr>
          <w:p w14:paraId="1344BF26" w14:textId="77777777" w:rsidR="00FA7C11" w:rsidRDefault="00D84965">
            <w:pPr>
              <w:pStyle w:val="P68B1DB1-Normal102"/>
              <w:spacing w:after="0" w:line="240" w:lineRule="auto"/>
              <w:jc w:val="center"/>
              <w:textAlignment w:val="baseline"/>
              <w:rPr>
                <w:noProof/>
              </w:rPr>
            </w:pPr>
            <w:r>
              <w:rPr>
                <w:noProof/>
              </w:rPr>
              <w:t>C2.3. R4-I2</w:t>
            </w:r>
          </w:p>
        </w:tc>
        <w:tc>
          <w:tcPr>
            <w:tcW w:w="1274" w:type="dxa"/>
            <w:shd w:val="clear" w:color="auto" w:fill="C6EFCE"/>
            <w:vAlign w:val="center"/>
          </w:tcPr>
          <w:p w14:paraId="4F65D4F1"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0A70DFA" w14:textId="77777777" w:rsidR="00FA7C11" w:rsidRDefault="00D84965">
            <w:pPr>
              <w:pStyle w:val="P68B1DB1-Normal102"/>
              <w:spacing w:after="0" w:line="240" w:lineRule="auto"/>
              <w:textAlignment w:val="baseline"/>
              <w:rPr>
                <w:noProof/>
              </w:rPr>
            </w:pPr>
            <w:r>
              <w:rPr>
                <w:noProof/>
              </w:rPr>
              <w:t>Acord de grant semnat pentru construirea unei infrastructuri pasive de comunicații electronice</w:t>
            </w:r>
          </w:p>
        </w:tc>
      </w:tr>
      <w:tr w:rsidR="00FA7C11" w14:paraId="02BD4B86" w14:textId="77777777">
        <w:trPr>
          <w:trHeight w:val="51"/>
        </w:trPr>
        <w:tc>
          <w:tcPr>
            <w:tcW w:w="1096" w:type="dxa"/>
            <w:shd w:val="clear" w:color="auto" w:fill="C6EFCE"/>
            <w:vAlign w:val="center"/>
          </w:tcPr>
          <w:p w14:paraId="085B5747" w14:textId="77777777" w:rsidR="00FA7C11" w:rsidRDefault="00D84965">
            <w:pPr>
              <w:pStyle w:val="P68B1DB1-Normal102"/>
              <w:spacing w:after="0" w:line="240" w:lineRule="auto"/>
              <w:jc w:val="center"/>
              <w:textAlignment w:val="baseline"/>
              <w:rPr>
                <w:noProof/>
              </w:rPr>
            </w:pPr>
            <w:r>
              <w:rPr>
                <w:noProof/>
              </w:rPr>
              <w:t>217</w:t>
            </w:r>
          </w:p>
        </w:tc>
        <w:tc>
          <w:tcPr>
            <w:tcW w:w="1639" w:type="dxa"/>
            <w:shd w:val="clear" w:color="auto" w:fill="C6EFCE"/>
            <w:vAlign w:val="center"/>
          </w:tcPr>
          <w:p w14:paraId="332FF6EA" w14:textId="77777777" w:rsidR="00FA7C11" w:rsidRDefault="00D84965">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52204AB8"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BDF5B45" w14:textId="77777777" w:rsidR="00FA7C11" w:rsidRDefault="00D84965">
            <w:pPr>
              <w:pStyle w:val="P68B1DB1-Normal102"/>
              <w:spacing w:after="0" w:line="240" w:lineRule="auto"/>
              <w:textAlignment w:val="baseline"/>
              <w:rPr>
                <w:noProof/>
              </w:rPr>
            </w:pPr>
            <w:r>
              <w:rPr>
                <w:noProof/>
              </w:rPr>
              <w:t>Noi programe de formare introduse în cadrul programului de formare judiciară</w:t>
            </w:r>
          </w:p>
        </w:tc>
      </w:tr>
      <w:tr w:rsidR="00FA7C11" w14:paraId="4D89FDB8" w14:textId="77777777">
        <w:trPr>
          <w:trHeight w:val="51"/>
        </w:trPr>
        <w:tc>
          <w:tcPr>
            <w:tcW w:w="1096" w:type="dxa"/>
            <w:shd w:val="clear" w:color="auto" w:fill="C6EFCE"/>
            <w:vAlign w:val="center"/>
          </w:tcPr>
          <w:p w14:paraId="330704E9" w14:textId="77777777" w:rsidR="00FA7C11" w:rsidRDefault="00D84965">
            <w:pPr>
              <w:pStyle w:val="P68B1DB1-Normal102"/>
              <w:spacing w:after="0" w:line="240" w:lineRule="auto"/>
              <w:jc w:val="center"/>
              <w:textAlignment w:val="baseline"/>
              <w:rPr>
                <w:noProof/>
              </w:rPr>
            </w:pPr>
            <w:r>
              <w:rPr>
                <w:noProof/>
              </w:rPr>
              <w:t>218</w:t>
            </w:r>
          </w:p>
        </w:tc>
        <w:tc>
          <w:tcPr>
            <w:tcW w:w="1639" w:type="dxa"/>
            <w:shd w:val="clear" w:color="auto" w:fill="C6EFCE"/>
            <w:vAlign w:val="center"/>
          </w:tcPr>
          <w:p w14:paraId="2F541F16" w14:textId="77777777" w:rsidR="00FA7C11" w:rsidRDefault="00D84965">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49396190"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960B199" w14:textId="77777777" w:rsidR="00FA7C11" w:rsidRDefault="00D84965">
            <w:pPr>
              <w:pStyle w:val="P68B1DB1-Normal102"/>
              <w:spacing w:after="0" w:line="240" w:lineRule="auto"/>
              <w:textAlignment w:val="baseline"/>
              <w:rPr>
                <w:noProof/>
              </w:rPr>
            </w:pPr>
            <w:r>
              <w:rPr>
                <w:noProof/>
              </w:rPr>
              <w:t>Adoptarea modificărilor aduse cadrului legislativ în domeniul justiției prin noua Lege privind procedura necontencioasă.</w:t>
            </w:r>
          </w:p>
        </w:tc>
      </w:tr>
      <w:tr w:rsidR="00FA7C11" w14:paraId="2991DC36" w14:textId="77777777">
        <w:trPr>
          <w:trHeight w:val="269"/>
        </w:trPr>
        <w:tc>
          <w:tcPr>
            <w:tcW w:w="1096" w:type="dxa"/>
            <w:shd w:val="clear" w:color="auto" w:fill="C6EFCE"/>
            <w:vAlign w:val="center"/>
          </w:tcPr>
          <w:p w14:paraId="41D74C18" w14:textId="77777777" w:rsidR="00FA7C11" w:rsidRDefault="00D84965">
            <w:pPr>
              <w:pStyle w:val="P68B1DB1-Normal102"/>
              <w:spacing w:after="0" w:line="240" w:lineRule="auto"/>
              <w:jc w:val="center"/>
              <w:textAlignment w:val="baseline"/>
              <w:rPr>
                <w:noProof/>
              </w:rPr>
            </w:pPr>
            <w:r>
              <w:rPr>
                <w:noProof/>
              </w:rPr>
              <w:t>219</w:t>
            </w:r>
          </w:p>
        </w:tc>
        <w:tc>
          <w:tcPr>
            <w:tcW w:w="1639" w:type="dxa"/>
            <w:shd w:val="clear" w:color="auto" w:fill="C6EFCE"/>
            <w:vAlign w:val="center"/>
          </w:tcPr>
          <w:p w14:paraId="7B8EFCCC" w14:textId="77777777" w:rsidR="00FA7C11" w:rsidRDefault="00D84965">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37851446"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7678625" w14:textId="77777777" w:rsidR="00FA7C11" w:rsidRDefault="00D84965">
            <w:pPr>
              <w:pStyle w:val="P68B1DB1-Normal102"/>
              <w:spacing w:after="0" w:line="240" w:lineRule="auto"/>
              <w:textAlignment w:val="baseline"/>
              <w:rPr>
                <w:noProof/>
              </w:rPr>
            </w:pPr>
            <w:r>
              <w:rPr>
                <w:noProof/>
              </w:rPr>
              <w:t>Înființarea a patru centre de mediere în cadrul instanțelor comerciale din Zagreb, Split, Osijek și Rijeka și adoptarea modificărilor la Legea privind medierea</w:t>
            </w:r>
          </w:p>
        </w:tc>
      </w:tr>
      <w:tr w:rsidR="00FA7C11" w14:paraId="2516A4CC" w14:textId="77777777">
        <w:trPr>
          <w:trHeight w:val="51"/>
        </w:trPr>
        <w:tc>
          <w:tcPr>
            <w:tcW w:w="1096" w:type="dxa"/>
            <w:shd w:val="clear" w:color="auto" w:fill="C6EFCE"/>
            <w:vAlign w:val="center"/>
          </w:tcPr>
          <w:p w14:paraId="5BB9C1E2" w14:textId="77777777" w:rsidR="00FA7C11" w:rsidRDefault="00D84965">
            <w:pPr>
              <w:pStyle w:val="P68B1DB1-Normal102"/>
              <w:spacing w:after="0" w:line="240" w:lineRule="auto"/>
              <w:jc w:val="center"/>
              <w:textAlignment w:val="baseline"/>
              <w:rPr>
                <w:noProof/>
              </w:rPr>
            </w:pPr>
            <w:r>
              <w:rPr>
                <w:noProof/>
              </w:rPr>
              <w:t>257</w:t>
            </w:r>
          </w:p>
        </w:tc>
        <w:tc>
          <w:tcPr>
            <w:tcW w:w="1639" w:type="dxa"/>
            <w:shd w:val="clear" w:color="auto" w:fill="C6EFCE"/>
            <w:vAlign w:val="center"/>
          </w:tcPr>
          <w:p w14:paraId="004FD2C6" w14:textId="77777777" w:rsidR="00FA7C11" w:rsidRDefault="00D84965">
            <w:pPr>
              <w:pStyle w:val="P68B1DB1-Normal102"/>
              <w:spacing w:after="0" w:line="240" w:lineRule="auto"/>
              <w:jc w:val="center"/>
              <w:textAlignment w:val="baseline"/>
              <w:rPr>
                <w:noProof/>
              </w:rPr>
            </w:pPr>
            <w:r>
              <w:rPr>
                <w:noProof/>
              </w:rPr>
              <w:t>C2.9. R1</w:t>
            </w:r>
          </w:p>
        </w:tc>
        <w:tc>
          <w:tcPr>
            <w:tcW w:w="1274" w:type="dxa"/>
            <w:shd w:val="clear" w:color="auto" w:fill="C6EFCE"/>
            <w:vAlign w:val="center"/>
          </w:tcPr>
          <w:p w14:paraId="115596FA"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B8DAC45" w14:textId="77777777" w:rsidR="00FA7C11" w:rsidRDefault="00D84965">
            <w:pPr>
              <w:pStyle w:val="P68B1DB1-Normal102"/>
              <w:spacing w:after="0" w:line="240" w:lineRule="auto"/>
              <w:textAlignment w:val="baseline"/>
              <w:rPr>
                <w:noProof/>
              </w:rPr>
            </w:pPr>
            <w:r>
              <w:rPr>
                <w:noProof/>
              </w:rPr>
              <w:t>Modificarea normelor privind formarea în domeniul achizițiilor publice</w:t>
            </w:r>
          </w:p>
        </w:tc>
      </w:tr>
      <w:tr w:rsidR="00FA7C11" w14:paraId="08FBA6CA" w14:textId="77777777">
        <w:trPr>
          <w:trHeight w:val="51"/>
        </w:trPr>
        <w:tc>
          <w:tcPr>
            <w:tcW w:w="1096" w:type="dxa"/>
            <w:shd w:val="clear" w:color="auto" w:fill="C6EFCE"/>
            <w:vAlign w:val="center"/>
          </w:tcPr>
          <w:p w14:paraId="70BCE7F8" w14:textId="77777777" w:rsidR="00FA7C11" w:rsidRDefault="00D84965">
            <w:pPr>
              <w:pStyle w:val="P68B1DB1-Normal102"/>
              <w:spacing w:after="0" w:line="240" w:lineRule="auto"/>
              <w:jc w:val="center"/>
              <w:textAlignment w:val="baseline"/>
              <w:rPr>
                <w:noProof/>
              </w:rPr>
            </w:pPr>
            <w:r>
              <w:rPr>
                <w:noProof/>
              </w:rPr>
              <w:t>267</w:t>
            </w:r>
          </w:p>
        </w:tc>
        <w:tc>
          <w:tcPr>
            <w:tcW w:w="1639" w:type="dxa"/>
            <w:shd w:val="clear" w:color="auto" w:fill="C6EFCE"/>
            <w:vAlign w:val="center"/>
          </w:tcPr>
          <w:p w14:paraId="1A1C0856" w14:textId="77777777" w:rsidR="00FA7C11" w:rsidRDefault="00D84965">
            <w:pPr>
              <w:pStyle w:val="P68B1DB1-Normal102"/>
              <w:spacing w:after="0" w:line="240" w:lineRule="auto"/>
              <w:jc w:val="center"/>
              <w:textAlignment w:val="baseline"/>
              <w:rPr>
                <w:noProof/>
              </w:rPr>
            </w:pPr>
            <w:r>
              <w:rPr>
                <w:noProof/>
              </w:rPr>
              <w:t>C3.1. R1</w:t>
            </w:r>
          </w:p>
        </w:tc>
        <w:tc>
          <w:tcPr>
            <w:tcW w:w="1274" w:type="dxa"/>
            <w:shd w:val="clear" w:color="auto" w:fill="C6EFCE"/>
            <w:vAlign w:val="center"/>
          </w:tcPr>
          <w:p w14:paraId="40788CCE"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BBE9233" w14:textId="77777777" w:rsidR="00FA7C11" w:rsidRDefault="00D84965">
            <w:pPr>
              <w:pStyle w:val="P68B1DB1-Normal102"/>
              <w:spacing w:after="0" w:line="240" w:lineRule="auto"/>
              <w:textAlignment w:val="baseline"/>
              <w:rPr>
                <w:noProof/>
              </w:rPr>
            </w:pPr>
            <w:r>
              <w:rPr>
                <w:noProof/>
              </w:rPr>
              <w:t>Adoptarea modelului de finanțare a educației și îngrijirii copiilor preșcolari</w:t>
            </w:r>
          </w:p>
        </w:tc>
      </w:tr>
      <w:tr w:rsidR="00FA7C11" w14:paraId="4D112F90" w14:textId="77777777">
        <w:trPr>
          <w:trHeight w:val="51"/>
        </w:trPr>
        <w:tc>
          <w:tcPr>
            <w:tcW w:w="1096" w:type="dxa"/>
            <w:shd w:val="clear" w:color="auto" w:fill="C6EFCE"/>
            <w:vAlign w:val="center"/>
          </w:tcPr>
          <w:p w14:paraId="393A5B64" w14:textId="77777777" w:rsidR="00FA7C11" w:rsidRDefault="00D84965">
            <w:pPr>
              <w:pStyle w:val="P68B1DB1-Normal102"/>
              <w:spacing w:after="0" w:line="240" w:lineRule="auto"/>
              <w:jc w:val="center"/>
              <w:textAlignment w:val="baseline"/>
              <w:rPr>
                <w:noProof/>
              </w:rPr>
            </w:pPr>
            <w:r>
              <w:rPr>
                <w:noProof/>
              </w:rPr>
              <w:t>276</w:t>
            </w:r>
          </w:p>
        </w:tc>
        <w:tc>
          <w:tcPr>
            <w:tcW w:w="1639" w:type="dxa"/>
            <w:shd w:val="clear" w:color="auto" w:fill="C6EFCE"/>
            <w:vAlign w:val="center"/>
          </w:tcPr>
          <w:p w14:paraId="0ED0D429" w14:textId="77777777" w:rsidR="00FA7C11" w:rsidRDefault="00D84965">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7C67F1A6"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AE5575" w14:textId="77777777" w:rsidR="00FA7C11" w:rsidRDefault="00D84965">
            <w:pPr>
              <w:pStyle w:val="P68B1DB1-Normal102"/>
              <w:spacing w:after="0" w:line="240" w:lineRule="auto"/>
              <w:textAlignment w:val="baseline"/>
              <w:rPr>
                <w:noProof/>
              </w:rPr>
            </w:pPr>
            <w:r>
              <w:rPr>
                <w:noProof/>
              </w:rPr>
              <w:t>Finanțarea alocată proiectelor de cercetare pe baza cererilor interne ale organizațiilor de cercetare în cursul primului ciclu de doi ani de punere în aplicare a acordurilor de program</w:t>
            </w:r>
          </w:p>
        </w:tc>
      </w:tr>
      <w:tr w:rsidR="00FA7C11" w14:paraId="5826EE2C" w14:textId="77777777">
        <w:trPr>
          <w:trHeight w:val="51"/>
        </w:trPr>
        <w:tc>
          <w:tcPr>
            <w:tcW w:w="1096" w:type="dxa"/>
            <w:shd w:val="clear" w:color="auto" w:fill="C6EFCE"/>
            <w:vAlign w:val="center"/>
          </w:tcPr>
          <w:p w14:paraId="275A7AC9" w14:textId="77777777" w:rsidR="00FA7C11" w:rsidRDefault="00D84965">
            <w:pPr>
              <w:pStyle w:val="P68B1DB1-Normal102"/>
              <w:spacing w:after="0" w:line="240" w:lineRule="auto"/>
              <w:jc w:val="center"/>
              <w:textAlignment w:val="baseline"/>
              <w:rPr>
                <w:noProof/>
              </w:rPr>
            </w:pPr>
            <w:r>
              <w:rPr>
                <w:noProof/>
              </w:rPr>
              <w:t>297</w:t>
            </w:r>
          </w:p>
        </w:tc>
        <w:tc>
          <w:tcPr>
            <w:tcW w:w="1639" w:type="dxa"/>
            <w:shd w:val="clear" w:color="auto" w:fill="C6EFCE"/>
            <w:vAlign w:val="center"/>
          </w:tcPr>
          <w:p w14:paraId="552531D5" w14:textId="77777777" w:rsidR="00FA7C11" w:rsidRDefault="00D84965">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0EF596CB"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EA69820" w14:textId="77777777" w:rsidR="00FA7C11" w:rsidRDefault="00D84965">
            <w:pPr>
              <w:pStyle w:val="P68B1DB1-Normal102"/>
              <w:spacing w:after="0" w:line="240" w:lineRule="auto"/>
              <w:textAlignment w:val="baseline"/>
              <w:rPr>
                <w:noProof/>
              </w:rPr>
            </w:pPr>
            <w:r>
              <w:rPr>
                <w:noProof/>
              </w:rPr>
              <w:t>Adoptarea modificărilor la Legea privind asigurarea de pensie</w:t>
            </w:r>
          </w:p>
        </w:tc>
      </w:tr>
      <w:tr w:rsidR="00FA7C11" w14:paraId="6032570C" w14:textId="77777777">
        <w:trPr>
          <w:trHeight w:val="51"/>
        </w:trPr>
        <w:tc>
          <w:tcPr>
            <w:tcW w:w="1096" w:type="dxa"/>
            <w:shd w:val="clear" w:color="auto" w:fill="C6EFCE"/>
            <w:vAlign w:val="center"/>
          </w:tcPr>
          <w:p w14:paraId="688BF336" w14:textId="77777777" w:rsidR="00FA7C11" w:rsidRDefault="00D84965">
            <w:pPr>
              <w:pStyle w:val="P68B1DB1-Normal102"/>
              <w:spacing w:after="0" w:line="240" w:lineRule="auto"/>
              <w:jc w:val="center"/>
              <w:textAlignment w:val="baseline"/>
              <w:rPr>
                <w:noProof/>
              </w:rPr>
            </w:pPr>
            <w:r>
              <w:rPr>
                <w:noProof/>
              </w:rPr>
              <w:t>316</w:t>
            </w:r>
          </w:p>
        </w:tc>
        <w:tc>
          <w:tcPr>
            <w:tcW w:w="1639" w:type="dxa"/>
            <w:shd w:val="clear" w:color="auto" w:fill="C6EFCE"/>
            <w:vAlign w:val="center"/>
          </w:tcPr>
          <w:p w14:paraId="5BFE47AA" w14:textId="77777777" w:rsidR="00FA7C11" w:rsidRDefault="00D84965">
            <w:pPr>
              <w:pStyle w:val="P68B1DB1-Normal102"/>
              <w:spacing w:after="0" w:line="240" w:lineRule="auto"/>
              <w:jc w:val="center"/>
              <w:textAlignment w:val="baseline"/>
              <w:rPr>
                <w:noProof/>
              </w:rPr>
            </w:pPr>
            <w:r>
              <w:rPr>
                <w:noProof/>
              </w:rPr>
              <w:t>C4.3. R3-I3</w:t>
            </w:r>
          </w:p>
        </w:tc>
        <w:tc>
          <w:tcPr>
            <w:tcW w:w="1274" w:type="dxa"/>
            <w:shd w:val="clear" w:color="auto" w:fill="C6EFCE"/>
            <w:vAlign w:val="center"/>
          </w:tcPr>
          <w:p w14:paraId="451037EC"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A3E398B" w14:textId="77777777" w:rsidR="00FA7C11" w:rsidRDefault="00D84965">
            <w:pPr>
              <w:pStyle w:val="P68B1DB1-Normal102"/>
              <w:spacing w:after="0" w:line="240" w:lineRule="auto"/>
              <w:textAlignment w:val="baseline"/>
              <w:rPr>
                <w:noProof/>
              </w:rPr>
            </w:pPr>
            <w:r>
              <w:rPr>
                <w:noProof/>
              </w:rPr>
              <w:t>Calcularea prin sistemul informatic a prețurilor pentru serviciile sociale și furnizorii de servicii din rețea</w:t>
            </w:r>
          </w:p>
        </w:tc>
      </w:tr>
      <w:tr w:rsidR="00FA7C11" w14:paraId="65E636F7" w14:textId="77777777">
        <w:trPr>
          <w:trHeight w:val="51"/>
        </w:trPr>
        <w:tc>
          <w:tcPr>
            <w:tcW w:w="1096" w:type="dxa"/>
            <w:shd w:val="clear" w:color="auto" w:fill="C6EFCE"/>
            <w:vAlign w:val="center"/>
          </w:tcPr>
          <w:p w14:paraId="06424121" w14:textId="77777777" w:rsidR="00FA7C11" w:rsidRDefault="00D84965">
            <w:pPr>
              <w:pStyle w:val="P68B1DB1-Normal102"/>
              <w:spacing w:after="0" w:line="240" w:lineRule="auto"/>
              <w:jc w:val="center"/>
              <w:textAlignment w:val="baseline"/>
              <w:rPr>
                <w:noProof/>
              </w:rPr>
            </w:pPr>
            <w:r>
              <w:rPr>
                <w:noProof/>
              </w:rPr>
              <w:t>325</w:t>
            </w:r>
          </w:p>
        </w:tc>
        <w:tc>
          <w:tcPr>
            <w:tcW w:w="1639" w:type="dxa"/>
            <w:shd w:val="clear" w:color="auto" w:fill="C6EFCE"/>
            <w:vAlign w:val="center"/>
          </w:tcPr>
          <w:p w14:paraId="36C93354" w14:textId="77777777" w:rsidR="00FA7C11" w:rsidRDefault="00D84965">
            <w:pPr>
              <w:pStyle w:val="P68B1DB1-Normal102"/>
              <w:spacing w:after="0" w:line="240" w:lineRule="auto"/>
              <w:jc w:val="center"/>
              <w:textAlignment w:val="baseline"/>
              <w:rPr>
                <w:noProof/>
              </w:rPr>
            </w:pPr>
            <w:r>
              <w:rPr>
                <w:noProof/>
              </w:rPr>
              <w:t>C5.1. R1-I6</w:t>
            </w:r>
          </w:p>
        </w:tc>
        <w:tc>
          <w:tcPr>
            <w:tcW w:w="1274" w:type="dxa"/>
            <w:shd w:val="clear" w:color="auto" w:fill="C6EFCE"/>
            <w:vAlign w:val="center"/>
          </w:tcPr>
          <w:p w14:paraId="5FC2FB06"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6250964" w14:textId="77777777" w:rsidR="00FA7C11" w:rsidRDefault="00D84965">
            <w:pPr>
              <w:pStyle w:val="P68B1DB1-Normal102"/>
              <w:spacing w:after="0" w:line="240" w:lineRule="auto"/>
              <w:textAlignment w:val="baseline"/>
              <w:rPr>
                <w:noProof/>
              </w:rPr>
            </w:pPr>
            <w:r>
              <w:rPr>
                <w:noProof/>
              </w:rPr>
              <w:t>Dispozitive medicale de diagnosticare în spitalul clinic (KB) Dubrava</w:t>
            </w:r>
          </w:p>
        </w:tc>
      </w:tr>
      <w:tr w:rsidR="00FA7C11" w14:paraId="7DC3A619" w14:textId="77777777">
        <w:trPr>
          <w:trHeight w:val="51"/>
        </w:trPr>
        <w:tc>
          <w:tcPr>
            <w:tcW w:w="1096" w:type="dxa"/>
            <w:shd w:val="clear" w:color="auto" w:fill="C6EFCE"/>
            <w:vAlign w:val="center"/>
          </w:tcPr>
          <w:p w14:paraId="4BD78250" w14:textId="77777777" w:rsidR="00FA7C11" w:rsidRDefault="00D84965">
            <w:pPr>
              <w:pStyle w:val="P68B1DB1-Normal102"/>
              <w:spacing w:after="0" w:line="240" w:lineRule="auto"/>
              <w:jc w:val="center"/>
              <w:textAlignment w:val="baseline"/>
              <w:rPr>
                <w:noProof/>
              </w:rPr>
            </w:pPr>
            <w:r>
              <w:rPr>
                <w:noProof/>
              </w:rPr>
              <w:t>327</w:t>
            </w:r>
          </w:p>
        </w:tc>
        <w:tc>
          <w:tcPr>
            <w:tcW w:w="1639" w:type="dxa"/>
            <w:shd w:val="clear" w:color="auto" w:fill="C6EFCE"/>
            <w:vAlign w:val="center"/>
          </w:tcPr>
          <w:p w14:paraId="25AF1613" w14:textId="77777777" w:rsidR="00FA7C11" w:rsidRDefault="00D84965">
            <w:pPr>
              <w:pStyle w:val="P68B1DB1-Normal102"/>
              <w:spacing w:after="0" w:line="240" w:lineRule="auto"/>
              <w:jc w:val="center"/>
              <w:textAlignment w:val="baseline"/>
              <w:rPr>
                <w:noProof/>
              </w:rPr>
            </w:pPr>
            <w:r>
              <w:rPr>
                <w:noProof/>
              </w:rPr>
              <w:t>C5.1. R1-I8</w:t>
            </w:r>
          </w:p>
        </w:tc>
        <w:tc>
          <w:tcPr>
            <w:tcW w:w="1274" w:type="dxa"/>
            <w:shd w:val="clear" w:color="auto" w:fill="C6EFCE"/>
            <w:vAlign w:val="center"/>
          </w:tcPr>
          <w:p w14:paraId="48EE96A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416E7B4" w14:textId="77777777" w:rsidR="00FA7C11" w:rsidRDefault="00D84965">
            <w:pPr>
              <w:pStyle w:val="P68B1DB1-Normal102"/>
              <w:spacing w:after="0" w:line="240" w:lineRule="auto"/>
              <w:textAlignment w:val="baseline"/>
              <w:rPr>
                <w:noProof/>
              </w:rPr>
            </w:pPr>
            <w:r>
              <w:rPr>
                <w:noProof/>
              </w:rPr>
              <w:t>Dispozitive medicale pentru tratamentul operațional și tratarea pacienților cu epilepsie farmacorezistentă în Spitalul Clinic (KB) Dubrava</w:t>
            </w:r>
          </w:p>
        </w:tc>
      </w:tr>
      <w:tr w:rsidR="00FA7C11" w14:paraId="41C5FD7E" w14:textId="77777777">
        <w:trPr>
          <w:trHeight w:val="51"/>
        </w:trPr>
        <w:tc>
          <w:tcPr>
            <w:tcW w:w="1096" w:type="dxa"/>
            <w:shd w:val="clear" w:color="auto" w:fill="C6EFCE"/>
            <w:vAlign w:val="center"/>
          </w:tcPr>
          <w:p w14:paraId="55C818BF" w14:textId="77777777" w:rsidR="00FA7C11" w:rsidRDefault="00D84965">
            <w:pPr>
              <w:pStyle w:val="P68B1DB1-Normal102"/>
              <w:spacing w:after="0" w:line="240" w:lineRule="auto"/>
              <w:jc w:val="center"/>
              <w:textAlignment w:val="baseline"/>
              <w:rPr>
                <w:noProof/>
              </w:rPr>
            </w:pPr>
            <w:r>
              <w:rPr>
                <w:noProof/>
              </w:rPr>
              <w:t>343</w:t>
            </w:r>
          </w:p>
        </w:tc>
        <w:tc>
          <w:tcPr>
            <w:tcW w:w="1639" w:type="dxa"/>
            <w:shd w:val="clear" w:color="auto" w:fill="C6EFCE"/>
            <w:vAlign w:val="center"/>
          </w:tcPr>
          <w:p w14:paraId="786A4767" w14:textId="77777777" w:rsidR="00FA7C11" w:rsidRDefault="00D84965">
            <w:pPr>
              <w:pStyle w:val="P68B1DB1-Normal102"/>
              <w:spacing w:after="0" w:line="240" w:lineRule="auto"/>
              <w:jc w:val="center"/>
              <w:textAlignment w:val="baseline"/>
              <w:rPr>
                <w:noProof/>
              </w:rPr>
            </w:pPr>
            <w:r>
              <w:rPr>
                <w:noProof/>
              </w:rPr>
              <w:t>C5.1. R4-I5</w:t>
            </w:r>
          </w:p>
        </w:tc>
        <w:tc>
          <w:tcPr>
            <w:tcW w:w="1274" w:type="dxa"/>
            <w:shd w:val="clear" w:color="auto" w:fill="C6EFCE"/>
            <w:vAlign w:val="center"/>
          </w:tcPr>
          <w:p w14:paraId="20422977"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53D7533" w14:textId="77777777" w:rsidR="00FA7C11" w:rsidRDefault="00D84965">
            <w:pPr>
              <w:pStyle w:val="P68B1DB1-Normal102"/>
              <w:spacing w:after="0" w:line="240" w:lineRule="auto"/>
              <w:textAlignment w:val="baseline"/>
              <w:rPr>
                <w:noProof/>
              </w:rPr>
            </w:pPr>
            <w:r>
              <w:rPr>
                <w:noProof/>
              </w:rPr>
              <w:t>Unități de diagnostic Centrul Spital Clinic (KBC) Merkur</w:t>
            </w:r>
          </w:p>
        </w:tc>
      </w:tr>
      <w:tr w:rsidR="00FA7C11" w14:paraId="0719DE5F" w14:textId="77777777">
        <w:trPr>
          <w:trHeight w:val="421"/>
        </w:trPr>
        <w:tc>
          <w:tcPr>
            <w:tcW w:w="1096" w:type="dxa"/>
            <w:shd w:val="clear" w:color="auto" w:fill="C6EFCE"/>
            <w:vAlign w:val="center"/>
          </w:tcPr>
          <w:p w14:paraId="639AAE0D" w14:textId="77777777" w:rsidR="00FA7C11" w:rsidRDefault="00D84965">
            <w:pPr>
              <w:pStyle w:val="P68B1DB1-Normal102"/>
              <w:spacing w:after="0" w:line="240" w:lineRule="auto"/>
              <w:jc w:val="center"/>
              <w:textAlignment w:val="baseline"/>
              <w:rPr>
                <w:noProof/>
              </w:rPr>
            </w:pPr>
            <w:r>
              <w:rPr>
                <w:noProof/>
              </w:rPr>
              <w:t>348</w:t>
            </w:r>
          </w:p>
        </w:tc>
        <w:tc>
          <w:tcPr>
            <w:tcW w:w="1639" w:type="dxa"/>
            <w:shd w:val="clear" w:color="auto" w:fill="C6EFCE"/>
            <w:vAlign w:val="center"/>
          </w:tcPr>
          <w:p w14:paraId="40141C6A" w14:textId="77777777" w:rsidR="00FA7C11" w:rsidRDefault="00D84965">
            <w:pPr>
              <w:pStyle w:val="P68B1DB1-Normal102"/>
              <w:spacing w:after="0" w:line="240" w:lineRule="auto"/>
              <w:jc w:val="center"/>
              <w:textAlignment w:val="baseline"/>
              <w:rPr>
                <w:noProof/>
              </w:rPr>
            </w:pPr>
            <w:r>
              <w:rPr>
                <w:noProof/>
              </w:rPr>
              <w:t>C5.1. R5-I2</w:t>
            </w:r>
          </w:p>
        </w:tc>
        <w:tc>
          <w:tcPr>
            <w:tcW w:w="1274" w:type="dxa"/>
            <w:shd w:val="clear" w:color="auto" w:fill="C6EFCE"/>
            <w:vAlign w:val="center"/>
          </w:tcPr>
          <w:p w14:paraId="5E92D35E"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1C39437" w14:textId="77777777" w:rsidR="00FA7C11" w:rsidRDefault="00D84965">
            <w:pPr>
              <w:pStyle w:val="P68B1DB1-Normal102"/>
              <w:spacing w:after="0" w:line="240" w:lineRule="auto"/>
              <w:textAlignment w:val="baseline"/>
              <w:rPr>
                <w:noProof/>
              </w:rPr>
            </w:pPr>
            <w:r>
              <w:rPr>
                <w:noProof/>
              </w:rPr>
              <w:t>Servicii de telecardiologie</w:t>
            </w:r>
          </w:p>
        </w:tc>
      </w:tr>
      <w:tr w:rsidR="00FA7C11" w14:paraId="460B913D" w14:textId="77777777">
        <w:trPr>
          <w:trHeight w:val="51"/>
        </w:trPr>
        <w:tc>
          <w:tcPr>
            <w:tcW w:w="1096" w:type="dxa"/>
            <w:shd w:val="clear" w:color="auto" w:fill="C6EFCE"/>
          </w:tcPr>
          <w:p w14:paraId="06749491"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tcPr>
          <w:p w14:paraId="41743F0A" w14:textId="77777777" w:rsidR="00FA7C11" w:rsidRDefault="00FA7C11">
            <w:pPr>
              <w:spacing w:after="0" w:line="240" w:lineRule="auto"/>
              <w:jc w:val="both"/>
              <w:textAlignment w:val="baseline"/>
              <w:rPr>
                <w:rFonts w:ascii="Times New Roman" w:hAnsi="Times New Roman" w:cs="Times New Roman"/>
                <w:noProof/>
                <w:color w:val="000000"/>
                <w:sz w:val="20"/>
                <w:szCs w:val="20"/>
              </w:rPr>
            </w:pPr>
          </w:p>
        </w:tc>
        <w:tc>
          <w:tcPr>
            <w:tcW w:w="1274" w:type="dxa"/>
            <w:shd w:val="clear" w:color="auto" w:fill="C6EFCE"/>
          </w:tcPr>
          <w:p w14:paraId="23A33D99" w14:textId="77777777" w:rsidR="00FA7C11" w:rsidRDefault="00D84965">
            <w:pPr>
              <w:pStyle w:val="P68B1DB1-Normal102"/>
              <w:spacing w:after="0" w:line="240" w:lineRule="auto"/>
              <w:jc w:val="both"/>
              <w:textAlignment w:val="baseline"/>
              <w:rPr>
                <w:noProof/>
              </w:rPr>
            </w:pPr>
            <w:r>
              <w:rPr>
                <w:noProof/>
              </w:rPr>
              <w:t>Cuantumul tranșei</w:t>
            </w:r>
          </w:p>
        </w:tc>
        <w:tc>
          <w:tcPr>
            <w:tcW w:w="5347" w:type="dxa"/>
            <w:shd w:val="clear" w:color="auto" w:fill="C6EFCE"/>
            <w:vAlign w:val="center"/>
          </w:tcPr>
          <w:p w14:paraId="487EDDB0" w14:textId="28F3F1BB" w:rsidR="00FA7C11" w:rsidRDefault="00D84965">
            <w:pPr>
              <w:pStyle w:val="P68B1DB1-Normal102"/>
              <w:spacing w:after="0" w:line="240" w:lineRule="auto"/>
              <w:jc w:val="both"/>
              <w:textAlignment w:val="baseline"/>
              <w:rPr>
                <w:noProof/>
              </w:rPr>
            </w:pPr>
            <w:r>
              <w:rPr>
                <w:noProof/>
              </w:rPr>
              <w:t>306 166 382 MIL.</w:t>
            </w:r>
          </w:p>
        </w:tc>
      </w:tr>
    </w:tbl>
    <w:p w14:paraId="44CFA501" w14:textId="77777777" w:rsidR="00FA7C11" w:rsidRDefault="00FA7C11">
      <w:pPr>
        <w:spacing w:after="0" w:line="240" w:lineRule="auto"/>
        <w:jc w:val="both"/>
        <w:textAlignment w:val="baseline"/>
        <w:rPr>
          <w:rFonts w:ascii="Segoe UI" w:eastAsia="Times New Roman" w:hAnsi="Segoe UI" w:cs="Segoe UI"/>
          <w:noProof/>
          <w:sz w:val="18"/>
          <w:szCs w:val="18"/>
        </w:rPr>
      </w:pPr>
    </w:p>
    <w:p w14:paraId="6CF9FB04" w14:textId="77777777" w:rsidR="00FA7C11" w:rsidRDefault="00D84965">
      <w:pPr>
        <w:pStyle w:val="P68B1DB1-Normal83"/>
        <w:numPr>
          <w:ilvl w:val="0"/>
          <w:numId w:val="80"/>
        </w:numPr>
        <w:spacing w:line="240" w:lineRule="auto"/>
        <w:contextualSpacing/>
        <w:jc w:val="both"/>
        <w:textAlignment w:val="baseline"/>
        <w:rPr>
          <w:noProof/>
        </w:rPr>
      </w:pPr>
      <w:r>
        <w:rPr>
          <w:noProof/>
        </w:rPr>
        <w:t>A cincea tranșă (sprijin nerambursabil):</w:t>
      </w:r>
    </w:p>
    <w:p w14:paraId="4D1FB89F" w14:textId="77777777" w:rsidR="00FA7C11" w:rsidRDefault="00FA7C11">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3"/>
        <w:gridCol w:w="1627"/>
        <w:gridCol w:w="1349"/>
        <w:gridCol w:w="5287"/>
      </w:tblGrid>
      <w:tr w:rsidR="00FA7C11" w14:paraId="267901EE" w14:textId="77777777">
        <w:trPr>
          <w:trHeight w:val="517"/>
          <w:tblHeader/>
        </w:trPr>
        <w:tc>
          <w:tcPr>
            <w:tcW w:w="1096" w:type="dxa"/>
            <w:shd w:val="clear" w:color="auto" w:fill="BDD7EE"/>
            <w:vAlign w:val="center"/>
            <w:hideMark/>
          </w:tcPr>
          <w:p w14:paraId="54FA8274"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39" w:type="dxa"/>
            <w:shd w:val="clear" w:color="auto" w:fill="BDD7EE"/>
            <w:vAlign w:val="center"/>
            <w:hideMark/>
          </w:tcPr>
          <w:p w14:paraId="296B7C0D"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4" w:type="dxa"/>
            <w:shd w:val="clear" w:color="auto" w:fill="BDD7EE"/>
            <w:vAlign w:val="center"/>
            <w:hideMark/>
          </w:tcPr>
          <w:p w14:paraId="1B82C562"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47" w:type="dxa"/>
            <w:shd w:val="clear" w:color="auto" w:fill="BDD7EE"/>
            <w:vAlign w:val="center"/>
            <w:hideMark/>
          </w:tcPr>
          <w:p w14:paraId="02DAFF19"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395A8306" w14:textId="77777777">
        <w:trPr>
          <w:trHeight w:val="51"/>
        </w:trPr>
        <w:tc>
          <w:tcPr>
            <w:tcW w:w="1096" w:type="dxa"/>
            <w:shd w:val="clear" w:color="auto" w:fill="C6EFCE"/>
            <w:vAlign w:val="center"/>
            <w:hideMark/>
          </w:tcPr>
          <w:p w14:paraId="0B4BC283" w14:textId="77777777" w:rsidR="00FA7C11" w:rsidRDefault="00D84965">
            <w:pPr>
              <w:pStyle w:val="P68B1DB1-Normal102"/>
              <w:spacing w:after="0" w:line="240" w:lineRule="auto"/>
              <w:jc w:val="center"/>
              <w:textAlignment w:val="baseline"/>
              <w:rPr>
                <w:rFonts w:eastAsia="Times New Roman"/>
                <w:noProof/>
              </w:rPr>
            </w:pPr>
            <w:r>
              <w:rPr>
                <w:noProof/>
              </w:rPr>
              <w:t>8</w:t>
            </w:r>
          </w:p>
        </w:tc>
        <w:tc>
          <w:tcPr>
            <w:tcW w:w="1639" w:type="dxa"/>
            <w:shd w:val="clear" w:color="auto" w:fill="C6EFCE"/>
            <w:vAlign w:val="center"/>
            <w:hideMark/>
          </w:tcPr>
          <w:p w14:paraId="7471C4CC" w14:textId="77777777" w:rsidR="00FA7C11" w:rsidRDefault="00D84965">
            <w:pPr>
              <w:pStyle w:val="P68B1DB1-Normal102"/>
              <w:spacing w:after="0" w:line="240" w:lineRule="auto"/>
              <w:jc w:val="center"/>
              <w:textAlignment w:val="baseline"/>
              <w:rPr>
                <w:rFonts w:eastAsia="Times New Roman"/>
                <w:noProof/>
              </w:rPr>
            </w:pPr>
            <w:r>
              <w:rPr>
                <w:noProof/>
              </w:rPr>
              <w:t>C1.1.1. R1-I2</w:t>
            </w:r>
          </w:p>
        </w:tc>
        <w:tc>
          <w:tcPr>
            <w:tcW w:w="1274" w:type="dxa"/>
            <w:shd w:val="clear" w:color="auto" w:fill="C6EFCE"/>
            <w:vAlign w:val="center"/>
            <w:hideMark/>
          </w:tcPr>
          <w:p w14:paraId="4B97C291"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18100347" w14:textId="77777777" w:rsidR="00FA7C11" w:rsidRDefault="00D84965">
            <w:pPr>
              <w:pStyle w:val="P68B1DB1-Normal102"/>
              <w:spacing w:after="0" w:line="240" w:lineRule="auto"/>
              <w:jc w:val="both"/>
              <w:textAlignment w:val="baseline"/>
              <w:rPr>
                <w:rFonts w:eastAsia="Times New Roman"/>
                <w:noProof/>
              </w:rPr>
            </w:pPr>
            <w:r>
              <w:rPr>
                <w:noProof/>
              </w:rPr>
              <w:t>Digitalizarea testului de evaluare a impactului asupra IMM-urilor prin dezvoltarea unei platforme digitale pentru colaborarea coordonatorilor, formare online și comunicare reciprocă</w:t>
            </w:r>
          </w:p>
        </w:tc>
      </w:tr>
      <w:tr w:rsidR="00FA7C11" w14:paraId="2D9B1BF8" w14:textId="77777777">
        <w:trPr>
          <w:trHeight w:val="51"/>
        </w:trPr>
        <w:tc>
          <w:tcPr>
            <w:tcW w:w="1096" w:type="dxa"/>
            <w:shd w:val="clear" w:color="auto" w:fill="C6EFCE"/>
            <w:vAlign w:val="center"/>
            <w:hideMark/>
          </w:tcPr>
          <w:p w14:paraId="60615AEA" w14:textId="77777777" w:rsidR="00FA7C11" w:rsidRDefault="00D84965">
            <w:pPr>
              <w:pStyle w:val="P68B1DB1-Normal102"/>
              <w:spacing w:after="0" w:line="240" w:lineRule="auto"/>
              <w:jc w:val="center"/>
              <w:textAlignment w:val="baseline"/>
              <w:rPr>
                <w:rFonts w:eastAsia="Times New Roman"/>
                <w:noProof/>
              </w:rPr>
            </w:pPr>
            <w:r>
              <w:rPr>
                <w:noProof/>
              </w:rPr>
              <w:t>9</w:t>
            </w:r>
          </w:p>
        </w:tc>
        <w:tc>
          <w:tcPr>
            <w:tcW w:w="1639" w:type="dxa"/>
            <w:shd w:val="clear" w:color="auto" w:fill="C6EFCE"/>
            <w:vAlign w:val="center"/>
            <w:hideMark/>
          </w:tcPr>
          <w:p w14:paraId="11E9A5C4" w14:textId="77777777" w:rsidR="00FA7C11" w:rsidRDefault="00D84965">
            <w:pPr>
              <w:pStyle w:val="P68B1DB1-Normal102"/>
              <w:spacing w:after="0" w:line="240" w:lineRule="auto"/>
              <w:jc w:val="center"/>
              <w:textAlignment w:val="baseline"/>
              <w:rPr>
                <w:rFonts w:eastAsia="Times New Roman"/>
                <w:noProof/>
              </w:rPr>
            </w:pPr>
            <w:r>
              <w:rPr>
                <w:noProof/>
              </w:rPr>
              <w:t>C1.1.1. R1-I2</w:t>
            </w:r>
          </w:p>
        </w:tc>
        <w:tc>
          <w:tcPr>
            <w:tcW w:w="1274" w:type="dxa"/>
            <w:shd w:val="clear" w:color="auto" w:fill="C6EFCE"/>
            <w:vAlign w:val="center"/>
            <w:hideMark/>
          </w:tcPr>
          <w:p w14:paraId="4B89131D" w14:textId="77777777" w:rsidR="00FA7C11" w:rsidRDefault="00D84965">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64AF213D" w14:textId="77777777" w:rsidR="00FA7C11" w:rsidRDefault="00D84965">
            <w:pPr>
              <w:pStyle w:val="P68B1DB1-Normal102"/>
              <w:spacing w:after="0" w:line="240" w:lineRule="auto"/>
              <w:jc w:val="both"/>
              <w:textAlignment w:val="baseline"/>
              <w:rPr>
                <w:rFonts w:eastAsia="Times New Roman"/>
                <w:noProof/>
              </w:rPr>
            </w:pPr>
            <w:r>
              <w:rPr>
                <w:noProof/>
              </w:rPr>
              <w:t xml:space="preserve">Punerea în aplicare a acțiunilor noului plan de acțiune pentru reducerea taxelor nefiscale și parafiscale </w:t>
            </w:r>
          </w:p>
        </w:tc>
      </w:tr>
      <w:tr w:rsidR="00FA7C11" w14:paraId="6FED52D6" w14:textId="77777777">
        <w:trPr>
          <w:trHeight w:val="51"/>
        </w:trPr>
        <w:tc>
          <w:tcPr>
            <w:tcW w:w="1096" w:type="dxa"/>
            <w:shd w:val="clear" w:color="auto" w:fill="C6EFCE"/>
            <w:vAlign w:val="center"/>
            <w:hideMark/>
          </w:tcPr>
          <w:p w14:paraId="328CC7C5" w14:textId="77777777" w:rsidR="00FA7C11" w:rsidRDefault="00D84965">
            <w:pPr>
              <w:pStyle w:val="P68B1DB1-Normal102"/>
              <w:spacing w:after="0" w:line="240" w:lineRule="auto"/>
              <w:jc w:val="center"/>
              <w:textAlignment w:val="baseline"/>
              <w:rPr>
                <w:rFonts w:eastAsia="Times New Roman"/>
                <w:noProof/>
              </w:rPr>
            </w:pPr>
            <w:r>
              <w:rPr>
                <w:noProof/>
              </w:rPr>
              <w:t>38</w:t>
            </w:r>
          </w:p>
        </w:tc>
        <w:tc>
          <w:tcPr>
            <w:tcW w:w="1639" w:type="dxa"/>
            <w:shd w:val="clear" w:color="auto" w:fill="C6EFCE"/>
            <w:vAlign w:val="center"/>
            <w:hideMark/>
          </w:tcPr>
          <w:p w14:paraId="5DD89FC4" w14:textId="77777777" w:rsidR="00FA7C11" w:rsidRDefault="00D84965">
            <w:pPr>
              <w:pStyle w:val="P68B1DB1-Normal102"/>
              <w:spacing w:after="0" w:line="240" w:lineRule="auto"/>
              <w:jc w:val="center"/>
              <w:textAlignment w:val="baseline"/>
              <w:rPr>
                <w:rFonts w:eastAsia="Times New Roman"/>
                <w:noProof/>
              </w:rPr>
            </w:pPr>
            <w:r>
              <w:rPr>
                <w:noProof/>
              </w:rPr>
              <w:t>C1.2. R1</w:t>
            </w:r>
          </w:p>
        </w:tc>
        <w:tc>
          <w:tcPr>
            <w:tcW w:w="1274" w:type="dxa"/>
            <w:shd w:val="clear" w:color="auto" w:fill="C6EFCE"/>
            <w:vAlign w:val="center"/>
            <w:hideMark/>
          </w:tcPr>
          <w:p w14:paraId="5A75FBD1"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7B4A640D" w14:textId="77777777" w:rsidR="00FA7C11" w:rsidRDefault="00D84965">
            <w:pPr>
              <w:pStyle w:val="P68B1DB1-Normal102"/>
              <w:spacing w:after="0" w:line="240" w:lineRule="auto"/>
              <w:jc w:val="both"/>
              <w:textAlignment w:val="baseline"/>
              <w:rPr>
                <w:rFonts w:eastAsia="Times New Roman"/>
                <w:noProof/>
              </w:rPr>
            </w:pPr>
            <w:r>
              <w:rPr>
                <w:noProof/>
              </w:rPr>
              <w:t>Certificarea Plinacro de către autoritatea națională croată de reglementare în domeniul energiei (HERA)</w:t>
            </w:r>
          </w:p>
        </w:tc>
      </w:tr>
      <w:tr w:rsidR="00FA7C11" w14:paraId="148D813E" w14:textId="77777777">
        <w:trPr>
          <w:trHeight w:val="51"/>
        </w:trPr>
        <w:tc>
          <w:tcPr>
            <w:tcW w:w="1096" w:type="dxa"/>
            <w:shd w:val="clear" w:color="auto" w:fill="C6EFCE"/>
            <w:vAlign w:val="center"/>
          </w:tcPr>
          <w:p w14:paraId="7E8FCF5A" w14:textId="77777777" w:rsidR="00FA7C11" w:rsidRDefault="00D84965">
            <w:pPr>
              <w:pStyle w:val="P68B1DB1-Normal102"/>
              <w:spacing w:after="0" w:line="240" w:lineRule="auto"/>
              <w:jc w:val="center"/>
              <w:textAlignment w:val="baseline"/>
              <w:rPr>
                <w:noProof/>
              </w:rPr>
            </w:pPr>
            <w:r>
              <w:rPr>
                <w:noProof/>
              </w:rPr>
              <w:t>64</w:t>
            </w:r>
          </w:p>
        </w:tc>
        <w:tc>
          <w:tcPr>
            <w:tcW w:w="1639" w:type="dxa"/>
            <w:shd w:val="clear" w:color="auto" w:fill="C6EFCE"/>
            <w:vAlign w:val="center"/>
          </w:tcPr>
          <w:p w14:paraId="6E12BA63" w14:textId="77777777" w:rsidR="00FA7C11" w:rsidRDefault="00D84965">
            <w:pPr>
              <w:pStyle w:val="P68B1DB1-Normal102"/>
              <w:spacing w:after="0" w:line="240" w:lineRule="auto"/>
              <w:jc w:val="center"/>
              <w:textAlignment w:val="baseline"/>
              <w:rPr>
                <w:noProof/>
              </w:rPr>
            </w:pPr>
            <w:r>
              <w:rPr>
                <w:noProof/>
              </w:rPr>
              <w:t>C1.3. R1-I1</w:t>
            </w:r>
          </w:p>
        </w:tc>
        <w:tc>
          <w:tcPr>
            <w:tcW w:w="1274" w:type="dxa"/>
            <w:shd w:val="clear" w:color="auto" w:fill="C6EFCE"/>
            <w:vAlign w:val="center"/>
          </w:tcPr>
          <w:p w14:paraId="5F854A3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77C3F1A" w14:textId="77777777" w:rsidR="00FA7C11" w:rsidRDefault="00D84965">
            <w:pPr>
              <w:pStyle w:val="P68B1DB1-Normal102"/>
              <w:spacing w:after="0" w:line="240" w:lineRule="auto"/>
              <w:jc w:val="both"/>
              <w:textAlignment w:val="baseline"/>
              <w:rPr>
                <w:noProof/>
              </w:rPr>
            </w:pPr>
            <w:r>
              <w:rPr>
                <w:noProof/>
              </w:rPr>
              <w:t xml:space="preserve">Contracte de lucrări încheiate pentru proiecte de infrastructură pentru apele uzate </w:t>
            </w:r>
          </w:p>
        </w:tc>
      </w:tr>
      <w:tr w:rsidR="00FA7C11" w14:paraId="061D8CDA" w14:textId="77777777">
        <w:trPr>
          <w:trHeight w:val="51"/>
        </w:trPr>
        <w:tc>
          <w:tcPr>
            <w:tcW w:w="1096" w:type="dxa"/>
            <w:shd w:val="clear" w:color="auto" w:fill="C6EFCE"/>
            <w:vAlign w:val="center"/>
          </w:tcPr>
          <w:p w14:paraId="13A3F53A" w14:textId="77777777" w:rsidR="00FA7C11" w:rsidRDefault="00D84965">
            <w:pPr>
              <w:pStyle w:val="P68B1DB1-Normal102"/>
              <w:spacing w:after="0" w:line="240" w:lineRule="auto"/>
              <w:jc w:val="center"/>
              <w:textAlignment w:val="baseline"/>
              <w:rPr>
                <w:noProof/>
              </w:rPr>
            </w:pPr>
            <w:r>
              <w:rPr>
                <w:noProof/>
              </w:rPr>
              <w:t>70</w:t>
            </w:r>
          </w:p>
        </w:tc>
        <w:tc>
          <w:tcPr>
            <w:tcW w:w="1639" w:type="dxa"/>
            <w:shd w:val="clear" w:color="auto" w:fill="C6EFCE"/>
            <w:vAlign w:val="center"/>
          </w:tcPr>
          <w:p w14:paraId="14037369" w14:textId="77777777" w:rsidR="00FA7C11" w:rsidRDefault="00D84965">
            <w:pPr>
              <w:pStyle w:val="P68B1DB1-Normal102"/>
              <w:spacing w:after="0" w:line="240" w:lineRule="auto"/>
              <w:jc w:val="center"/>
              <w:textAlignment w:val="baseline"/>
              <w:rPr>
                <w:noProof/>
              </w:rPr>
            </w:pPr>
            <w:r>
              <w:rPr>
                <w:noProof/>
              </w:rPr>
              <w:t>C1.3. R1-I2</w:t>
            </w:r>
          </w:p>
        </w:tc>
        <w:tc>
          <w:tcPr>
            <w:tcW w:w="1274" w:type="dxa"/>
            <w:shd w:val="clear" w:color="auto" w:fill="C6EFCE"/>
            <w:vAlign w:val="center"/>
          </w:tcPr>
          <w:p w14:paraId="636F459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ECE2992" w14:textId="77777777" w:rsidR="00FA7C11" w:rsidRDefault="00D84965">
            <w:pPr>
              <w:pStyle w:val="P68B1DB1-Normal102"/>
              <w:spacing w:after="0" w:line="240" w:lineRule="auto"/>
              <w:jc w:val="both"/>
              <w:textAlignment w:val="baseline"/>
              <w:rPr>
                <w:noProof/>
              </w:rPr>
            </w:pPr>
            <w:r>
              <w:rPr>
                <w:noProof/>
              </w:rPr>
              <w:t xml:space="preserve">Contracte de lucrări încheiate pentru proiecte de alimentare cu apă </w:t>
            </w:r>
          </w:p>
        </w:tc>
      </w:tr>
      <w:tr w:rsidR="00FA7C11" w14:paraId="3EA9D212" w14:textId="77777777">
        <w:trPr>
          <w:trHeight w:val="51"/>
        </w:trPr>
        <w:tc>
          <w:tcPr>
            <w:tcW w:w="1096" w:type="dxa"/>
            <w:shd w:val="clear" w:color="auto" w:fill="C6EFCE"/>
            <w:vAlign w:val="center"/>
          </w:tcPr>
          <w:p w14:paraId="36B12D43" w14:textId="77777777" w:rsidR="00FA7C11" w:rsidRDefault="00D84965">
            <w:pPr>
              <w:pStyle w:val="P68B1DB1-Normal102"/>
              <w:spacing w:after="0" w:line="240" w:lineRule="auto"/>
              <w:jc w:val="center"/>
              <w:textAlignment w:val="baseline"/>
              <w:rPr>
                <w:noProof/>
              </w:rPr>
            </w:pPr>
            <w:r>
              <w:rPr>
                <w:noProof/>
              </w:rPr>
              <w:t>71</w:t>
            </w:r>
          </w:p>
        </w:tc>
        <w:tc>
          <w:tcPr>
            <w:tcW w:w="1639" w:type="dxa"/>
            <w:shd w:val="clear" w:color="auto" w:fill="C6EFCE"/>
            <w:vAlign w:val="center"/>
          </w:tcPr>
          <w:p w14:paraId="4622214E" w14:textId="77777777" w:rsidR="00FA7C11" w:rsidRDefault="00D84965">
            <w:pPr>
              <w:pStyle w:val="P68B1DB1-Normal102"/>
              <w:spacing w:after="0" w:line="240" w:lineRule="auto"/>
              <w:jc w:val="center"/>
              <w:textAlignment w:val="baseline"/>
              <w:rPr>
                <w:noProof/>
              </w:rPr>
            </w:pPr>
            <w:r>
              <w:rPr>
                <w:noProof/>
              </w:rPr>
              <w:t>C1.3. R1-I2</w:t>
            </w:r>
          </w:p>
        </w:tc>
        <w:tc>
          <w:tcPr>
            <w:tcW w:w="1274" w:type="dxa"/>
            <w:shd w:val="clear" w:color="auto" w:fill="C6EFCE"/>
            <w:vAlign w:val="center"/>
          </w:tcPr>
          <w:p w14:paraId="26648F7E"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AE1ACA9" w14:textId="77777777" w:rsidR="00FA7C11" w:rsidRDefault="00D84965">
            <w:pPr>
              <w:pStyle w:val="P68B1DB1-Normal102"/>
              <w:spacing w:after="0" w:line="240" w:lineRule="auto"/>
              <w:jc w:val="both"/>
              <w:textAlignment w:val="baseline"/>
              <w:rPr>
                <w:noProof/>
              </w:rPr>
            </w:pPr>
            <w:r>
              <w:rPr>
                <w:noProof/>
              </w:rPr>
              <w:t xml:space="preserve">Rețea publică de alimentare cu apă construită sau reconstruită </w:t>
            </w:r>
          </w:p>
        </w:tc>
      </w:tr>
      <w:tr w:rsidR="00FA7C11" w14:paraId="5D350181" w14:textId="77777777">
        <w:trPr>
          <w:trHeight w:val="51"/>
        </w:trPr>
        <w:tc>
          <w:tcPr>
            <w:tcW w:w="1096" w:type="dxa"/>
            <w:shd w:val="clear" w:color="auto" w:fill="C6EFCE"/>
            <w:vAlign w:val="center"/>
          </w:tcPr>
          <w:p w14:paraId="13ECCDFD" w14:textId="77777777" w:rsidR="00FA7C11" w:rsidRDefault="00D84965">
            <w:pPr>
              <w:pStyle w:val="P68B1DB1-Normal102"/>
              <w:spacing w:after="0" w:line="240" w:lineRule="auto"/>
              <w:jc w:val="center"/>
              <w:textAlignment w:val="baseline"/>
              <w:rPr>
                <w:noProof/>
              </w:rPr>
            </w:pPr>
            <w:r>
              <w:rPr>
                <w:noProof/>
              </w:rPr>
              <w:t>94</w:t>
            </w:r>
          </w:p>
        </w:tc>
        <w:tc>
          <w:tcPr>
            <w:tcW w:w="1639" w:type="dxa"/>
            <w:shd w:val="clear" w:color="auto" w:fill="C6EFCE"/>
            <w:vAlign w:val="center"/>
          </w:tcPr>
          <w:p w14:paraId="7EA72764" w14:textId="77777777" w:rsidR="00FA7C11" w:rsidRDefault="00D84965">
            <w:pPr>
              <w:pStyle w:val="P68B1DB1-Normal102"/>
              <w:spacing w:after="0" w:line="240" w:lineRule="auto"/>
              <w:jc w:val="center"/>
              <w:textAlignment w:val="baseline"/>
              <w:rPr>
                <w:noProof/>
              </w:rPr>
            </w:pPr>
            <w:r>
              <w:rPr>
                <w:noProof/>
              </w:rPr>
              <w:t>C1.4. R1-I2</w:t>
            </w:r>
          </w:p>
        </w:tc>
        <w:tc>
          <w:tcPr>
            <w:tcW w:w="1274" w:type="dxa"/>
            <w:shd w:val="clear" w:color="auto" w:fill="C6EFCE"/>
            <w:vAlign w:val="center"/>
          </w:tcPr>
          <w:p w14:paraId="6D9F2847"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DD91CDD" w14:textId="77777777" w:rsidR="00FA7C11" w:rsidRDefault="00D84965">
            <w:pPr>
              <w:pStyle w:val="P68B1DB1-Normal102"/>
              <w:spacing w:after="0" w:line="240" w:lineRule="auto"/>
              <w:jc w:val="both"/>
              <w:textAlignment w:val="baseline"/>
              <w:rPr>
                <w:noProof/>
              </w:rPr>
            </w:pPr>
            <w:r>
              <w:rPr>
                <w:noProof/>
              </w:rPr>
              <w:t>Instituirea unui sistem funcțional pentru exercitarea drepturilor persoanelor cu handicap în domeniul mobilității</w:t>
            </w:r>
          </w:p>
        </w:tc>
      </w:tr>
      <w:tr w:rsidR="00FA7C11" w14:paraId="334927EE" w14:textId="77777777">
        <w:trPr>
          <w:trHeight w:val="51"/>
        </w:trPr>
        <w:tc>
          <w:tcPr>
            <w:tcW w:w="1096" w:type="dxa"/>
            <w:shd w:val="clear" w:color="auto" w:fill="C6EFCE"/>
            <w:vAlign w:val="center"/>
          </w:tcPr>
          <w:p w14:paraId="5587AD0B" w14:textId="77777777" w:rsidR="00FA7C11" w:rsidRDefault="00D84965">
            <w:pPr>
              <w:pStyle w:val="P68B1DB1-Normal102"/>
              <w:spacing w:after="0" w:line="240" w:lineRule="auto"/>
              <w:jc w:val="center"/>
              <w:textAlignment w:val="baseline"/>
              <w:rPr>
                <w:noProof/>
              </w:rPr>
            </w:pPr>
            <w:r>
              <w:rPr>
                <w:noProof/>
              </w:rPr>
              <w:t>127</w:t>
            </w:r>
          </w:p>
        </w:tc>
        <w:tc>
          <w:tcPr>
            <w:tcW w:w="1639" w:type="dxa"/>
            <w:shd w:val="clear" w:color="auto" w:fill="C6EFCE"/>
            <w:vAlign w:val="center"/>
          </w:tcPr>
          <w:p w14:paraId="51067083" w14:textId="77777777" w:rsidR="00FA7C11" w:rsidRDefault="00D84965">
            <w:pPr>
              <w:pStyle w:val="P68B1DB1-Normal102"/>
              <w:spacing w:after="0" w:line="240" w:lineRule="auto"/>
              <w:jc w:val="center"/>
              <w:textAlignment w:val="baseline"/>
              <w:rPr>
                <w:noProof/>
              </w:rPr>
            </w:pPr>
            <w:r>
              <w:rPr>
                <w:noProof/>
              </w:rPr>
              <w:t>C1.5. R1-I1</w:t>
            </w:r>
          </w:p>
        </w:tc>
        <w:tc>
          <w:tcPr>
            <w:tcW w:w="1274" w:type="dxa"/>
            <w:shd w:val="clear" w:color="auto" w:fill="C6EFCE"/>
            <w:vAlign w:val="center"/>
          </w:tcPr>
          <w:p w14:paraId="7F17328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7FB0059" w14:textId="77777777" w:rsidR="00FA7C11" w:rsidRDefault="00D84965">
            <w:pPr>
              <w:pStyle w:val="P68B1DB1-Normal102"/>
              <w:spacing w:after="0" w:line="240" w:lineRule="auto"/>
              <w:jc w:val="both"/>
              <w:textAlignment w:val="baseline"/>
              <w:rPr>
                <w:noProof/>
              </w:rPr>
            </w:pPr>
            <w:r>
              <w:rPr>
                <w:noProof/>
              </w:rPr>
              <w:t>Construirea și funcționarea unui centru de distribuție logistică (LDC)</w:t>
            </w:r>
          </w:p>
        </w:tc>
      </w:tr>
      <w:tr w:rsidR="00FA7C11" w14:paraId="65751E07" w14:textId="77777777">
        <w:trPr>
          <w:trHeight w:val="51"/>
        </w:trPr>
        <w:tc>
          <w:tcPr>
            <w:tcW w:w="1096" w:type="dxa"/>
            <w:shd w:val="clear" w:color="auto" w:fill="C6EFCE"/>
            <w:vAlign w:val="center"/>
          </w:tcPr>
          <w:p w14:paraId="188DA7E3" w14:textId="77777777" w:rsidR="00FA7C11" w:rsidRDefault="00D84965">
            <w:pPr>
              <w:pStyle w:val="P68B1DB1-Normal102"/>
              <w:spacing w:after="0" w:line="240" w:lineRule="auto"/>
              <w:jc w:val="center"/>
              <w:textAlignment w:val="baseline"/>
              <w:rPr>
                <w:noProof/>
              </w:rPr>
            </w:pPr>
            <w:r>
              <w:rPr>
                <w:noProof/>
              </w:rPr>
              <w:t>139</w:t>
            </w:r>
          </w:p>
        </w:tc>
        <w:tc>
          <w:tcPr>
            <w:tcW w:w="1639" w:type="dxa"/>
            <w:shd w:val="clear" w:color="auto" w:fill="C6EFCE"/>
            <w:vAlign w:val="center"/>
          </w:tcPr>
          <w:p w14:paraId="0D6E5B73" w14:textId="77777777" w:rsidR="00FA7C11" w:rsidRDefault="00D84965">
            <w:pPr>
              <w:pStyle w:val="P68B1DB1-Normal102"/>
              <w:spacing w:after="0" w:line="240" w:lineRule="auto"/>
              <w:jc w:val="center"/>
              <w:textAlignment w:val="baseline"/>
              <w:rPr>
                <w:noProof/>
              </w:rPr>
            </w:pPr>
            <w:r>
              <w:rPr>
                <w:noProof/>
              </w:rPr>
              <w:t>C1.5. R4-I1</w:t>
            </w:r>
          </w:p>
        </w:tc>
        <w:tc>
          <w:tcPr>
            <w:tcW w:w="1274" w:type="dxa"/>
            <w:shd w:val="clear" w:color="auto" w:fill="C6EFCE"/>
            <w:vAlign w:val="center"/>
          </w:tcPr>
          <w:p w14:paraId="5DB71627"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3D9CC07" w14:textId="77777777" w:rsidR="00FA7C11" w:rsidRDefault="00D84965">
            <w:pPr>
              <w:pStyle w:val="P68B1DB1-Normal102"/>
              <w:spacing w:after="0" w:line="240" w:lineRule="auto"/>
              <w:jc w:val="both"/>
              <w:textAlignment w:val="baseline"/>
              <w:rPr>
                <w:noProof/>
              </w:rPr>
            </w:pPr>
            <w:r>
              <w:rPr>
                <w:noProof/>
              </w:rPr>
              <w:t>Schemă de sprijin pentru dotarea cu infrastructură a băncilor de alimente și a intermediarilor din lanțul donațiilor de alimente</w:t>
            </w:r>
          </w:p>
        </w:tc>
      </w:tr>
      <w:tr w:rsidR="00FA7C11" w14:paraId="14719236" w14:textId="77777777">
        <w:trPr>
          <w:trHeight w:val="51"/>
        </w:trPr>
        <w:tc>
          <w:tcPr>
            <w:tcW w:w="1096" w:type="dxa"/>
            <w:shd w:val="clear" w:color="auto" w:fill="C6EFCE"/>
            <w:vAlign w:val="center"/>
          </w:tcPr>
          <w:p w14:paraId="590DEB8D" w14:textId="77777777" w:rsidR="00FA7C11" w:rsidRDefault="00D84965">
            <w:pPr>
              <w:pStyle w:val="P68B1DB1-Normal102"/>
              <w:spacing w:after="0" w:line="240" w:lineRule="auto"/>
              <w:jc w:val="center"/>
              <w:textAlignment w:val="baseline"/>
              <w:rPr>
                <w:noProof/>
              </w:rPr>
            </w:pPr>
            <w:r>
              <w:rPr>
                <w:noProof/>
              </w:rPr>
              <w:t>142</w:t>
            </w:r>
          </w:p>
        </w:tc>
        <w:tc>
          <w:tcPr>
            <w:tcW w:w="1639" w:type="dxa"/>
            <w:shd w:val="clear" w:color="auto" w:fill="C6EFCE"/>
            <w:vAlign w:val="center"/>
          </w:tcPr>
          <w:p w14:paraId="0612677A" w14:textId="77777777" w:rsidR="00FA7C11" w:rsidRDefault="00D84965">
            <w:pPr>
              <w:pStyle w:val="P68B1DB1-Normal102"/>
              <w:spacing w:after="0" w:line="240" w:lineRule="auto"/>
              <w:jc w:val="center"/>
              <w:textAlignment w:val="baseline"/>
              <w:rPr>
                <w:noProof/>
              </w:rPr>
            </w:pPr>
            <w:r>
              <w:rPr>
                <w:noProof/>
              </w:rPr>
              <w:t>C1.6. R1</w:t>
            </w:r>
          </w:p>
        </w:tc>
        <w:tc>
          <w:tcPr>
            <w:tcW w:w="1274" w:type="dxa"/>
            <w:shd w:val="clear" w:color="auto" w:fill="C6EFCE"/>
            <w:vAlign w:val="center"/>
          </w:tcPr>
          <w:p w14:paraId="0B187257"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3E71DDD" w14:textId="0351FAB1" w:rsidR="00FA7C11" w:rsidRDefault="00D84965">
            <w:pPr>
              <w:pStyle w:val="P68B1DB1-Normal102"/>
              <w:spacing w:after="0" w:line="240" w:lineRule="auto"/>
              <w:jc w:val="both"/>
              <w:textAlignment w:val="baseline"/>
              <w:rPr>
                <w:noProof/>
              </w:rPr>
            </w:pPr>
            <w:r>
              <w:rPr>
                <w:noProof/>
              </w:rPr>
              <w:t>De elaborare a cadrului metodologic al contului satelit pentru turism durabil al Republicii Croația</w:t>
            </w:r>
          </w:p>
        </w:tc>
      </w:tr>
      <w:tr w:rsidR="00FA7C11" w14:paraId="0417964D" w14:textId="77777777">
        <w:trPr>
          <w:trHeight w:val="51"/>
        </w:trPr>
        <w:tc>
          <w:tcPr>
            <w:tcW w:w="1096" w:type="dxa"/>
            <w:shd w:val="clear" w:color="auto" w:fill="C6EFCE"/>
            <w:vAlign w:val="center"/>
          </w:tcPr>
          <w:p w14:paraId="6402DCCF" w14:textId="77777777" w:rsidR="00FA7C11" w:rsidRDefault="00D84965">
            <w:pPr>
              <w:pStyle w:val="P68B1DB1-Normal102"/>
              <w:spacing w:after="0" w:line="240" w:lineRule="auto"/>
              <w:jc w:val="center"/>
              <w:textAlignment w:val="baseline"/>
              <w:rPr>
                <w:noProof/>
              </w:rPr>
            </w:pPr>
            <w:r>
              <w:rPr>
                <w:noProof/>
              </w:rPr>
              <w:t>143</w:t>
            </w:r>
          </w:p>
        </w:tc>
        <w:tc>
          <w:tcPr>
            <w:tcW w:w="1639" w:type="dxa"/>
            <w:shd w:val="clear" w:color="auto" w:fill="C6EFCE"/>
            <w:vAlign w:val="center"/>
          </w:tcPr>
          <w:p w14:paraId="5CDDDE12" w14:textId="77777777" w:rsidR="00FA7C11" w:rsidRDefault="00D84965">
            <w:pPr>
              <w:pStyle w:val="P68B1DB1-Normal102"/>
              <w:spacing w:after="0" w:line="240" w:lineRule="auto"/>
              <w:jc w:val="center"/>
              <w:textAlignment w:val="baseline"/>
              <w:rPr>
                <w:noProof/>
              </w:rPr>
            </w:pPr>
            <w:r>
              <w:rPr>
                <w:noProof/>
              </w:rPr>
              <w:t>C1.6. R1</w:t>
            </w:r>
          </w:p>
        </w:tc>
        <w:tc>
          <w:tcPr>
            <w:tcW w:w="1274" w:type="dxa"/>
            <w:shd w:val="clear" w:color="auto" w:fill="C6EFCE"/>
            <w:vAlign w:val="center"/>
          </w:tcPr>
          <w:p w14:paraId="469D2F75"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73269F5" w14:textId="77777777" w:rsidR="00FA7C11" w:rsidRDefault="00D84965">
            <w:pPr>
              <w:pStyle w:val="P68B1DB1-Normal102"/>
              <w:spacing w:after="0" w:line="240" w:lineRule="auto"/>
              <w:jc w:val="both"/>
              <w:textAlignment w:val="baseline"/>
              <w:rPr>
                <w:noProof/>
              </w:rPr>
            </w:pPr>
            <w:r>
              <w:rPr>
                <w:noProof/>
              </w:rPr>
              <w:t>Legea turismului care stabilește un cadru pentru monitorizarea și dezvoltarea sectorului turismului</w:t>
            </w:r>
          </w:p>
        </w:tc>
      </w:tr>
      <w:tr w:rsidR="00FA7C11" w14:paraId="717DE65C" w14:textId="77777777">
        <w:trPr>
          <w:trHeight w:val="51"/>
        </w:trPr>
        <w:tc>
          <w:tcPr>
            <w:tcW w:w="1096" w:type="dxa"/>
            <w:shd w:val="clear" w:color="auto" w:fill="C6EFCE"/>
            <w:vAlign w:val="center"/>
          </w:tcPr>
          <w:p w14:paraId="17EDC797" w14:textId="77777777" w:rsidR="00FA7C11" w:rsidRDefault="00D84965">
            <w:pPr>
              <w:pStyle w:val="P68B1DB1-Normal102"/>
              <w:spacing w:after="0" w:line="240" w:lineRule="auto"/>
              <w:jc w:val="center"/>
              <w:textAlignment w:val="baseline"/>
              <w:rPr>
                <w:noProof/>
              </w:rPr>
            </w:pPr>
            <w:r>
              <w:rPr>
                <w:noProof/>
              </w:rPr>
              <w:t>151</w:t>
            </w:r>
          </w:p>
        </w:tc>
        <w:tc>
          <w:tcPr>
            <w:tcW w:w="1639" w:type="dxa"/>
            <w:shd w:val="clear" w:color="auto" w:fill="C6EFCE"/>
            <w:vAlign w:val="center"/>
          </w:tcPr>
          <w:p w14:paraId="180EA780" w14:textId="77777777" w:rsidR="00FA7C11" w:rsidRDefault="00D84965">
            <w:pPr>
              <w:pStyle w:val="P68B1DB1-Normal102"/>
              <w:spacing w:after="0" w:line="240" w:lineRule="auto"/>
              <w:jc w:val="center"/>
              <w:textAlignment w:val="baseline"/>
              <w:rPr>
                <w:noProof/>
              </w:rPr>
            </w:pPr>
            <w:r>
              <w:rPr>
                <w:noProof/>
              </w:rPr>
              <w:t>C2.1. R1</w:t>
            </w:r>
          </w:p>
        </w:tc>
        <w:tc>
          <w:tcPr>
            <w:tcW w:w="1274" w:type="dxa"/>
            <w:shd w:val="clear" w:color="auto" w:fill="C6EFCE"/>
            <w:vAlign w:val="center"/>
          </w:tcPr>
          <w:p w14:paraId="053CA375"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2577DB3" w14:textId="77777777" w:rsidR="00FA7C11" w:rsidRDefault="00D84965">
            <w:pPr>
              <w:pStyle w:val="P68B1DB1-Normal102"/>
              <w:spacing w:after="0" w:line="240" w:lineRule="auto"/>
              <w:jc w:val="both"/>
              <w:textAlignment w:val="baseline"/>
              <w:rPr>
                <w:noProof/>
              </w:rPr>
            </w:pPr>
            <w:r>
              <w:rPr>
                <w:noProof/>
              </w:rPr>
              <w:t>Modificări ale Actului privind evaluarea impactului normativ</w:t>
            </w:r>
          </w:p>
        </w:tc>
      </w:tr>
      <w:tr w:rsidR="00FA7C11" w14:paraId="6C98074B" w14:textId="77777777">
        <w:trPr>
          <w:trHeight w:val="51"/>
        </w:trPr>
        <w:tc>
          <w:tcPr>
            <w:tcW w:w="1096" w:type="dxa"/>
            <w:shd w:val="clear" w:color="auto" w:fill="C6EFCE"/>
            <w:vAlign w:val="center"/>
          </w:tcPr>
          <w:p w14:paraId="05FB4952" w14:textId="77777777" w:rsidR="00FA7C11" w:rsidRDefault="00D84965">
            <w:pPr>
              <w:pStyle w:val="P68B1DB1-Normal102"/>
              <w:spacing w:after="0" w:line="240" w:lineRule="auto"/>
              <w:jc w:val="center"/>
              <w:textAlignment w:val="baseline"/>
              <w:rPr>
                <w:noProof/>
              </w:rPr>
            </w:pPr>
            <w:r>
              <w:rPr>
                <w:noProof/>
              </w:rPr>
              <w:t>168</w:t>
            </w:r>
          </w:p>
        </w:tc>
        <w:tc>
          <w:tcPr>
            <w:tcW w:w="1639" w:type="dxa"/>
            <w:shd w:val="clear" w:color="auto" w:fill="C6EFCE"/>
            <w:vAlign w:val="center"/>
          </w:tcPr>
          <w:p w14:paraId="14387694" w14:textId="77777777" w:rsidR="00FA7C11" w:rsidRDefault="00D84965">
            <w:pPr>
              <w:pStyle w:val="P68B1DB1-Normal102"/>
              <w:spacing w:after="0" w:line="240" w:lineRule="auto"/>
              <w:jc w:val="center"/>
              <w:textAlignment w:val="baseline"/>
              <w:rPr>
                <w:noProof/>
              </w:rPr>
            </w:pPr>
            <w:r>
              <w:rPr>
                <w:noProof/>
              </w:rPr>
              <w:t>C2.2. R2-I2</w:t>
            </w:r>
          </w:p>
        </w:tc>
        <w:tc>
          <w:tcPr>
            <w:tcW w:w="1274" w:type="dxa"/>
            <w:shd w:val="clear" w:color="auto" w:fill="C6EFCE"/>
            <w:vAlign w:val="center"/>
          </w:tcPr>
          <w:p w14:paraId="5529D08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0328152" w14:textId="77777777" w:rsidR="00FA7C11" w:rsidRDefault="00D84965">
            <w:pPr>
              <w:pStyle w:val="P68B1DB1-Normal102"/>
              <w:spacing w:after="0" w:line="240" w:lineRule="auto"/>
              <w:jc w:val="both"/>
              <w:textAlignment w:val="baseline"/>
              <w:rPr>
                <w:noProof/>
              </w:rPr>
            </w:pPr>
            <w:r>
              <w:rPr>
                <w:noProof/>
              </w:rPr>
              <w:t>Cel puțin 20 % dintre funcționarii publici lucrează în cadrul modelului de lucru inteligent</w:t>
            </w:r>
          </w:p>
        </w:tc>
      </w:tr>
      <w:tr w:rsidR="00FA7C11" w14:paraId="03D25903" w14:textId="77777777">
        <w:trPr>
          <w:trHeight w:val="51"/>
        </w:trPr>
        <w:tc>
          <w:tcPr>
            <w:tcW w:w="1096" w:type="dxa"/>
            <w:shd w:val="clear" w:color="auto" w:fill="C6EFCE"/>
            <w:vAlign w:val="center"/>
          </w:tcPr>
          <w:p w14:paraId="1F5CC6A7" w14:textId="77777777" w:rsidR="00FA7C11" w:rsidRDefault="00D84965">
            <w:pPr>
              <w:pStyle w:val="P68B1DB1-Normal102"/>
              <w:spacing w:after="0" w:line="240" w:lineRule="auto"/>
              <w:jc w:val="center"/>
              <w:textAlignment w:val="baseline"/>
              <w:rPr>
                <w:noProof/>
              </w:rPr>
            </w:pPr>
            <w:r>
              <w:rPr>
                <w:noProof/>
              </w:rPr>
              <w:t>169</w:t>
            </w:r>
          </w:p>
        </w:tc>
        <w:tc>
          <w:tcPr>
            <w:tcW w:w="1639" w:type="dxa"/>
            <w:shd w:val="clear" w:color="auto" w:fill="C6EFCE"/>
            <w:vAlign w:val="center"/>
          </w:tcPr>
          <w:p w14:paraId="453DB8A1" w14:textId="77777777" w:rsidR="00FA7C11" w:rsidRDefault="00D84965">
            <w:pPr>
              <w:pStyle w:val="P68B1DB1-Normal102"/>
              <w:spacing w:after="0" w:line="240" w:lineRule="auto"/>
              <w:jc w:val="center"/>
              <w:textAlignment w:val="baseline"/>
              <w:rPr>
                <w:noProof/>
              </w:rPr>
            </w:pPr>
            <w:r>
              <w:rPr>
                <w:noProof/>
              </w:rPr>
              <w:t>C2.2. R2-I2</w:t>
            </w:r>
          </w:p>
        </w:tc>
        <w:tc>
          <w:tcPr>
            <w:tcW w:w="1274" w:type="dxa"/>
            <w:shd w:val="clear" w:color="auto" w:fill="C6EFCE"/>
            <w:vAlign w:val="center"/>
          </w:tcPr>
          <w:p w14:paraId="6BE0C8A9"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97EE2DF" w14:textId="77777777" w:rsidR="00FA7C11" w:rsidRDefault="00D84965">
            <w:pPr>
              <w:pStyle w:val="P68B1DB1-Normal102"/>
              <w:spacing w:after="0" w:line="240" w:lineRule="auto"/>
              <w:jc w:val="both"/>
              <w:textAlignment w:val="baseline"/>
              <w:rPr>
                <w:noProof/>
              </w:rPr>
            </w:pPr>
            <w:r>
              <w:rPr>
                <w:noProof/>
              </w:rPr>
              <w:t>Cel puțin 60 % dintre funcționarii publici formați în domeniul metodelor de lucru inteligente</w:t>
            </w:r>
          </w:p>
        </w:tc>
      </w:tr>
      <w:tr w:rsidR="00FA7C11" w14:paraId="27C97A20" w14:textId="77777777">
        <w:trPr>
          <w:trHeight w:val="51"/>
        </w:trPr>
        <w:tc>
          <w:tcPr>
            <w:tcW w:w="1096" w:type="dxa"/>
            <w:shd w:val="clear" w:color="auto" w:fill="C6EFCE"/>
            <w:vAlign w:val="center"/>
          </w:tcPr>
          <w:p w14:paraId="37AD6CF5" w14:textId="77777777" w:rsidR="00FA7C11" w:rsidRDefault="00D84965">
            <w:pPr>
              <w:pStyle w:val="P68B1DB1-Normal102"/>
              <w:spacing w:after="0" w:line="240" w:lineRule="auto"/>
              <w:jc w:val="center"/>
              <w:textAlignment w:val="baseline"/>
              <w:rPr>
                <w:noProof/>
              </w:rPr>
            </w:pPr>
            <w:r>
              <w:rPr>
                <w:noProof/>
              </w:rPr>
              <w:t>170</w:t>
            </w:r>
          </w:p>
        </w:tc>
        <w:tc>
          <w:tcPr>
            <w:tcW w:w="1639" w:type="dxa"/>
            <w:shd w:val="clear" w:color="auto" w:fill="C6EFCE"/>
            <w:vAlign w:val="center"/>
          </w:tcPr>
          <w:p w14:paraId="1339B492" w14:textId="77777777" w:rsidR="00FA7C11" w:rsidRDefault="00D84965">
            <w:pPr>
              <w:pStyle w:val="P68B1DB1-Normal102"/>
              <w:spacing w:after="0" w:line="240" w:lineRule="auto"/>
              <w:jc w:val="center"/>
              <w:textAlignment w:val="baseline"/>
              <w:rPr>
                <w:noProof/>
              </w:rPr>
            </w:pPr>
            <w:r>
              <w:rPr>
                <w:noProof/>
              </w:rPr>
              <w:t>C2.2. R3</w:t>
            </w:r>
          </w:p>
        </w:tc>
        <w:tc>
          <w:tcPr>
            <w:tcW w:w="1274" w:type="dxa"/>
            <w:shd w:val="clear" w:color="auto" w:fill="C6EFCE"/>
            <w:vAlign w:val="center"/>
          </w:tcPr>
          <w:p w14:paraId="27D0F60B"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67BD5E5" w14:textId="77777777" w:rsidR="00FA7C11" w:rsidRDefault="00D84965">
            <w:pPr>
              <w:pStyle w:val="P68B1DB1-Normal102"/>
              <w:spacing w:after="0" w:line="240" w:lineRule="auto"/>
              <w:jc w:val="both"/>
              <w:textAlignment w:val="baseline"/>
              <w:rPr>
                <w:noProof/>
              </w:rPr>
            </w:pPr>
            <w:r>
              <w:rPr>
                <w:noProof/>
              </w:rPr>
              <w:t>Instituirea unui serviciu de e-conservare</w:t>
            </w:r>
          </w:p>
        </w:tc>
      </w:tr>
      <w:tr w:rsidR="00FA7C11" w14:paraId="304CD58E" w14:textId="77777777">
        <w:trPr>
          <w:trHeight w:val="51"/>
        </w:trPr>
        <w:tc>
          <w:tcPr>
            <w:tcW w:w="1096" w:type="dxa"/>
            <w:shd w:val="clear" w:color="auto" w:fill="C6EFCE"/>
            <w:vAlign w:val="center"/>
          </w:tcPr>
          <w:p w14:paraId="775EDF7C" w14:textId="77777777" w:rsidR="00FA7C11" w:rsidRDefault="00D84965">
            <w:pPr>
              <w:pStyle w:val="P68B1DB1-Normal102"/>
              <w:spacing w:after="0" w:line="240" w:lineRule="auto"/>
              <w:jc w:val="center"/>
              <w:textAlignment w:val="baseline"/>
              <w:rPr>
                <w:noProof/>
              </w:rPr>
            </w:pPr>
            <w:r>
              <w:rPr>
                <w:noProof/>
              </w:rPr>
              <w:t>181</w:t>
            </w:r>
          </w:p>
        </w:tc>
        <w:tc>
          <w:tcPr>
            <w:tcW w:w="1639" w:type="dxa"/>
            <w:shd w:val="clear" w:color="auto" w:fill="C6EFCE"/>
            <w:vAlign w:val="center"/>
          </w:tcPr>
          <w:p w14:paraId="0DB08B4A" w14:textId="77777777" w:rsidR="00FA7C11" w:rsidRDefault="00D84965">
            <w:pPr>
              <w:pStyle w:val="P68B1DB1-Normal102"/>
              <w:spacing w:after="0" w:line="240" w:lineRule="auto"/>
              <w:jc w:val="center"/>
              <w:textAlignment w:val="baseline"/>
              <w:rPr>
                <w:noProof/>
              </w:rPr>
            </w:pPr>
            <w:r>
              <w:rPr>
                <w:noProof/>
              </w:rPr>
              <w:t>C2.3. R3-I2</w:t>
            </w:r>
          </w:p>
        </w:tc>
        <w:tc>
          <w:tcPr>
            <w:tcW w:w="1274" w:type="dxa"/>
            <w:shd w:val="clear" w:color="auto" w:fill="C6EFCE"/>
            <w:vAlign w:val="center"/>
          </w:tcPr>
          <w:p w14:paraId="48DC5772"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81387C8" w14:textId="77777777" w:rsidR="00FA7C11" w:rsidRDefault="00D84965">
            <w:pPr>
              <w:pStyle w:val="P68B1DB1-Normal102"/>
              <w:spacing w:after="0" w:line="240" w:lineRule="auto"/>
              <w:jc w:val="both"/>
              <w:textAlignment w:val="baseline"/>
              <w:rPr>
                <w:noProof/>
              </w:rPr>
            </w:pPr>
            <w:r>
              <w:rPr>
                <w:noProof/>
              </w:rPr>
              <w:t>Proiect-pilot privind securitatea cibernetică</w:t>
            </w:r>
          </w:p>
        </w:tc>
      </w:tr>
      <w:tr w:rsidR="00FA7C11" w14:paraId="58289392" w14:textId="77777777">
        <w:trPr>
          <w:trHeight w:val="51"/>
        </w:trPr>
        <w:tc>
          <w:tcPr>
            <w:tcW w:w="1096" w:type="dxa"/>
            <w:shd w:val="clear" w:color="auto" w:fill="C6EFCE"/>
            <w:vAlign w:val="center"/>
          </w:tcPr>
          <w:p w14:paraId="0EA97085" w14:textId="77777777" w:rsidR="00FA7C11" w:rsidRDefault="00D84965">
            <w:pPr>
              <w:pStyle w:val="P68B1DB1-Normal102"/>
              <w:spacing w:after="0" w:line="240" w:lineRule="auto"/>
              <w:jc w:val="center"/>
              <w:textAlignment w:val="baseline"/>
              <w:rPr>
                <w:noProof/>
              </w:rPr>
            </w:pPr>
            <w:r>
              <w:rPr>
                <w:noProof/>
              </w:rPr>
              <w:t>183</w:t>
            </w:r>
          </w:p>
        </w:tc>
        <w:tc>
          <w:tcPr>
            <w:tcW w:w="1639" w:type="dxa"/>
            <w:shd w:val="clear" w:color="auto" w:fill="C6EFCE"/>
            <w:vAlign w:val="center"/>
          </w:tcPr>
          <w:p w14:paraId="154E602E" w14:textId="77777777" w:rsidR="00FA7C11" w:rsidRDefault="00D84965">
            <w:pPr>
              <w:pStyle w:val="P68B1DB1-Normal102"/>
              <w:spacing w:after="0" w:line="240" w:lineRule="auto"/>
              <w:jc w:val="center"/>
              <w:textAlignment w:val="baseline"/>
              <w:rPr>
                <w:noProof/>
              </w:rPr>
            </w:pPr>
            <w:r>
              <w:rPr>
                <w:noProof/>
              </w:rPr>
              <w:t>C2.3. R3-I3</w:t>
            </w:r>
          </w:p>
        </w:tc>
        <w:tc>
          <w:tcPr>
            <w:tcW w:w="1274" w:type="dxa"/>
            <w:shd w:val="clear" w:color="auto" w:fill="C6EFCE"/>
            <w:vAlign w:val="center"/>
          </w:tcPr>
          <w:p w14:paraId="7ACC9196"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4FA0F45" w14:textId="77777777" w:rsidR="00FA7C11" w:rsidRDefault="00D84965">
            <w:pPr>
              <w:pStyle w:val="P68B1DB1-Normal102"/>
              <w:spacing w:after="0" w:line="240" w:lineRule="auto"/>
              <w:jc w:val="both"/>
              <w:textAlignment w:val="baseline"/>
              <w:rPr>
                <w:noProof/>
              </w:rPr>
            </w:pPr>
            <w:r>
              <w:rPr>
                <w:noProof/>
              </w:rPr>
              <w:t>Înființarea unui ghișeu unic</w:t>
            </w:r>
          </w:p>
        </w:tc>
      </w:tr>
      <w:tr w:rsidR="00FA7C11" w14:paraId="7BFAD8FF" w14:textId="77777777">
        <w:trPr>
          <w:trHeight w:val="51"/>
        </w:trPr>
        <w:tc>
          <w:tcPr>
            <w:tcW w:w="1096" w:type="dxa"/>
            <w:shd w:val="clear" w:color="auto" w:fill="C6EFCE"/>
            <w:vAlign w:val="center"/>
          </w:tcPr>
          <w:p w14:paraId="27B22926" w14:textId="77777777" w:rsidR="00FA7C11" w:rsidRDefault="00D84965">
            <w:pPr>
              <w:pStyle w:val="P68B1DB1-Normal102"/>
              <w:spacing w:after="0" w:line="240" w:lineRule="auto"/>
              <w:jc w:val="center"/>
              <w:textAlignment w:val="baseline"/>
              <w:rPr>
                <w:noProof/>
              </w:rPr>
            </w:pPr>
            <w:r>
              <w:rPr>
                <w:noProof/>
              </w:rPr>
              <w:t>191</w:t>
            </w:r>
          </w:p>
        </w:tc>
        <w:tc>
          <w:tcPr>
            <w:tcW w:w="1639" w:type="dxa"/>
            <w:shd w:val="clear" w:color="auto" w:fill="C6EFCE"/>
            <w:vAlign w:val="center"/>
          </w:tcPr>
          <w:p w14:paraId="78E159DD" w14:textId="77777777" w:rsidR="00FA7C11" w:rsidRDefault="00D84965">
            <w:pPr>
              <w:pStyle w:val="P68B1DB1-Normal102"/>
              <w:spacing w:after="0" w:line="240" w:lineRule="auto"/>
              <w:jc w:val="center"/>
              <w:textAlignment w:val="baseline"/>
              <w:rPr>
                <w:noProof/>
              </w:rPr>
            </w:pPr>
            <w:r>
              <w:rPr>
                <w:noProof/>
              </w:rPr>
              <w:t>C2.3. R3-I9</w:t>
            </w:r>
          </w:p>
        </w:tc>
        <w:tc>
          <w:tcPr>
            <w:tcW w:w="1274" w:type="dxa"/>
            <w:shd w:val="clear" w:color="auto" w:fill="C6EFCE"/>
            <w:vAlign w:val="center"/>
          </w:tcPr>
          <w:p w14:paraId="784162ED"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F7D10CF" w14:textId="77777777" w:rsidR="00FA7C11" w:rsidRDefault="00D84965">
            <w:pPr>
              <w:pStyle w:val="P68B1DB1-Normal102"/>
              <w:spacing w:after="0" w:line="240" w:lineRule="auto"/>
              <w:jc w:val="both"/>
              <w:textAlignment w:val="baseline"/>
              <w:rPr>
                <w:noProof/>
              </w:rPr>
            </w:pPr>
            <w:r>
              <w:rPr>
                <w:noProof/>
              </w:rPr>
              <w:t>Crearea unei noi platforme de achiziții publice și a unei noi aplicații mobile</w:t>
            </w:r>
          </w:p>
        </w:tc>
      </w:tr>
      <w:tr w:rsidR="00FA7C11" w14:paraId="2966DC85" w14:textId="77777777">
        <w:trPr>
          <w:trHeight w:val="51"/>
        </w:trPr>
        <w:tc>
          <w:tcPr>
            <w:tcW w:w="1096" w:type="dxa"/>
            <w:shd w:val="clear" w:color="auto" w:fill="C6EFCE"/>
            <w:vAlign w:val="center"/>
          </w:tcPr>
          <w:p w14:paraId="61639BF5" w14:textId="77777777" w:rsidR="00FA7C11" w:rsidRDefault="00D84965">
            <w:pPr>
              <w:pStyle w:val="P68B1DB1-Normal102"/>
              <w:spacing w:after="0" w:line="240" w:lineRule="auto"/>
              <w:jc w:val="center"/>
              <w:textAlignment w:val="baseline"/>
              <w:rPr>
                <w:noProof/>
              </w:rPr>
            </w:pPr>
            <w:r>
              <w:rPr>
                <w:noProof/>
              </w:rPr>
              <w:t>192</w:t>
            </w:r>
          </w:p>
        </w:tc>
        <w:tc>
          <w:tcPr>
            <w:tcW w:w="1639" w:type="dxa"/>
            <w:shd w:val="clear" w:color="auto" w:fill="C6EFCE"/>
            <w:vAlign w:val="center"/>
          </w:tcPr>
          <w:p w14:paraId="4562E071" w14:textId="77777777" w:rsidR="00FA7C11" w:rsidRDefault="00D84965">
            <w:pPr>
              <w:pStyle w:val="P68B1DB1-Normal102"/>
              <w:spacing w:after="0" w:line="240" w:lineRule="auto"/>
              <w:jc w:val="center"/>
              <w:textAlignment w:val="baseline"/>
              <w:rPr>
                <w:noProof/>
              </w:rPr>
            </w:pPr>
            <w:r>
              <w:rPr>
                <w:noProof/>
              </w:rPr>
              <w:t>C2.3. R3-I10</w:t>
            </w:r>
          </w:p>
        </w:tc>
        <w:tc>
          <w:tcPr>
            <w:tcW w:w="1274" w:type="dxa"/>
            <w:shd w:val="clear" w:color="auto" w:fill="C6EFCE"/>
            <w:vAlign w:val="center"/>
          </w:tcPr>
          <w:p w14:paraId="7D49321A"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C141497" w14:textId="77777777" w:rsidR="00FA7C11" w:rsidRDefault="00D84965">
            <w:pPr>
              <w:pStyle w:val="P68B1DB1-Normal102"/>
              <w:spacing w:after="0" w:line="240" w:lineRule="auto"/>
              <w:jc w:val="both"/>
              <w:textAlignment w:val="baseline"/>
              <w:rPr>
                <w:noProof/>
              </w:rPr>
            </w:pPr>
            <w:r>
              <w:rPr>
                <w:noProof/>
              </w:rPr>
              <w:t>Identitatea digitală a CES și sistemele de gestionare a resurselor umane</w:t>
            </w:r>
          </w:p>
        </w:tc>
      </w:tr>
      <w:tr w:rsidR="00FA7C11" w14:paraId="0A1E1414" w14:textId="77777777">
        <w:trPr>
          <w:trHeight w:val="51"/>
        </w:trPr>
        <w:tc>
          <w:tcPr>
            <w:tcW w:w="1096" w:type="dxa"/>
            <w:shd w:val="clear" w:color="auto" w:fill="C6EFCE"/>
            <w:vAlign w:val="center"/>
          </w:tcPr>
          <w:p w14:paraId="6A2690F0" w14:textId="77777777" w:rsidR="00FA7C11" w:rsidRDefault="00D84965">
            <w:pPr>
              <w:pStyle w:val="P68B1DB1-Normal102"/>
              <w:spacing w:after="0" w:line="240" w:lineRule="auto"/>
              <w:jc w:val="center"/>
              <w:textAlignment w:val="baseline"/>
              <w:rPr>
                <w:noProof/>
              </w:rPr>
            </w:pPr>
            <w:r>
              <w:rPr>
                <w:noProof/>
              </w:rPr>
              <w:t>203</w:t>
            </w:r>
          </w:p>
        </w:tc>
        <w:tc>
          <w:tcPr>
            <w:tcW w:w="1639" w:type="dxa"/>
            <w:shd w:val="clear" w:color="auto" w:fill="C6EFCE"/>
            <w:vAlign w:val="center"/>
          </w:tcPr>
          <w:p w14:paraId="649330FC" w14:textId="77777777" w:rsidR="00FA7C11" w:rsidRDefault="00D84965">
            <w:pPr>
              <w:pStyle w:val="P68B1DB1-Normal102"/>
              <w:spacing w:after="0" w:line="240" w:lineRule="auto"/>
              <w:jc w:val="center"/>
              <w:textAlignment w:val="baseline"/>
              <w:rPr>
                <w:noProof/>
              </w:rPr>
            </w:pPr>
            <w:r>
              <w:rPr>
                <w:noProof/>
              </w:rPr>
              <w:t>C2.3. R4-I1</w:t>
            </w:r>
          </w:p>
        </w:tc>
        <w:tc>
          <w:tcPr>
            <w:tcW w:w="1274" w:type="dxa"/>
            <w:shd w:val="clear" w:color="auto" w:fill="C6EFCE"/>
            <w:vAlign w:val="center"/>
          </w:tcPr>
          <w:p w14:paraId="7DCB1FAA"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48AC114" w14:textId="77777777" w:rsidR="00FA7C11" w:rsidRDefault="00D84965">
            <w:pPr>
              <w:pStyle w:val="P68B1DB1-Normal102"/>
              <w:spacing w:after="0" w:line="240" w:lineRule="auto"/>
              <w:jc w:val="both"/>
              <w:textAlignment w:val="baseline"/>
              <w:rPr>
                <w:noProof/>
              </w:rPr>
            </w:pPr>
            <w:r>
              <w:rPr>
                <w:noProof/>
              </w:rPr>
              <w:t>Acorduri de grant semnate pentru punerea în aplicare a proiectelor în temeiul Cadrului național pentru dezvoltarea infrastructurii de acces în bandă largă (ONP)</w:t>
            </w:r>
          </w:p>
        </w:tc>
      </w:tr>
      <w:tr w:rsidR="00FA7C11" w14:paraId="039801F3" w14:textId="77777777">
        <w:trPr>
          <w:trHeight w:val="51"/>
        </w:trPr>
        <w:tc>
          <w:tcPr>
            <w:tcW w:w="1096" w:type="dxa"/>
            <w:shd w:val="clear" w:color="auto" w:fill="C6EFCE"/>
            <w:vAlign w:val="center"/>
          </w:tcPr>
          <w:p w14:paraId="3EF507D3" w14:textId="77777777" w:rsidR="00FA7C11" w:rsidRDefault="00D84965">
            <w:pPr>
              <w:pStyle w:val="P68B1DB1-Normal102"/>
              <w:spacing w:after="0" w:line="240" w:lineRule="auto"/>
              <w:jc w:val="center"/>
              <w:textAlignment w:val="baseline"/>
              <w:rPr>
                <w:noProof/>
              </w:rPr>
            </w:pPr>
            <w:r>
              <w:rPr>
                <w:noProof/>
              </w:rPr>
              <w:t>220</w:t>
            </w:r>
          </w:p>
        </w:tc>
        <w:tc>
          <w:tcPr>
            <w:tcW w:w="1639" w:type="dxa"/>
            <w:shd w:val="clear" w:color="auto" w:fill="C6EFCE"/>
            <w:vAlign w:val="center"/>
          </w:tcPr>
          <w:p w14:paraId="593A0B35" w14:textId="77777777" w:rsidR="00FA7C11" w:rsidRDefault="00D84965">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22CCDD20"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84BEB8B" w14:textId="77777777" w:rsidR="00FA7C11" w:rsidRDefault="00D84965">
            <w:pPr>
              <w:pStyle w:val="P68B1DB1-Normal102"/>
              <w:spacing w:after="0" w:line="240" w:lineRule="auto"/>
              <w:jc w:val="both"/>
              <w:textAlignment w:val="baseline"/>
              <w:rPr>
                <w:noProof/>
              </w:rPr>
            </w:pPr>
            <w:r>
              <w:rPr>
                <w:noProof/>
              </w:rPr>
              <w:t>Au fost adoptate noi criterii-cadru pentru activitatea judecătorilor și a fost introdus un instrument activ de gestionare a cauzelor judiciare</w:t>
            </w:r>
          </w:p>
        </w:tc>
      </w:tr>
      <w:tr w:rsidR="00FA7C11" w14:paraId="32EE25BC" w14:textId="77777777">
        <w:trPr>
          <w:trHeight w:val="51"/>
        </w:trPr>
        <w:tc>
          <w:tcPr>
            <w:tcW w:w="1096" w:type="dxa"/>
            <w:shd w:val="clear" w:color="auto" w:fill="C6EFCE"/>
            <w:vAlign w:val="center"/>
          </w:tcPr>
          <w:p w14:paraId="798F8192" w14:textId="77777777" w:rsidR="00FA7C11" w:rsidRDefault="00D84965">
            <w:pPr>
              <w:pStyle w:val="P68B1DB1-Normal102"/>
              <w:spacing w:after="0" w:line="240" w:lineRule="auto"/>
              <w:jc w:val="center"/>
              <w:textAlignment w:val="baseline"/>
              <w:rPr>
                <w:noProof/>
              </w:rPr>
            </w:pPr>
            <w:r>
              <w:rPr>
                <w:noProof/>
              </w:rPr>
              <w:t>234</w:t>
            </w:r>
          </w:p>
        </w:tc>
        <w:tc>
          <w:tcPr>
            <w:tcW w:w="1639" w:type="dxa"/>
            <w:shd w:val="clear" w:color="auto" w:fill="C6EFCE"/>
            <w:vAlign w:val="center"/>
          </w:tcPr>
          <w:p w14:paraId="116AA405" w14:textId="77777777" w:rsidR="00FA7C11" w:rsidRDefault="00D84965">
            <w:pPr>
              <w:pStyle w:val="P68B1DB1-Normal102"/>
              <w:spacing w:after="0" w:line="240" w:lineRule="auto"/>
              <w:jc w:val="center"/>
              <w:textAlignment w:val="baseline"/>
              <w:rPr>
                <w:noProof/>
              </w:rPr>
            </w:pPr>
            <w:r>
              <w:rPr>
                <w:noProof/>
              </w:rPr>
              <w:t>C2.6. R1</w:t>
            </w:r>
          </w:p>
        </w:tc>
        <w:tc>
          <w:tcPr>
            <w:tcW w:w="1274" w:type="dxa"/>
            <w:shd w:val="clear" w:color="auto" w:fill="C6EFCE"/>
            <w:vAlign w:val="center"/>
          </w:tcPr>
          <w:p w14:paraId="43230F89"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317CBB1" w14:textId="77777777" w:rsidR="00FA7C11" w:rsidRDefault="00D84965">
            <w:pPr>
              <w:pStyle w:val="P68B1DB1-Normal102"/>
              <w:spacing w:after="0" w:line="240" w:lineRule="auto"/>
              <w:jc w:val="both"/>
              <w:textAlignment w:val="baseline"/>
              <w:rPr>
                <w:noProof/>
              </w:rPr>
            </w:pPr>
            <w:r>
              <w:rPr>
                <w:noProof/>
              </w:rPr>
              <w:t>Adoptarea unui cod deontologic pentru parlamentari și a unui cod deontologic pentru funcționarii executivului</w:t>
            </w:r>
          </w:p>
        </w:tc>
      </w:tr>
      <w:tr w:rsidR="00FA7C11" w14:paraId="029582DD" w14:textId="77777777">
        <w:trPr>
          <w:trHeight w:val="51"/>
        </w:trPr>
        <w:tc>
          <w:tcPr>
            <w:tcW w:w="1096" w:type="dxa"/>
            <w:shd w:val="clear" w:color="auto" w:fill="C6EFCE"/>
            <w:vAlign w:val="center"/>
          </w:tcPr>
          <w:p w14:paraId="752A6E5E" w14:textId="77777777" w:rsidR="00FA7C11" w:rsidRDefault="00D84965">
            <w:pPr>
              <w:pStyle w:val="P68B1DB1-Normal102"/>
              <w:spacing w:after="0" w:line="240" w:lineRule="auto"/>
              <w:jc w:val="center"/>
              <w:textAlignment w:val="baseline"/>
              <w:rPr>
                <w:noProof/>
              </w:rPr>
            </w:pPr>
            <w:r>
              <w:rPr>
                <w:noProof/>
              </w:rPr>
              <w:t>243</w:t>
            </w:r>
          </w:p>
        </w:tc>
        <w:tc>
          <w:tcPr>
            <w:tcW w:w="1639" w:type="dxa"/>
            <w:shd w:val="clear" w:color="auto" w:fill="C6EFCE"/>
            <w:vAlign w:val="center"/>
          </w:tcPr>
          <w:p w14:paraId="77D8FA84" w14:textId="77777777" w:rsidR="00FA7C11" w:rsidRDefault="00D84965">
            <w:pPr>
              <w:pStyle w:val="P68B1DB1-Normal102"/>
              <w:spacing w:after="0" w:line="240" w:lineRule="auto"/>
              <w:jc w:val="center"/>
              <w:textAlignment w:val="baseline"/>
              <w:rPr>
                <w:noProof/>
              </w:rPr>
            </w:pPr>
            <w:r>
              <w:rPr>
                <w:noProof/>
              </w:rPr>
              <w:t>C2.6. R2</w:t>
            </w:r>
          </w:p>
        </w:tc>
        <w:tc>
          <w:tcPr>
            <w:tcW w:w="1274" w:type="dxa"/>
            <w:shd w:val="clear" w:color="auto" w:fill="C6EFCE"/>
            <w:vAlign w:val="center"/>
          </w:tcPr>
          <w:p w14:paraId="5A0F8938"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1101F82" w14:textId="77777777" w:rsidR="00FA7C11" w:rsidRDefault="00D84965">
            <w:pPr>
              <w:pStyle w:val="P68B1DB1-Normal102"/>
              <w:spacing w:after="0" w:line="240" w:lineRule="auto"/>
              <w:jc w:val="both"/>
              <w:textAlignment w:val="baseline"/>
              <w:rPr>
                <w:noProof/>
              </w:rPr>
            </w:pPr>
            <w:r>
              <w:rPr>
                <w:noProof/>
              </w:rPr>
              <w:t>Evaluarea efectelor Legii privind dreptul de acces la informații</w:t>
            </w:r>
          </w:p>
        </w:tc>
      </w:tr>
      <w:tr w:rsidR="00FA7C11" w14:paraId="7F793EA6" w14:textId="77777777">
        <w:trPr>
          <w:trHeight w:val="51"/>
        </w:trPr>
        <w:tc>
          <w:tcPr>
            <w:tcW w:w="1096" w:type="dxa"/>
            <w:shd w:val="clear" w:color="auto" w:fill="C6EFCE"/>
            <w:vAlign w:val="center"/>
          </w:tcPr>
          <w:p w14:paraId="3CCA1A73" w14:textId="77777777" w:rsidR="00FA7C11" w:rsidRDefault="00D84965">
            <w:pPr>
              <w:pStyle w:val="P68B1DB1-Normal102"/>
              <w:spacing w:after="0" w:line="240" w:lineRule="auto"/>
              <w:jc w:val="center"/>
              <w:textAlignment w:val="baseline"/>
              <w:rPr>
                <w:noProof/>
              </w:rPr>
            </w:pPr>
            <w:r>
              <w:rPr>
                <w:noProof/>
              </w:rPr>
              <w:t xml:space="preserve">254 </w:t>
            </w:r>
          </w:p>
        </w:tc>
        <w:tc>
          <w:tcPr>
            <w:tcW w:w="1639" w:type="dxa"/>
            <w:shd w:val="clear" w:color="auto" w:fill="C6EFCE"/>
            <w:vAlign w:val="center"/>
          </w:tcPr>
          <w:p w14:paraId="3065702B" w14:textId="77777777" w:rsidR="00FA7C11" w:rsidRDefault="00D84965">
            <w:pPr>
              <w:pStyle w:val="P68B1DB1-Normal102"/>
              <w:spacing w:after="0" w:line="240" w:lineRule="auto"/>
              <w:jc w:val="center"/>
              <w:textAlignment w:val="baseline"/>
              <w:rPr>
                <w:noProof/>
              </w:rPr>
            </w:pPr>
            <w:r>
              <w:rPr>
                <w:noProof/>
              </w:rPr>
              <w:t>C2.8. R4</w:t>
            </w:r>
          </w:p>
        </w:tc>
        <w:tc>
          <w:tcPr>
            <w:tcW w:w="1274" w:type="dxa"/>
            <w:shd w:val="clear" w:color="auto" w:fill="C6EFCE"/>
            <w:vAlign w:val="center"/>
          </w:tcPr>
          <w:p w14:paraId="3E8CE98D"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EE8AE73" w14:textId="77777777" w:rsidR="00FA7C11" w:rsidRDefault="00D84965">
            <w:pPr>
              <w:pStyle w:val="P68B1DB1-Normal102"/>
              <w:spacing w:after="0" w:line="240" w:lineRule="auto"/>
              <w:jc w:val="both"/>
              <w:textAlignment w:val="baseline"/>
              <w:rPr>
                <w:noProof/>
              </w:rPr>
            </w:pPr>
            <w:r>
              <w:rPr>
                <w:noProof/>
              </w:rPr>
              <w:t>Consolidarea supravegherii sectorului financiar pe baza unei evaluări a riscurilor în domeniul CSB/CFT</w:t>
            </w:r>
          </w:p>
        </w:tc>
      </w:tr>
      <w:tr w:rsidR="00FA7C11" w14:paraId="0DC417AC" w14:textId="77777777">
        <w:trPr>
          <w:trHeight w:val="51"/>
        </w:trPr>
        <w:tc>
          <w:tcPr>
            <w:tcW w:w="1096" w:type="dxa"/>
            <w:shd w:val="clear" w:color="auto" w:fill="C6EFCE"/>
            <w:vAlign w:val="center"/>
          </w:tcPr>
          <w:p w14:paraId="69657471" w14:textId="77777777" w:rsidR="00FA7C11" w:rsidRDefault="00D84965">
            <w:pPr>
              <w:pStyle w:val="P68B1DB1-Normal102"/>
              <w:spacing w:after="0" w:line="240" w:lineRule="auto"/>
              <w:jc w:val="center"/>
              <w:textAlignment w:val="baseline"/>
              <w:rPr>
                <w:noProof/>
              </w:rPr>
            </w:pPr>
            <w:r>
              <w:rPr>
                <w:noProof/>
              </w:rPr>
              <w:t>258</w:t>
            </w:r>
          </w:p>
        </w:tc>
        <w:tc>
          <w:tcPr>
            <w:tcW w:w="1639" w:type="dxa"/>
            <w:shd w:val="clear" w:color="auto" w:fill="C6EFCE"/>
            <w:vAlign w:val="center"/>
          </w:tcPr>
          <w:p w14:paraId="743102EA" w14:textId="77777777" w:rsidR="00FA7C11" w:rsidRDefault="00D84965">
            <w:pPr>
              <w:pStyle w:val="P68B1DB1-Normal102"/>
              <w:spacing w:after="0" w:line="240" w:lineRule="auto"/>
              <w:jc w:val="center"/>
              <w:textAlignment w:val="baseline"/>
              <w:rPr>
                <w:noProof/>
              </w:rPr>
            </w:pPr>
            <w:r>
              <w:rPr>
                <w:noProof/>
              </w:rPr>
              <w:t>C2.9. R1</w:t>
            </w:r>
          </w:p>
        </w:tc>
        <w:tc>
          <w:tcPr>
            <w:tcW w:w="1274" w:type="dxa"/>
            <w:shd w:val="clear" w:color="auto" w:fill="C6EFCE"/>
            <w:vAlign w:val="center"/>
          </w:tcPr>
          <w:p w14:paraId="1749D27B"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61C7BC0" w14:textId="77777777" w:rsidR="00FA7C11" w:rsidRDefault="00D84965">
            <w:pPr>
              <w:pStyle w:val="P68B1DB1-Normal102"/>
              <w:spacing w:after="0" w:line="240" w:lineRule="auto"/>
              <w:jc w:val="both"/>
              <w:textAlignment w:val="baseline"/>
              <w:rPr>
                <w:noProof/>
              </w:rPr>
            </w:pPr>
            <w:r>
              <w:rPr>
                <w:noProof/>
              </w:rPr>
              <w:t>Integrarea unui cadru adaptat pentru formarea continuă a responsabililor cu achizițiile publice din cadrul ProcurCompEU în sistemul obligatoriu de formare și certificare pentru achizițiile publice.</w:t>
            </w:r>
          </w:p>
        </w:tc>
      </w:tr>
      <w:tr w:rsidR="00FA7C11" w14:paraId="3AA40861" w14:textId="77777777">
        <w:trPr>
          <w:trHeight w:val="51"/>
        </w:trPr>
        <w:tc>
          <w:tcPr>
            <w:tcW w:w="1096" w:type="dxa"/>
            <w:shd w:val="clear" w:color="auto" w:fill="C6EFCE"/>
            <w:vAlign w:val="center"/>
          </w:tcPr>
          <w:p w14:paraId="36CCC753" w14:textId="77777777" w:rsidR="00FA7C11" w:rsidRDefault="00D84965">
            <w:pPr>
              <w:pStyle w:val="P68B1DB1-Normal102"/>
              <w:spacing w:after="0" w:line="240" w:lineRule="auto"/>
              <w:jc w:val="center"/>
              <w:textAlignment w:val="baseline"/>
              <w:rPr>
                <w:noProof/>
              </w:rPr>
            </w:pPr>
            <w:r>
              <w:rPr>
                <w:noProof/>
              </w:rPr>
              <w:t>268</w:t>
            </w:r>
          </w:p>
        </w:tc>
        <w:tc>
          <w:tcPr>
            <w:tcW w:w="1639" w:type="dxa"/>
            <w:shd w:val="clear" w:color="auto" w:fill="C6EFCE"/>
            <w:vAlign w:val="center"/>
          </w:tcPr>
          <w:p w14:paraId="69078A93" w14:textId="77777777" w:rsidR="00FA7C11" w:rsidRDefault="00D84965">
            <w:pPr>
              <w:pStyle w:val="P68B1DB1-Normal102"/>
              <w:spacing w:after="0" w:line="240" w:lineRule="auto"/>
              <w:jc w:val="center"/>
              <w:textAlignment w:val="baseline"/>
              <w:rPr>
                <w:noProof/>
              </w:rPr>
            </w:pPr>
            <w:r>
              <w:rPr>
                <w:noProof/>
              </w:rPr>
              <w:t>C3.1. R1</w:t>
            </w:r>
          </w:p>
        </w:tc>
        <w:tc>
          <w:tcPr>
            <w:tcW w:w="1274" w:type="dxa"/>
            <w:shd w:val="clear" w:color="auto" w:fill="C6EFCE"/>
            <w:vAlign w:val="center"/>
          </w:tcPr>
          <w:p w14:paraId="615C17EB"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50E8F81" w14:textId="714B68EA" w:rsidR="00FA7C11" w:rsidRDefault="00D84965">
            <w:pPr>
              <w:pStyle w:val="P68B1DB1-Normal102"/>
              <w:spacing w:after="0" w:line="240" w:lineRule="auto"/>
              <w:jc w:val="both"/>
              <w:textAlignment w:val="baseline"/>
              <w:rPr>
                <w:noProof/>
              </w:rPr>
            </w:pPr>
            <w:r>
              <w:rPr>
                <w:noProof/>
              </w:rPr>
              <w:t>Adoptarea amendamentelor pentru un model de predare pe durata unei zile întregi</w:t>
            </w:r>
          </w:p>
        </w:tc>
      </w:tr>
      <w:tr w:rsidR="00FA7C11" w14:paraId="35630245" w14:textId="77777777">
        <w:trPr>
          <w:trHeight w:val="51"/>
        </w:trPr>
        <w:tc>
          <w:tcPr>
            <w:tcW w:w="1096" w:type="dxa"/>
            <w:shd w:val="clear" w:color="auto" w:fill="C6EFCE"/>
            <w:vAlign w:val="center"/>
          </w:tcPr>
          <w:p w14:paraId="41E233C6" w14:textId="77777777" w:rsidR="00FA7C11" w:rsidRDefault="00D84965">
            <w:pPr>
              <w:pStyle w:val="P68B1DB1-Normal102"/>
              <w:spacing w:after="0" w:line="240" w:lineRule="auto"/>
              <w:jc w:val="center"/>
              <w:textAlignment w:val="baseline"/>
              <w:rPr>
                <w:noProof/>
              </w:rPr>
            </w:pPr>
            <w:r>
              <w:rPr>
                <w:noProof/>
              </w:rPr>
              <w:t>319</w:t>
            </w:r>
          </w:p>
        </w:tc>
        <w:tc>
          <w:tcPr>
            <w:tcW w:w="1639" w:type="dxa"/>
            <w:shd w:val="clear" w:color="auto" w:fill="C6EFCE"/>
            <w:vAlign w:val="center"/>
          </w:tcPr>
          <w:p w14:paraId="1DE91829" w14:textId="77777777" w:rsidR="00FA7C11" w:rsidRDefault="00D84965">
            <w:pPr>
              <w:pStyle w:val="P68B1DB1-Normal102"/>
              <w:spacing w:after="0" w:line="240" w:lineRule="auto"/>
              <w:jc w:val="center"/>
              <w:textAlignment w:val="baseline"/>
              <w:rPr>
                <w:noProof/>
              </w:rPr>
            </w:pPr>
            <w:r>
              <w:rPr>
                <w:noProof/>
              </w:rPr>
              <w:t>C5.1. R1</w:t>
            </w:r>
          </w:p>
        </w:tc>
        <w:tc>
          <w:tcPr>
            <w:tcW w:w="1274" w:type="dxa"/>
            <w:shd w:val="clear" w:color="auto" w:fill="C6EFCE"/>
            <w:vAlign w:val="center"/>
          </w:tcPr>
          <w:p w14:paraId="12509F9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06E3EE" w14:textId="77777777" w:rsidR="00FA7C11" w:rsidRDefault="00D84965">
            <w:pPr>
              <w:pStyle w:val="P68B1DB1-Normal102"/>
              <w:spacing w:after="0" w:line="240" w:lineRule="auto"/>
              <w:jc w:val="both"/>
              <w:textAlignment w:val="baseline"/>
              <w:rPr>
                <w:noProof/>
              </w:rPr>
            </w:pPr>
            <w:r>
              <w:rPr>
                <w:noProof/>
              </w:rPr>
              <w:t>Optimizarea timpului alocat tratamentului de diagnosticare – liste de așteptare</w:t>
            </w:r>
          </w:p>
        </w:tc>
      </w:tr>
      <w:tr w:rsidR="00FA7C11" w14:paraId="23077597" w14:textId="77777777">
        <w:trPr>
          <w:trHeight w:val="51"/>
        </w:trPr>
        <w:tc>
          <w:tcPr>
            <w:tcW w:w="1096" w:type="dxa"/>
            <w:shd w:val="clear" w:color="auto" w:fill="C6EFCE"/>
            <w:vAlign w:val="center"/>
          </w:tcPr>
          <w:p w14:paraId="325ADE9E" w14:textId="77777777" w:rsidR="00FA7C11" w:rsidRDefault="00D84965">
            <w:pPr>
              <w:pStyle w:val="P68B1DB1-Normal102"/>
              <w:spacing w:after="0" w:line="240" w:lineRule="auto"/>
              <w:jc w:val="center"/>
              <w:textAlignment w:val="baseline"/>
              <w:rPr>
                <w:noProof/>
              </w:rPr>
            </w:pPr>
            <w:r>
              <w:rPr>
                <w:noProof/>
              </w:rPr>
              <w:t>337</w:t>
            </w:r>
          </w:p>
        </w:tc>
        <w:tc>
          <w:tcPr>
            <w:tcW w:w="1639" w:type="dxa"/>
            <w:shd w:val="clear" w:color="auto" w:fill="C6EFCE"/>
            <w:vAlign w:val="center"/>
          </w:tcPr>
          <w:p w14:paraId="631B2D29" w14:textId="77777777" w:rsidR="00FA7C11" w:rsidRDefault="00D84965">
            <w:pPr>
              <w:pStyle w:val="P68B1DB1-Normal102"/>
              <w:spacing w:after="0" w:line="240" w:lineRule="auto"/>
              <w:jc w:val="center"/>
              <w:textAlignment w:val="baseline"/>
              <w:rPr>
                <w:noProof/>
              </w:rPr>
            </w:pPr>
            <w:r>
              <w:rPr>
                <w:noProof/>
              </w:rPr>
              <w:t>C5.1. R4</w:t>
            </w:r>
          </w:p>
        </w:tc>
        <w:tc>
          <w:tcPr>
            <w:tcW w:w="1274" w:type="dxa"/>
            <w:shd w:val="clear" w:color="auto" w:fill="C6EFCE"/>
            <w:vAlign w:val="center"/>
          </w:tcPr>
          <w:p w14:paraId="24A06EF7"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9CDB0E1" w14:textId="77777777" w:rsidR="00FA7C11" w:rsidRDefault="00D84965">
            <w:pPr>
              <w:pStyle w:val="P68B1DB1-Normal102"/>
              <w:spacing w:after="0" w:line="240" w:lineRule="auto"/>
              <w:jc w:val="both"/>
              <w:textAlignment w:val="baseline"/>
              <w:rPr>
                <w:noProof/>
              </w:rPr>
            </w:pPr>
            <w:r>
              <w:rPr>
                <w:noProof/>
              </w:rPr>
              <w:t>Integrarea funcțională a spitalelor</w:t>
            </w:r>
          </w:p>
        </w:tc>
      </w:tr>
      <w:tr w:rsidR="00FA7C11" w14:paraId="236C33E2" w14:textId="77777777">
        <w:trPr>
          <w:trHeight w:val="51"/>
        </w:trPr>
        <w:tc>
          <w:tcPr>
            <w:tcW w:w="1096" w:type="dxa"/>
            <w:shd w:val="clear" w:color="auto" w:fill="C6EFCE"/>
            <w:vAlign w:val="center"/>
          </w:tcPr>
          <w:p w14:paraId="7036F121" w14:textId="77777777" w:rsidR="00FA7C11" w:rsidRDefault="00D84965">
            <w:pPr>
              <w:pStyle w:val="P68B1DB1-Normal102"/>
              <w:spacing w:after="0" w:line="240" w:lineRule="auto"/>
              <w:jc w:val="center"/>
              <w:textAlignment w:val="baseline"/>
              <w:rPr>
                <w:noProof/>
              </w:rPr>
            </w:pPr>
            <w:r>
              <w:rPr>
                <w:noProof/>
              </w:rPr>
              <w:t>338</w:t>
            </w:r>
          </w:p>
        </w:tc>
        <w:tc>
          <w:tcPr>
            <w:tcW w:w="1639" w:type="dxa"/>
            <w:shd w:val="clear" w:color="auto" w:fill="C6EFCE"/>
            <w:vAlign w:val="center"/>
          </w:tcPr>
          <w:p w14:paraId="06CD5F93" w14:textId="77777777" w:rsidR="00FA7C11" w:rsidRDefault="00D84965">
            <w:pPr>
              <w:pStyle w:val="P68B1DB1-Normal102"/>
              <w:spacing w:after="0" w:line="240" w:lineRule="auto"/>
              <w:jc w:val="center"/>
              <w:textAlignment w:val="baseline"/>
              <w:rPr>
                <w:noProof/>
              </w:rPr>
            </w:pPr>
            <w:r>
              <w:rPr>
                <w:noProof/>
              </w:rPr>
              <w:t>C5.1. R4</w:t>
            </w:r>
          </w:p>
        </w:tc>
        <w:tc>
          <w:tcPr>
            <w:tcW w:w="1274" w:type="dxa"/>
            <w:shd w:val="clear" w:color="auto" w:fill="C6EFCE"/>
            <w:vAlign w:val="center"/>
          </w:tcPr>
          <w:p w14:paraId="0FD84320"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693E95B" w14:textId="77777777" w:rsidR="00FA7C11" w:rsidRDefault="00D84965">
            <w:pPr>
              <w:pStyle w:val="P68B1DB1-Normal102"/>
              <w:spacing w:after="0" w:line="240" w:lineRule="auto"/>
              <w:jc w:val="both"/>
              <w:textAlignment w:val="baseline"/>
              <w:rPr>
                <w:noProof/>
              </w:rPr>
            </w:pPr>
            <w:r>
              <w:rPr>
                <w:noProof/>
              </w:rPr>
              <w:t>Procedura comună de achiziții publice pentru instituțiile sanitare</w:t>
            </w:r>
          </w:p>
        </w:tc>
      </w:tr>
      <w:tr w:rsidR="00FA7C11" w14:paraId="682FCFD9" w14:textId="77777777">
        <w:trPr>
          <w:trHeight w:val="51"/>
        </w:trPr>
        <w:tc>
          <w:tcPr>
            <w:tcW w:w="1096" w:type="dxa"/>
            <w:shd w:val="clear" w:color="auto" w:fill="C6EFCE"/>
            <w:vAlign w:val="center"/>
          </w:tcPr>
          <w:p w14:paraId="090F2744" w14:textId="77777777" w:rsidR="00FA7C11" w:rsidRDefault="00D84965">
            <w:pPr>
              <w:pStyle w:val="P68B1DB1-Normal102"/>
              <w:spacing w:after="0" w:line="240" w:lineRule="auto"/>
              <w:jc w:val="center"/>
              <w:textAlignment w:val="baseline"/>
              <w:rPr>
                <w:noProof/>
              </w:rPr>
            </w:pPr>
            <w:r>
              <w:rPr>
                <w:noProof/>
              </w:rPr>
              <w:t>369</w:t>
            </w:r>
          </w:p>
        </w:tc>
        <w:tc>
          <w:tcPr>
            <w:tcW w:w="1639" w:type="dxa"/>
            <w:shd w:val="clear" w:color="auto" w:fill="C6EFCE"/>
            <w:vAlign w:val="center"/>
          </w:tcPr>
          <w:p w14:paraId="25621E17" w14:textId="77777777" w:rsidR="00FA7C11" w:rsidRDefault="00D84965">
            <w:pPr>
              <w:pStyle w:val="P68B1DB1-Normal102"/>
              <w:spacing w:after="0" w:line="240" w:lineRule="auto"/>
              <w:jc w:val="center"/>
              <w:textAlignment w:val="baseline"/>
              <w:rPr>
                <w:noProof/>
              </w:rPr>
            </w:pPr>
            <w:r>
              <w:rPr>
                <w:noProof/>
              </w:rPr>
              <w:t>C6.1. R5</w:t>
            </w:r>
          </w:p>
        </w:tc>
        <w:tc>
          <w:tcPr>
            <w:tcW w:w="1274" w:type="dxa"/>
            <w:shd w:val="clear" w:color="auto" w:fill="C6EFCE"/>
            <w:vAlign w:val="center"/>
          </w:tcPr>
          <w:p w14:paraId="40292FA6"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715BE3D" w14:textId="77777777" w:rsidR="00FA7C11" w:rsidRDefault="00D84965">
            <w:pPr>
              <w:pStyle w:val="P68B1DB1-Normal102"/>
              <w:spacing w:after="0" w:line="240" w:lineRule="auto"/>
              <w:jc w:val="both"/>
              <w:textAlignment w:val="baseline"/>
              <w:rPr>
                <w:noProof/>
              </w:rPr>
            </w:pPr>
            <w:r>
              <w:rPr>
                <w:noProof/>
              </w:rPr>
              <w:t>Adoptarea strategiilor de reînnoire urbană verde</w:t>
            </w:r>
          </w:p>
        </w:tc>
      </w:tr>
      <w:tr w:rsidR="00FA7C11" w14:paraId="76B9C21E" w14:textId="77777777">
        <w:trPr>
          <w:trHeight w:val="51"/>
        </w:trPr>
        <w:tc>
          <w:tcPr>
            <w:tcW w:w="1096" w:type="dxa"/>
            <w:shd w:val="clear" w:color="auto" w:fill="C6EFCE"/>
            <w:vAlign w:val="center"/>
          </w:tcPr>
          <w:p w14:paraId="0D459FB0" w14:textId="77777777" w:rsidR="00FA7C11" w:rsidRDefault="00D84965">
            <w:pPr>
              <w:pStyle w:val="P68B1DB1-Normal102"/>
              <w:spacing w:after="0" w:line="240" w:lineRule="auto"/>
              <w:jc w:val="center"/>
              <w:textAlignment w:val="baseline"/>
              <w:rPr>
                <w:noProof/>
              </w:rPr>
            </w:pPr>
            <w:r>
              <w:rPr>
                <w:noProof/>
              </w:rPr>
              <w:t>371</w:t>
            </w:r>
          </w:p>
        </w:tc>
        <w:tc>
          <w:tcPr>
            <w:tcW w:w="1639" w:type="dxa"/>
            <w:shd w:val="clear" w:color="auto" w:fill="C6EFCE"/>
            <w:vAlign w:val="center"/>
          </w:tcPr>
          <w:p w14:paraId="430BCCF9" w14:textId="77777777" w:rsidR="00FA7C11" w:rsidRDefault="00D84965">
            <w:pPr>
              <w:pStyle w:val="P68B1DB1-Normal102"/>
              <w:spacing w:after="0" w:line="240" w:lineRule="auto"/>
              <w:jc w:val="center"/>
              <w:textAlignment w:val="baseline"/>
              <w:rPr>
                <w:noProof/>
              </w:rPr>
            </w:pPr>
            <w:r>
              <w:rPr>
                <w:noProof/>
              </w:rPr>
              <w:t>C6.1. R6</w:t>
            </w:r>
          </w:p>
        </w:tc>
        <w:tc>
          <w:tcPr>
            <w:tcW w:w="1274" w:type="dxa"/>
            <w:shd w:val="clear" w:color="auto" w:fill="C6EFCE"/>
            <w:vAlign w:val="center"/>
          </w:tcPr>
          <w:p w14:paraId="36C3427A"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BDA09E0" w14:textId="77777777" w:rsidR="00FA7C11" w:rsidRDefault="00D84965">
            <w:pPr>
              <w:pStyle w:val="P68B1DB1-Normal102"/>
              <w:spacing w:after="0" w:line="240" w:lineRule="auto"/>
              <w:jc w:val="both"/>
              <w:textAlignment w:val="baseline"/>
              <w:rPr>
                <w:noProof/>
              </w:rPr>
            </w:pPr>
            <w:r>
              <w:rPr>
                <w:noProof/>
              </w:rPr>
              <w:t>Finalizarea cu succes a proiectului-pilot de gestionare sistematică a energiei, cu scopul de a testa un nou model de finanțare a renovării în vederea eficienței energetice</w:t>
            </w:r>
          </w:p>
        </w:tc>
      </w:tr>
      <w:tr w:rsidR="00FA7C11" w14:paraId="0914F195" w14:textId="77777777">
        <w:trPr>
          <w:trHeight w:val="51"/>
        </w:trPr>
        <w:tc>
          <w:tcPr>
            <w:tcW w:w="1096" w:type="dxa"/>
            <w:shd w:val="clear" w:color="auto" w:fill="C6EFCE"/>
            <w:vAlign w:val="center"/>
          </w:tcPr>
          <w:p w14:paraId="4F5900E5" w14:textId="77777777" w:rsidR="00FA7C11" w:rsidRDefault="00D84965">
            <w:pPr>
              <w:pStyle w:val="P68B1DB1-Normal102"/>
              <w:spacing w:after="0" w:line="240" w:lineRule="auto"/>
              <w:jc w:val="center"/>
              <w:textAlignment w:val="baseline"/>
              <w:rPr>
                <w:noProof/>
              </w:rPr>
            </w:pPr>
            <w:r>
              <w:rPr>
                <w:noProof/>
              </w:rPr>
              <w:t>398</w:t>
            </w:r>
          </w:p>
        </w:tc>
        <w:tc>
          <w:tcPr>
            <w:tcW w:w="1639" w:type="dxa"/>
            <w:shd w:val="clear" w:color="auto" w:fill="C6EFCE"/>
            <w:vAlign w:val="center"/>
          </w:tcPr>
          <w:p w14:paraId="24841EBF" w14:textId="77777777" w:rsidR="00FA7C11" w:rsidRDefault="00D84965">
            <w:pPr>
              <w:pStyle w:val="P68B1DB1-Normal102"/>
              <w:spacing w:after="0" w:line="240" w:lineRule="auto"/>
              <w:jc w:val="center"/>
              <w:textAlignment w:val="baseline"/>
              <w:rPr>
                <w:noProof/>
              </w:rPr>
            </w:pPr>
            <w:r>
              <w:rPr>
                <w:noProof/>
              </w:rPr>
              <w:t>C4.3. R1</w:t>
            </w:r>
          </w:p>
        </w:tc>
        <w:tc>
          <w:tcPr>
            <w:tcW w:w="1274" w:type="dxa"/>
            <w:shd w:val="clear" w:color="auto" w:fill="C6EFCE"/>
            <w:vAlign w:val="center"/>
          </w:tcPr>
          <w:p w14:paraId="7B9C38C9"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33B6816" w14:textId="77777777" w:rsidR="00FA7C11" w:rsidRDefault="00D84965">
            <w:pPr>
              <w:pStyle w:val="P68B1DB1-Normal102"/>
              <w:spacing w:after="0" w:line="240" w:lineRule="auto"/>
              <w:jc w:val="both"/>
              <w:textAlignment w:val="baseline"/>
              <w:rPr>
                <w:noProof/>
              </w:rPr>
            </w:pPr>
            <w:r>
              <w:rPr>
                <w:noProof/>
              </w:rPr>
              <w:t>Intrarea în vigoare a modificărilor aduse Legii privind bunăstarea socială și adoptarea Deciziei privind prestația minimă garantată</w:t>
            </w:r>
          </w:p>
        </w:tc>
      </w:tr>
      <w:tr w:rsidR="00FA7C11" w14:paraId="0423A086" w14:textId="77777777">
        <w:trPr>
          <w:trHeight w:val="51"/>
        </w:trPr>
        <w:tc>
          <w:tcPr>
            <w:tcW w:w="1096" w:type="dxa"/>
            <w:shd w:val="clear" w:color="auto" w:fill="C6EFCE"/>
            <w:vAlign w:val="center"/>
          </w:tcPr>
          <w:p w14:paraId="03848F97" w14:textId="77777777" w:rsidR="00FA7C11" w:rsidRDefault="00D84965">
            <w:pPr>
              <w:pStyle w:val="P68B1DB1-Normal102"/>
              <w:spacing w:after="0" w:line="240" w:lineRule="auto"/>
              <w:jc w:val="center"/>
              <w:textAlignment w:val="baseline"/>
              <w:rPr>
                <w:noProof/>
              </w:rPr>
            </w:pPr>
            <w:r>
              <w:rPr>
                <w:noProof/>
              </w:rPr>
              <w:t>399</w:t>
            </w:r>
          </w:p>
        </w:tc>
        <w:tc>
          <w:tcPr>
            <w:tcW w:w="1639" w:type="dxa"/>
            <w:shd w:val="clear" w:color="auto" w:fill="C6EFCE"/>
            <w:vAlign w:val="center"/>
          </w:tcPr>
          <w:p w14:paraId="0F8538A6" w14:textId="77777777" w:rsidR="00FA7C11" w:rsidRDefault="00D84965">
            <w:pPr>
              <w:pStyle w:val="P68B1DB1-Normal102"/>
              <w:spacing w:after="0" w:line="240" w:lineRule="auto"/>
              <w:jc w:val="center"/>
              <w:textAlignment w:val="baseline"/>
              <w:rPr>
                <w:noProof/>
              </w:rPr>
            </w:pPr>
            <w:r>
              <w:rPr>
                <w:noProof/>
              </w:rPr>
              <w:t>C5.1. R3-I1</w:t>
            </w:r>
          </w:p>
        </w:tc>
        <w:tc>
          <w:tcPr>
            <w:tcW w:w="1274" w:type="dxa"/>
            <w:shd w:val="clear" w:color="auto" w:fill="C6EFCE"/>
            <w:vAlign w:val="center"/>
          </w:tcPr>
          <w:p w14:paraId="04DAF2E7"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EA53D0A" w14:textId="77777777" w:rsidR="00FA7C11" w:rsidRDefault="00D84965">
            <w:pPr>
              <w:pStyle w:val="P68B1DB1-Normal102"/>
              <w:spacing w:after="0" w:line="240" w:lineRule="auto"/>
              <w:jc w:val="both"/>
              <w:textAlignment w:val="baseline"/>
              <w:rPr>
                <w:noProof/>
              </w:rPr>
            </w:pPr>
            <w:r>
              <w:rPr>
                <w:noProof/>
              </w:rPr>
              <w:t>Crearea unui sistem centralizat de finanțare dedicat formării medicale specializate</w:t>
            </w:r>
          </w:p>
        </w:tc>
      </w:tr>
      <w:tr w:rsidR="00FA7C11" w14:paraId="15796883" w14:textId="77777777">
        <w:trPr>
          <w:trHeight w:val="51"/>
        </w:trPr>
        <w:tc>
          <w:tcPr>
            <w:tcW w:w="1096" w:type="dxa"/>
            <w:shd w:val="clear" w:color="auto" w:fill="C6EFCE"/>
            <w:vAlign w:val="center"/>
          </w:tcPr>
          <w:p w14:paraId="65D1D9C4"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vAlign w:val="center"/>
          </w:tcPr>
          <w:p w14:paraId="3E9C3109"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274" w:type="dxa"/>
            <w:shd w:val="clear" w:color="auto" w:fill="C6EFCE"/>
            <w:vAlign w:val="center"/>
          </w:tcPr>
          <w:p w14:paraId="0911F147" w14:textId="77777777" w:rsidR="00FA7C11" w:rsidRDefault="00D84965">
            <w:pPr>
              <w:pStyle w:val="P68B1DB1-Normal102"/>
              <w:spacing w:after="0" w:line="240" w:lineRule="auto"/>
              <w:jc w:val="center"/>
              <w:textAlignment w:val="baseline"/>
              <w:rPr>
                <w:noProof/>
              </w:rPr>
            </w:pPr>
            <w:r>
              <w:rPr>
                <w:noProof/>
              </w:rPr>
              <w:t>Cuantumul tranșei</w:t>
            </w:r>
          </w:p>
        </w:tc>
        <w:tc>
          <w:tcPr>
            <w:tcW w:w="5347" w:type="dxa"/>
            <w:shd w:val="clear" w:color="auto" w:fill="C6EFCE"/>
            <w:vAlign w:val="center"/>
          </w:tcPr>
          <w:p w14:paraId="1061DD74" w14:textId="0FED82A8" w:rsidR="00FA7C11" w:rsidRDefault="00D84965">
            <w:pPr>
              <w:pStyle w:val="P68B1DB1-Normal102"/>
              <w:spacing w:after="0" w:line="240" w:lineRule="auto"/>
              <w:jc w:val="both"/>
              <w:textAlignment w:val="baseline"/>
              <w:rPr>
                <w:noProof/>
              </w:rPr>
            </w:pPr>
            <w:r>
              <w:rPr>
                <w:noProof/>
              </w:rPr>
              <w:t>642 949 403 MIL.</w:t>
            </w:r>
          </w:p>
        </w:tc>
      </w:tr>
    </w:tbl>
    <w:p w14:paraId="6DAB13FF" w14:textId="77777777" w:rsidR="00FA7C11" w:rsidRDefault="00FA7C11">
      <w:pPr>
        <w:spacing w:after="0" w:line="240" w:lineRule="auto"/>
        <w:jc w:val="both"/>
        <w:textAlignment w:val="baseline"/>
        <w:rPr>
          <w:rFonts w:eastAsia="Times New Roman"/>
          <w:noProof/>
          <w:szCs w:val="24"/>
        </w:rPr>
      </w:pPr>
    </w:p>
    <w:p w14:paraId="572B167F" w14:textId="77777777" w:rsidR="00FA7C11" w:rsidRDefault="00FA7C11">
      <w:pPr>
        <w:spacing w:after="0" w:line="240" w:lineRule="auto"/>
        <w:jc w:val="both"/>
        <w:textAlignment w:val="baseline"/>
        <w:rPr>
          <w:rFonts w:eastAsia="Times New Roman"/>
          <w:noProof/>
          <w:szCs w:val="24"/>
        </w:rPr>
      </w:pPr>
    </w:p>
    <w:p w14:paraId="2B0ADF87" w14:textId="77777777" w:rsidR="00FA7C11" w:rsidRDefault="00D84965">
      <w:pPr>
        <w:pStyle w:val="P68B1DB1-Normal83"/>
        <w:numPr>
          <w:ilvl w:val="0"/>
          <w:numId w:val="80"/>
        </w:numPr>
        <w:spacing w:line="240" w:lineRule="auto"/>
        <w:contextualSpacing/>
        <w:jc w:val="both"/>
        <w:textAlignment w:val="baseline"/>
        <w:rPr>
          <w:noProof/>
        </w:rPr>
      </w:pPr>
      <w:r>
        <w:rPr>
          <w:noProof/>
        </w:rPr>
        <w:t>A șasea tranșă (sprijin nerambursabil):</w:t>
      </w:r>
    </w:p>
    <w:p w14:paraId="5B2E0C44" w14:textId="77777777" w:rsidR="00FA7C11" w:rsidRDefault="00FA7C11">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3"/>
        <w:gridCol w:w="1627"/>
        <w:gridCol w:w="1349"/>
        <w:gridCol w:w="5287"/>
      </w:tblGrid>
      <w:tr w:rsidR="00FA7C11" w14:paraId="6846669A" w14:textId="77777777">
        <w:trPr>
          <w:trHeight w:val="517"/>
          <w:tblHeader/>
        </w:trPr>
        <w:tc>
          <w:tcPr>
            <w:tcW w:w="1096" w:type="dxa"/>
            <w:shd w:val="clear" w:color="auto" w:fill="BDD7EE"/>
            <w:vAlign w:val="center"/>
            <w:hideMark/>
          </w:tcPr>
          <w:p w14:paraId="10997ED2"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39" w:type="dxa"/>
            <w:shd w:val="clear" w:color="auto" w:fill="BDD7EE"/>
            <w:vAlign w:val="center"/>
            <w:hideMark/>
          </w:tcPr>
          <w:p w14:paraId="6BA30A44"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4" w:type="dxa"/>
            <w:shd w:val="clear" w:color="auto" w:fill="BDD7EE"/>
            <w:vAlign w:val="center"/>
            <w:hideMark/>
          </w:tcPr>
          <w:p w14:paraId="68CDB395"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47" w:type="dxa"/>
            <w:shd w:val="clear" w:color="auto" w:fill="BDD7EE"/>
            <w:vAlign w:val="center"/>
            <w:hideMark/>
          </w:tcPr>
          <w:p w14:paraId="366F5616"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5AF14C84" w14:textId="77777777">
        <w:trPr>
          <w:trHeight w:val="51"/>
        </w:trPr>
        <w:tc>
          <w:tcPr>
            <w:tcW w:w="1096" w:type="dxa"/>
            <w:shd w:val="clear" w:color="auto" w:fill="C6EFCE"/>
            <w:vAlign w:val="center"/>
            <w:hideMark/>
          </w:tcPr>
          <w:p w14:paraId="6FDB0F43" w14:textId="77777777" w:rsidR="00FA7C11" w:rsidRDefault="00D84965">
            <w:pPr>
              <w:pStyle w:val="P68B1DB1-Normal102"/>
              <w:spacing w:after="0" w:line="240" w:lineRule="auto"/>
              <w:jc w:val="center"/>
              <w:textAlignment w:val="baseline"/>
              <w:rPr>
                <w:rFonts w:eastAsia="Times New Roman"/>
                <w:noProof/>
              </w:rPr>
            </w:pPr>
            <w:r>
              <w:rPr>
                <w:noProof/>
              </w:rPr>
              <w:t>40</w:t>
            </w:r>
          </w:p>
        </w:tc>
        <w:tc>
          <w:tcPr>
            <w:tcW w:w="1639" w:type="dxa"/>
            <w:shd w:val="clear" w:color="auto" w:fill="C6EFCE"/>
            <w:vAlign w:val="center"/>
            <w:hideMark/>
          </w:tcPr>
          <w:p w14:paraId="41E57E11" w14:textId="77777777" w:rsidR="00FA7C11" w:rsidRDefault="00D84965">
            <w:pPr>
              <w:pStyle w:val="P68B1DB1-Normal102"/>
              <w:spacing w:after="0" w:line="240" w:lineRule="auto"/>
              <w:jc w:val="center"/>
              <w:textAlignment w:val="baseline"/>
              <w:rPr>
                <w:rFonts w:eastAsia="Times New Roman"/>
                <w:noProof/>
              </w:rPr>
            </w:pPr>
            <w:r>
              <w:rPr>
                <w:noProof/>
              </w:rPr>
              <w:t>C1.2. R1-I1</w:t>
            </w:r>
          </w:p>
        </w:tc>
        <w:tc>
          <w:tcPr>
            <w:tcW w:w="1274" w:type="dxa"/>
            <w:shd w:val="clear" w:color="auto" w:fill="C6EFCE"/>
            <w:vAlign w:val="center"/>
            <w:hideMark/>
          </w:tcPr>
          <w:p w14:paraId="1C222E6A" w14:textId="77777777" w:rsidR="00FA7C11" w:rsidRDefault="00D84965">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665B62FC" w14:textId="77777777" w:rsidR="00FA7C11" w:rsidRDefault="00D84965">
            <w:pPr>
              <w:pStyle w:val="P68B1DB1-Normal102"/>
              <w:spacing w:after="0" w:line="240" w:lineRule="auto"/>
              <w:jc w:val="both"/>
              <w:textAlignment w:val="baseline"/>
              <w:rPr>
                <w:rFonts w:eastAsia="Times New Roman"/>
                <w:noProof/>
              </w:rPr>
            </w:pPr>
            <w:r>
              <w:rPr>
                <w:noProof/>
              </w:rPr>
              <w:t xml:space="preserve">Modernizarea cablurilor subterane care conectează 6 insule la rețeaua continentală a fost finalizată </w:t>
            </w:r>
          </w:p>
        </w:tc>
      </w:tr>
      <w:tr w:rsidR="00FA7C11" w14:paraId="2A8F0D51" w14:textId="77777777">
        <w:trPr>
          <w:trHeight w:val="353"/>
        </w:trPr>
        <w:tc>
          <w:tcPr>
            <w:tcW w:w="1096" w:type="dxa"/>
            <w:shd w:val="clear" w:color="auto" w:fill="C6EFCE"/>
            <w:vAlign w:val="center"/>
          </w:tcPr>
          <w:p w14:paraId="76113E2A" w14:textId="77777777" w:rsidR="00FA7C11" w:rsidRDefault="00D84965">
            <w:pPr>
              <w:pStyle w:val="P68B1DB1-Normal102"/>
              <w:spacing w:after="0" w:line="240" w:lineRule="auto"/>
              <w:jc w:val="center"/>
              <w:textAlignment w:val="baseline"/>
              <w:rPr>
                <w:noProof/>
              </w:rPr>
            </w:pPr>
            <w:r>
              <w:rPr>
                <w:noProof/>
              </w:rPr>
              <w:t>77</w:t>
            </w:r>
          </w:p>
        </w:tc>
        <w:tc>
          <w:tcPr>
            <w:tcW w:w="1639" w:type="dxa"/>
            <w:shd w:val="clear" w:color="auto" w:fill="C6EFCE"/>
            <w:vAlign w:val="center"/>
          </w:tcPr>
          <w:p w14:paraId="0E8AC5C6" w14:textId="77777777" w:rsidR="00FA7C11" w:rsidRDefault="00D84965">
            <w:pPr>
              <w:pStyle w:val="P68B1DB1-Normal102"/>
              <w:spacing w:after="0" w:line="240" w:lineRule="auto"/>
              <w:jc w:val="center"/>
              <w:textAlignment w:val="baseline"/>
              <w:rPr>
                <w:noProof/>
              </w:rPr>
            </w:pPr>
            <w:r>
              <w:rPr>
                <w:noProof/>
              </w:rPr>
              <w:t>C1.3. R1- I3</w:t>
            </w:r>
          </w:p>
        </w:tc>
        <w:tc>
          <w:tcPr>
            <w:tcW w:w="1274" w:type="dxa"/>
            <w:shd w:val="clear" w:color="auto" w:fill="C6EFCE"/>
            <w:vAlign w:val="center"/>
          </w:tcPr>
          <w:p w14:paraId="7CD201C9"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F9B7974" w14:textId="77777777" w:rsidR="00FA7C11" w:rsidRDefault="00D84965">
            <w:pPr>
              <w:pStyle w:val="P68B1DB1-Normal102"/>
              <w:spacing w:after="0" w:line="240" w:lineRule="auto"/>
              <w:jc w:val="both"/>
              <w:textAlignment w:val="baseline"/>
              <w:rPr>
                <w:noProof/>
              </w:rPr>
            </w:pPr>
            <w:r>
              <w:rPr>
                <w:noProof/>
              </w:rPr>
              <w:t>Structuri de protecție împotriva inundațiilor construite</w:t>
            </w:r>
          </w:p>
        </w:tc>
      </w:tr>
      <w:tr w:rsidR="00FA7C11" w14:paraId="535A39E9" w14:textId="77777777">
        <w:trPr>
          <w:trHeight w:val="433"/>
        </w:trPr>
        <w:tc>
          <w:tcPr>
            <w:tcW w:w="1096" w:type="dxa"/>
            <w:shd w:val="clear" w:color="auto" w:fill="C6EFCE"/>
            <w:vAlign w:val="center"/>
            <w:hideMark/>
          </w:tcPr>
          <w:p w14:paraId="4CFE9C6A" w14:textId="77777777" w:rsidR="00FA7C11" w:rsidRDefault="00D84965">
            <w:pPr>
              <w:pStyle w:val="P68B1DB1-Normal102"/>
              <w:spacing w:after="0" w:line="240" w:lineRule="auto"/>
              <w:jc w:val="center"/>
              <w:textAlignment w:val="baseline"/>
              <w:rPr>
                <w:rFonts w:eastAsia="Times New Roman"/>
                <w:noProof/>
              </w:rPr>
            </w:pPr>
            <w:r>
              <w:rPr>
                <w:noProof/>
              </w:rPr>
              <w:t>120</w:t>
            </w:r>
          </w:p>
        </w:tc>
        <w:tc>
          <w:tcPr>
            <w:tcW w:w="1639" w:type="dxa"/>
            <w:shd w:val="clear" w:color="auto" w:fill="C6EFCE"/>
            <w:vAlign w:val="center"/>
            <w:hideMark/>
          </w:tcPr>
          <w:p w14:paraId="5EC36CFE" w14:textId="77777777" w:rsidR="00FA7C11" w:rsidRDefault="00D84965">
            <w:pPr>
              <w:pStyle w:val="P68B1DB1-Normal102"/>
              <w:spacing w:after="0" w:line="240" w:lineRule="auto"/>
              <w:jc w:val="center"/>
              <w:textAlignment w:val="baseline"/>
              <w:rPr>
                <w:rFonts w:eastAsia="Times New Roman"/>
                <w:noProof/>
              </w:rPr>
            </w:pPr>
            <w:r>
              <w:rPr>
                <w:noProof/>
              </w:rPr>
              <w:t>C1.4. R5-I2</w:t>
            </w:r>
          </w:p>
        </w:tc>
        <w:tc>
          <w:tcPr>
            <w:tcW w:w="1274" w:type="dxa"/>
            <w:shd w:val="clear" w:color="auto" w:fill="C6EFCE"/>
            <w:vAlign w:val="center"/>
            <w:hideMark/>
          </w:tcPr>
          <w:p w14:paraId="0A3927FD"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4DBFD4F9" w14:textId="77777777" w:rsidR="00FA7C11" w:rsidRDefault="00D84965">
            <w:pPr>
              <w:pStyle w:val="P68B1DB1-Normal102"/>
              <w:spacing w:after="0" w:line="240" w:lineRule="auto"/>
              <w:jc w:val="both"/>
              <w:textAlignment w:val="baseline"/>
              <w:rPr>
                <w:rFonts w:eastAsia="Times New Roman"/>
                <w:noProof/>
              </w:rPr>
            </w:pPr>
            <w:r>
              <w:rPr>
                <w:noProof/>
              </w:rPr>
              <w:t>Noua legislație privind conducerea autonomă</w:t>
            </w:r>
          </w:p>
        </w:tc>
      </w:tr>
      <w:tr w:rsidR="00FA7C11" w14:paraId="44FCDD79" w14:textId="77777777">
        <w:trPr>
          <w:trHeight w:val="433"/>
        </w:trPr>
        <w:tc>
          <w:tcPr>
            <w:tcW w:w="1096" w:type="dxa"/>
            <w:shd w:val="clear" w:color="auto" w:fill="C6EFCE"/>
            <w:vAlign w:val="center"/>
          </w:tcPr>
          <w:p w14:paraId="476C773C" w14:textId="77777777" w:rsidR="00FA7C11" w:rsidRDefault="00D84965">
            <w:pPr>
              <w:pStyle w:val="P68B1DB1-Normal102"/>
              <w:spacing w:after="0" w:line="240" w:lineRule="auto"/>
              <w:jc w:val="center"/>
              <w:textAlignment w:val="baseline"/>
              <w:rPr>
                <w:noProof/>
              </w:rPr>
            </w:pPr>
            <w:r>
              <w:rPr>
                <w:noProof/>
              </w:rPr>
              <w:t>167</w:t>
            </w:r>
          </w:p>
        </w:tc>
        <w:tc>
          <w:tcPr>
            <w:tcW w:w="1639" w:type="dxa"/>
            <w:shd w:val="clear" w:color="auto" w:fill="C6EFCE"/>
            <w:vAlign w:val="center"/>
          </w:tcPr>
          <w:p w14:paraId="27271F9A" w14:textId="77777777" w:rsidR="00FA7C11" w:rsidRDefault="00D84965">
            <w:pPr>
              <w:pStyle w:val="P68B1DB1-Normal102"/>
              <w:spacing w:after="0" w:line="240" w:lineRule="auto"/>
              <w:jc w:val="center"/>
              <w:textAlignment w:val="baseline"/>
              <w:rPr>
                <w:noProof/>
              </w:rPr>
            </w:pPr>
            <w:r>
              <w:rPr>
                <w:noProof/>
              </w:rPr>
              <w:t>C2.2. R2-I1</w:t>
            </w:r>
          </w:p>
        </w:tc>
        <w:tc>
          <w:tcPr>
            <w:tcW w:w="1274" w:type="dxa"/>
            <w:shd w:val="clear" w:color="auto" w:fill="C6EFCE"/>
            <w:vAlign w:val="center"/>
          </w:tcPr>
          <w:p w14:paraId="22F41284"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87714F1" w14:textId="77777777" w:rsidR="00FA7C11" w:rsidRDefault="00D84965">
            <w:pPr>
              <w:pStyle w:val="P68B1DB1-Normal102"/>
              <w:spacing w:after="0" w:line="240" w:lineRule="auto"/>
              <w:jc w:val="both"/>
              <w:textAlignment w:val="baseline"/>
              <w:rPr>
                <w:noProof/>
              </w:rPr>
            </w:pPr>
            <w:r>
              <w:rPr>
                <w:noProof/>
              </w:rPr>
              <w:t xml:space="preserve">Sistemul de gestionare a resurselor umane, Registrul </w:t>
            </w:r>
          </w:p>
          <w:p w14:paraId="5B6B23DC" w14:textId="77777777" w:rsidR="00FA7C11" w:rsidRDefault="00D84965">
            <w:pPr>
              <w:pStyle w:val="P68B1DB1-Normal102"/>
              <w:spacing w:after="0" w:line="240" w:lineRule="auto"/>
              <w:jc w:val="both"/>
              <w:textAlignment w:val="baseline"/>
              <w:rPr>
                <w:noProof/>
              </w:rPr>
            </w:pPr>
            <w:r>
              <w:rPr>
                <w:noProof/>
              </w:rPr>
              <w:t xml:space="preserve">Funcționarii și sistemul salarial centralizat (RegZap – Cop), este </w:t>
            </w:r>
          </w:p>
          <w:p w14:paraId="384BA59C" w14:textId="77777777" w:rsidR="00FA7C11" w:rsidRDefault="00D84965">
            <w:pPr>
              <w:pStyle w:val="P68B1DB1-Normal102"/>
              <w:spacing w:after="0" w:line="240" w:lineRule="auto"/>
              <w:jc w:val="both"/>
              <w:textAlignment w:val="baseline"/>
              <w:rPr>
                <w:noProof/>
              </w:rPr>
            </w:pPr>
            <w:r>
              <w:rPr>
                <w:noProof/>
              </w:rPr>
              <w:t xml:space="preserve">completate cu nouă funcționalități noi, digitizând toate funcționalitățile conexe </w:t>
            </w:r>
          </w:p>
          <w:p w14:paraId="491D20B9" w14:textId="77777777" w:rsidR="00FA7C11" w:rsidRDefault="00D84965">
            <w:pPr>
              <w:pStyle w:val="P68B1DB1-Normal102"/>
              <w:spacing w:after="0" w:line="240" w:lineRule="auto"/>
              <w:jc w:val="both"/>
              <w:textAlignment w:val="baseline"/>
              <w:rPr>
                <w:noProof/>
              </w:rPr>
            </w:pPr>
            <w:r>
              <w:rPr>
                <w:noProof/>
              </w:rPr>
              <w:t xml:space="preserve">procese care simplifică și accelerează modificarea </w:t>
            </w:r>
          </w:p>
          <w:p w14:paraId="7D7D24E2" w14:textId="77777777" w:rsidR="00FA7C11" w:rsidRDefault="00D84965">
            <w:pPr>
              <w:pStyle w:val="P68B1DB1-Normal102"/>
              <w:spacing w:after="0" w:line="240" w:lineRule="auto"/>
              <w:jc w:val="both"/>
              <w:textAlignment w:val="baseline"/>
              <w:rPr>
                <w:noProof/>
              </w:rPr>
            </w:pPr>
            <w:r>
              <w:rPr>
                <w:noProof/>
              </w:rPr>
              <w:t>sistemul de salarizare</w:t>
            </w:r>
          </w:p>
        </w:tc>
      </w:tr>
      <w:tr w:rsidR="00FA7C11" w14:paraId="6411BE98" w14:textId="77777777">
        <w:trPr>
          <w:trHeight w:val="433"/>
        </w:trPr>
        <w:tc>
          <w:tcPr>
            <w:tcW w:w="1096" w:type="dxa"/>
            <w:shd w:val="clear" w:color="auto" w:fill="C6EFCE"/>
            <w:vAlign w:val="center"/>
            <w:hideMark/>
          </w:tcPr>
          <w:p w14:paraId="33C95009" w14:textId="77777777" w:rsidR="00FA7C11" w:rsidRDefault="00D84965">
            <w:pPr>
              <w:pStyle w:val="P68B1DB1-Normal102"/>
              <w:spacing w:after="0" w:line="240" w:lineRule="auto"/>
              <w:jc w:val="center"/>
              <w:textAlignment w:val="baseline"/>
              <w:rPr>
                <w:noProof/>
              </w:rPr>
            </w:pPr>
            <w:r>
              <w:rPr>
                <w:noProof/>
              </w:rPr>
              <w:t>171</w:t>
            </w:r>
          </w:p>
        </w:tc>
        <w:tc>
          <w:tcPr>
            <w:tcW w:w="1639" w:type="dxa"/>
            <w:shd w:val="clear" w:color="auto" w:fill="C6EFCE"/>
            <w:vAlign w:val="center"/>
            <w:hideMark/>
          </w:tcPr>
          <w:p w14:paraId="4D104462" w14:textId="77777777" w:rsidR="00FA7C11" w:rsidRDefault="00D84965">
            <w:pPr>
              <w:pStyle w:val="P68B1DB1-Normal102"/>
              <w:spacing w:after="0" w:line="240" w:lineRule="auto"/>
              <w:jc w:val="center"/>
              <w:textAlignment w:val="baseline"/>
              <w:rPr>
                <w:noProof/>
              </w:rPr>
            </w:pPr>
            <w:r>
              <w:rPr>
                <w:noProof/>
              </w:rPr>
              <w:t>C2.2. R3</w:t>
            </w:r>
          </w:p>
        </w:tc>
        <w:tc>
          <w:tcPr>
            <w:tcW w:w="1274" w:type="dxa"/>
            <w:shd w:val="clear" w:color="auto" w:fill="C6EFCE"/>
            <w:vAlign w:val="center"/>
            <w:hideMark/>
          </w:tcPr>
          <w:p w14:paraId="041C38A6"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49B5F200" w14:textId="77777777" w:rsidR="00FA7C11" w:rsidRDefault="00D84965">
            <w:pPr>
              <w:pStyle w:val="P68B1DB1-Normal102"/>
              <w:spacing w:after="0" w:line="240" w:lineRule="auto"/>
              <w:jc w:val="both"/>
              <w:textAlignment w:val="baseline"/>
              <w:rPr>
                <w:noProof/>
              </w:rPr>
            </w:pPr>
            <w:r>
              <w:rPr>
                <w:noProof/>
              </w:rPr>
              <w:t>Crearea unui sistem național de informații privind arhivele</w:t>
            </w:r>
          </w:p>
        </w:tc>
      </w:tr>
      <w:tr w:rsidR="00FA7C11" w14:paraId="74CBDB98" w14:textId="77777777">
        <w:trPr>
          <w:trHeight w:val="433"/>
        </w:trPr>
        <w:tc>
          <w:tcPr>
            <w:tcW w:w="1096" w:type="dxa"/>
            <w:shd w:val="clear" w:color="auto" w:fill="C6EFCE"/>
            <w:vAlign w:val="center"/>
            <w:hideMark/>
          </w:tcPr>
          <w:p w14:paraId="17C9A9D5" w14:textId="77777777" w:rsidR="00FA7C11" w:rsidRDefault="00D84965">
            <w:pPr>
              <w:pStyle w:val="P68B1DB1-Normal102"/>
              <w:spacing w:after="0" w:line="240" w:lineRule="auto"/>
              <w:jc w:val="center"/>
              <w:textAlignment w:val="baseline"/>
              <w:rPr>
                <w:noProof/>
              </w:rPr>
            </w:pPr>
            <w:r>
              <w:rPr>
                <w:noProof/>
              </w:rPr>
              <w:t>182</w:t>
            </w:r>
          </w:p>
        </w:tc>
        <w:tc>
          <w:tcPr>
            <w:tcW w:w="1639" w:type="dxa"/>
            <w:shd w:val="clear" w:color="auto" w:fill="C6EFCE"/>
            <w:vAlign w:val="center"/>
            <w:hideMark/>
          </w:tcPr>
          <w:p w14:paraId="2E851756" w14:textId="77777777" w:rsidR="00FA7C11" w:rsidRDefault="00D84965">
            <w:pPr>
              <w:pStyle w:val="P68B1DB1-Normal102"/>
              <w:spacing w:after="0" w:line="240" w:lineRule="auto"/>
              <w:jc w:val="center"/>
              <w:textAlignment w:val="baseline"/>
              <w:rPr>
                <w:noProof/>
              </w:rPr>
            </w:pPr>
            <w:r>
              <w:rPr>
                <w:noProof/>
              </w:rPr>
              <w:t>C2.3. R3-I2</w:t>
            </w:r>
          </w:p>
        </w:tc>
        <w:tc>
          <w:tcPr>
            <w:tcW w:w="1274" w:type="dxa"/>
            <w:shd w:val="clear" w:color="auto" w:fill="C6EFCE"/>
            <w:vAlign w:val="center"/>
            <w:hideMark/>
          </w:tcPr>
          <w:p w14:paraId="42DD189B"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3705CE65" w14:textId="77777777" w:rsidR="00FA7C11" w:rsidRDefault="00D84965">
            <w:pPr>
              <w:pStyle w:val="P68B1DB1-Normal102"/>
              <w:spacing w:after="0" w:line="240" w:lineRule="auto"/>
              <w:jc w:val="both"/>
              <w:textAlignment w:val="baseline"/>
              <w:rPr>
                <w:noProof/>
              </w:rPr>
            </w:pPr>
            <w:r>
              <w:rPr>
                <w:noProof/>
              </w:rPr>
              <w:t>Campanie publică de prevenire a securității cibernetice</w:t>
            </w:r>
          </w:p>
        </w:tc>
      </w:tr>
      <w:tr w:rsidR="00FA7C11" w14:paraId="08BBACCC" w14:textId="77777777">
        <w:trPr>
          <w:trHeight w:val="433"/>
        </w:trPr>
        <w:tc>
          <w:tcPr>
            <w:tcW w:w="1096" w:type="dxa"/>
            <w:shd w:val="clear" w:color="auto" w:fill="C6EFCE"/>
            <w:vAlign w:val="center"/>
            <w:hideMark/>
          </w:tcPr>
          <w:p w14:paraId="4BB44D6E" w14:textId="77777777" w:rsidR="00FA7C11" w:rsidRDefault="00D84965">
            <w:pPr>
              <w:pStyle w:val="P68B1DB1-Normal102"/>
              <w:spacing w:after="0" w:line="240" w:lineRule="auto"/>
              <w:jc w:val="center"/>
              <w:textAlignment w:val="baseline"/>
              <w:rPr>
                <w:noProof/>
              </w:rPr>
            </w:pPr>
            <w:r>
              <w:rPr>
                <w:noProof/>
              </w:rPr>
              <w:t>184</w:t>
            </w:r>
          </w:p>
        </w:tc>
        <w:tc>
          <w:tcPr>
            <w:tcW w:w="1639" w:type="dxa"/>
            <w:shd w:val="clear" w:color="auto" w:fill="C6EFCE"/>
            <w:vAlign w:val="center"/>
            <w:hideMark/>
          </w:tcPr>
          <w:p w14:paraId="5F0B4E80" w14:textId="77777777" w:rsidR="00FA7C11" w:rsidRDefault="00D84965">
            <w:pPr>
              <w:pStyle w:val="P68B1DB1-Normal102"/>
              <w:spacing w:after="0" w:line="240" w:lineRule="auto"/>
              <w:jc w:val="center"/>
              <w:textAlignment w:val="baseline"/>
              <w:rPr>
                <w:noProof/>
              </w:rPr>
            </w:pPr>
            <w:r>
              <w:rPr>
                <w:noProof/>
              </w:rPr>
              <w:t>C2.3. R3-I4</w:t>
            </w:r>
          </w:p>
        </w:tc>
        <w:tc>
          <w:tcPr>
            <w:tcW w:w="1274" w:type="dxa"/>
            <w:shd w:val="clear" w:color="auto" w:fill="C6EFCE"/>
            <w:vAlign w:val="center"/>
            <w:hideMark/>
          </w:tcPr>
          <w:p w14:paraId="4FCF60A9"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61BC1D44" w14:textId="77777777" w:rsidR="00FA7C11" w:rsidRDefault="00D84965">
            <w:pPr>
              <w:pStyle w:val="P68B1DB1-Normal102"/>
              <w:spacing w:after="0" w:line="240" w:lineRule="auto"/>
              <w:jc w:val="both"/>
              <w:textAlignment w:val="baseline"/>
              <w:rPr>
                <w:noProof/>
              </w:rPr>
            </w:pPr>
            <w:r>
              <w:rPr>
                <w:noProof/>
              </w:rPr>
              <w:t>Sistemul informatic CEZIH</w:t>
            </w:r>
          </w:p>
        </w:tc>
      </w:tr>
      <w:tr w:rsidR="00FA7C11" w14:paraId="1575B429" w14:textId="77777777">
        <w:trPr>
          <w:trHeight w:val="433"/>
        </w:trPr>
        <w:tc>
          <w:tcPr>
            <w:tcW w:w="1096" w:type="dxa"/>
            <w:shd w:val="clear" w:color="auto" w:fill="C6EFCE"/>
            <w:vAlign w:val="center"/>
            <w:hideMark/>
          </w:tcPr>
          <w:p w14:paraId="22E0C196" w14:textId="77777777" w:rsidR="00FA7C11" w:rsidRDefault="00D84965">
            <w:pPr>
              <w:pStyle w:val="P68B1DB1-Normal102"/>
              <w:spacing w:after="0" w:line="240" w:lineRule="auto"/>
              <w:jc w:val="center"/>
              <w:textAlignment w:val="baseline"/>
              <w:rPr>
                <w:noProof/>
              </w:rPr>
            </w:pPr>
            <w:r>
              <w:rPr>
                <w:noProof/>
              </w:rPr>
              <w:t>208</w:t>
            </w:r>
          </w:p>
        </w:tc>
        <w:tc>
          <w:tcPr>
            <w:tcW w:w="1639" w:type="dxa"/>
            <w:shd w:val="clear" w:color="auto" w:fill="C6EFCE"/>
            <w:vAlign w:val="center"/>
            <w:hideMark/>
          </w:tcPr>
          <w:p w14:paraId="236F692B" w14:textId="77777777" w:rsidR="00FA7C11" w:rsidRDefault="00D84965">
            <w:pPr>
              <w:pStyle w:val="P68B1DB1-Normal102"/>
              <w:spacing w:after="0" w:line="240" w:lineRule="auto"/>
              <w:jc w:val="center"/>
              <w:textAlignment w:val="baseline"/>
              <w:rPr>
                <w:noProof/>
              </w:rPr>
            </w:pPr>
            <w:r>
              <w:rPr>
                <w:noProof/>
              </w:rPr>
              <w:t>C2.4. R2</w:t>
            </w:r>
          </w:p>
        </w:tc>
        <w:tc>
          <w:tcPr>
            <w:tcW w:w="1274" w:type="dxa"/>
            <w:shd w:val="clear" w:color="auto" w:fill="C6EFCE"/>
            <w:vAlign w:val="center"/>
            <w:hideMark/>
          </w:tcPr>
          <w:p w14:paraId="042249A7"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32703388" w14:textId="77777777" w:rsidR="00FA7C11" w:rsidRDefault="00D84965">
            <w:pPr>
              <w:pStyle w:val="P68B1DB1-Normal102"/>
              <w:spacing w:after="0" w:line="240" w:lineRule="auto"/>
              <w:jc w:val="both"/>
              <w:textAlignment w:val="baseline"/>
              <w:rPr>
                <w:noProof/>
              </w:rPr>
            </w:pPr>
            <w:r>
              <w:rPr>
                <w:noProof/>
              </w:rPr>
              <w:t>Un nou cadru juridic privind întreprinderile de stat, care să includă recomandările OCDE.</w:t>
            </w:r>
          </w:p>
        </w:tc>
      </w:tr>
      <w:tr w:rsidR="00FA7C11" w14:paraId="10BFEAEC" w14:textId="77777777">
        <w:trPr>
          <w:trHeight w:val="433"/>
        </w:trPr>
        <w:tc>
          <w:tcPr>
            <w:tcW w:w="1096" w:type="dxa"/>
            <w:shd w:val="clear" w:color="auto" w:fill="C6EFCE"/>
            <w:vAlign w:val="center"/>
            <w:hideMark/>
          </w:tcPr>
          <w:p w14:paraId="5F8D54DF" w14:textId="77777777" w:rsidR="00FA7C11" w:rsidRDefault="00D84965">
            <w:pPr>
              <w:pStyle w:val="P68B1DB1-Normal102"/>
              <w:spacing w:after="0" w:line="240" w:lineRule="auto"/>
              <w:jc w:val="center"/>
              <w:textAlignment w:val="baseline"/>
              <w:rPr>
                <w:noProof/>
              </w:rPr>
            </w:pPr>
            <w:r>
              <w:rPr>
                <w:noProof/>
              </w:rPr>
              <w:t>228</w:t>
            </w:r>
          </w:p>
        </w:tc>
        <w:tc>
          <w:tcPr>
            <w:tcW w:w="1639" w:type="dxa"/>
            <w:shd w:val="clear" w:color="auto" w:fill="C6EFCE"/>
            <w:vAlign w:val="center"/>
            <w:hideMark/>
          </w:tcPr>
          <w:p w14:paraId="4BFDCFE5" w14:textId="77777777" w:rsidR="00FA7C11" w:rsidRDefault="00D84965">
            <w:pPr>
              <w:pStyle w:val="P68B1DB1-Normal102"/>
              <w:spacing w:after="0" w:line="240" w:lineRule="auto"/>
              <w:jc w:val="center"/>
              <w:textAlignment w:val="baseline"/>
              <w:rPr>
                <w:noProof/>
              </w:rPr>
            </w:pPr>
            <w:r>
              <w:rPr>
                <w:noProof/>
              </w:rPr>
              <w:t>C2.5. R1-I5</w:t>
            </w:r>
          </w:p>
        </w:tc>
        <w:tc>
          <w:tcPr>
            <w:tcW w:w="1274" w:type="dxa"/>
            <w:shd w:val="clear" w:color="auto" w:fill="C6EFCE"/>
            <w:vAlign w:val="center"/>
            <w:hideMark/>
          </w:tcPr>
          <w:p w14:paraId="631D58B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77E113C2" w14:textId="77777777" w:rsidR="00FA7C11" w:rsidRDefault="00D84965">
            <w:pPr>
              <w:pStyle w:val="P68B1DB1-Normal102"/>
              <w:spacing w:after="0" w:line="240" w:lineRule="auto"/>
              <w:jc w:val="both"/>
              <w:textAlignment w:val="baseline"/>
              <w:rPr>
                <w:noProof/>
              </w:rPr>
            </w:pPr>
            <w:r>
              <w:rPr>
                <w:noProof/>
              </w:rPr>
              <w:t>Clădiri ale instanțelor nou renovate care respectă Regulamentul tehnic privind utilizarea rațională a energiei și protecția termică în clădiri</w:t>
            </w:r>
          </w:p>
        </w:tc>
      </w:tr>
      <w:tr w:rsidR="00FA7C11" w14:paraId="13461543" w14:textId="77777777">
        <w:trPr>
          <w:trHeight w:val="433"/>
        </w:trPr>
        <w:tc>
          <w:tcPr>
            <w:tcW w:w="1096" w:type="dxa"/>
            <w:shd w:val="clear" w:color="auto" w:fill="C6EFCE"/>
            <w:vAlign w:val="center"/>
            <w:hideMark/>
          </w:tcPr>
          <w:p w14:paraId="2DA41383" w14:textId="77777777" w:rsidR="00FA7C11" w:rsidRDefault="00D84965">
            <w:pPr>
              <w:pStyle w:val="P68B1DB1-Normal102"/>
              <w:spacing w:after="0" w:line="240" w:lineRule="auto"/>
              <w:jc w:val="center"/>
              <w:textAlignment w:val="baseline"/>
              <w:rPr>
                <w:noProof/>
              </w:rPr>
            </w:pPr>
            <w:r>
              <w:rPr>
                <w:noProof/>
              </w:rPr>
              <w:t>235</w:t>
            </w:r>
          </w:p>
        </w:tc>
        <w:tc>
          <w:tcPr>
            <w:tcW w:w="1639" w:type="dxa"/>
            <w:shd w:val="clear" w:color="auto" w:fill="C6EFCE"/>
            <w:vAlign w:val="center"/>
            <w:hideMark/>
          </w:tcPr>
          <w:p w14:paraId="0A8D4FC6" w14:textId="77777777" w:rsidR="00FA7C11" w:rsidRDefault="00D84965">
            <w:pPr>
              <w:pStyle w:val="P68B1DB1-Normal102"/>
              <w:spacing w:after="0" w:line="240" w:lineRule="auto"/>
              <w:jc w:val="center"/>
              <w:textAlignment w:val="baseline"/>
              <w:rPr>
                <w:noProof/>
              </w:rPr>
            </w:pPr>
            <w:r>
              <w:rPr>
                <w:noProof/>
              </w:rPr>
              <w:t>C2.6. R1</w:t>
            </w:r>
          </w:p>
        </w:tc>
        <w:tc>
          <w:tcPr>
            <w:tcW w:w="1274" w:type="dxa"/>
            <w:shd w:val="clear" w:color="auto" w:fill="C6EFCE"/>
            <w:vAlign w:val="center"/>
            <w:hideMark/>
          </w:tcPr>
          <w:p w14:paraId="6A3A27D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54170C77" w14:textId="77777777" w:rsidR="00FA7C11" w:rsidRDefault="00D84965">
            <w:pPr>
              <w:pStyle w:val="P68B1DB1-Normal102"/>
              <w:spacing w:after="0" w:line="240" w:lineRule="auto"/>
              <w:jc w:val="both"/>
              <w:textAlignment w:val="baseline"/>
              <w:rPr>
                <w:noProof/>
              </w:rPr>
            </w:pPr>
            <w:r>
              <w:rPr>
                <w:noProof/>
              </w:rPr>
              <w:t>Majorarea bugetului de personal pentru angajații organismelor anticorupție din sistemul judiciar.</w:t>
            </w:r>
          </w:p>
        </w:tc>
      </w:tr>
      <w:tr w:rsidR="00FA7C11" w14:paraId="3757703E" w14:textId="77777777">
        <w:trPr>
          <w:trHeight w:val="433"/>
        </w:trPr>
        <w:tc>
          <w:tcPr>
            <w:tcW w:w="1096" w:type="dxa"/>
            <w:shd w:val="clear" w:color="auto" w:fill="C6EFCE"/>
            <w:vAlign w:val="center"/>
            <w:hideMark/>
          </w:tcPr>
          <w:p w14:paraId="02AA71A0" w14:textId="77777777" w:rsidR="00FA7C11" w:rsidRDefault="00D84965">
            <w:pPr>
              <w:pStyle w:val="P68B1DB1-Normal102"/>
              <w:spacing w:after="0" w:line="240" w:lineRule="auto"/>
              <w:jc w:val="center"/>
              <w:textAlignment w:val="baseline"/>
              <w:rPr>
                <w:noProof/>
              </w:rPr>
            </w:pPr>
            <w:r>
              <w:rPr>
                <w:noProof/>
              </w:rPr>
              <w:t>236</w:t>
            </w:r>
          </w:p>
        </w:tc>
        <w:tc>
          <w:tcPr>
            <w:tcW w:w="1639" w:type="dxa"/>
            <w:shd w:val="clear" w:color="auto" w:fill="C6EFCE"/>
            <w:vAlign w:val="center"/>
            <w:hideMark/>
          </w:tcPr>
          <w:p w14:paraId="5FD5C923" w14:textId="77777777" w:rsidR="00FA7C11" w:rsidRDefault="00D84965">
            <w:pPr>
              <w:pStyle w:val="P68B1DB1-Normal102"/>
              <w:spacing w:after="0" w:line="240" w:lineRule="auto"/>
              <w:jc w:val="center"/>
              <w:textAlignment w:val="baseline"/>
              <w:rPr>
                <w:noProof/>
              </w:rPr>
            </w:pPr>
            <w:r>
              <w:rPr>
                <w:noProof/>
              </w:rPr>
              <w:t>C2.6. R1</w:t>
            </w:r>
          </w:p>
        </w:tc>
        <w:tc>
          <w:tcPr>
            <w:tcW w:w="1274" w:type="dxa"/>
            <w:shd w:val="clear" w:color="auto" w:fill="C6EFCE"/>
            <w:vAlign w:val="center"/>
            <w:hideMark/>
          </w:tcPr>
          <w:p w14:paraId="27921E88"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2BAA1795" w14:textId="77777777" w:rsidR="00FA7C11" w:rsidRDefault="00D84965">
            <w:pPr>
              <w:pStyle w:val="P68B1DB1-Normal102"/>
              <w:spacing w:after="0" w:line="240" w:lineRule="auto"/>
              <w:jc w:val="both"/>
              <w:textAlignment w:val="baseline"/>
              <w:rPr>
                <w:noProof/>
              </w:rPr>
            </w:pPr>
            <w:r>
              <w:rPr>
                <w:noProof/>
              </w:rPr>
              <w:t>Majorarea bugetului pentru achiziționarea de instrumente și echipamente informatice de către autoritățile judiciare în vederea investigării infracțiunilor de corupție și de criminalitate organizată</w:t>
            </w:r>
          </w:p>
        </w:tc>
      </w:tr>
      <w:tr w:rsidR="00FA7C11" w14:paraId="1EB9A37A" w14:textId="77777777">
        <w:trPr>
          <w:trHeight w:val="433"/>
        </w:trPr>
        <w:tc>
          <w:tcPr>
            <w:tcW w:w="1096" w:type="dxa"/>
            <w:shd w:val="clear" w:color="auto" w:fill="C6EFCE"/>
            <w:vAlign w:val="center"/>
            <w:hideMark/>
          </w:tcPr>
          <w:p w14:paraId="3079CE72" w14:textId="77777777" w:rsidR="00FA7C11" w:rsidRDefault="00D84965">
            <w:pPr>
              <w:pStyle w:val="P68B1DB1-Normal102"/>
              <w:spacing w:after="0" w:line="240" w:lineRule="auto"/>
              <w:jc w:val="center"/>
              <w:textAlignment w:val="baseline"/>
              <w:rPr>
                <w:noProof/>
              </w:rPr>
            </w:pPr>
            <w:r>
              <w:rPr>
                <w:noProof/>
              </w:rPr>
              <w:t>241</w:t>
            </w:r>
          </w:p>
        </w:tc>
        <w:tc>
          <w:tcPr>
            <w:tcW w:w="1639" w:type="dxa"/>
            <w:shd w:val="clear" w:color="auto" w:fill="C6EFCE"/>
            <w:vAlign w:val="center"/>
            <w:hideMark/>
          </w:tcPr>
          <w:p w14:paraId="4BF1AFAC" w14:textId="77777777" w:rsidR="00FA7C11" w:rsidRDefault="00D84965">
            <w:pPr>
              <w:pStyle w:val="P68B1DB1-Normal102"/>
              <w:spacing w:after="0" w:line="240" w:lineRule="auto"/>
              <w:jc w:val="center"/>
              <w:textAlignment w:val="baseline"/>
              <w:rPr>
                <w:noProof/>
              </w:rPr>
            </w:pPr>
            <w:r>
              <w:rPr>
                <w:noProof/>
              </w:rPr>
              <w:t>C2.6. R1-I3</w:t>
            </w:r>
          </w:p>
        </w:tc>
        <w:tc>
          <w:tcPr>
            <w:tcW w:w="1274" w:type="dxa"/>
            <w:shd w:val="clear" w:color="auto" w:fill="C6EFCE"/>
            <w:vAlign w:val="center"/>
            <w:hideMark/>
          </w:tcPr>
          <w:p w14:paraId="11ED4589"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56914966" w14:textId="77777777" w:rsidR="00FA7C11" w:rsidRDefault="00D84965">
            <w:pPr>
              <w:pStyle w:val="P68B1DB1-Normal102"/>
              <w:spacing w:after="0" w:line="240" w:lineRule="auto"/>
              <w:jc w:val="both"/>
              <w:textAlignment w:val="baseline"/>
              <w:rPr>
                <w:noProof/>
              </w:rPr>
            </w:pPr>
            <w:r>
              <w:rPr>
                <w:noProof/>
              </w:rPr>
              <w:t>Sisteme îmbunătățite de informații privind declarațiile de avere pentru funcționarii de stat și funcționarii din justiție</w:t>
            </w:r>
          </w:p>
        </w:tc>
      </w:tr>
      <w:tr w:rsidR="00FA7C11" w14:paraId="399D2487" w14:textId="77777777">
        <w:trPr>
          <w:trHeight w:val="433"/>
        </w:trPr>
        <w:tc>
          <w:tcPr>
            <w:tcW w:w="1096" w:type="dxa"/>
            <w:shd w:val="clear" w:color="auto" w:fill="C6EFCE"/>
            <w:vAlign w:val="center"/>
            <w:hideMark/>
          </w:tcPr>
          <w:p w14:paraId="52C1357E" w14:textId="77777777" w:rsidR="00FA7C11" w:rsidRDefault="00D84965">
            <w:pPr>
              <w:pStyle w:val="P68B1DB1-Normal102"/>
              <w:spacing w:after="0" w:line="240" w:lineRule="auto"/>
              <w:jc w:val="center"/>
              <w:textAlignment w:val="baseline"/>
              <w:rPr>
                <w:noProof/>
              </w:rPr>
            </w:pPr>
            <w:r>
              <w:rPr>
                <w:noProof/>
              </w:rPr>
              <w:t>244</w:t>
            </w:r>
          </w:p>
        </w:tc>
        <w:tc>
          <w:tcPr>
            <w:tcW w:w="1639" w:type="dxa"/>
            <w:shd w:val="clear" w:color="auto" w:fill="C6EFCE"/>
            <w:vAlign w:val="center"/>
            <w:hideMark/>
          </w:tcPr>
          <w:p w14:paraId="592E0920" w14:textId="77777777" w:rsidR="00FA7C11" w:rsidRDefault="00D84965">
            <w:pPr>
              <w:pStyle w:val="P68B1DB1-Normal102"/>
              <w:spacing w:after="0" w:line="240" w:lineRule="auto"/>
              <w:jc w:val="center"/>
              <w:textAlignment w:val="baseline"/>
              <w:rPr>
                <w:noProof/>
              </w:rPr>
            </w:pPr>
            <w:r>
              <w:rPr>
                <w:noProof/>
              </w:rPr>
              <w:t>C2.6. R3</w:t>
            </w:r>
          </w:p>
        </w:tc>
        <w:tc>
          <w:tcPr>
            <w:tcW w:w="1274" w:type="dxa"/>
            <w:shd w:val="clear" w:color="auto" w:fill="C6EFCE"/>
            <w:vAlign w:val="center"/>
            <w:hideMark/>
          </w:tcPr>
          <w:p w14:paraId="5620EF1C"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4881E0E2" w14:textId="77777777" w:rsidR="00FA7C11" w:rsidRDefault="00D84965">
            <w:pPr>
              <w:pStyle w:val="P68B1DB1-Normal102"/>
              <w:spacing w:after="0" w:line="240" w:lineRule="auto"/>
              <w:jc w:val="both"/>
              <w:textAlignment w:val="baseline"/>
              <w:rPr>
                <w:noProof/>
              </w:rPr>
            </w:pPr>
            <w:r>
              <w:rPr>
                <w:noProof/>
              </w:rPr>
              <w:t>Aplicarea recomandărilor OCDE în materie de guvernanță corporativă privind participația majoritară a unităților locale și regionale</w:t>
            </w:r>
          </w:p>
        </w:tc>
      </w:tr>
      <w:tr w:rsidR="00FA7C11" w14:paraId="0B4A0367" w14:textId="77777777">
        <w:trPr>
          <w:trHeight w:val="433"/>
        </w:trPr>
        <w:tc>
          <w:tcPr>
            <w:tcW w:w="1096" w:type="dxa"/>
            <w:shd w:val="clear" w:color="auto" w:fill="C6EFCE"/>
            <w:vAlign w:val="center"/>
            <w:hideMark/>
          </w:tcPr>
          <w:p w14:paraId="5C8F347F" w14:textId="77777777" w:rsidR="00FA7C11" w:rsidRDefault="00D84965">
            <w:pPr>
              <w:pStyle w:val="P68B1DB1-Normal102"/>
              <w:spacing w:after="0" w:line="240" w:lineRule="auto"/>
              <w:jc w:val="center"/>
              <w:textAlignment w:val="baseline"/>
              <w:rPr>
                <w:noProof/>
              </w:rPr>
            </w:pPr>
            <w:r>
              <w:rPr>
                <w:noProof/>
              </w:rPr>
              <w:t>246</w:t>
            </w:r>
          </w:p>
        </w:tc>
        <w:tc>
          <w:tcPr>
            <w:tcW w:w="1639" w:type="dxa"/>
            <w:shd w:val="clear" w:color="auto" w:fill="C6EFCE"/>
            <w:vAlign w:val="center"/>
            <w:hideMark/>
          </w:tcPr>
          <w:p w14:paraId="7CDDC3B9" w14:textId="77777777" w:rsidR="00FA7C11" w:rsidRDefault="00D84965">
            <w:pPr>
              <w:pStyle w:val="P68B1DB1-Normal102"/>
              <w:spacing w:after="0" w:line="240" w:lineRule="auto"/>
              <w:jc w:val="center"/>
              <w:textAlignment w:val="baseline"/>
              <w:rPr>
                <w:noProof/>
              </w:rPr>
            </w:pPr>
            <w:r>
              <w:rPr>
                <w:noProof/>
              </w:rPr>
              <w:t>C2.6. R4</w:t>
            </w:r>
          </w:p>
        </w:tc>
        <w:tc>
          <w:tcPr>
            <w:tcW w:w="1274" w:type="dxa"/>
            <w:shd w:val="clear" w:color="auto" w:fill="C6EFCE"/>
            <w:vAlign w:val="center"/>
            <w:hideMark/>
          </w:tcPr>
          <w:p w14:paraId="62AA9D5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46642771" w14:textId="77777777" w:rsidR="00FA7C11" w:rsidRDefault="00D84965">
            <w:pPr>
              <w:pStyle w:val="P68B1DB1-Normal102"/>
              <w:spacing w:after="0" w:line="240" w:lineRule="auto"/>
              <w:jc w:val="both"/>
              <w:textAlignment w:val="baseline"/>
              <w:rPr>
                <w:noProof/>
              </w:rPr>
            </w:pPr>
            <w:r>
              <w:rPr>
                <w:noProof/>
              </w:rPr>
              <w:t>Formarea judecătorilor cu privire la gestionarea riscurilor de corupție în domeniul achizițiilor publice și al protecției judiciare în cadrul procedurilor de achiziții publice</w:t>
            </w:r>
          </w:p>
        </w:tc>
      </w:tr>
      <w:tr w:rsidR="00FA7C11" w14:paraId="539648B7" w14:textId="77777777">
        <w:trPr>
          <w:trHeight w:val="433"/>
        </w:trPr>
        <w:tc>
          <w:tcPr>
            <w:tcW w:w="1096" w:type="dxa"/>
            <w:shd w:val="clear" w:color="auto" w:fill="C6EFCE"/>
            <w:vAlign w:val="center"/>
            <w:hideMark/>
          </w:tcPr>
          <w:p w14:paraId="317148BB" w14:textId="77777777" w:rsidR="00FA7C11" w:rsidRDefault="00D84965">
            <w:pPr>
              <w:pStyle w:val="P68B1DB1-Normal102"/>
              <w:spacing w:after="0" w:line="240" w:lineRule="auto"/>
              <w:jc w:val="center"/>
              <w:textAlignment w:val="baseline"/>
              <w:rPr>
                <w:noProof/>
              </w:rPr>
            </w:pPr>
            <w:r>
              <w:rPr>
                <w:noProof/>
              </w:rPr>
              <w:t>263</w:t>
            </w:r>
          </w:p>
        </w:tc>
        <w:tc>
          <w:tcPr>
            <w:tcW w:w="1639" w:type="dxa"/>
            <w:shd w:val="clear" w:color="auto" w:fill="C6EFCE"/>
            <w:vAlign w:val="center"/>
            <w:hideMark/>
          </w:tcPr>
          <w:p w14:paraId="61FFFE41" w14:textId="77777777" w:rsidR="00FA7C11" w:rsidRDefault="00D84965">
            <w:pPr>
              <w:pStyle w:val="P68B1DB1-Normal102"/>
              <w:spacing w:after="0" w:line="240" w:lineRule="auto"/>
              <w:jc w:val="center"/>
              <w:textAlignment w:val="baseline"/>
              <w:rPr>
                <w:noProof/>
              </w:rPr>
            </w:pPr>
            <w:r>
              <w:rPr>
                <w:noProof/>
              </w:rPr>
              <w:t>C2.9. R3</w:t>
            </w:r>
          </w:p>
        </w:tc>
        <w:tc>
          <w:tcPr>
            <w:tcW w:w="1274" w:type="dxa"/>
            <w:shd w:val="clear" w:color="auto" w:fill="C6EFCE"/>
            <w:vAlign w:val="center"/>
            <w:hideMark/>
          </w:tcPr>
          <w:p w14:paraId="34C9F907"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43634D38" w14:textId="77777777" w:rsidR="00FA7C11" w:rsidRDefault="00D84965">
            <w:pPr>
              <w:pStyle w:val="P68B1DB1-Normal102"/>
              <w:spacing w:after="0" w:line="240" w:lineRule="auto"/>
              <w:jc w:val="both"/>
              <w:textAlignment w:val="baseline"/>
              <w:rPr>
                <w:noProof/>
              </w:rPr>
            </w:pPr>
            <w:r>
              <w:rPr>
                <w:noProof/>
              </w:rPr>
              <w:t>Programe și activități care vizează conceperea și gestionarea achizițiilor publice inovatoare</w:t>
            </w:r>
          </w:p>
        </w:tc>
      </w:tr>
      <w:tr w:rsidR="00FA7C11" w14:paraId="2E5EB7A0" w14:textId="77777777">
        <w:trPr>
          <w:trHeight w:val="433"/>
        </w:trPr>
        <w:tc>
          <w:tcPr>
            <w:tcW w:w="1096" w:type="dxa"/>
            <w:shd w:val="clear" w:color="auto" w:fill="C6EFCE"/>
            <w:vAlign w:val="center"/>
            <w:hideMark/>
          </w:tcPr>
          <w:p w14:paraId="4770797C" w14:textId="77777777" w:rsidR="00FA7C11" w:rsidRDefault="00D84965">
            <w:pPr>
              <w:pStyle w:val="P68B1DB1-Normal102"/>
              <w:spacing w:after="0" w:line="240" w:lineRule="auto"/>
              <w:jc w:val="center"/>
              <w:textAlignment w:val="baseline"/>
              <w:rPr>
                <w:noProof/>
              </w:rPr>
            </w:pPr>
            <w:r>
              <w:rPr>
                <w:noProof/>
              </w:rPr>
              <w:t>326</w:t>
            </w:r>
          </w:p>
        </w:tc>
        <w:tc>
          <w:tcPr>
            <w:tcW w:w="1639" w:type="dxa"/>
            <w:shd w:val="clear" w:color="auto" w:fill="C6EFCE"/>
            <w:vAlign w:val="center"/>
            <w:hideMark/>
          </w:tcPr>
          <w:p w14:paraId="40F15E31" w14:textId="77777777" w:rsidR="00FA7C11" w:rsidRDefault="00D84965">
            <w:pPr>
              <w:pStyle w:val="P68B1DB1-Normal102"/>
              <w:spacing w:after="0" w:line="240" w:lineRule="auto"/>
              <w:jc w:val="center"/>
              <w:textAlignment w:val="baseline"/>
              <w:rPr>
                <w:noProof/>
              </w:rPr>
            </w:pPr>
            <w:r>
              <w:rPr>
                <w:noProof/>
              </w:rPr>
              <w:t>C5.1. R1-I7</w:t>
            </w:r>
          </w:p>
        </w:tc>
        <w:tc>
          <w:tcPr>
            <w:tcW w:w="1274" w:type="dxa"/>
            <w:shd w:val="clear" w:color="auto" w:fill="C6EFCE"/>
            <w:vAlign w:val="center"/>
            <w:hideMark/>
          </w:tcPr>
          <w:p w14:paraId="06B756F8"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4290216A" w14:textId="77777777" w:rsidR="00FA7C11" w:rsidRDefault="00D84965">
            <w:pPr>
              <w:pStyle w:val="P68B1DB1-Normal102"/>
              <w:spacing w:after="0" w:line="240" w:lineRule="auto"/>
              <w:jc w:val="both"/>
              <w:textAlignment w:val="baseline"/>
              <w:rPr>
                <w:noProof/>
              </w:rPr>
            </w:pPr>
            <w:r>
              <w:rPr>
                <w:noProof/>
              </w:rPr>
              <w:t>Noi facilități la Centrul Spital Clinic (KBC) Sestre Milosrdnice</w:t>
            </w:r>
          </w:p>
        </w:tc>
      </w:tr>
      <w:tr w:rsidR="00FA7C11" w14:paraId="70EB5DD8" w14:textId="77777777">
        <w:trPr>
          <w:trHeight w:val="433"/>
        </w:trPr>
        <w:tc>
          <w:tcPr>
            <w:tcW w:w="1096" w:type="dxa"/>
            <w:shd w:val="clear" w:color="auto" w:fill="C6EFCE"/>
            <w:vAlign w:val="center"/>
            <w:hideMark/>
          </w:tcPr>
          <w:p w14:paraId="02B73FFC" w14:textId="77777777" w:rsidR="00FA7C11" w:rsidRDefault="00D84965">
            <w:pPr>
              <w:pStyle w:val="P68B1DB1-Normal102"/>
              <w:spacing w:after="0" w:line="240" w:lineRule="auto"/>
              <w:jc w:val="center"/>
              <w:textAlignment w:val="baseline"/>
              <w:rPr>
                <w:noProof/>
              </w:rPr>
            </w:pPr>
            <w:r>
              <w:rPr>
                <w:noProof/>
              </w:rPr>
              <w:t>347</w:t>
            </w:r>
          </w:p>
        </w:tc>
        <w:tc>
          <w:tcPr>
            <w:tcW w:w="1639" w:type="dxa"/>
            <w:shd w:val="clear" w:color="auto" w:fill="C6EFCE"/>
            <w:vAlign w:val="center"/>
            <w:hideMark/>
          </w:tcPr>
          <w:p w14:paraId="4B1E4544" w14:textId="77777777" w:rsidR="00FA7C11" w:rsidRDefault="00D84965">
            <w:pPr>
              <w:pStyle w:val="P68B1DB1-Normal102"/>
              <w:spacing w:after="0" w:line="240" w:lineRule="auto"/>
              <w:jc w:val="center"/>
              <w:textAlignment w:val="baseline"/>
              <w:rPr>
                <w:noProof/>
              </w:rPr>
            </w:pPr>
            <w:r>
              <w:rPr>
                <w:noProof/>
              </w:rPr>
              <w:t>C5.1. R5-I1</w:t>
            </w:r>
          </w:p>
        </w:tc>
        <w:tc>
          <w:tcPr>
            <w:tcW w:w="1274" w:type="dxa"/>
            <w:shd w:val="clear" w:color="auto" w:fill="C6EFCE"/>
            <w:vAlign w:val="center"/>
            <w:hideMark/>
          </w:tcPr>
          <w:p w14:paraId="63542DA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2F692CE0" w14:textId="77777777" w:rsidR="00FA7C11" w:rsidRDefault="00D84965">
            <w:pPr>
              <w:pStyle w:val="P68B1DB1-Normal102"/>
              <w:spacing w:after="0" w:line="240" w:lineRule="auto"/>
              <w:jc w:val="both"/>
              <w:textAlignment w:val="baseline"/>
              <w:rPr>
                <w:noProof/>
              </w:rPr>
            </w:pPr>
            <w:r>
              <w:rPr>
                <w:noProof/>
              </w:rPr>
              <w:t>Săli de operare digitalizate și integrate (Firule și Križine) și sistem robotic instalat și funcțional pe site-ul Firule</w:t>
            </w:r>
          </w:p>
        </w:tc>
      </w:tr>
      <w:tr w:rsidR="00FA7C11" w14:paraId="0ED68BE6" w14:textId="77777777">
        <w:trPr>
          <w:trHeight w:val="433"/>
        </w:trPr>
        <w:tc>
          <w:tcPr>
            <w:tcW w:w="1096" w:type="dxa"/>
            <w:shd w:val="clear" w:color="auto" w:fill="C6EFCE"/>
            <w:vAlign w:val="center"/>
            <w:hideMark/>
          </w:tcPr>
          <w:p w14:paraId="107C2AD2" w14:textId="77777777" w:rsidR="00FA7C11" w:rsidRDefault="00D84965">
            <w:pPr>
              <w:pStyle w:val="P68B1DB1-Normal102"/>
              <w:spacing w:after="0" w:line="240" w:lineRule="auto"/>
              <w:jc w:val="center"/>
              <w:textAlignment w:val="baseline"/>
              <w:rPr>
                <w:noProof/>
              </w:rPr>
            </w:pPr>
            <w:r>
              <w:rPr>
                <w:noProof/>
              </w:rPr>
              <w:t>350</w:t>
            </w:r>
          </w:p>
        </w:tc>
        <w:tc>
          <w:tcPr>
            <w:tcW w:w="1639" w:type="dxa"/>
            <w:shd w:val="clear" w:color="auto" w:fill="C6EFCE"/>
            <w:vAlign w:val="center"/>
            <w:hideMark/>
          </w:tcPr>
          <w:p w14:paraId="06837DCE" w14:textId="77777777" w:rsidR="00FA7C11" w:rsidRDefault="00D84965">
            <w:pPr>
              <w:pStyle w:val="P68B1DB1-Normal102"/>
              <w:spacing w:after="0" w:line="240" w:lineRule="auto"/>
              <w:jc w:val="center"/>
              <w:textAlignment w:val="baseline"/>
              <w:rPr>
                <w:noProof/>
              </w:rPr>
            </w:pPr>
            <w:r>
              <w:rPr>
                <w:noProof/>
              </w:rPr>
              <w:t>C5.1. R5-I4</w:t>
            </w:r>
          </w:p>
        </w:tc>
        <w:tc>
          <w:tcPr>
            <w:tcW w:w="1274" w:type="dxa"/>
            <w:shd w:val="clear" w:color="auto" w:fill="C6EFCE"/>
            <w:vAlign w:val="center"/>
            <w:hideMark/>
          </w:tcPr>
          <w:p w14:paraId="7D7DEE3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hideMark/>
          </w:tcPr>
          <w:p w14:paraId="6327F45D" w14:textId="77777777" w:rsidR="00FA7C11" w:rsidRDefault="00D84965">
            <w:pPr>
              <w:pStyle w:val="P68B1DB1-Normal102"/>
              <w:spacing w:after="0" w:line="240" w:lineRule="auto"/>
              <w:jc w:val="both"/>
              <w:textAlignment w:val="baseline"/>
              <w:rPr>
                <w:noProof/>
              </w:rPr>
            </w:pPr>
            <w:r>
              <w:rPr>
                <w:noProof/>
              </w:rPr>
              <w:t>Centrul spitalicesc clinic din Sestre milosrdnice (KBC), cu săli de operații dotate cu echipament de chirurgie robotică</w:t>
            </w:r>
          </w:p>
        </w:tc>
      </w:tr>
      <w:tr w:rsidR="00FA7C11" w14:paraId="76828854" w14:textId="77777777">
        <w:trPr>
          <w:trHeight w:val="433"/>
        </w:trPr>
        <w:tc>
          <w:tcPr>
            <w:tcW w:w="1096" w:type="dxa"/>
            <w:shd w:val="clear" w:color="auto" w:fill="C6EFCE"/>
            <w:vAlign w:val="center"/>
            <w:hideMark/>
          </w:tcPr>
          <w:p w14:paraId="57C1B08C" w14:textId="77777777" w:rsidR="00FA7C11" w:rsidRDefault="00D84965">
            <w:pPr>
              <w:pStyle w:val="P68B1DB1-Normal102"/>
              <w:spacing w:after="0" w:line="240" w:lineRule="auto"/>
              <w:jc w:val="center"/>
              <w:textAlignment w:val="baseline"/>
              <w:rPr>
                <w:noProof/>
              </w:rPr>
            </w:pPr>
            <w:r>
              <w:rPr>
                <w:noProof/>
              </w:rPr>
              <w:t>407</w:t>
            </w:r>
          </w:p>
        </w:tc>
        <w:tc>
          <w:tcPr>
            <w:tcW w:w="1639" w:type="dxa"/>
            <w:shd w:val="clear" w:color="auto" w:fill="C6EFCE"/>
            <w:vAlign w:val="center"/>
            <w:hideMark/>
          </w:tcPr>
          <w:p w14:paraId="3C9EDB54" w14:textId="77777777" w:rsidR="00FA7C11" w:rsidRDefault="00D84965">
            <w:pPr>
              <w:pStyle w:val="P68B1DB1-Normal102"/>
              <w:spacing w:after="0" w:line="240" w:lineRule="auto"/>
              <w:jc w:val="center"/>
              <w:textAlignment w:val="baseline"/>
              <w:rPr>
                <w:noProof/>
              </w:rPr>
            </w:pPr>
            <w:r>
              <w:rPr>
                <w:noProof/>
              </w:rPr>
              <w:t>C7.1 R1-I2</w:t>
            </w:r>
          </w:p>
        </w:tc>
        <w:tc>
          <w:tcPr>
            <w:tcW w:w="1274" w:type="dxa"/>
            <w:shd w:val="clear" w:color="auto" w:fill="C6EFCE"/>
            <w:vAlign w:val="center"/>
            <w:hideMark/>
          </w:tcPr>
          <w:p w14:paraId="3550F1A5"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7D530F65" w14:textId="77777777" w:rsidR="00FA7C11" w:rsidRDefault="00D84965">
            <w:pPr>
              <w:pStyle w:val="P68B1DB1-Normal102"/>
              <w:spacing w:after="0" w:line="240" w:lineRule="auto"/>
              <w:jc w:val="both"/>
              <w:textAlignment w:val="baseline"/>
              <w:rPr>
                <w:noProof/>
              </w:rPr>
            </w:pPr>
            <w:r>
              <w:rPr>
                <w:noProof/>
              </w:rPr>
              <w:t>Organismul de coordonare pentru hidrogen</w:t>
            </w:r>
          </w:p>
        </w:tc>
      </w:tr>
      <w:tr w:rsidR="00FA7C11" w14:paraId="613B96F5" w14:textId="77777777">
        <w:trPr>
          <w:trHeight w:val="433"/>
        </w:trPr>
        <w:tc>
          <w:tcPr>
            <w:tcW w:w="1096" w:type="dxa"/>
            <w:shd w:val="clear" w:color="auto" w:fill="C6EFCE"/>
            <w:vAlign w:val="center"/>
            <w:hideMark/>
          </w:tcPr>
          <w:p w14:paraId="08B4FB6D" w14:textId="77777777" w:rsidR="00FA7C11" w:rsidRDefault="00D84965">
            <w:pPr>
              <w:pStyle w:val="P68B1DB1-Normal102"/>
              <w:spacing w:after="0" w:line="240" w:lineRule="auto"/>
              <w:jc w:val="center"/>
              <w:textAlignment w:val="baseline"/>
              <w:rPr>
                <w:noProof/>
              </w:rPr>
            </w:pPr>
            <w:r>
              <w:rPr>
                <w:noProof/>
              </w:rPr>
              <w:t>412</w:t>
            </w:r>
          </w:p>
        </w:tc>
        <w:tc>
          <w:tcPr>
            <w:tcW w:w="1639" w:type="dxa"/>
            <w:shd w:val="clear" w:color="auto" w:fill="C6EFCE"/>
            <w:vAlign w:val="center"/>
            <w:hideMark/>
          </w:tcPr>
          <w:p w14:paraId="221E3048" w14:textId="77777777" w:rsidR="00FA7C11" w:rsidRDefault="00D84965">
            <w:pPr>
              <w:pStyle w:val="P68B1DB1-Normal102"/>
              <w:spacing w:after="0" w:line="240" w:lineRule="auto"/>
              <w:jc w:val="center"/>
              <w:textAlignment w:val="baseline"/>
              <w:rPr>
                <w:noProof/>
              </w:rPr>
            </w:pPr>
            <w:r>
              <w:rPr>
                <w:noProof/>
              </w:rPr>
              <w:t>C7.1 R1-I3</w:t>
            </w:r>
          </w:p>
        </w:tc>
        <w:tc>
          <w:tcPr>
            <w:tcW w:w="1274" w:type="dxa"/>
            <w:shd w:val="clear" w:color="auto" w:fill="C6EFCE"/>
            <w:vAlign w:val="center"/>
            <w:hideMark/>
          </w:tcPr>
          <w:p w14:paraId="7B2F1005"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hideMark/>
          </w:tcPr>
          <w:p w14:paraId="57869629" w14:textId="77777777" w:rsidR="00FA7C11" w:rsidRDefault="00D84965">
            <w:pPr>
              <w:pStyle w:val="P68B1DB1-Normal102"/>
              <w:spacing w:after="0" w:line="240" w:lineRule="auto"/>
              <w:jc w:val="both"/>
              <w:textAlignment w:val="baseline"/>
              <w:rPr>
                <w:noProof/>
              </w:rPr>
            </w:pPr>
            <w:r>
              <w:rPr>
                <w:noProof/>
              </w:rPr>
              <w:t>Planul de dezvoltare a potențialului geotermal</w:t>
            </w:r>
          </w:p>
        </w:tc>
      </w:tr>
      <w:tr w:rsidR="00FA7C11" w14:paraId="6405ACAA" w14:textId="77777777">
        <w:trPr>
          <w:trHeight w:val="433"/>
        </w:trPr>
        <w:tc>
          <w:tcPr>
            <w:tcW w:w="1096" w:type="dxa"/>
            <w:shd w:val="clear" w:color="auto" w:fill="C6EFCE"/>
            <w:vAlign w:val="center"/>
            <w:hideMark/>
          </w:tcPr>
          <w:p w14:paraId="461B1CB4"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vAlign w:val="center"/>
            <w:hideMark/>
          </w:tcPr>
          <w:p w14:paraId="19290E38"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274" w:type="dxa"/>
            <w:shd w:val="clear" w:color="auto" w:fill="C6EFCE"/>
            <w:vAlign w:val="center"/>
            <w:hideMark/>
          </w:tcPr>
          <w:p w14:paraId="5713323D" w14:textId="77777777" w:rsidR="00FA7C11" w:rsidRDefault="00D84965">
            <w:pPr>
              <w:pStyle w:val="P68B1DB1-Normal102"/>
              <w:spacing w:after="0" w:line="240" w:lineRule="auto"/>
              <w:jc w:val="center"/>
              <w:textAlignment w:val="baseline"/>
              <w:rPr>
                <w:noProof/>
              </w:rPr>
            </w:pPr>
            <w:r>
              <w:rPr>
                <w:noProof/>
              </w:rPr>
              <w:t>Cuantumul tranșei</w:t>
            </w:r>
          </w:p>
        </w:tc>
        <w:tc>
          <w:tcPr>
            <w:tcW w:w="5347" w:type="dxa"/>
            <w:shd w:val="clear" w:color="auto" w:fill="C6EFCE"/>
            <w:vAlign w:val="center"/>
            <w:hideMark/>
          </w:tcPr>
          <w:p w14:paraId="167B3B55" w14:textId="50ECB4AF" w:rsidR="00FA7C11" w:rsidRDefault="00D84965">
            <w:pPr>
              <w:pStyle w:val="P68B1DB1-Normal102"/>
              <w:spacing w:after="0" w:line="240" w:lineRule="auto"/>
              <w:jc w:val="both"/>
              <w:textAlignment w:val="baseline"/>
              <w:rPr>
                <w:noProof/>
              </w:rPr>
            </w:pPr>
            <w:r>
              <w:rPr>
                <w:noProof/>
              </w:rPr>
              <w:t>505 174 531 MIL.</w:t>
            </w:r>
          </w:p>
          <w:p w14:paraId="109FF84F" w14:textId="77777777" w:rsidR="00FA7C11" w:rsidRDefault="00FA7C11">
            <w:pPr>
              <w:spacing w:after="0" w:line="240" w:lineRule="auto"/>
              <w:jc w:val="both"/>
              <w:textAlignment w:val="baseline"/>
              <w:rPr>
                <w:rFonts w:ascii="Times New Roman" w:hAnsi="Times New Roman" w:cs="Times New Roman"/>
                <w:noProof/>
                <w:color w:val="000000"/>
                <w:sz w:val="20"/>
                <w:szCs w:val="20"/>
              </w:rPr>
            </w:pPr>
          </w:p>
        </w:tc>
      </w:tr>
    </w:tbl>
    <w:p w14:paraId="48BDD7EA" w14:textId="77777777" w:rsidR="00FA7C11" w:rsidRDefault="00FA7C11">
      <w:pPr>
        <w:rPr>
          <w:noProof/>
        </w:rPr>
      </w:pPr>
    </w:p>
    <w:p w14:paraId="361103E6" w14:textId="77777777" w:rsidR="00FA7C11" w:rsidRDefault="00FA7C11">
      <w:pPr>
        <w:spacing w:after="0" w:line="240" w:lineRule="auto"/>
        <w:jc w:val="both"/>
        <w:textAlignment w:val="baseline"/>
        <w:rPr>
          <w:rFonts w:eastAsia="Times New Roman"/>
          <w:noProof/>
          <w:szCs w:val="24"/>
        </w:rPr>
      </w:pPr>
    </w:p>
    <w:p w14:paraId="45CF6ADE" w14:textId="77777777" w:rsidR="00FA7C11" w:rsidRDefault="00D84965">
      <w:pPr>
        <w:pStyle w:val="P68B1DB1-Normal83"/>
        <w:numPr>
          <w:ilvl w:val="0"/>
          <w:numId w:val="80"/>
        </w:numPr>
        <w:spacing w:line="240" w:lineRule="auto"/>
        <w:contextualSpacing/>
        <w:jc w:val="both"/>
        <w:textAlignment w:val="baseline"/>
        <w:rPr>
          <w:noProof/>
        </w:rPr>
      </w:pPr>
      <w:r>
        <w:rPr>
          <w:noProof/>
        </w:rPr>
        <w:t>A șaptea tranșă (sprijin nerambursabil):</w:t>
      </w:r>
    </w:p>
    <w:p w14:paraId="41439819" w14:textId="77777777" w:rsidR="00FA7C11" w:rsidRDefault="00FA7C11">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3"/>
        <w:gridCol w:w="1627"/>
        <w:gridCol w:w="1349"/>
        <w:gridCol w:w="5287"/>
      </w:tblGrid>
      <w:tr w:rsidR="00FA7C11" w14:paraId="180C0F35" w14:textId="77777777">
        <w:trPr>
          <w:trHeight w:val="517"/>
          <w:tblHeader/>
        </w:trPr>
        <w:tc>
          <w:tcPr>
            <w:tcW w:w="1096" w:type="dxa"/>
            <w:vMerge w:val="restart"/>
            <w:shd w:val="clear" w:color="auto" w:fill="BDD7EE"/>
            <w:vAlign w:val="center"/>
            <w:hideMark/>
          </w:tcPr>
          <w:p w14:paraId="592EBB91"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39" w:type="dxa"/>
            <w:vMerge w:val="restart"/>
            <w:shd w:val="clear" w:color="auto" w:fill="BDD7EE"/>
            <w:vAlign w:val="center"/>
            <w:hideMark/>
          </w:tcPr>
          <w:p w14:paraId="70DE8443"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4" w:type="dxa"/>
            <w:vMerge w:val="restart"/>
            <w:shd w:val="clear" w:color="auto" w:fill="BDD7EE"/>
            <w:vAlign w:val="center"/>
            <w:hideMark/>
          </w:tcPr>
          <w:p w14:paraId="2384EF55"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47" w:type="dxa"/>
            <w:vMerge w:val="restart"/>
            <w:shd w:val="clear" w:color="auto" w:fill="BDD7EE"/>
            <w:vAlign w:val="center"/>
            <w:hideMark/>
          </w:tcPr>
          <w:p w14:paraId="3DDE666C"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517AB44A" w14:textId="77777777">
        <w:trPr>
          <w:trHeight w:val="524"/>
        </w:trPr>
        <w:tc>
          <w:tcPr>
            <w:tcW w:w="1096" w:type="dxa"/>
            <w:vMerge/>
            <w:vAlign w:val="center"/>
            <w:hideMark/>
          </w:tcPr>
          <w:p w14:paraId="21B03328" w14:textId="77777777" w:rsidR="00FA7C11" w:rsidRDefault="00FA7C11">
            <w:pPr>
              <w:spacing w:after="0" w:line="240" w:lineRule="auto"/>
              <w:rPr>
                <w:rFonts w:ascii="Times New Roman" w:eastAsia="Times New Roman" w:hAnsi="Times New Roman" w:cs="Times New Roman"/>
                <w:noProof/>
                <w:sz w:val="20"/>
                <w:szCs w:val="20"/>
              </w:rPr>
            </w:pPr>
          </w:p>
        </w:tc>
        <w:tc>
          <w:tcPr>
            <w:tcW w:w="1639" w:type="dxa"/>
            <w:vMerge/>
            <w:vAlign w:val="center"/>
            <w:hideMark/>
          </w:tcPr>
          <w:p w14:paraId="7FA74345" w14:textId="77777777" w:rsidR="00FA7C11" w:rsidRDefault="00FA7C11">
            <w:pPr>
              <w:spacing w:after="0" w:line="240" w:lineRule="auto"/>
              <w:rPr>
                <w:rFonts w:ascii="Times New Roman" w:eastAsia="Times New Roman" w:hAnsi="Times New Roman" w:cs="Times New Roman"/>
                <w:noProof/>
                <w:sz w:val="20"/>
                <w:szCs w:val="20"/>
              </w:rPr>
            </w:pPr>
          </w:p>
        </w:tc>
        <w:tc>
          <w:tcPr>
            <w:tcW w:w="1274" w:type="dxa"/>
            <w:vMerge/>
            <w:vAlign w:val="center"/>
            <w:hideMark/>
          </w:tcPr>
          <w:p w14:paraId="4ECCA1AE" w14:textId="77777777" w:rsidR="00FA7C11" w:rsidRDefault="00FA7C11">
            <w:pPr>
              <w:spacing w:after="0" w:line="240" w:lineRule="auto"/>
              <w:rPr>
                <w:rFonts w:ascii="Times New Roman" w:eastAsia="Times New Roman" w:hAnsi="Times New Roman" w:cs="Times New Roman"/>
                <w:noProof/>
                <w:sz w:val="20"/>
                <w:szCs w:val="20"/>
              </w:rPr>
            </w:pPr>
          </w:p>
        </w:tc>
        <w:tc>
          <w:tcPr>
            <w:tcW w:w="5347" w:type="dxa"/>
            <w:vMerge/>
            <w:vAlign w:val="center"/>
            <w:hideMark/>
          </w:tcPr>
          <w:p w14:paraId="1B63748B" w14:textId="77777777" w:rsidR="00FA7C11" w:rsidRDefault="00FA7C11">
            <w:pPr>
              <w:spacing w:after="0" w:line="240" w:lineRule="auto"/>
              <w:rPr>
                <w:rFonts w:ascii="Times New Roman" w:eastAsia="Times New Roman" w:hAnsi="Times New Roman" w:cs="Times New Roman"/>
                <w:noProof/>
                <w:sz w:val="20"/>
                <w:szCs w:val="20"/>
              </w:rPr>
            </w:pPr>
          </w:p>
        </w:tc>
      </w:tr>
      <w:tr w:rsidR="00FA7C11" w14:paraId="62CD0923" w14:textId="77777777">
        <w:trPr>
          <w:trHeight w:val="51"/>
        </w:trPr>
        <w:tc>
          <w:tcPr>
            <w:tcW w:w="1096" w:type="dxa"/>
            <w:shd w:val="clear" w:color="auto" w:fill="C6EFCE"/>
            <w:vAlign w:val="center"/>
            <w:hideMark/>
          </w:tcPr>
          <w:p w14:paraId="6B6352C5" w14:textId="77777777" w:rsidR="00FA7C11" w:rsidRDefault="00D84965">
            <w:pPr>
              <w:pStyle w:val="P68B1DB1-Normal102"/>
              <w:spacing w:after="0" w:line="240" w:lineRule="auto"/>
              <w:jc w:val="center"/>
              <w:textAlignment w:val="baseline"/>
              <w:rPr>
                <w:rFonts w:eastAsia="Times New Roman"/>
                <w:noProof/>
              </w:rPr>
            </w:pPr>
            <w:r>
              <w:rPr>
                <w:noProof/>
              </w:rPr>
              <w:t>3</w:t>
            </w:r>
          </w:p>
        </w:tc>
        <w:tc>
          <w:tcPr>
            <w:tcW w:w="1639" w:type="dxa"/>
            <w:shd w:val="clear" w:color="auto" w:fill="C6EFCE"/>
            <w:vAlign w:val="center"/>
            <w:hideMark/>
          </w:tcPr>
          <w:p w14:paraId="5C6B523D" w14:textId="77777777" w:rsidR="00FA7C11" w:rsidRDefault="00D84965">
            <w:pPr>
              <w:pStyle w:val="P68B1DB1-Normal102"/>
              <w:spacing w:after="0" w:line="240" w:lineRule="auto"/>
              <w:jc w:val="center"/>
              <w:textAlignment w:val="baseline"/>
              <w:rPr>
                <w:rFonts w:eastAsia="Times New Roman"/>
                <w:noProof/>
              </w:rPr>
            </w:pPr>
            <w:r>
              <w:rPr>
                <w:noProof/>
              </w:rPr>
              <w:t>C1.1.1. R1-I1</w:t>
            </w:r>
          </w:p>
        </w:tc>
        <w:tc>
          <w:tcPr>
            <w:tcW w:w="1274" w:type="dxa"/>
            <w:shd w:val="clear" w:color="auto" w:fill="C6EFCE"/>
            <w:vAlign w:val="center"/>
            <w:hideMark/>
          </w:tcPr>
          <w:p w14:paraId="1C3EE5F9"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340945F1" w14:textId="77777777" w:rsidR="00FA7C11" w:rsidRDefault="00D84965">
            <w:pPr>
              <w:pStyle w:val="P68B1DB1-Normal102"/>
              <w:spacing w:after="0" w:line="240" w:lineRule="auto"/>
              <w:textAlignment w:val="baseline"/>
              <w:rPr>
                <w:rFonts w:eastAsia="Times New Roman"/>
                <w:noProof/>
              </w:rPr>
            </w:pPr>
            <w:r>
              <w:rPr>
                <w:noProof/>
              </w:rPr>
              <w:t>Modernizarea sistemelor START</w:t>
            </w:r>
          </w:p>
        </w:tc>
      </w:tr>
      <w:tr w:rsidR="00FA7C11" w14:paraId="4193308A" w14:textId="77777777">
        <w:trPr>
          <w:trHeight w:val="51"/>
        </w:trPr>
        <w:tc>
          <w:tcPr>
            <w:tcW w:w="1096" w:type="dxa"/>
            <w:shd w:val="clear" w:color="auto" w:fill="C6EFCE"/>
            <w:vAlign w:val="center"/>
            <w:hideMark/>
          </w:tcPr>
          <w:p w14:paraId="6EE474B4" w14:textId="77777777" w:rsidR="00FA7C11" w:rsidRDefault="00D84965">
            <w:pPr>
              <w:pStyle w:val="P68B1DB1-Normal102"/>
              <w:spacing w:after="0" w:line="240" w:lineRule="auto"/>
              <w:jc w:val="center"/>
              <w:textAlignment w:val="baseline"/>
              <w:rPr>
                <w:rFonts w:eastAsia="Times New Roman"/>
                <w:noProof/>
              </w:rPr>
            </w:pPr>
            <w:r>
              <w:rPr>
                <w:noProof/>
              </w:rPr>
              <w:t>4</w:t>
            </w:r>
          </w:p>
        </w:tc>
        <w:tc>
          <w:tcPr>
            <w:tcW w:w="1639" w:type="dxa"/>
            <w:shd w:val="clear" w:color="auto" w:fill="C6EFCE"/>
            <w:vAlign w:val="center"/>
            <w:hideMark/>
          </w:tcPr>
          <w:p w14:paraId="4D5E1A4C" w14:textId="77777777" w:rsidR="00FA7C11" w:rsidRDefault="00D84965">
            <w:pPr>
              <w:pStyle w:val="P68B1DB1-Normal102"/>
              <w:spacing w:after="0" w:line="240" w:lineRule="auto"/>
              <w:jc w:val="center"/>
              <w:textAlignment w:val="baseline"/>
              <w:rPr>
                <w:rFonts w:eastAsia="Times New Roman"/>
                <w:noProof/>
              </w:rPr>
            </w:pPr>
            <w:r>
              <w:rPr>
                <w:noProof/>
              </w:rPr>
              <w:t>C1.1.1. R1-I1</w:t>
            </w:r>
          </w:p>
        </w:tc>
        <w:tc>
          <w:tcPr>
            <w:tcW w:w="1274" w:type="dxa"/>
            <w:shd w:val="clear" w:color="auto" w:fill="C6EFCE"/>
            <w:vAlign w:val="center"/>
            <w:hideMark/>
          </w:tcPr>
          <w:p w14:paraId="2E23A7A8" w14:textId="77777777" w:rsidR="00FA7C11" w:rsidRDefault="00D84965">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28E3ADE7" w14:textId="77777777" w:rsidR="00FA7C11" w:rsidRDefault="00D84965">
            <w:pPr>
              <w:pStyle w:val="P68B1DB1-Normal102"/>
              <w:spacing w:after="0" w:line="240" w:lineRule="auto"/>
              <w:textAlignment w:val="baseline"/>
              <w:rPr>
                <w:rFonts w:eastAsia="Times New Roman"/>
                <w:noProof/>
              </w:rPr>
            </w:pPr>
            <w:r>
              <w:rPr>
                <w:noProof/>
              </w:rPr>
              <w:t>Crearea de puncte de acces fizic la platforma START</w:t>
            </w:r>
          </w:p>
        </w:tc>
      </w:tr>
      <w:tr w:rsidR="00FA7C11" w14:paraId="4C23CED6" w14:textId="77777777">
        <w:trPr>
          <w:trHeight w:val="51"/>
        </w:trPr>
        <w:tc>
          <w:tcPr>
            <w:tcW w:w="1096" w:type="dxa"/>
            <w:shd w:val="clear" w:color="auto" w:fill="C6EFCE"/>
            <w:vAlign w:val="center"/>
            <w:hideMark/>
          </w:tcPr>
          <w:p w14:paraId="46B9EBC2" w14:textId="77777777" w:rsidR="00FA7C11" w:rsidRDefault="00D84965">
            <w:pPr>
              <w:pStyle w:val="P68B1DB1-Normal102"/>
              <w:spacing w:after="0" w:line="240" w:lineRule="auto"/>
              <w:jc w:val="center"/>
              <w:textAlignment w:val="baseline"/>
              <w:rPr>
                <w:rFonts w:eastAsia="Times New Roman"/>
                <w:noProof/>
              </w:rPr>
            </w:pPr>
            <w:r>
              <w:rPr>
                <w:noProof/>
              </w:rPr>
              <w:t>5</w:t>
            </w:r>
          </w:p>
        </w:tc>
        <w:tc>
          <w:tcPr>
            <w:tcW w:w="1639" w:type="dxa"/>
            <w:shd w:val="clear" w:color="auto" w:fill="C6EFCE"/>
            <w:vAlign w:val="center"/>
            <w:hideMark/>
          </w:tcPr>
          <w:p w14:paraId="65965235" w14:textId="77777777" w:rsidR="00FA7C11" w:rsidRDefault="00D84965">
            <w:pPr>
              <w:pStyle w:val="P68B1DB1-Normal102"/>
              <w:spacing w:after="0" w:line="240" w:lineRule="auto"/>
              <w:jc w:val="center"/>
              <w:textAlignment w:val="baseline"/>
              <w:rPr>
                <w:rFonts w:eastAsia="Times New Roman"/>
                <w:noProof/>
              </w:rPr>
            </w:pPr>
            <w:r>
              <w:rPr>
                <w:noProof/>
              </w:rPr>
              <w:t>C1.1.1. R1-I1</w:t>
            </w:r>
          </w:p>
        </w:tc>
        <w:tc>
          <w:tcPr>
            <w:tcW w:w="1274" w:type="dxa"/>
            <w:shd w:val="clear" w:color="auto" w:fill="C6EFCE"/>
            <w:vAlign w:val="center"/>
            <w:hideMark/>
          </w:tcPr>
          <w:p w14:paraId="52DCA833" w14:textId="77777777" w:rsidR="00FA7C11" w:rsidRDefault="00D84965">
            <w:pPr>
              <w:pStyle w:val="P68B1DB1-Normal102"/>
              <w:spacing w:after="0" w:line="240" w:lineRule="auto"/>
              <w:jc w:val="center"/>
              <w:textAlignment w:val="baseline"/>
              <w:rPr>
                <w:rFonts w:eastAsia="Times New Roman"/>
                <w:noProof/>
              </w:rPr>
            </w:pPr>
            <w:r>
              <w:rPr>
                <w:noProof/>
              </w:rPr>
              <w:t>M</w:t>
            </w:r>
          </w:p>
        </w:tc>
        <w:tc>
          <w:tcPr>
            <w:tcW w:w="5347" w:type="dxa"/>
            <w:shd w:val="clear" w:color="auto" w:fill="C6EFCE"/>
            <w:vAlign w:val="center"/>
            <w:hideMark/>
          </w:tcPr>
          <w:p w14:paraId="762D8A69" w14:textId="77777777" w:rsidR="00FA7C11" w:rsidRDefault="00D84965">
            <w:pPr>
              <w:pStyle w:val="P68B1DB1-Normal102"/>
              <w:spacing w:after="0" w:line="240" w:lineRule="auto"/>
              <w:textAlignment w:val="baseline"/>
              <w:rPr>
                <w:rFonts w:eastAsia="Times New Roman"/>
                <w:noProof/>
              </w:rPr>
            </w:pPr>
            <w:r>
              <w:rPr>
                <w:noProof/>
              </w:rPr>
              <w:t>Digitalizarea proceselor specifice ale MINGOR în temeiul Legii privind proiectele de investiții strategice a Republicii Croația, al Legii privind promovarea investițiilor și al Legii privind ajutoarele de stat pentru proiectele de cercetare și dezvoltare și continuarea digitalizării și a creării de rețele în cadrul sistemului JRPI</w:t>
            </w:r>
          </w:p>
        </w:tc>
      </w:tr>
      <w:tr w:rsidR="00FA7C11" w14:paraId="60A80FC4" w14:textId="77777777">
        <w:trPr>
          <w:trHeight w:val="51"/>
        </w:trPr>
        <w:tc>
          <w:tcPr>
            <w:tcW w:w="1096" w:type="dxa"/>
            <w:shd w:val="clear" w:color="auto" w:fill="C6EFCE"/>
            <w:vAlign w:val="center"/>
          </w:tcPr>
          <w:p w14:paraId="14C2C8C7" w14:textId="77777777" w:rsidR="00FA7C11" w:rsidRDefault="00D84965">
            <w:pPr>
              <w:pStyle w:val="P68B1DB1-Normal102"/>
              <w:spacing w:after="0" w:line="240" w:lineRule="auto"/>
              <w:jc w:val="center"/>
              <w:textAlignment w:val="baseline"/>
              <w:rPr>
                <w:noProof/>
              </w:rPr>
            </w:pPr>
            <w:r>
              <w:rPr>
                <w:noProof/>
              </w:rPr>
              <w:t>10</w:t>
            </w:r>
          </w:p>
        </w:tc>
        <w:tc>
          <w:tcPr>
            <w:tcW w:w="1639" w:type="dxa"/>
            <w:shd w:val="clear" w:color="auto" w:fill="C6EFCE"/>
            <w:vAlign w:val="center"/>
          </w:tcPr>
          <w:p w14:paraId="0F9D3664" w14:textId="77777777" w:rsidR="00FA7C11" w:rsidRDefault="00D84965">
            <w:pPr>
              <w:pStyle w:val="P68B1DB1-Normal102"/>
              <w:spacing w:after="0" w:line="240" w:lineRule="auto"/>
              <w:jc w:val="center"/>
              <w:textAlignment w:val="baseline"/>
              <w:rPr>
                <w:noProof/>
              </w:rPr>
            </w:pPr>
            <w:r>
              <w:rPr>
                <w:noProof/>
              </w:rPr>
              <w:t>C1.1.1. R1-I2</w:t>
            </w:r>
          </w:p>
        </w:tc>
        <w:tc>
          <w:tcPr>
            <w:tcW w:w="1274" w:type="dxa"/>
            <w:shd w:val="clear" w:color="auto" w:fill="C6EFCE"/>
            <w:vAlign w:val="center"/>
          </w:tcPr>
          <w:p w14:paraId="1D3C415E"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A47EFA" w14:textId="77777777" w:rsidR="00FA7C11" w:rsidRDefault="00D84965">
            <w:pPr>
              <w:pStyle w:val="P68B1DB1-Normal102"/>
              <w:spacing w:after="0" w:line="240" w:lineRule="auto"/>
              <w:textAlignment w:val="baseline"/>
              <w:rPr>
                <w:noProof/>
              </w:rPr>
            </w:pPr>
            <w:r>
              <w:rPr>
                <w:noProof/>
              </w:rPr>
              <w:t>Punerea în aplicare a primului set de măsuri prevăzute în noul/cel de al cincilea plan de acțiune pentru reducerea sarcinii administrative pentru antreprenori</w:t>
            </w:r>
          </w:p>
        </w:tc>
      </w:tr>
      <w:tr w:rsidR="00FA7C11" w14:paraId="14BB0026" w14:textId="77777777">
        <w:trPr>
          <w:trHeight w:val="51"/>
        </w:trPr>
        <w:tc>
          <w:tcPr>
            <w:tcW w:w="1096" w:type="dxa"/>
            <w:shd w:val="clear" w:color="auto" w:fill="C6EFCE"/>
            <w:vAlign w:val="center"/>
          </w:tcPr>
          <w:p w14:paraId="2A71AEF7" w14:textId="77777777" w:rsidR="00FA7C11" w:rsidRDefault="00D84965">
            <w:pPr>
              <w:pStyle w:val="P68B1DB1-Normal102"/>
              <w:spacing w:after="0" w:line="240" w:lineRule="auto"/>
              <w:jc w:val="center"/>
              <w:textAlignment w:val="baseline"/>
              <w:rPr>
                <w:noProof/>
              </w:rPr>
            </w:pPr>
            <w:r>
              <w:rPr>
                <w:noProof/>
              </w:rPr>
              <w:t>12</w:t>
            </w:r>
          </w:p>
        </w:tc>
        <w:tc>
          <w:tcPr>
            <w:tcW w:w="1639" w:type="dxa"/>
            <w:shd w:val="clear" w:color="auto" w:fill="C6EFCE"/>
            <w:vAlign w:val="center"/>
          </w:tcPr>
          <w:p w14:paraId="66520E9F" w14:textId="77777777" w:rsidR="00FA7C11" w:rsidRDefault="00D84965">
            <w:pPr>
              <w:pStyle w:val="P68B1DB1-Normal102"/>
              <w:spacing w:after="0" w:line="240" w:lineRule="auto"/>
              <w:jc w:val="center"/>
              <w:textAlignment w:val="baseline"/>
              <w:rPr>
                <w:noProof/>
              </w:rPr>
            </w:pPr>
            <w:r>
              <w:rPr>
                <w:noProof/>
              </w:rPr>
              <w:t>C1.1.1. R2</w:t>
            </w:r>
          </w:p>
        </w:tc>
        <w:tc>
          <w:tcPr>
            <w:tcW w:w="1274" w:type="dxa"/>
            <w:shd w:val="clear" w:color="auto" w:fill="C6EFCE"/>
            <w:vAlign w:val="center"/>
          </w:tcPr>
          <w:p w14:paraId="7507E23E"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A7F67B9" w14:textId="77777777" w:rsidR="00FA7C11" w:rsidRDefault="00D84965">
            <w:pPr>
              <w:pStyle w:val="P68B1DB1-Normal102"/>
              <w:spacing w:after="0" w:line="240" w:lineRule="auto"/>
              <w:textAlignment w:val="baseline"/>
              <w:rPr>
                <w:noProof/>
              </w:rPr>
            </w:pPr>
            <w:r>
              <w:rPr>
                <w:noProof/>
              </w:rPr>
              <w:t>Simplificarea sau eliminarea a cel puțin 50 cerințe de reglementare pentru serviciile profesionale</w:t>
            </w:r>
          </w:p>
        </w:tc>
      </w:tr>
      <w:tr w:rsidR="00FA7C11" w14:paraId="04615300" w14:textId="77777777">
        <w:trPr>
          <w:trHeight w:val="51"/>
        </w:trPr>
        <w:tc>
          <w:tcPr>
            <w:tcW w:w="1096" w:type="dxa"/>
            <w:shd w:val="clear" w:color="auto" w:fill="C6EFCE"/>
            <w:vAlign w:val="center"/>
          </w:tcPr>
          <w:p w14:paraId="65016068" w14:textId="77777777" w:rsidR="00FA7C11" w:rsidRDefault="00D84965">
            <w:pPr>
              <w:pStyle w:val="P68B1DB1-Normal102"/>
              <w:spacing w:after="0" w:line="240" w:lineRule="auto"/>
              <w:jc w:val="center"/>
              <w:textAlignment w:val="baseline"/>
              <w:rPr>
                <w:noProof/>
              </w:rPr>
            </w:pPr>
            <w:r>
              <w:rPr>
                <w:noProof/>
              </w:rPr>
              <w:t>13</w:t>
            </w:r>
          </w:p>
        </w:tc>
        <w:tc>
          <w:tcPr>
            <w:tcW w:w="1639" w:type="dxa"/>
            <w:shd w:val="clear" w:color="auto" w:fill="C6EFCE"/>
            <w:vAlign w:val="center"/>
          </w:tcPr>
          <w:p w14:paraId="00DC753D" w14:textId="77777777" w:rsidR="00FA7C11" w:rsidRDefault="00D84965">
            <w:pPr>
              <w:pStyle w:val="P68B1DB1-Normal102"/>
              <w:spacing w:after="0" w:line="240" w:lineRule="auto"/>
              <w:jc w:val="center"/>
              <w:textAlignment w:val="baseline"/>
              <w:rPr>
                <w:noProof/>
              </w:rPr>
            </w:pPr>
            <w:r>
              <w:rPr>
                <w:noProof/>
              </w:rPr>
              <w:t>C1.1.1. R3</w:t>
            </w:r>
          </w:p>
        </w:tc>
        <w:tc>
          <w:tcPr>
            <w:tcW w:w="1274" w:type="dxa"/>
            <w:shd w:val="clear" w:color="auto" w:fill="C6EFCE"/>
            <w:vAlign w:val="center"/>
          </w:tcPr>
          <w:p w14:paraId="248A5784"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A4C18D3" w14:textId="77777777" w:rsidR="00FA7C11" w:rsidRDefault="00D84965">
            <w:pPr>
              <w:pStyle w:val="P68B1DB1-Normal102"/>
              <w:spacing w:after="0" w:line="240" w:lineRule="auto"/>
              <w:textAlignment w:val="baseline"/>
              <w:rPr>
                <w:noProof/>
              </w:rPr>
            </w:pPr>
            <w:r>
              <w:rPr>
                <w:noProof/>
              </w:rPr>
              <w:br/>
              <w:t>De stabilire a unui cadru strategic pentru promovarea investițiilor private</w:t>
            </w:r>
          </w:p>
        </w:tc>
      </w:tr>
      <w:tr w:rsidR="00FA7C11" w14:paraId="77395062" w14:textId="77777777">
        <w:trPr>
          <w:trHeight w:val="51"/>
        </w:trPr>
        <w:tc>
          <w:tcPr>
            <w:tcW w:w="1096" w:type="dxa"/>
            <w:shd w:val="clear" w:color="auto" w:fill="C6EFCE"/>
            <w:vAlign w:val="center"/>
          </w:tcPr>
          <w:p w14:paraId="24B9D7DB" w14:textId="77777777" w:rsidR="00FA7C11" w:rsidRDefault="00D84965">
            <w:pPr>
              <w:pStyle w:val="P68B1DB1-Normal102"/>
              <w:spacing w:after="0" w:line="240" w:lineRule="auto"/>
              <w:jc w:val="center"/>
              <w:textAlignment w:val="baseline"/>
              <w:rPr>
                <w:noProof/>
              </w:rPr>
            </w:pPr>
            <w:r>
              <w:rPr>
                <w:noProof/>
              </w:rPr>
              <w:t>28</w:t>
            </w:r>
          </w:p>
        </w:tc>
        <w:tc>
          <w:tcPr>
            <w:tcW w:w="1639" w:type="dxa"/>
            <w:shd w:val="clear" w:color="auto" w:fill="C6EFCE"/>
            <w:vAlign w:val="center"/>
          </w:tcPr>
          <w:p w14:paraId="089AB086" w14:textId="77777777" w:rsidR="00FA7C11" w:rsidRDefault="00D84965">
            <w:pPr>
              <w:pStyle w:val="P68B1DB1-Normal102"/>
              <w:spacing w:after="0" w:line="240" w:lineRule="auto"/>
              <w:jc w:val="center"/>
              <w:textAlignment w:val="baseline"/>
              <w:rPr>
                <w:noProof/>
              </w:rPr>
            </w:pPr>
            <w:r>
              <w:rPr>
                <w:noProof/>
              </w:rPr>
              <w:t>C1.1.2. R1</w:t>
            </w:r>
          </w:p>
        </w:tc>
        <w:tc>
          <w:tcPr>
            <w:tcW w:w="1274" w:type="dxa"/>
            <w:shd w:val="clear" w:color="auto" w:fill="C6EFCE"/>
            <w:vAlign w:val="center"/>
          </w:tcPr>
          <w:p w14:paraId="3172AE7E"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79CD8E4" w14:textId="77777777" w:rsidR="00FA7C11" w:rsidRDefault="00D84965">
            <w:pPr>
              <w:pStyle w:val="P68B1DB1-Normal102"/>
              <w:spacing w:after="0" w:line="240" w:lineRule="auto"/>
              <w:textAlignment w:val="baseline"/>
              <w:rPr>
                <w:noProof/>
              </w:rPr>
            </w:pPr>
            <w:r>
              <w:rPr>
                <w:noProof/>
              </w:rPr>
              <w:t>De modificare și completare a cadrului juridic privind stimulentele fiscale pentru C &amp; D</w:t>
            </w:r>
          </w:p>
        </w:tc>
      </w:tr>
      <w:tr w:rsidR="00FA7C11" w14:paraId="69DA37B3" w14:textId="77777777">
        <w:trPr>
          <w:trHeight w:val="51"/>
        </w:trPr>
        <w:tc>
          <w:tcPr>
            <w:tcW w:w="1096" w:type="dxa"/>
            <w:shd w:val="clear" w:color="auto" w:fill="C6EFCE"/>
            <w:vAlign w:val="center"/>
          </w:tcPr>
          <w:p w14:paraId="6CCDAA39" w14:textId="77777777" w:rsidR="00FA7C11" w:rsidRDefault="00D84965">
            <w:pPr>
              <w:pStyle w:val="P68B1DB1-Normal102"/>
              <w:spacing w:after="0" w:line="240" w:lineRule="auto"/>
              <w:jc w:val="center"/>
              <w:textAlignment w:val="baseline"/>
              <w:rPr>
                <w:noProof/>
              </w:rPr>
            </w:pPr>
            <w:r>
              <w:rPr>
                <w:noProof/>
              </w:rPr>
              <w:t>30</w:t>
            </w:r>
          </w:p>
        </w:tc>
        <w:tc>
          <w:tcPr>
            <w:tcW w:w="1639" w:type="dxa"/>
            <w:shd w:val="clear" w:color="auto" w:fill="C6EFCE"/>
            <w:vAlign w:val="center"/>
          </w:tcPr>
          <w:p w14:paraId="290838D5" w14:textId="77777777" w:rsidR="00FA7C11" w:rsidRDefault="00D84965">
            <w:pPr>
              <w:pStyle w:val="P68B1DB1-Normal102"/>
              <w:spacing w:after="0" w:line="240" w:lineRule="auto"/>
              <w:jc w:val="center"/>
              <w:textAlignment w:val="baseline"/>
              <w:rPr>
                <w:noProof/>
              </w:rPr>
            </w:pPr>
            <w:r>
              <w:rPr>
                <w:noProof/>
              </w:rPr>
              <w:t>C1.1.2. R2-I3</w:t>
            </w:r>
          </w:p>
        </w:tc>
        <w:tc>
          <w:tcPr>
            <w:tcW w:w="1274" w:type="dxa"/>
            <w:shd w:val="clear" w:color="auto" w:fill="C6EFCE"/>
            <w:vAlign w:val="center"/>
          </w:tcPr>
          <w:p w14:paraId="3B78FB0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43F9FD" w14:textId="77777777" w:rsidR="00FA7C11" w:rsidRDefault="00D84965">
            <w:pPr>
              <w:pStyle w:val="P68B1DB1-Normal102"/>
              <w:spacing w:after="0" w:line="240" w:lineRule="auto"/>
              <w:textAlignment w:val="baseline"/>
              <w:rPr>
                <w:noProof/>
              </w:rPr>
            </w:pPr>
            <w:r>
              <w:rPr>
                <w:noProof/>
              </w:rPr>
              <w:t>Acordarea de sprijin pentru stimularea creșterii întreprinderilor nou-înființate în sectoarele de înaltă tehnologie și cunoaștere</w:t>
            </w:r>
          </w:p>
        </w:tc>
      </w:tr>
      <w:tr w:rsidR="00FA7C11" w14:paraId="693E401A" w14:textId="77777777">
        <w:trPr>
          <w:trHeight w:val="51"/>
        </w:trPr>
        <w:tc>
          <w:tcPr>
            <w:tcW w:w="1096" w:type="dxa"/>
            <w:shd w:val="clear" w:color="auto" w:fill="C6EFCE"/>
            <w:vAlign w:val="center"/>
          </w:tcPr>
          <w:p w14:paraId="7397B13B" w14:textId="77777777" w:rsidR="00FA7C11" w:rsidRDefault="00D84965">
            <w:pPr>
              <w:pStyle w:val="P68B1DB1-Normal102"/>
              <w:spacing w:after="0" w:line="240" w:lineRule="auto"/>
              <w:jc w:val="center"/>
              <w:textAlignment w:val="baseline"/>
              <w:rPr>
                <w:noProof/>
              </w:rPr>
            </w:pPr>
            <w:r>
              <w:rPr>
                <w:noProof/>
              </w:rPr>
              <w:t>32</w:t>
            </w:r>
          </w:p>
        </w:tc>
        <w:tc>
          <w:tcPr>
            <w:tcW w:w="1639" w:type="dxa"/>
            <w:shd w:val="clear" w:color="auto" w:fill="C6EFCE"/>
            <w:vAlign w:val="center"/>
          </w:tcPr>
          <w:p w14:paraId="1D771128" w14:textId="77777777" w:rsidR="00FA7C11" w:rsidRDefault="00D84965">
            <w:pPr>
              <w:pStyle w:val="P68B1DB1-Normal102"/>
              <w:spacing w:after="0" w:line="240" w:lineRule="auto"/>
              <w:jc w:val="center"/>
              <w:textAlignment w:val="baseline"/>
              <w:rPr>
                <w:noProof/>
              </w:rPr>
            </w:pPr>
            <w:r>
              <w:rPr>
                <w:noProof/>
              </w:rPr>
              <w:t>C1.1.2. R2-I5</w:t>
            </w:r>
          </w:p>
        </w:tc>
        <w:tc>
          <w:tcPr>
            <w:tcW w:w="1274" w:type="dxa"/>
            <w:shd w:val="clear" w:color="auto" w:fill="C6EFCE"/>
            <w:vAlign w:val="center"/>
          </w:tcPr>
          <w:p w14:paraId="7BD9F49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388FC26" w14:textId="535BDD67" w:rsidR="00FA7C11" w:rsidRDefault="00D84965">
            <w:pPr>
              <w:pStyle w:val="P68B1DB1-Normal102"/>
              <w:spacing w:after="0" w:line="240" w:lineRule="auto"/>
              <w:textAlignment w:val="baseline"/>
              <w:rPr>
                <w:noProof/>
              </w:rPr>
            </w:pPr>
            <w:r>
              <w:rPr>
                <w:noProof/>
              </w:rPr>
              <w:t>Sprijin pentru proiecte de comercializare a inovării</w:t>
            </w:r>
          </w:p>
        </w:tc>
      </w:tr>
      <w:tr w:rsidR="00FA7C11" w14:paraId="1AB0FD9C" w14:textId="77777777">
        <w:trPr>
          <w:trHeight w:val="51"/>
        </w:trPr>
        <w:tc>
          <w:tcPr>
            <w:tcW w:w="1096" w:type="dxa"/>
            <w:shd w:val="clear" w:color="auto" w:fill="C6EFCE"/>
            <w:vAlign w:val="center"/>
          </w:tcPr>
          <w:p w14:paraId="142E20DB" w14:textId="77777777" w:rsidR="00FA7C11" w:rsidRDefault="00D84965">
            <w:pPr>
              <w:pStyle w:val="P68B1DB1-Normal102"/>
              <w:spacing w:after="0" w:line="240" w:lineRule="auto"/>
              <w:jc w:val="center"/>
              <w:textAlignment w:val="baseline"/>
              <w:rPr>
                <w:noProof/>
              </w:rPr>
            </w:pPr>
            <w:r>
              <w:rPr>
                <w:noProof/>
              </w:rPr>
              <w:t>41</w:t>
            </w:r>
          </w:p>
        </w:tc>
        <w:tc>
          <w:tcPr>
            <w:tcW w:w="1639" w:type="dxa"/>
            <w:shd w:val="clear" w:color="auto" w:fill="C6EFCE"/>
            <w:vAlign w:val="center"/>
          </w:tcPr>
          <w:p w14:paraId="48AF2B41" w14:textId="77777777" w:rsidR="00FA7C11" w:rsidRDefault="00D84965">
            <w:pPr>
              <w:pStyle w:val="P68B1DB1-Normal102"/>
              <w:spacing w:after="0" w:line="240" w:lineRule="auto"/>
              <w:jc w:val="center"/>
              <w:textAlignment w:val="baseline"/>
              <w:rPr>
                <w:noProof/>
              </w:rPr>
            </w:pPr>
            <w:r>
              <w:rPr>
                <w:noProof/>
              </w:rPr>
              <w:t>C1.2. R1-I1</w:t>
            </w:r>
          </w:p>
        </w:tc>
        <w:tc>
          <w:tcPr>
            <w:tcW w:w="1274" w:type="dxa"/>
            <w:shd w:val="clear" w:color="auto" w:fill="C6EFCE"/>
            <w:vAlign w:val="center"/>
          </w:tcPr>
          <w:p w14:paraId="031B3136"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53B9ADE" w14:textId="77777777" w:rsidR="00FA7C11" w:rsidRDefault="00D84965">
            <w:pPr>
              <w:pStyle w:val="P68B1DB1-Normal102"/>
              <w:spacing w:after="0" w:line="240" w:lineRule="auto"/>
              <w:textAlignment w:val="baseline"/>
              <w:rPr>
                <w:noProof/>
              </w:rPr>
            </w:pPr>
            <w:r>
              <w:rPr>
                <w:noProof/>
              </w:rPr>
              <w:t>Finalizarea modernizării rețelei de înaltă tensiune (220/110 kV)</w:t>
            </w:r>
          </w:p>
        </w:tc>
      </w:tr>
      <w:tr w:rsidR="00FA7C11" w14:paraId="3B926E96" w14:textId="77777777">
        <w:trPr>
          <w:trHeight w:val="51"/>
        </w:trPr>
        <w:tc>
          <w:tcPr>
            <w:tcW w:w="1096" w:type="dxa"/>
            <w:shd w:val="clear" w:color="auto" w:fill="C6EFCE"/>
            <w:vAlign w:val="center"/>
          </w:tcPr>
          <w:p w14:paraId="12FE14AE" w14:textId="77777777" w:rsidR="00FA7C11" w:rsidRDefault="00D84965">
            <w:pPr>
              <w:pStyle w:val="P68B1DB1-Normal102"/>
              <w:spacing w:after="0" w:line="240" w:lineRule="auto"/>
              <w:jc w:val="center"/>
              <w:textAlignment w:val="baseline"/>
              <w:rPr>
                <w:noProof/>
              </w:rPr>
            </w:pPr>
            <w:r>
              <w:rPr>
                <w:noProof/>
              </w:rPr>
              <w:t>42</w:t>
            </w:r>
          </w:p>
        </w:tc>
        <w:tc>
          <w:tcPr>
            <w:tcW w:w="1639" w:type="dxa"/>
            <w:shd w:val="clear" w:color="auto" w:fill="C6EFCE"/>
            <w:vAlign w:val="center"/>
          </w:tcPr>
          <w:p w14:paraId="386C03DE" w14:textId="77777777" w:rsidR="00FA7C11" w:rsidRDefault="00D84965">
            <w:pPr>
              <w:pStyle w:val="P68B1DB1-Normal102"/>
              <w:spacing w:after="0" w:line="240" w:lineRule="auto"/>
              <w:jc w:val="center"/>
              <w:textAlignment w:val="baseline"/>
              <w:rPr>
                <w:noProof/>
              </w:rPr>
            </w:pPr>
            <w:r>
              <w:rPr>
                <w:noProof/>
              </w:rPr>
              <w:t>C1.2. R1</w:t>
            </w:r>
          </w:p>
        </w:tc>
        <w:tc>
          <w:tcPr>
            <w:tcW w:w="1274" w:type="dxa"/>
            <w:shd w:val="clear" w:color="auto" w:fill="C6EFCE"/>
            <w:vAlign w:val="center"/>
          </w:tcPr>
          <w:p w14:paraId="22DD3F61"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CD53D03" w14:textId="77777777" w:rsidR="00FA7C11" w:rsidRDefault="00D84965">
            <w:pPr>
              <w:pStyle w:val="P68B1DB1-Normal102"/>
              <w:spacing w:after="0" w:line="240" w:lineRule="auto"/>
              <w:textAlignment w:val="baseline"/>
              <w:rPr>
                <w:noProof/>
              </w:rPr>
            </w:pPr>
            <w:r>
              <w:rPr>
                <w:noProof/>
              </w:rPr>
              <w:t>O capacitate suplimentară instalată de SRE de 1 500 MW.</w:t>
            </w:r>
          </w:p>
        </w:tc>
      </w:tr>
      <w:tr w:rsidR="00FA7C11" w14:paraId="5F72B766" w14:textId="77777777">
        <w:trPr>
          <w:trHeight w:val="51"/>
        </w:trPr>
        <w:tc>
          <w:tcPr>
            <w:tcW w:w="1096" w:type="dxa"/>
            <w:shd w:val="clear" w:color="auto" w:fill="C6EFCE"/>
            <w:vAlign w:val="center"/>
          </w:tcPr>
          <w:p w14:paraId="7BA949CE" w14:textId="77777777" w:rsidR="00FA7C11" w:rsidRDefault="00D84965">
            <w:pPr>
              <w:pStyle w:val="P68B1DB1-Normal102"/>
              <w:spacing w:after="0" w:line="240" w:lineRule="auto"/>
              <w:jc w:val="center"/>
              <w:textAlignment w:val="baseline"/>
              <w:rPr>
                <w:noProof/>
              </w:rPr>
            </w:pPr>
            <w:r>
              <w:rPr>
                <w:noProof/>
              </w:rPr>
              <w:t>43</w:t>
            </w:r>
          </w:p>
        </w:tc>
        <w:tc>
          <w:tcPr>
            <w:tcW w:w="1639" w:type="dxa"/>
            <w:shd w:val="clear" w:color="auto" w:fill="C6EFCE"/>
            <w:vAlign w:val="center"/>
          </w:tcPr>
          <w:p w14:paraId="28815175" w14:textId="77777777" w:rsidR="00FA7C11" w:rsidRDefault="00D84965">
            <w:pPr>
              <w:pStyle w:val="P68B1DB1-Normal102"/>
              <w:spacing w:after="0" w:line="240" w:lineRule="auto"/>
              <w:jc w:val="center"/>
              <w:textAlignment w:val="baseline"/>
              <w:rPr>
                <w:noProof/>
              </w:rPr>
            </w:pPr>
            <w:r>
              <w:rPr>
                <w:noProof/>
              </w:rPr>
              <w:t>C1.2. R1-I1</w:t>
            </w:r>
          </w:p>
        </w:tc>
        <w:tc>
          <w:tcPr>
            <w:tcW w:w="1274" w:type="dxa"/>
            <w:shd w:val="clear" w:color="auto" w:fill="C6EFCE"/>
            <w:vAlign w:val="center"/>
          </w:tcPr>
          <w:p w14:paraId="041EC57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89C5B7" w14:textId="77777777" w:rsidR="00FA7C11" w:rsidRDefault="00D84965">
            <w:pPr>
              <w:pStyle w:val="P68B1DB1-Normal102"/>
              <w:spacing w:after="0" w:line="240" w:lineRule="auto"/>
              <w:textAlignment w:val="baseline"/>
              <w:rPr>
                <w:noProof/>
              </w:rPr>
            </w:pPr>
            <w:r>
              <w:rPr>
                <w:noProof/>
              </w:rPr>
              <w:t>Numărul de contoare inteligente instalate</w:t>
            </w:r>
          </w:p>
        </w:tc>
      </w:tr>
      <w:tr w:rsidR="00FA7C11" w14:paraId="425E2DC6" w14:textId="77777777">
        <w:trPr>
          <w:trHeight w:val="51"/>
        </w:trPr>
        <w:tc>
          <w:tcPr>
            <w:tcW w:w="1096" w:type="dxa"/>
            <w:shd w:val="clear" w:color="auto" w:fill="C6EFCE"/>
            <w:vAlign w:val="center"/>
          </w:tcPr>
          <w:p w14:paraId="4EF2AD8E" w14:textId="77777777" w:rsidR="00FA7C11" w:rsidRDefault="00D84965">
            <w:pPr>
              <w:pStyle w:val="P68B1DB1-Normal102"/>
              <w:spacing w:after="0" w:line="240" w:lineRule="auto"/>
              <w:jc w:val="center"/>
              <w:textAlignment w:val="baseline"/>
              <w:rPr>
                <w:noProof/>
              </w:rPr>
            </w:pPr>
            <w:r>
              <w:rPr>
                <w:noProof/>
              </w:rPr>
              <w:t>47</w:t>
            </w:r>
          </w:p>
        </w:tc>
        <w:tc>
          <w:tcPr>
            <w:tcW w:w="1639" w:type="dxa"/>
            <w:shd w:val="clear" w:color="auto" w:fill="C6EFCE"/>
            <w:vAlign w:val="center"/>
          </w:tcPr>
          <w:p w14:paraId="4EF8F0D5" w14:textId="77777777" w:rsidR="00FA7C11" w:rsidRDefault="00D84965">
            <w:pPr>
              <w:pStyle w:val="P68B1DB1-Normal102"/>
              <w:spacing w:after="0" w:line="240" w:lineRule="auto"/>
              <w:jc w:val="center"/>
              <w:textAlignment w:val="baseline"/>
              <w:rPr>
                <w:noProof/>
              </w:rPr>
            </w:pPr>
            <w:r>
              <w:rPr>
                <w:noProof/>
              </w:rPr>
              <w:t>C1.2. R1-I2</w:t>
            </w:r>
          </w:p>
        </w:tc>
        <w:tc>
          <w:tcPr>
            <w:tcW w:w="1274" w:type="dxa"/>
            <w:shd w:val="clear" w:color="auto" w:fill="C6EFCE"/>
            <w:vAlign w:val="center"/>
          </w:tcPr>
          <w:p w14:paraId="3F3C09D3"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D51B373" w14:textId="77777777" w:rsidR="00FA7C11" w:rsidRDefault="00D84965">
            <w:pPr>
              <w:pStyle w:val="P68B1DB1-Normal102"/>
              <w:spacing w:after="0" w:line="240" w:lineRule="auto"/>
              <w:textAlignment w:val="baseline"/>
              <w:rPr>
                <w:noProof/>
              </w:rPr>
            </w:pPr>
            <w:r>
              <w:rPr>
                <w:noProof/>
              </w:rPr>
              <w:t xml:space="preserve">Contracte semnate pentru explorarea potențialului geotermal </w:t>
            </w:r>
          </w:p>
        </w:tc>
      </w:tr>
      <w:tr w:rsidR="00FA7C11" w14:paraId="405E6BDB" w14:textId="77777777">
        <w:trPr>
          <w:trHeight w:val="51"/>
        </w:trPr>
        <w:tc>
          <w:tcPr>
            <w:tcW w:w="1096" w:type="dxa"/>
            <w:shd w:val="clear" w:color="auto" w:fill="C6EFCE"/>
            <w:vAlign w:val="center"/>
          </w:tcPr>
          <w:p w14:paraId="320EED75" w14:textId="77777777" w:rsidR="00FA7C11" w:rsidRDefault="00D84965">
            <w:pPr>
              <w:pStyle w:val="P68B1DB1-Normal102"/>
              <w:spacing w:after="0" w:line="240" w:lineRule="auto"/>
              <w:jc w:val="center"/>
              <w:textAlignment w:val="baseline"/>
              <w:rPr>
                <w:noProof/>
              </w:rPr>
            </w:pPr>
            <w:r>
              <w:rPr>
                <w:noProof/>
              </w:rPr>
              <w:t>61</w:t>
            </w:r>
          </w:p>
        </w:tc>
        <w:tc>
          <w:tcPr>
            <w:tcW w:w="1639" w:type="dxa"/>
            <w:shd w:val="clear" w:color="auto" w:fill="C6EFCE"/>
            <w:vAlign w:val="center"/>
          </w:tcPr>
          <w:p w14:paraId="01B863E5" w14:textId="77777777" w:rsidR="00FA7C11" w:rsidRDefault="00D84965">
            <w:pPr>
              <w:pStyle w:val="P68B1DB1-Normal102"/>
              <w:spacing w:after="0" w:line="240" w:lineRule="auto"/>
              <w:jc w:val="center"/>
              <w:textAlignment w:val="baseline"/>
              <w:rPr>
                <w:noProof/>
              </w:rPr>
            </w:pPr>
            <w:r>
              <w:rPr>
                <w:noProof/>
              </w:rPr>
              <w:t>C1.3. R1</w:t>
            </w:r>
          </w:p>
        </w:tc>
        <w:tc>
          <w:tcPr>
            <w:tcW w:w="1274" w:type="dxa"/>
            <w:shd w:val="clear" w:color="auto" w:fill="C6EFCE"/>
            <w:vAlign w:val="center"/>
          </w:tcPr>
          <w:p w14:paraId="19DCF91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D4DE531" w14:textId="4F37C2C0" w:rsidR="00FA7C11" w:rsidRDefault="00D84965">
            <w:pPr>
              <w:pStyle w:val="P68B1DB1-Normal102"/>
              <w:spacing w:after="0" w:line="240" w:lineRule="auto"/>
              <w:textAlignment w:val="baseline"/>
              <w:rPr>
                <w:noProof/>
              </w:rPr>
            </w:pPr>
            <w:r>
              <w:rPr>
                <w:noProof/>
              </w:rPr>
              <w:t xml:space="preserve">Integrarea furnizorilor de servicii de alimentare cu apă </w:t>
            </w:r>
          </w:p>
        </w:tc>
      </w:tr>
      <w:tr w:rsidR="00FA7C11" w14:paraId="3F7FA88A" w14:textId="77777777">
        <w:trPr>
          <w:trHeight w:val="51"/>
        </w:trPr>
        <w:tc>
          <w:tcPr>
            <w:tcW w:w="1096" w:type="dxa"/>
            <w:shd w:val="clear" w:color="auto" w:fill="C6EFCE"/>
            <w:vAlign w:val="center"/>
          </w:tcPr>
          <w:p w14:paraId="015C8F59" w14:textId="77777777" w:rsidR="00FA7C11" w:rsidRDefault="00D84965">
            <w:pPr>
              <w:pStyle w:val="P68B1DB1-Normal102"/>
              <w:spacing w:after="0" w:line="240" w:lineRule="auto"/>
              <w:jc w:val="center"/>
              <w:textAlignment w:val="baseline"/>
              <w:rPr>
                <w:noProof/>
              </w:rPr>
            </w:pPr>
            <w:r>
              <w:rPr>
                <w:noProof/>
              </w:rPr>
              <w:t>85</w:t>
            </w:r>
          </w:p>
        </w:tc>
        <w:tc>
          <w:tcPr>
            <w:tcW w:w="1639" w:type="dxa"/>
            <w:shd w:val="clear" w:color="auto" w:fill="C6EFCE"/>
            <w:vAlign w:val="center"/>
          </w:tcPr>
          <w:p w14:paraId="56F3F431" w14:textId="77777777" w:rsidR="00FA7C11" w:rsidRDefault="00D84965">
            <w:pPr>
              <w:pStyle w:val="P68B1DB1-Normal102"/>
              <w:spacing w:after="0" w:line="240" w:lineRule="auto"/>
              <w:jc w:val="center"/>
              <w:textAlignment w:val="baseline"/>
              <w:rPr>
                <w:noProof/>
              </w:rPr>
            </w:pPr>
            <w:r>
              <w:rPr>
                <w:noProof/>
              </w:rPr>
              <w:t>C1.3. R2</w:t>
            </w:r>
          </w:p>
        </w:tc>
        <w:tc>
          <w:tcPr>
            <w:tcW w:w="1274" w:type="dxa"/>
            <w:shd w:val="clear" w:color="auto" w:fill="C6EFCE"/>
            <w:vAlign w:val="center"/>
          </w:tcPr>
          <w:p w14:paraId="67EBD1BE"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CDA5870" w14:textId="77777777" w:rsidR="00FA7C11" w:rsidRDefault="00D84965">
            <w:pPr>
              <w:pStyle w:val="P68B1DB1-Normal102"/>
              <w:spacing w:after="0" w:line="240" w:lineRule="auto"/>
              <w:textAlignment w:val="baseline"/>
              <w:rPr>
                <w:noProof/>
              </w:rPr>
            </w:pPr>
            <w:r>
              <w:rPr>
                <w:noProof/>
              </w:rPr>
              <w:t>Reducerea ponderii deșeurilor municipale trimise spre eliminare (51 %)</w:t>
            </w:r>
          </w:p>
        </w:tc>
      </w:tr>
      <w:tr w:rsidR="00FA7C11" w14:paraId="0D6E077E" w14:textId="77777777">
        <w:trPr>
          <w:trHeight w:val="51"/>
        </w:trPr>
        <w:tc>
          <w:tcPr>
            <w:tcW w:w="1096" w:type="dxa"/>
            <w:shd w:val="clear" w:color="auto" w:fill="C6EFCE"/>
            <w:vAlign w:val="center"/>
          </w:tcPr>
          <w:p w14:paraId="1F718688" w14:textId="77777777" w:rsidR="00FA7C11" w:rsidRDefault="00D84965">
            <w:pPr>
              <w:pStyle w:val="P68B1DB1-Normal102"/>
              <w:spacing w:after="0" w:line="240" w:lineRule="auto"/>
              <w:jc w:val="center"/>
              <w:textAlignment w:val="baseline"/>
              <w:rPr>
                <w:noProof/>
              </w:rPr>
            </w:pPr>
            <w:r>
              <w:rPr>
                <w:noProof/>
              </w:rPr>
              <w:t>96</w:t>
            </w:r>
          </w:p>
        </w:tc>
        <w:tc>
          <w:tcPr>
            <w:tcW w:w="1639" w:type="dxa"/>
            <w:shd w:val="clear" w:color="auto" w:fill="C6EFCE"/>
            <w:vAlign w:val="center"/>
          </w:tcPr>
          <w:p w14:paraId="6142E56C" w14:textId="77777777" w:rsidR="00FA7C11" w:rsidRDefault="00D84965">
            <w:pPr>
              <w:pStyle w:val="P68B1DB1-Normal102"/>
              <w:spacing w:after="0" w:line="240" w:lineRule="auto"/>
              <w:jc w:val="center"/>
              <w:textAlignment w:val="baseline"/>
              <w:rPr>
                <w:noProof/>
              </w:rPr>
            </w:pPr>
            <w:r>
              <w:rPr>
                <w:noProof/>
              </w:rPr>
              <w:t>C1.4. R1-I4</w:t>
            </w:r>
          </w:p>
        </w:tc>
        <w:tc>
          <w:tcPr>
            <w:tcW w:w="1274" w:type="dxa"/>
            <w:shd w:val="clear" w:color="auto" w:fill="C6EFCE"/>
            <w:vAlign w:val="center"/>
          </w:tcPr>
          <w:p w14:paraId="5E684E27"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28B19EA" w14:textId="77777777" w:rsidR="00FA7C11" w:rsidRDefault="00D84965">
            <w:pPr>
              <w:pStyle w:val="P68B1DB1-Normal102"/>
              <w:spacing w:after="0" w:line="240" w:lineRule="auto"/>
              <w:textAlignment w:val="baseline"/>
              <w:rPr>
                <w:noProof/>
              </w:rPr>
            </w:pPr>
            <w:r>
              <w:rPr>
                <w:noProof/>
              </w:rPr>
              <w:t>Instituirea unui sistem funcțional de control al raportării pentru transportul rutier de călători și de mărfuri</w:t>
            </w:r>
          </w:p>
        </w:tc>
      </w:tr>
      <w:tr w:rsidR="00FA7C11" w14:paraId="6B51D55B" w14:textId="77777777">
        <w:trPr>
          <w:trHeight w:val="51"/>
        </w:trPr>
        <w:tc>
          <w:tcPr>
            <w:tcW w:w="1096" w:type="dxa"/>
            <w:shd w:val="clear" w:color="auto" w:fill="C6EFCE"/>
            <w:vAlign w:val="center"/>
          </w:tcPr>
          <w:p w14:paraId="51222C50" w14:textId="77777777" w:rsidR="00FA7C11" w:rsidRDefault="00D84965">
            <w:pPr>
              <w:pStyle w:val="P68B1DB1-Normal102"/>
              <w:spacing w:after="0" w:line="240" w:lineRule="auto"/>
              <w:jc w:val="center"/>
              <w:textAlignment w:val="baseline"/>
              <w:rPr>
                <w:noProof/>
              </w:rPr>
            </w:pPr>
            <w:r>
              <w:rPr>
                <w:noProof/>
              </w:rPr>
              <w:t>100</w:t>
            </w:r>
          </w:p>
        </w:tc>
        <w:tc>
          <w:tcPr>
            <w:tcW w:w="1639" w:type="dxa"/>
            <w:shd w:val="clear" w:color="auto" w:fill="C6EFCE"/>
            <w:vAlign w:val="center"/>
          </w:tcPr>
          <w:p w14:paraId="270AD41A" w14:textId="77777777" w:rsidR="00FA7C11" w:rsidRDefault="00D84965">
            <w:pPr>
              <w:pStyle w:val="P68B1DB1-Normal102"/>
              <w:spacing w:after="0" w:line="240" w:lineRule="auto"/>
              <w:jc w:val="center"/>
              <w:textAlignment w:val="baseline"/>
              <w:rPr>
                <w:noProof/>
              </w:rPr>
            </w:pPr>
            <w:r>
              <w:rPr>
                <w:noProof/>
              </w:rPr>
              <w:t>C1.4. R2</w:t>
            </w:r>
          </w:p>
        </w:tc>
        <w:tc>
          <w:tcPr>
            <w:tcW w:w="1274" w:type="dxa"/>
            <w:shd w:val="clear" w:color="auto" w:fill="C6EFCE"/>
            <w:vAlign w:val="center"/>
          </w:tcPr>
          <w:p w14:paraId="6577B785"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CC84D7F" w14:textId="77777777" w:rsidR="00FA7C11" w:rsidRDefault="00D84965">
            <w:pPr>
              <w:pStyle w:val="P68B1DB1-Normal102"/>
              <w:spacing w:after="0" w:line="240" w:lineRule="auto"/>
              <w:textAlignment w:val="baseline"/>
              <w:rPr>
                <w:noProof/>
              </w:rPr>
            </w:pPr>
            <w:r>
              <w:rPr>
                <w:noProof/>
              </w:rPr>
              <w:t>Reorganizarea societăților feroviare și gestionarea afacerilor</w:t>
            </w:r>
          </w:p>
        </w:tc>
      </w:tr>
      <w:tr w:rsidR="00FA7C11" w14:paraId="723BBC69" w14:textId="77777777">
        <w:trPr>
          <w:trHeight w:val="51"/>
        </w:trPr>
        <w:tc>
          <w:tcPr>
            <w:tcW w:w="1096" w:type="dxa"/>
            <w:shd w:val="clear" w:color="auto" w:fill="C6EFCE"/>
            <w:vAlign w:val="center"/>
          </w:tcPr>
          <w:p w14:paraId="3D72E431" w14:textId="77777777" w:rsidR="00FA7C11" w:rsidRDefault="00D84965">
            <w:pPr>
              <w:pStyle w:val="P68B1DB1-Normal102"/>
              <w:spacing w:after="0" w:line="240" w:lineRule="auto"/>
              <w:jc w:val="center"/>
              <w:textAlignment w:val="baseline"/>
              <w:rPr>
                <w:noProof/>
              </w:rPr>
            </w:pPr>
            <w:r>
              <w:rPr>
                <w:noProof/>
              </w:rPr>
              <w:t>105</w:t>
            </w:r>
          </w:p>
        </w:tc>
        <w:tc>
          <w:tcPr>
            <w:tcW w:w="1639" w:type="dxa"/>
            <w:shd w:val="clear" w:color="auto" w:fill="C6EFCE"/>
            <w:vAlign w:val="center"/>
          </w:tcPr>
          <w:p w14:paraId="7BA9076F" w14:textId="77777777" w:rsidR="00FA7C11" w:rsidRDefault="00D84965">
            <w:pPr>
              <w:pStyle w:val="P68B1DB1-Normal102"/>
              <w:spacing w:after="0" w:line="240" w:lineRule="auto"/>
              <w:jc w:val="center"/>
              <w:textAlignment w:val="baseline"/>
              <w:rPr>
                <w:noProof/>
              </w:rPr>
            </w:pPr>
            <w:r>
              <w:rPr>
                <w:noProof/>
              </w:rPr>
              <w:t>C1.4. R2-I4</w:t>
            </w:r>
          </w:p>
        </w:tc>
        <w:tc>
          <w:tcPr>
            <w:tcW w:w="1274" w:type="dxa"/>
            <w:shd w:val="clear" w:color="auto" w:fill="C6EFCE"/>
            <w:vAlign w:val="center"/>
          </w:tcPr>
          <w:p w14:paraId="1E8F3326"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6A9FC2A" w14:textId="451F2206" w:rsidR="00FA7C11" w:rsidRDefault="00D84965">
            <w:pPr>
              <w:pStyle w:val="P68B1DB1-Normal102"/>
              <w:spacing w:after="0" w:line="240" w:lineRule="auto"/>
              <w:textAlignment w:val="baseline"/>
              <w:rPr>
                <w:noProof/>
              </w:rPr>
            </w:pPr>
            <w:r>
              <w:rPr>
                <w:noProof/>
              </w:rPr>
              <w:t>Linie de cale ferată dublă la Zagreb Kustošija – ZG Zapadni Kolodvor – Zagreb Glavni Kolodvor pe o lungime de 3,4 km, reconstruită și modernizată</w:t>
            </w:r>
          </w:p>
        </w:tc>
      </w:tr>
      <w:tr w:rsidR="00FA7C11" w14:paraId="5FD124DA" w14:textId="77777777">
        <w:trPr>
          <w:trHeight w:val="51"/>
        </w:trPr>
        <w:tc>
          <w:tcPr>
            <w:tcW w:w="1096" w:type="dxa"/>
            <w:shd w:val="clear" w:color="auto" w:fill="C6EFCE"/>
            <w:vAlign w:val="center"/>
          </w:tcPr>
          <w:p w14:paraId="78B7EA5F" w14:textId="77777777" w:rsidR="00FA7C11" w:rsidRDefault="00D84965">
            <w:pPr>
              <w:pStyle w:val="P68B1DB1-Normal102"/>
              <w:spacing w:after="0" w:line="240" w:lineRule="auto"/>
              <w:jc w:val="center"/>
              <w:textAlignment w:val="baseline"/>
              <w:rPr>
                <w:noProof/>
              </w:rPr>
            </w:pPr>
            <w:r>
              <w:rPr>
                <w:noProof/>
              </w:rPr>
              <w:t>118</w:t>
            </w:r>
          </w:p>
        </w:tc>
        <w:tc>
          <w:tcPr>
            <w:tcW w:w="1639" w:type="dxa"/>
            <w:shd w:val="clear" w:color="auto" w:fill="C6EFCE"/>
            <w:vAlign w:val="center"/>
          </w:tcPr>
          <w:p w14:paraId="42A743CF" w14:textId="77777777" w:rsidR="00FA7C11" w:rsidRDefault="00D84965">
            <w:pPr>
              <w:pStyle w:val="P68B1DB1-Normal102"/>
              <w:spacing w:after="0" w:line="240" w:lineRule="auto"/>
              <w:jc w:val="center"/>
              <w:textAlignment w:val="baseline"/>
              <w:rPr>
                <w:noProof/>
              </w:rPr>
            </w:pPr>
            <w:r>
              <w:rPr>
                <w:noProof/>
              </w:rPr>
              <w:t>C1.4. R5-I1</w:t>
            </w:r>
          </w:p>
        </w:tc>
        <w:tc>
          <w:tcPr>
            <w:tcW w:w="1274" w:type="dxa"/>
            <w:shd w:val="clear" w:color="auto" w:fill="C6EFCE"/>
            <w:vAlign w:val="center"/>
          </w:tcPr>
          <w:p w14:paraId="25E13B6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CB1E5FE" w14:textId="77777777" w:rsidR="00FA7C11" w:rsidRDefault="00D84965">
            <w:pPr>
              <w:pStyle w:val="P68B1DB1-Normal102"/>
              <w:spacing w:after="0" w:line="240" w:lineRule="auto"/>
              <w:textAlignment w:val="baseline"/>
              <w:rPr>
                <w:noProof/>
              </w:rPr>
            </w:pPr>
            <w:r>
              <w:rPr>
                <w:noProof/>
              </w:rPr>
              <w:t>Electrificarea și ecologizarea sistemului de handling la sol al aeronavelor pe aeroportul din Zadar</w:t>
            </w:r>
          </w:p>
        </w:tc>
      </w:tr>
      <w:tr w:rsidR="00FA7C11" w14:paraId="1EC5BEBC" w14:textId="77777777">
        <w:trPr>
          <w:trHeight w:val="51"/>
        </w:trPr>
        <w:tc>
          <w:tcPr>
            <w:tcW w:w="1096" w:type="dxa"/>
            <w:shd w:val="clear" w:color="auto" w:fill="C6EFCE"/>
            <w:vAlign w:val="center"/>
          </w:tcPr>
          <w:p w14:paraId="757FA864" w14:textId="77777777" w:rsidR="00FA7C11" w:rsidRDefault="00D84965">
            <w:pPr>
              <w:pStyle w:val="P68B1DB1-Normal102"/>
              <w:spacing w:after="0" w:line="240" w:lineRule="auto"/>
              <w:jc w:val="center"/>
              <w:rPr>
                <w:noProof/>
                <w:color w:val="000000" w:themeColor="text1"/>
              </w:rPr>
            </w:pPr>
            <w:r>
              <w:rPr>
                <w:noProof/>
              </w:rPr>
              <w:t>135</w:t>
            </w:r>
          </w:p>
        </w:tc>
        <w:tc>
          <w:tcPr>
            <w:tcW w:w="1639" w:type="dxa"/>
            <w:shd w:val="clear" w:color="auto" w:fill="C6EFCE"/>
            <w:vAlign w:val="center"/>
          </w:tcPr>
          <w:p w14:paraId="3D6C056E" w14:textId="77777777" w:rsidR="00FA7C11" w:rsidRDefault="00D84965">
            <w:pPr>
              <w:pStyle w:val="P68B1DB1-Normal102"/>
              <w:spacing w:after="0" w:line="240" w:lineRule="auto"/>
              <w:jc w:val="center"/>
              <w:rPr>
                <w:noProof/>
                <w:color w:val="000000" w:themeColor="text1"/>
              </w:rPr>
            </w:pPr>
            <w:r>
              <w:rPr>
                <w:noProof/>
              </w:rPr>
              <w:t>C1.5. R3-I1</w:t>
            </w:r>
          </w:p>
        </w:tc>
        <w:tc>
          <w:tcPr>
            <w:tcW w:w="1274" w:type="dxa"/>
            <w:shd w:val="clear" w:color="auto" w:fill="C6EFCE"/>
            <w:vAlign w:val="center"/>
          </w:tcPr>
          <w:p w14:paraId="74192599" w14:textId="77777777" w:rsidR="00FA7C11" w:rsidRDefault="00D84965">
            <w:pPr>
              <w:pStyle w:val="P68B1DB1-Normal102"/>
              <w:spacing w:after="0" w:line="240" w:lineRule="auto"/>
              <w:jc w:val="center"/>
              <w:rPr>
                <w:noProof/>
                <w:color w:val="000000" w:themeColor="text1"/>
              </w:rPr>
            </w:pPr>
            <w:r>
              <w:rPr>
                <w:noProof/>
              </w:rPr>
              <w:t>T</w:t>
            </w:r>
          </w:p>
        </w:tc>
        <w:tc>
          <w:tcPr>
            <w:tcW w:w="5347" w:type="dxa"/>
            <w:shd w:val="clear" w:color="auto" w:fill="C6EFCE"/>
            <w:vAlign w:val="center"/>
          </w:tcPr>
          <w:p w14:paraId="03C45A38" w14:textId="77777777" w:rsidR="00FA7C11" w:rsidRDefault="00D84965">
            <w:pPr>
              <w:pStyle w:val="P68B1DB1-Normal102"/>
              <w:spacing w:after="0" w:line="240" w:lineRule="auto"/>
              <w:rPr>
                <w:noProof/>
                <w:color w:val="000000" w:themeColor="text1"/>
              </w:rPr>
            </w:pPr>
            <w:r>
              <w:rPr>
                <w:noProof/>
              </w:rPr>
              <w:t>Digitalizarea a cel puțin 30 servicii publice în agricultură enumerate în Planul de acțiune pentru transformarea digitală a serviciilor publice agricole</w:t>
            </w:r>
          </w:p>
        </w:tc>
      </w:tr>
      <w:tr w:rsidR="00FA7C11" w14:paraId="3E4B5644" w14:textId="77777777">
        <w:trPr>
          <w:trHeight w:val="51"/>
        </w:trPr>
        <w:tc>
          <w:tcPr>
            <w:tcW w:w="1096" w:type="dxa"/>
            <w:shd w:val="clear" w:color="auto" w:fill="C6EFCE"/>
            <w:vAlign w:val="center"/>
          </w:tcPr>
          <w:p w14:paraId="2332E21A" w14:textId="77777777" w:rsidR="00FA7C11" w:rsidRDefault="00D84965">
            <w:pPr>
              <w:pStyle w:val="P68B1DB1-Normal102"/>
              <w:spacing w:after="0" w:line="240" w:lineRule="auto"/>
              <w:jc w:val="center"/>
              <w:textAlignment w:val="baseline"/>
              <w:rPr>
                <w:noProof/>
              </w:rPr>
            </w:pPr>
            <w:r>
              <w:rPr>
                <w:noProof/>
              </w:rPr>
              <w:t>137</w:t>
            </w:r>
          </w:p>
        </w:tc>
        <w:tc>
          <w:tcPr>
            <w:tcW w:w="1639" w:type="dxa"/>
            <w:shd w:val="clear" w:color="auto" w:fill="C6EFCE"/>
            <w:vAlign w:val="center"/>
          </w:tcPr>
          <w:p w14:paraId="7218D4F0" w14:textId="77777777" w:rsidR="00FA7C11" w:rsidRDefault="00D84965">
            <w:pPr>
              <w:pStyle w:val="P68B1DB1-Normal102"/>
              <w:spacing w:after="0" w:line="240" w:lineRule="auto"/>
              <w:jc w:val="center"/>
              <w:textAlignment w:val="baseline"/>
              <w:rPr>
                <w:noProof/>
              </w:rPr>
            </w:pPr>
            <w:r>
              <w:rPr>
                <w:noProof/>
              </w:rPr>
              <w:t>C1.5. R3-I3</w:t>
            </w:r>
          </w:p>
        </w:tc>
        <w:tc>
          <w:tcPr>
            <w:tcW w:w="1274" w:type="dxa"/>
            <w:shd w:val="clear" w:color="auto" w:fill="C6EFCE"/>
            <w:vAlign w:val="center"/>
          </w:tcPr>
          <w:p w14:paraId="3DADDEB1"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2450E88" w14:textId="77777777" w:rsidR="00FA7C11" w:rsidRDefault="00D84965">
            <w:pPr>
              <w:pStyle w:val="P68B1DB1-Normal102"/>
              <w:spacing w:after="0" w:line="240" w:lineRule="auto"/>
              <w:textAlignment w:val="baseline"/>
              <w:rPr>
                <w:noProof/>
              </w:rPr>
            </w:pPr>
            <w:r>
              <w:rPr>
                <w:noProof/>
              </w:rPr>
              <w:t>Instituirea unui sistem de informații privind trasabilitatea</w:t>
            </w:r>
          </w:p>
        </w:tc>
      </w:tr>
      <w:tr w:rsidR="00FA7C11" w14:paraId="0355F310" w14:textId="77777777">
        <w:trPr>
          <w:trHeight w:val="51"/>
        </w:trPr>
        <w:tc>
          <w:tcPr>
            <w:tcW w:w="1096" w:type="dxa"/>
            <w:shd w:val="clear" w:color="auto" w:fill="C6EFCE"/>
            <w:vAlign w:val="center"/>
          </w:tcPr>
          <w:p w14:paraId="6B3946E4" w14:textId="77777777" w:rsidR="00FA7C11" w:rsidRDefault="00D84965">
            <w:pPr>
              <w:pStyle w:val="P68B1DB1-Normal102"/>
              <w:spacing w:after="0" w:line="240" w:lineRule="auto"/>
              <w:jc w:val="center"/>
              <w:textAlignment w:val="baseline"/>
              <w:rPr>
                <w:noProof/>
              </w:rPr>
            </w:pPr>
            <w:r>
              <w:rPr>
                <w:noProof/>
              </w:rPr>
              <w:t>148</w:t>
            </w:r>
          </w:p>
        </w:tc>
        <w:tc>
          <w:tcPr>
            <w:tcW w:w="1639" w:type="dxa"/>
            <w:shd w:val="clear" w:color="auto" w:fill="C6EFCE"/>
            <w:vAlign w:val="center"/>
          </w:tcPr>
          <w:p w14:paraId="0F619104" w14:textId="77777777" w:rsidR="00FA7C11" w:rsidRDefault="00D84965">
            <w:pPr>
              <w:pStyle w:val="P68B1DB1-Normal102"/>
              <w:spacing w:after="0" w:line="240" w:lineRule="auto"/>
              <w:jc w:val="center"/>
              <w:textAlignment w:val="baseline"/>
              <w:rPr>
                <w:noProof/>
              </w:rPr>
            </w:pPr>
            <w:r>
              <w:rPr>
                <w:noProof/>
              </w:rPr>
              <w:t>C1.6. R1-I3</w:t>
            </w:r>
          </w:p>
        </w:tc>
        <w:tc>
          <w:tcPr>
            <w:tcW w:w="1274" w:type="dxa"/>
            <w:shd w:val="clear" w:color="auto" w:fill="C6EFCE"/>
            <w:vAlign w:val="center"/>
          </w:tcPr>
          <w:p w14:paraId="2D05076B"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4FA59DB" w14:textId="77777777" w:rsidR="00FA7C11" w:rsidRDefault="00D84965">
            <w:pPr>
              <w:pStyle w:val="P68B1DB1-Normal102"/>
              <w:spacing w:after="0" w:line="240" w:lineRule="auto"/>
              <w:textAlignment w:val="baseline"/>
              <w:rPr>
                <w:noProof/>
              </w:rPr>
            </w:pPr>
            <w:r>
              <w:rPr>
                <w:noProof/>
              </w:rPr>
              <w:t>Programe educaționale pentru consolidarea cunoștințelor și competențelor în domeniul turismului</w:t>
            </w:r>
          </w:p>
        </w:tc>
      </w:tr>
      <w:tr w:rsidR="00FA7C11" w14:paraId="707EB616" w14:textId="77777777">
        <w:trPr>
          <w:trHeight w:val="51"/>
        </w:trPr>
        <w:tc>
          <w:tcPr>
            <w:tcW w:w="1096" w:type="dxa"/>
            <w:shd w:val="clear" w:color="auto" w:fill="C6EFCE"/>
            <w:vAlign w:val="center"/>
          </w:tcPr>
          <w:p w14:paraId="135A71C0" w14:textId="77777777" w:rsidR="00FA7C11" w:rsidRDefault="00D84965">
            <w:pPr>
              <w:pStyle w:val="P68B1DB1-Normal102"/>
              <w:spacing w:after="0" w:line="240" w:lineRule="auto"/>
              <w:jc w:val="center"/>
              <w:textAlignment w:val="baseline"/>
              <w:rPr>
                <w:noProof/>
              </w:rPr>
            </w:pPr>
            <w:r>
              <w:rPr>
                <w:noProof/>
              </w:rPr>
              <w:t>164</w:t>
            </w:r>
          </w:p>
        </w:tc>
        <w:tc>
          <w:tcPr>
            <w:tcW w:w="1639" w:type="dxa"/>
            <w:shd w:val="clear" w:color="auto" w:fill="C6EFCE"/>
            <w:vAlign w:val="center"/>
          </w:tcPr>
          <w:p w14:paraId="0FCA8A6D" w14:textId="77777777" w:rsidR="00FA7C11" w:rsidRDefault="00D84965">
            <w:pPr>
              <w:pStyle w:val="P68B1DB1-Normal102"/>
              <w:spacing w:after="0" w:line="240" w:lineRule="auto"/>
              <w:jc w:val="center"/>
              <w:textAlignment w:val="baseline"/>
              <w:rPr>
                <w:noProof/>
              </w:rPr>
            </w:pPr>
            <w:r>
              <w:rPr>
                <w:noProof/>
              </w:rPr>
              <w:t>C2.2. R1-I1</w:t>
            </w:r>
          </w:p>
        </w:tc>
        <w:tc>
          <w:tcPr>
            <w:tcW w:w="1274" w:type="dxa"/>
            <w:shd w:val="clear" w:color="auto" w:fill="C6EFCE"/>
            <w:vAlign w:val="center"/>
          </w:tcPr>
          <w:p w14:paraId="682D297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79DEC4B" w14:textId="77777777" w:rsidR="00FA7C11" w:rsidRDefault="00D84965">
            <w:pPr>
              <w:pStyle w:val="P68B1DB1-Normal102"/>
              <w:spacing w:after="0" w:line="240" w:lineRule="auto"/>
              <w:textAlignment w:val="baseline"/>
              <w:rPr>
                <w:noProof/>
              </w:rPr>
            </w:pPr>
            <w:r>
              <w:rPr>
                <w:noProof/>
              </w:rPr>
              <w:t>100 % din totalul funcționarilor publici permanenți nou recrutați din cadrul organismelor guvernamentale sunt angajați exclusiv prin intermediul unui nou sistem centralizat, digitalizat și standardizat de selecție și recrutare, disponibil prin intermediul unei platforme informatice nou dezvoltate.</w:t>
            </w:r>
          </w:p>
        </w:tc>
      </w:tr>
      <w:tr w:rsidR="00FA7C11" w14:paraId="4572CAC9" w14:textId="77777777">
        <w:trPr>
          <w:trHeight w:val="51"/>
        </w:trPr>
        <w:tc>
          <w:tcPr>
            <w:tcW w:w="1096" w:type="dxa"/>
            <w:shd w:val="clear" w:color="auto" w:fill="C6EFCE"/>
            <w:vAlign w:val="center"/>
          </w:tcPr>
          <w:p w14:paraId="481C56B7" w14:textId="77777777" w:rsidR="00FA7C11" w:rsidRDefault="00D84965">
            <w:pPr>
              <w:pStyle w:val="P68B1DB1-Normal102"/>
              <w:spacing w:after="0" w:line="240" w:lineRule="auto"/>
              <w:jc w:val="center"/>
              <w:textAlignment w:val="baseline"/>
              <w:rPr>
                <w:noProof/>
              </w:rPr>
            </w:pPr>
            <w:r>
              <w:rPr>
                <w:noProof/>
              </w:rPr>
              <w:t>178</w:t>
            </w:r>
          </w:p>
        </w:tc>
        <w:tc>
          <w:tcPr>
            <w:tcW w:w="1639" w:type="dxa"/>
            <w:shd w:val="clear" w:color="auto" w:fill="C6EFCE"/>
            <w:vAlign w:val="center"/>
          </w:tcPr>
          <w:p w14:paraId="0237738A" w14:textId="77777777" w:rsidR="00FA7C11" w:rsidRDefault="00D84965">
            <w:pPr>
              <w:pStyle w:val="P68B1DB1-Normal102"/>
              <w:spacing w:after="0" w:line="240" w:lineRule="auto"/>
              <w:jc w:val="center"/>
              <w:textAlignment w:val="baseline"/>
              <w:rPr>
                <w:noProof/>
              </w:rPr>
            </w:pPr>
            <w:r>
              <w:rPr>
                <w:noProof/>
              </w:rPr>
              <w:t>C2.3. R2-I1</w:t>
            </w:r>
          </w:p>
        </w:tc>
        <w:tc>
          <w:tcPr>
            <w:tcW w:w="1274" w:type="dxa"/>
            <w:shd w:val="clear" w:color="auto" w:fill="C6EFCE"/>
            <w:vAlign w:val="center"/>
          </w:tcPr>
          <w:p w14:paraId="24582C6F"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5AD53C0" w14:textId="77777777" w:rsidR="00FA7C11" w:rsidRDefault="00D84965">
            <w:pPr>
              <w:pStyle w:val="P68B1DB1-Normal102"/>
              <w:spacing w:after="0" w:line="240" w:lineRule="auto"/>
              <w:textAlignment w:val="baseline"/>
              <w:rPr>
                <w:noProof/>
              </w:rPr>
            </w:pPr>
            <w:r>
              <w:rPr>
                <w:noProof/>
              </w:rPr>
              <w:t>Instituirea sistemului central de interoperabilitate</w:t>
            </w:r>
          </w:p>
        </w:tc>
      </w:tr>
      <w:tr w:rsidR="00FA7C11" w14:paraId="1A755590" w14:textId="77777777">
        <w:trPr>
          <w:trHeight w:val="51"/>
        </w:trPr>
        <w:tc>
          <w:tcPr>
            <w:tcW w:w="1096" w:type="dxa"/>
            <w:shd w:val="clear" w:color="auto" w:fill="C6EFCE"/>
            <w:vAlign w:val="center"/>
          </w:tcPr>
          <w:p w14:paraId="5FDA5949" w14:textId="77777777" w:rsidR="00FA7C11" w:rsidRDefault="00D84965">
            <w:pPr>
              <w:pStyle w:val="P68B1DB1-Normal102"/>
              <w:spacing w:after="0" w:line="240" w:lineRule="auto"/>
              <w:jc w:val="center"/>
              <w:textAlignment w:val="baseline"/>
              <w:rPr>
                <w:noProof/>
              </w:rPr>
            </w:pPr>
            <w:r>
              <w:rPr>
                <w:noProof/>
              </w:rPr>
              <w:t>185</w:t>
            </w:r>
          </w:p>
        </w:tc>
        <w:tc>
          <w:tcPr>
            <w:tcW w:w="1639" w:type="dxa"/>
            <w:shd w:val="clear" w:color="auto" w:fill="C6EFCE"/>
            <w:vAlign w:val="center"/>
          </w:tcPr>
          <w:p w14:paraId="56A01E4F" w14:textId="77777777" w:rsidR="00FA7C11" w:rsidRDefault="00D84965">
            <w:pPr>
              <w:pStyle w:val="P68B1DB1-Normal102"/>
              <w:spacing w:after="0" w:line="240" w:lineRule="auto"/>
              <w:jc w:val="center"/>
              <w:textAlignment w:val="baseline"/>
              <w:rPr>
                <w:noProof/>
              </w:rPr>
            </w:pPr>
            <w:r>
              <w:rPr>
                <w:noProof/>
              </w:rPr>
              <w:t>C2.3. R3-I5</w:t>
            </w:r>
          </w:p>
        </w:tc>
        <w:tc>
          <w:tcPr>
            <w:tcW w:w="1274" w:type="dxa"/>
            <w:shd w:val="clear" w:color="auto" w:fill="C6EFCE"/>
            <w:vAlign w:val="center"/>
          </w:tcPr>
          <w:p w14:paraId="57B79FE7"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7E4DA4" w14:textId="77777777" w:rsidR="00FA7C11" w:rsidRDefault="00D84965">
            <w:pPr>
              <w:pStyle w:val="P68B1DB1-Normal102"/>
              <w:spacing w:after="0" w:line="240" w:lineRule="auto"/>
              <w:textAlignment w:val="baseline"/>
              <w:rPr>
                <w:noProof/>
              </w:rPr>
            </w:pPr>
            <w:r>
              <w:rPr>
                <w:noProof/>
              </w:rPr>
              <w:t>Semnătură electronică pentru cartea de identitate digitală</w:t>
            </w:r>
          </w:p>
        </w:tc>
      </w:tr>
      <w:tr w:rsidR="00FA7C11" w14:paraId="391B8C1D" w14:textId="77777777">
        <w:trPr>
          <w:trHeight w:val="51"/>
        </w:trPr>
        <w:tc>
          <w:tcPr>
            <w:tcW w:w="1096" w:type="dxa"/>
            <w:shd w:val="clear" w:color="auto" w:fill="C6EFCE"/>
            <w:vAlign w:val="center"/>
          </w:tcPr>
          <w:p w14:paraId="226025A5" w14:textId="77777777" w:rsidR="00FA7C11" w:rsidRDefault="00D84965">
            <w:pPr>
              <w:pStyle w:val="P68B1DB1-Normal102"/>
              <w:spacing w:after="0" w:line="240" w:lineRule="auto"/>
              <w:jc w:val="center"/>
              <w:textAlignment w:val="baseline"/>
              <w:rPr>
                <w:noProof/>
              </w:rPr>
            </w:pPr>
            <w:r>
              <w:rPr>
                <w:noProof/>
              </w:rPr>
              <w:t>190</w:t>
            </w:r>
          </w:p>
        </w:tc>
        <w:tc>
          <w:tcPr>
            <w:tcW w:w="1639" w:type="dxa"/>
            <w:shd w:val="clear" w:color="auto" w:fill="C6EFCE"/>
            <w:vAlign w:val="center"/>
          </w:tcPr>
          <w:p w14:paraId="5D90E47C" w14:textId="77777777" w:rsidR="00FA7C11" w:rsidRDefault="00D84965">
            <w:pPr>
              <w:pStyle w:val="P68B1DB1-Normal102"/>
              <w:spacing w:after="0" w:line="240" w:lineRule="auto"/>
              <w:jc w:val="center"/>
              <w:textAlignment w:val="baseline"/>
              <w:rPr>
                <w:noProof/>
              </w:rPr>
            </w:pPr>
            <w:r>
              <w:rPr>
                <w:noProof/>
              </w:rPr>
              <w:t>C2.3. R3-I8</w:t>
            </w:r>
          </w:p>
        </w:tc>
        <w:tc>
          <w:tcPr>
            <w:tcW w:w="1274" w:type="dxa"/>
            <w:shd w:val="clear" w:color="auto" w:fill="C6EFCE"/>
            <w:vAlign w:val="center"/>
          </w:tcPr>
          <w:p w14:paraId="1A9A561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DE4AF08" w14:textId="18268E5B" w:rsidR="00FA7C11" w:rsidRDefault="00D84965">
            <w:pPr>
              <w:pStyle w:val="P68B1DB1-Normal102"/>
              <w:spacing w:after="0" w:line="240" w:lineRule="auto"/>
              <w:textAlignment w:val="baseline"/>
              <w:rPr>
                <w:noProof/>
              </w:rPr>
            </w:pPr>
            <w:r>
              <w:rPr>
                <w:noProof/>
              </w:rPr>
              <w:t xml:space="preserve">Integrarea serviciilor publice electronice digitale în noua platformă mobilă </w:t>
            </w:r>
          </w:p>
        </w:tc>
      </w:tr>
      <w:tr w:rsidR="00FA7C11" w14:paraId="6DAF0D3B" w14:textId="77777777">
        <w:trPr>
          <w:trHeight w:val="51"/>
        </w:trPr>
        <w:tc>
          <w:tcPr>
            <w:tcW w:w="1096" w:type="dxa"/>
            <w:shd w:val="clear" w:color="auto" w:fill="C6EFCE"/>
            <w:vAlign w:val="center"/>
          </w:tcPr>
          <w:p w14:paraId="70DB15F0" w14:textId="77777777" w:rsidR="00FA7C11" w:rsidRDefault="00D84965">
            <w:pPr>
              <w:pStyle w:val="P68B1DB1-Normal102"/>
              <w:spacing w:after="0" w:line="240" w:lineRule="auto"/>
              <w:jc w:val="center"/>
              <w:textAlignment w:val="baseline"/>
              <w:rPr>
                <w:noProof/>
              </w:rPr>
            </w:pPr>
            <w:r>
              <w:rPr>
                <w:noProof/>
              </w:rPr>
              <w:t>199</w:t>
            </w:r>
          </w:p>
        </w:tc>
        <w:tc>
          <w:tcPr>
            <w:tcW w:w="1639" w:type="dxa"/>
            <w:shd w:val="clear" w:color="auto" w:fill="C6EFCE"/>
            <w:vAlign w:val="center"/>
          </w:tcPr>
          <w:p w14:paraId="1FE59D7D" w14:textId="77777777" w:rsidR="00FA7C11" w:rsidRDefault="00D84965">
            <w:pPr>
              <w:pStyle w:val="P68B1DB1-Normal102"/>
              <w:spacing w:after="0" w:line="240" w:lineRule="auto"/>
              <w:jc w:val="center"/>
              <w:textAlignment w:val="baseline"/>
              <w:rPr>
                <w:noProof/>
              </w:rPr>
            </w:pPr>
            <w:r>
              <w:rPr>
                <w:noProof/>
              </w:rPr>
              <w:t>C2.3. R3-I14</w:t>
            </w:r>
          </w:p>
        </w:tc>
        <w:tc>
          <w:tcPr>
            <w:tcW w:w="1274" w:type="dxa"/>
            <w:shd w:val="clear" w:color="auto" w:fill="C6EFCE"/>
            <w:vAlign w:val="center"/>
          </w:tcPr>
          <w:p w14:paraId="46D77D48"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3EE07D3" w14:textId="77777777" w:rsidR="00FA7C11" w:rsidRDefault="00D84965">
            <w:pPr>
              <w:pStyle w:val="P68B1DB1-Normal102"/>
              <w:spacing w:after="0" w:line="240" w:lineRule="auto"/>
              <w:textAlignment w:val="baseline"/>
              <w:rPr>
                <w:noProof/>
              </w:rPr>
            </w:pPr>
            <w:r>
              <w:rPr>
                <w:noProof/>
              </w:rPr>
              <w:t xml:space="preserve">Sistemul de facturi electronice și contabilitatea TVA online </w:t>
            </w:r>
          </w:p>
        </w:tc>
      </w:tr>
      <w:tr w:rsidR="00FA7C11" w14:paraId="7ECB1C61" w14:textId="77777777">
        <w:trPr>
          <w:trHeight w:val="51"/>
        </w:trPr>
        <w:tc>
          <w:tcPr>
            <w:tcW w:w="1096" w:type="dxa"/>
            <w:shd w:val="clear" w:color="auto" w:fill="C6EFCE"/>
            <w:vAlign w:val="center"/>
          </w:tcPr>
          <w:p w14:paraId="6F9B79A1" w14:textId="77777777" w:rsidR="00FA7C11" w:rsidRDefault="00D84965">
            <w:pPr>
              <w:pStyle w:val="P68B1DB1-Normal102"/>
              <w:spacing w:after="0" w:line="240" w:lineRule="auto"/>
              <w:jc w:val="center"/>
              <w:textAlignment w:val="baseline"/>
              <w:rPr>
                <w:noProof/>
              </w:rPr>
            </w:pPr>
            <w:r>
              <w:rPr>
                <w:noProof/>
              </w:rPr>
              <w:t>210</w:t>
            </w:r>
          </w:p>
        </w:tc>
        <w:tc>
          <w:tcPr>
            <w:tcW w:w="1639" w:type="dxa"/>
            <w:shd w:val="clear" w:color="auto" w:fill="C6EFCE"/>
            <w:vAlign w:val="center"/>
          </w:tcPr>
          <w:p w14:paraId="3A961697" w14:textId="77777777" w:rsidR="00FA7C11" w:rsidRDefault="00D84965">
            <w:pPr>
              <w:pStyle w:val="P68B1DB1-Normal102"/>
              <w:spacing w:after="0" w:line="240" w:lineRule="auto"/>
              <w:jc w:val="center"/>
              <w:textAlignment w:val="baseline"/>
              <w:rPr>
                <w:noProof/>
              </w:rPr>
            </w:pPr>
            <w:r>
              <w:rPr>
                <w:noProof/>
              </w:rPr>
              <w:t>C2.4. R4</w:t>
            </w:r>
          </w:p>
        </w:tc>
        <w:tc>
          <w:tcPr>
            <w:tcW w:w="1274" w:type="dxa"/>
            <w:shd w:val="clear" w:color="auto" w:fill="C6EFCE"/>
            <w:vAlign w:val="center"/>
          </w:tcPr>
          <w:p w14:paraId="2AED777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30E1867" w14:textId="77777777" w:rsidR="00FA7C11" w:rsidRDefault="00D84965">
            <w:pPr>
              <w:pStyle w:val="P68B1DB1-Normal102"/>
              <w:spacing w:after="0" w:line="240" w:lineRule="auto"/>
              <w:textAlignment w:val="baseline"/>
              <w:rPr>
                <w:noProof/>
              </w:rPr>
            </w:pPr>
            <w:r>
              <w:rPr>
                <w:noProof/>
              </w:rPr>
              <w:t>Realizarea vânzării a 90 de întreprinderi de stat care nu prezintă un interes deosebit pentru Republica Croația și sunt gestionate de CERP</w:t>
            </w:r>
          </w:p>
        </w:tc>
      </w:tr>
      <w:tr w:rsidR="00FA7C11" w14:paraId="5B9C5ACF" w14:textId="77777777">
        <w:trPr>
          <w:trHeight w:val="51"/>
        </w:trPr>
        <w:tc>
          <w:tcPr>
            <w:tcW w:w="1096" w:type="dxa"/>
            <w:shd w:val="clear" w:color="auto" w:fill="C6EFCE"/>
            <w:vAlign w:val="center"/>
          </w:tcPr>
          <w:p w14:paraId="510CA3E8" w14:textId="77777777" w:rsidR="00FA7C11" w:rsidRDefault="00D84965">
            <w:pPr>
              <w:pStyle w:val="P68B1DB1-Normal102"/>
              <w:spacing w:after="0" w:line="240" w:lineRule="auto"/>
              <w:jc w:val="center"/>
              <w:textAlignment w:val="baseline"/>
              <w:rPr>
                <w:noProof/>
              </w:rPr>
            </w:pPr>
            <w:r>
              <w:rPr>
                <w:noProof/>
              </w:rPr>
              <w:t>212</w:t>
            </w:r>
          </w:p>
        </w:tc>
        <w:tc>
          <w:tcPr>
            <w:tcW w:w="1639" w:type="dxa"/>
            <w:shd w:val="clear" w:color="auto" w:fill="C6EFCE"/>
            <w:vAlign w:val="center"/>
          </w:tcPr>
          <w:p w14:paraId="6CF8E00F" w14:textId="77777777" w:rsidR="00FA7C11" w:rsidRDefault="00D84965">
            <w:pPr>
              <w:pStyle w:val="P68B1DB1-Normal102"/>
              <w:spacing w:after="0" w:line="240" w:lineRule="auto"/>
              <w:jc w:val="center"/>
              <w:textAlignment w:val="baseline"/>
              <w:rPr>
                <w:noProof/>
              </w:rPr>
            </w:pPr>
            <w:r>
              <w:rPr>
                <w:noProof/>
              </w:rPr>
              <w:t>C2.4. R5</w:t>
            </w:r>
          </w:p>
        </w:tc>
        <w:tc>
          <w:tcPr>
            <w:tcW w:w="1274" w:type="dxa"/>
            <w:shd w:val="clear" w:color="auto" w:fill="C6EFCE"/>
            <w:vAlign w:val="center"/>
          </w:tcPr>
          <w:p w14:paraId="22B8850E"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BD52941" w14:textId="77777777" w:rsidR="00FA7C11" w:rsidRDefault="00D84965">
            <w:pPr>
              <w:pStyle w:val="P68B1DB1-Normal102"/>
              <w:spacing w:after="0" w:line="240" w:lineRule="auto"/>
              <w:textAlignment w:val="baseline"/>
              <w:rPr>
                <w:noProof/>
              </w:rPr>
            </w:pPr>
            <w:r>
              <w:rPr>
                <w:noProof/>
              </w:rPr>
              <w:t xml:space="preserve">Dezvoltarea unui sistem informatic și a unei metodologii pentru reducerea portofoliului imobiliar deținut de stat și activarea mai rapidă și mai eficientă a activelor publice neutilizate </w:t>
            </w:r>
          </w:p>
        </w:tc>
      </w:tr>
      <w:tr w:rsidR="00FA7C11" w14:paraId="281D0EE8" w14:textId="77777777">
        <w:trPr>
          <w:trHeight w:val="51"/>
        </w:trPr>
        <w:tc>
          <w:tcPr>
            <w:tcW w:w="1096" w:type="dxa"/>
            <w:shd w:val="clear" w:color="auto" w:fill="C6EFCE"/>
            <w:vAlign w:val="center"/>
          </w:tcPr>
          <w:p w14:paraId="185499E2" w14:textId="77777777" w:rsidR="00FA7C11" w:rsidRDefault="00D84965">
            <w:pPr>
              <w:pStyle w:val="P68B1DB1-Normal102"/>
              <w:spacing w:after="0" w:line="240" w:lineRule="auto"/>
              <w:jc w:val="center"/>
              <w:textAlignment w:val="baseline"/>
              <w:rPr>
                <w:noProof/>
              </w:rPr>
            </w:pPr>
            <w:r>
              <w:rPr>
                <w:noProof/>
              </w:rPr>
              <w:t>224</w:t>
            </w:r>
          </w:p>
        </w:tc>
        <w:tc>
          <w:tcPr>
            <w:tcW w:w="1639" w:type="dxa"/>
            <w:shd w:val="clear" w:color="auto" w:fill="C6EFCE"/>
            <w:vAlign w:val="center"/>
          </w:tcPr>
          <w:p w14:paraId="00A02F0C" w14:textId="77777777" w:rsidR="00FA7C11" w:rsidRDefault="00D84965">
            <w:pPr>
              <w:pStyle w:val="P68B1DB1-Normal102"/>
              <w:spacing w:after="0" w:line="240" w:lineRule="auto"/>
              <w:jc w:val="center"/>
              <w:textAlignment w:val="baseline"/>
              <w:rPr>
                <w:noProof/>
              </w:rPr>
            </w:pPr>
            <w:r>
              <w:rPr>
                <w:noProof/>
              </w:rPr>
              <w:t>C2.5. R1-I1</w:t>
            </w:r>
          </w:p>
        </w:tc>
        <w:tc>
          <w:tcPr>
            <w:tcW w:w="1274" w:type="dxa"/>
            <w:shd w:val="clear" w:color="auto" w:fill="C6EFCE"/>
            <w:vAlign w:val="center"/>
          </w:tcPr>
          <w:p w14:paraId="1C399ED3"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98ED8B9" w14:textId="77777777" w:rsidR="00FA7C11" w:rsidRDefault="00D84965">
            <w:pPr>
              <w:pStyle w:val="P68B1DB1-Normal102"/>
              <w:spacing w:after="0" w:line="240" w:lineRule="auto"/>
              <w:textAlignment w:val="baseline"/>
              <w:rPr>
                <w:noProof/>
              </w:rPr>
            </w:pPr>
            <w:r>
              <w:rPr>
                <w:noProof/>
              </w:rPr>
              <w:t>Toate hotărârile judecătorești noi pronunțate în primă instanță și în a doua instanță care pun capăt procedurilor sunt anonimizate și publicate pe portal.</w:t>
            </w:r>
          </w:p>
        </w:tc>
      </w:tr>
      <w:tr w:rsidR="00FA7C11" w14:paraId="64B02A3D" w14:textId="77777777">
        <w:trPr>
          <w:trHeight w:val="51"/>
        </w:trPr>
        <w:tc>
          <w:tcPr>
            <w:tcW w:w="1096" w:type="dxa"/>
            <w:shd w:val="clear" w:color="auto" w:fill="C6EFCE"/>
            <w:vAlign w:val="center"/>
          </w:tcPr>
          <w:p w14:paraId="7DD1A668" w14:textId="77777777" w:rsidR="00FA7C11" w:rsidRDefault="00D84965">
            <w:pPr>
              <w:pStyle w:val="P68B1DB1-Normal102"/>
              <w:spacing w:after="0" w:line="240" w:lineRule="auto"/>
              <w:jc w:val="center"/>
              <w:textAlignment w:val="baseline"/>
              <w:rPr>
                <w:noProof/>
              </w:rPr>
            </w:pPr>
            <w:r>
              <w:rPr>
                <w:noProof/>
              </w:rPr>
              <w:t>226</w:t>
            </w:r>
          </w:p>
        </w:tc>
        <w:tc>
          <w:tcPr>
            <w:tcW w:w="1639" w:type="dxa"/>
            <w:shd w:val="clear" w:color="auto" w:fill="C6EFCE"/>
            <w:vAlign w:val="center"/>
          </w:tcPr>
          <w:p w14:paraId="6EE9D299" w14:textId="77777777" w:rsidR="00FA7C11" w:rsidRDefault="00D84965">
            <w:pPr>
              <w:pStyle w:val="P68B1DB1-Normal102"/>
              <w:spacing w:after="0" w:line="240" w:lineRule="auto"/>
              <w:jc w:val="center"/>
              <w:textAlignment w:val="baseline"/>
              <w:rPr>
                <w:noProof/>
              </w:rPr>
            </w:pPr>
            <w:r>
              <w:rPr>
                <w:noProof/>
              </w:rPr>
              <w:t>C2.5. R1-I3</w:t>
            </w:r>
          </w:p>
        </w:tc>
        <w:tc>
          <w:tcPr>
            <w:tcW w:w="1274" w:type="dxa"/>
            <w:shd w:val="clear" w:color="auto" w:fill="C6EFCE"/>
            <w:vAlign w:val="center"/>
          </w:tcPr>
          <w:p w14:paraId="1B412A4D"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E00830C" w14:textId="3BA354AA" w:rsidR="00FA7C11" w:rsidRDefault="00D84965">
            <w:pPr>
              <w:pStyle w:val="P68B1DB1-Normal102"/>
              <w:spacing w:after="0" w:line="240" w:lineRule="auto"/>
              <w:textAlignment w:val="baseline"/>
              <w:rPr>
                <w:noProof/>
              </w:rPr>
            </w:pPr>
            <w:r>
              <w:rPr>
                <w:noProof/>
              </w:rPr>
              <w:t>Sistemul eSpis modernizat cu noi funcționalități și o nouă arhitectură integrată în Centrul de servicii partajate (CDU)</w:t>
            </w:r>
          </w:p>
        </w:tc>
      </w:tr>
      <w:tr w:rsidR="00FA7C11" w14:paraId="000FF1E5" w14:textId="77777777">
        <w:trPr>
          <w:trHeight w:val="51"/>
        </w:trPr>
        <w:tc>
          <w:tcPr>
            <w:tcW w:w="1096" w:type="dxa"/>
            <w:shd w:val="clear" w:color="auto" w:fill="C6EFCE"/>
            <w:vAlign w:val="center"/>
          </w:tcPr>
          <w:p w14:paraId="55515FEB" w14:textId="77777777" w:rsidR="00FA7C11" w:rsidRDefault="00D84965">
            <w:pPr>
              <w:pStyle w:val="P68B1DB1-Normal102"/>
              <w:spacing w:after="0" w:line="240" w:lineRule="auto"/>
              <w:jc w:val="center"/>
              <w:rPr>
                <w:noProof/>
                <w:color w:val="000000" w:themeColor="text1"/>
              </w:rPr>
            </w:pPr>
            <w:r>
              <w:rPr>
                <w:noProof/>
              </w:rPr>
              <w:t>238</w:t>
            </w:r>
          </w:p>
        </w:tc>
        <w:tc>
          <w:tcPr>
            <w:tcW w:w="1639" w:type="dxa"/>
            <w:shd w:val="clear" w:color="auto" w:fill="C6EFCE"/>
            <w:vAlign w:val="center"/>
          </w:tcPr>
          <w:p w14:paraId="2DD99A95" w14:textId="77777777" w:rsidR="00FA7C11" w:rsidRDefault="00D84965">
            <w:pPr>
              <w:pStyle w:val="P68B1DB1-Normal102"/>
              <w:spacing w:after="0" w:line="240" w:lineRule="auto"/>
              <w:jc w:val="center"/>
              <w:rPr>
                <w:noProof/>
                <w:color w:val="000000" w:themeColor="text1"/>
              </w:rPr>
            </w:pPr>
            <w:r>
              <w:rPr>
                <w:noProof/>
              </w:rPr>
              <w:t>C2.6. R1</w:t>
            </w:r>
          </w:p>
        </w:tc>
        <w:tc>
          <w:tcPr>
            <w:tcW w:w="1274" w:type="dxa"/>
            <w:shd w:val="clear" w:color="auto" w:fill="C6EFCE"/>
            <w:vAlign w:val="center"/>
          </w:tcPr>
          <w:p w14:paraId="100C024D" w14:textId="77777777" w:rsidR="00FA7C11" w:rsidRDefault="00D84965">
            <w:pPr>
              <w:pStyle w:val="P68B1DB1-Normal102"/>
              <w:spacing w:after="0" w:line="240" w:lineRule="auto"/>
              <w:jc w:val="center"/>
              <w:rPr>
                <w:noProof/>
                <w:color w:val="000000" w:themeColor="text1"/>
              </w:rPr>
            </w:pPr>
            <w:r>
              <w:rPr>
                <w:noProof/>
              </w:rPr>
              <w:t>T</w:t>
            </w:r>
          </w:p>
        </w:tc>
        <w:tc>
          <w:tcPr>
            <w:tcW w:w="5347" w:type="dxa"/>
            <w:shd w:val="clear" w:color="auto" w:fill="C6EFCE"/>
            <w:vAlign w:val="center"/>
          </w:tcPr>
          <w:p w14:paraId="37C0F1FB" w14:textId="77777777" w:rsidR="00FA7C11" w:rsidRDefault="00D84965">
            <w:pPr>
              <w:pStyle w:val="P68B1DB1-Normal102"/>
              <w:spacing w:after="0" w:line="240" w:lineRule="auto"/>
              <w:rPr>
                <w:noProof/>
                <w:color w:val="000000" w:themeColor="text1"/>
              </w:rPr>
            </w:pPr>
            <w:r>
              <w:rPr>
                <w:noProof/>
              </w:rPr>
              <w:t>Reducerea duratei medii a acțiunilor în justiție pentru infracțiuni de corupție și criminalitate organizată</w:t>
            </w:r>
          </w:p>
        </w:tc>
      </w:tr>
      <w:tr w:rsidR="00FA7C11" w14:paraId="54E28931" w14:textId="77777777">
        <w:trPr>
          <w:trHeight w:val="51"/>
        </w:trPr>
        <w:tc>
          <w:tcPr>
            <w:tcW w:w="1096" w:type="dxa"/>
            <w:shd w:val="clear" w:color="auto" w:fill="C6EFCE"/>
            <w:vAlign w:val="center"/>
          </w:tcPr>
          <w:p w14:paraId="7EBF8B25" w14:textId="77777777" w:rsidR="00FA7C11" w:rsidRDefault="00D84965">
            <w:pPr>
              <w:pStyle w:val="P68B1DB1-Normal102"/>
              <w:spacing w:after="0" w:line="240" w:lineRule="auto"/>
              <w:jc w:val="center"/>
              <w:rPr>
                <w:noProof/>
                <w:color w:val="000000" w:themeColor="text1"/>
              </w:rPr>
            </w:pPr>
            <w:r>
              <w:rPr>
                <w:noProof/>
              </w:rPr>
              <w:t>240</w:t>
            </w:r>
          </w:p>
        </w:tc>
        <w:tc>
          <w:tcPr>
            <w:tcW w:w="1639" w:type="dxa"/>
            <w:shd w:val="clear" w:color="auto" w:fill="C6EFCE"/>
            <w:vAlign w:val="center"/>
          </w:tcPr>
          <w:p w14:paraId="154A0A0C" w14:textId="77777777" w:rsidR="00FA7C11" w:rsidRDefault="00D84965">
            <w:pPr>
              <w:pStyle w:val="P68B1DB1-Normal102"/>
              <w:spacing w:after="0" w:line="240" w:lineRule="auto"/>
              <w:jc w:val="center"/>
              <w:rPr>
                <w:noProof/>
                <w:color w:val="000000" w:themeColor="text1"/>
              </w:rPr>
            </w:pPr>
            <w:r>
              <w:rPr>
                <w:noProof/>
              </w:rPr>
              <w:t>C2.6. R1-I2</w:t>
            </w:r>
          </w:p>
        </w:tc>
        <w:tc>
          <w:tcPr>
            <w:tcW w:w="1274" w:type="dxa"/>
            <w:shd w:val="clear" w:color="auto" w:fill="C6EFCE"/>
            <w:vAlign w:val="center"/>
          </w:tcPr>
          <w:p w14:paraId="54703C5C" w14:textId="77777777" w:rsidR="00FA7C11" w:rsidRDefault="00D84965">
            <w:pPr>
              <w:pStyle w:val="P68B1DB1-Normal102"/>
              <w:spacing w:after="0" w:line="240" w:lineRule="auto"/>
              <w:jc w:val="center"/>
              <w:rPr>
                <w:noProof/>
                <w:color w:val="000000" w:themeColor="text1"/>
              </w:rPr>
            </w:pPr>
            <w:r>
              <w:rPr>
                <w:noProof/>
              </w:rPr>
              <w:t>M</w:t>
            </w:r>
          </w:p>
        </w:tc>
        <w:tc>
          <w:tcPr>
            <w:tcW w:w="5347" w:type="dxa"/>
            <w:shd w:val="clear" w:color="auto" w:fill="C6EFCE"/>
            <w:vAlign w:val="center"/>
          </w:tcPr>
          <w:p w14:paraId="70C872A1" w14:textId="77777777" w:rsidR="00FA7C11" w:rsidRDefault="00D84965">
            <w:pPr>
              <w:pStyle w:val="P68B1DB1-Normal102"/>
              <w:spacing w:after="0" w:line="240" w:lineRule="auto"/>
              <w:rPr>
                <w:noProof/>
                <w:color w:val="000000" w:themeColor="text1"/>
              </w:rPr>
            </w:pPr>
            <w:r>
              <w:rPr>
                <w:noProof/>
              </w:rPr>
              <w:t>Instituirea unui sistem de informații pentru gestionarea infrastructurii etice a funcționarilor publici</w:t>
            </w:r>
          </w:p>
        </w:tc>
      </w:tr>
      <w:tr w:rsidR="00FA7C11" w14:paraId="64E1F41B" w14:textId="77777777">
        <w:trPr>
          <w:trHeight w:val="51"/>
        </w:trPr>
        <w:tc>
          <w:tcPr>
            <w:tcW w:w="1096" w:type="dxa"/>
            <w:shd w:val="clear" w:color="auto" w:fill="C6EFCE"/>
            <w:vAlign w:val="center"/>
          </w:tcPr>
          <w:p w14:paraId="11B5FCA3" w14:textId="77777777" w:rsidR="00FA7C11" w:rsidRDefault="00D84965">
            <w:pPr>
              <w:pStyle w:val="P68B1DB1-Normal102"/>
              <w:spacing w:after="0" w:line="240" w:lineRule="auto"/>
              <w:jc w:val="center"/>
              <w:textAlignment w:val="baseline"/>
              <w:rPr>
                <w:noProof/>
              </w:rPr>
            </w:pPr>
            <w:r>
              <w:rPr>
                <w:noProof/>
              </w:rPr>
              <w:t>252</w:t>
            </w:r>
          </w:p>
        </w:tc>
        <w:tc>
          <w:tcPr>
            <w:tcW w:w="1639" w:type="dxa"/>
            <w:shd w:val="clear" w:color="auto" w:fill="C6EFCE"/>
            <w:vAlign w:val="center"/>
          </w:tcPr>
          <w:p w14:paraId="0DA9B8E8" w14:textId="77777777" w:rsidR="00FA7C11" w:rsidRDefault="00D84965">
            <w:pPr>
              <w:pStyle w:val="P68B1DB1-Normal102"/>
              <w:spacing w:after="0" w:line="240" w:lineRule="auto"/>
              <w:jc w:val="center"/>
              <w:textAlignment w:val="baseline"/>
              <w:rPr>
                <w:noProof/>
              </w:rPr>
            </w:pPr>
            <w:r>
              <w:rPr>
                <w:noProof/>
              </w:rPr>
              <w:t>C2.8. R2</w:t>
            </w:r>
          </w:p>
        </w:tc>
        <w:tc>
          <w:tcPr>
            <w:tcW w:w="1274" w:type="dxa"/>
            <w:shd w:val="clear" w:color="auto" w:fill="C6EFCE"/>
            <w:vAlign w:val="center"/>
          </w:tcPr>
          <w:p w14:paraId="43275EE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8703D06" w14:textId="77777777" w:rsidR="00FA7C11" w:rsidRDefault="00D84965">
            <w:pPr>
              <w:pStyle w:val="P68B1DB1-Normal102"/>
              <w:spacing w:after="0" w:line="240" w:lineRule="auto"/>
              <w:textAlignment w:val="baseline"/>
              <w:rPr>
                <w:noProof/>
              </w:rPr>
            </w:pPr>
            <w:r>
              <w:rPr>
                <w:noProof/>
              </w:rPr>
              <w:t xml:space="preserve">Consolidarea supravegherii prin reuniuni periodice ale Grupului de lucru interinstituțional privind supravegherea </w:t>
            </w:r>
          </w:p>
        </w:tc>
      </w:tr>
      <w:tr w:rsidR="00FA7C11" w14:paraId="2B2508DD" w14:textId="77777777">
        <w:trPr>
          <w:trHeight w:val="51"/>
        </w:trPr>
        <w:tc>
          <w:tcPr>
            <w:tcW w:w="1096" w:type="dxa"/>
            <w:shd w:val="clear" w:color="auto" w:fill="C6EFCE"/>
            <w:vAlign w:val="center"/>
          </w:tcPr>
          <w:p w14:paraId="4B5EA359" w14:textId="77777777" w:rsidR="00FA7C11" w:rsidRDefault="00D84965">
            <w:pPr>
              <w:pStyle w:val="P68B1DB1-Normal102"/>
              <w:spacing w:after="0" w:line="240" w:lineRule="auto"/>
              <w:jc w:val="center"/>
              <w:textAlignment w:val="baseline"/>
              <w:rPr>
                <w:noProof/>
              </w:rPr>
            </w:pPr>
            <w:r>
              <w:rPr>
                <w:noProof/>
              </w:rPr>
              <w:t>261</w:t>
            </w:r>
          </w:p>
        </w:tc>
        <w:tc>
          <w:tcPr>
            <w:tcW w:w="1639" w:type="dxa"/>
            <w:shd w:val="clear" w:color="auto" w:fill="C6EFCE"/>
            <w:vAlign w:val="center"/>
          </w:tcPr>
          <w:p w14:paraId="08AD6A9F" w14:textId="77777777" w:rsidR="00FA7C11" w:rsidRDefault="00D84965">
            <w:pPr>
              <w:pStyle w:val="P68B1DB1-Normal102"/>
              <w:spacing w:after="0" w:line="240" w:lineRule="auto"/>
              <w:jc w:val="center"/>
              <w:textAlignment w:val="baseline"/>
              <w:rPr>
                <w:noProof/>
              </w:rPr>
            </w:pPr>
            <w:r>
              <w:rPr>
                <w:noProof/>
              </w:rPr>
              <w:t>C2.9. R2</w:t>
            </w:r>
          </w:p>
        </w:tc>
        <w:tc>
          <w:tcPr>
            <w:tcW w:w="1274" w:type="dxa"/>
            <w:shd w:val="clear" w:color="auto" w:fill="C6EFCE"/>
            <w:vAlign w:val="center"/>
          </w:tcPr>
          <w:p w14:paraId="7FE00EB4"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1A11164" w14:textId="77777777" w:rsidR="00FA7C11" w:rsidRDefault="00D84965">
            <w:pPr>
              <w:pStyle w:val="P68B1DB1-Normal102"/>
              <w:spacing w:after="0" w:line="240" w:lineRule="auto"/>
              <w:textAlignment w:val="baseline"/>
              <w:rPr>
                <w:noProof/>
              </w:rPr>
            </w:pPr>
            <w:r>
              <w:rPr>
                <w:noProof/>
              </w:rPr>
              <w:t xml:space="preserve">Reducerea duratei medii de soluționare a căilor de atac și a deciziilor </w:t>
            </w:r>
          </w:p>
        </w:tc>
      </w:tr>
      <w:tr w:rsidR="00FA7C11" w14:paraId="0D8954B5" w14:textId="77777777">
        <w:trPr>
          <w:trHeight w:val="51"/>
        </w:trPr>
        <w:tc>
          <w:tcPr>
            <w:tcW w:w="1096" w:type="dxa"/>
            <w:shd w:val="clear" w:color="auto" w:fill="C6EFCE"/>
            <w:vAlign w:val="center"/>
          </w:tcPr>
          <w:p w14:paraId="46D1D077" w14:textId="77777777" w:rsidR="00FA7C11" w:rsidRDefault="00D84965">
            <w:pPr>
              <w:pStyle w:val="P68B1DB1-Normal102"/>
              <w:spacing w:after="0" w:line="240" w:lineRule="auto"/>
              <w:jc w:val="center"/>
              <w:textAlignment w:val="baseline"/>
              <w:rPr>
                <w:noProof/>
              </w:rPr>
            </w:pPr>
            <w:r>
              <w:rPr>
                <w:noProof/>
              </w:rPr>
              <w:t>277</w:t>
            </w:r>
          </w:p>
        </w:tc>
        <w:tc>
          <w:tcPr>
            <w:tcW w:w="1639" w:type="dxa"/>
            <w:shd w:val="clear" w:color="auto" w:fill="C6EFCE"/>
            <w:vAlign w:val="center"/>
          </w:tcPr>
          <w:p w14:paraId="7A373853" w14:textId="77777777" w:rsidR="00FA7C11" w:rsidRDefault="00D84965">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3378B2DA"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87221D9" w14:textId="77777777" w:rsidR="00FA7C11" w:rsidRDefault="00D84965">
            <w:pPr>
              <w:pStyle w:val="P68B1DB1-Normal102"/>
              <w:spacing w:after="0" w:line="240" w:lineRule="auto"/>
              <w:textAlignment w:val="baseline"/>
              <w:rPr>
                <w:noProof/>
              </w:rPr>
            </w:pPr>
            <w:r>
              <w:rPr>
                <w:noProof/>
              </w:rPr>
              <w:t>Ponderea universităților sau a institutelor de cercetare care au semnat acorduri de program</w:t>
            </w:r>
          </w:p>
        </w:tc>
      </w:tr>
      <w:tr w:rsidR="00FA7C11" w14:paraId="7299D4F0" w14:textId="77777777">
        <w:trPr>
          <w:trHeight w:val="51"/>
        </w:trPr>
        <w:tc>
          <w:tcPr>
            <w:tcW w:w="1096" w:type="dxa"/>
            <w:shd w:val="clear" w:color="auto" w:fill="C6EFCE"/>
          </w:tcPr>
          <w:p w14:paraId="6883532E" w14:textId="77777777" w:rsidR="00FA7C11" w:rsidRDefault="00D84965">
            <w:pPr>
              <w:pStyle w:val="P68B1DB1-Normal66"/>
              <w:spacing w:after="0" w:line="240" w:lineRule="auto"/>
              <w:jc w:val="center"/>
              <w:textAlignment w:val="baseline"/>
              <w:rPr>
                <w:noProof/>
              </w:rPr>
            </w:pPr>
            <w:r>
              <w:rPr>
                <w:noProof/>
              </w:rPr>
              <w:t>288</w:t>
            </w:r>
          </w:p>
        </w:tc>
        <w:tc>
          <w:tcPr>
            <w:tcW w:w="1639" w:type="dxa"/>
            <w:shd w:val="clear" w:color="auto" w:fill="C6EFCE"/>
          </w:tcPr>
          <w:p w14:paraId="111B0B18" w14:textId="77777777" w:rsidR="00FA7C11" w:rsidRDefault="00D84965">
            <w:pPr>
              <w:pStyle w:val="P68B1DB1-Normal66"/>
              <w:spacing w:after="0" w:line="240" w:lineRule="auto"/>
              <w:jc w:val="center"/>
              <w:textAlignment w:val="baseline"/>
              <w:rPr>
                <w:noProof/>
              </w:rPr>
            </w:pPr>
            <w:r>
              <w:rPr>
                <w:noProof/>
              </w:rPr>
              <w:t>C4.1. R2</w:t>
            </w:r>
          </w:p>
        </w:tc>
        <w:tc>
          <w:tcPr>
            <w:tcW w:w="1274" w:type="dxa"/>
            <w:shd w:val="clear" w:color="auto" w:fill="C6EFCE"/>
          </w:tcPr>
          <w:p w14:paraId="5585431A" w14:textId="77777777" w:rsidR="00FA7C11" w:rsidRDefault="00D84965">
            <w:pPr>
              <w:pStyle w:val="P68B1DB1-Normal66"/>
              <w:spacing w:after="0" w:line="240" w:lineRule="auto"/>
              <w:jc w:val="center"/>
              <w:textAlignment w:val="baseline"/>
              <w:rPr>
                <w:noProof/>
              </w:rPr>
            </w:pPr>
            <w:r>
              <w:rPr>
                <w:noProof/>
              </w:rPr>
              <w:t>M</w:t>
            </w:r>
          </w:p>
        </w:tc>
        <w:tc>
          <w:tcPr>
            <w:tcW w:w="5347" w:type="dxa"/>
            <w:shd w:val="clear" w:color="auto" w:fill="C6EFCE"/>
          </w:tcPr>
          <w:p w14:paraId="746C1CCD" w14:textId="77777777" w:rsidR="00FA7C11" w:rsidRDefault="00D84965">
            <w:pPr>
              <w:pStyle w:val="P68B1DB1-Normal66"/>
              <w:spacing w:after="0" w:line="240" w:lineRule="auto"/>
              <w:textAlignment w:val="baseline"/>
              <w:rPr>
                <w:noProof/>
              </w:rPr>
            </w:pPr>
            <w:r>
              <w:rPr>
                <w:noProof/>
              </w:rPr>
              <w:t>Intrarea în vigoare a modificărilor aduse Legii privind piața forței de muncă</w:t>
            </w:r>
          </w:p>
        </w:tc>
      </w:tr>
      <w:tr w:rsidR="00FA7C11" w14:paraId="7A63FA61" w14:textId="77777777">
        <w:trPr>
          <w:trHeight w:val="51"/>
        </w:trPr>
        <w:tc>
          <w:tcPr>
            <w:tcW w:w="1096" w:type="dxa"/>
            <w:shd w:val="clear" w:color="auto" w:fill="C6EFCE"/>
            <w:vAlign w:val="center"/>
          </w:tcPr>
          <w:p w14:paraId="128AEDC2" w14:textId="77777777" w:rsidR="00FA7C11" w:rsidRDefault="00D84965">
            <w:pPr>
              <w:pStyle w:val="P68B1DB1-Normal102"/>
              <w:spacing w:after="0" w:line="240" w:lineRule="auto"/>
              <w:jc w:val="center"/>
              <w:textAlignment w:val="baseline"/>
              <w:rPr>
                <w:noProof/>
              </w:rPr>
            </w:pPr>
            <w:r>
              <w:rPr>
                <w:noProof/>
              </w:rPr>
              <w:t>289</w:t>
            </w:r>
          </w:p>
        </w:tc>
        <w:tc>
          <w:tcPr>
            <w:tcW w:w="1639" w:type="dxa"/>
            <w:shd w:val="clear" w:color="auto" w:fill="C6EFCE"/>
            <w:vAlign w:val="center"/>
          </w:tcPr>
          <w:p w14:paraId="76CFD49C" w14:textId="77777777" w:rsidR="00FA7C11" w:rsidRDefault="00D84965">
            <w:pPr>
              <w:pStyle w:val="P68B1DB1-Normal102"/>
              <w:spacing w:after="0" w:line="240" w:lineRule="auto"/>
              <w:jc w:val="center"/>
              <w:textAlignment w:val="baseline"/>
              <w:rPr>
                <w:noProof/>
              </w:rPr>
            </w:pPr>
            <w:r>
              <w:rPr>
                <w:noProof/>
              </w:rPr>
              <w:t>C4.1. R2</w:t>
            </w:r>
          </w:p>
        </w:tc>
        <w:tc>
          <w:tcPr>
            <w:tcW w:w="1274" w:type="dxa"/>
            <w:shd w:val="clear" w:color="auto" w:fill="C6EFCE"/>
            <w:vAlign w:val="center"/>
          </w:tcPr>
          <w:p w14:paraId="1E1C5A29"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0BBA98A" w14:textId="77777777" w:rsidR="00FA7C11" w:rsidRDefault="00D84965">
            <w:pPr>
              <w:pStyle w:val="P68B1DB1-Normal102"/>
              <w:spacing w:after="0" w:line="240" w:lineRule="auto"/>
              <w:textAlignment w:val="baseline"/>
              <w:rPr>
                <w:noProof/>
              </w:rPr>
            </w:pPr>
            <w:r>
              <w:rPr>
                <w:noProof/>
              </w:rPr>
              <w:t xml:space="preserve">Îmbunătățirea calității sprijinului pentru grupurile vulnerabile </w:t>
            </w:r>
          </w:p>
        </w:tc>
      </w:tr>
      <w:tr w:rsidR="00FA7C11" w14:paraId="7AF04BFA" w14:textId="77777777">
        <w:trPr>
          <w:trHeight w:val="51"/>
        </w:trPr>
        <w:tc>
          <w:tcPr>
            <w:tcW w:w="1096" w:type="dxa"/>
            <w:shd w:val="clear" w:color="auto" w:fill="C6EFCE"/>
            <w:vAlign w:val="center"/>
          </w:tcPr>
          <w:p w14:paraId="688966FA" w14:textId="77777777" w:rsidR="00FA7C11" w:rsidRDefault="00D84965">
            <w:pPr>
              <w:pStyle w:val="P68B1DB1-Normal102"/>
              <w:spacing w:after="0" w:line="240" w:lineRule="auto"/>
              <w:jc w:val="center"/>
              <w:textAlignment w:val="baseline"/>
              <w:rPr>
                <w:noProof/>
              </w:rPr>
            </w:pPr>
            <w:r>
              <w:rPr>
                <w:noProof/>
              </w:rPr>
              <w:t>295</w:t>
            </w:r>
          </w:p>
        </w:tc>
        <w:tc>
          <w:tcPr>
            <w:tcW w:w="1639" w:type="dxa"/>
            <w:shd w:val="clear" w:color="auto" w:fill="C6EFCE"/>
            <w:vAlign w:val="center"/>
          </w:tcPr>
          <w:p w14:paraId="7A407BE1" w14:textId="77777777" w:rsidR="00FA7C11" w:rsidRDefault="00D84965">
            <w:pPr>
              <w:pStyle w:val="P68B1DB1-Normal102"/>
              <w:spacing w:after="0" w:line="240" w:lineRule="auto"/>
              <w:jc w:val="center"/>
              <w:textAlignment w:val="baseline"/>
              <w:rPr>
                <w:noProof/>
              </w:rPr>
            </w:pPr>
            <w:r>
              <w:rPr>
                <w:noProof/>
              </w:rPr>
              <w:t>C4.1. R4</w:t>
            </w:r>
          </w:p>
        </w:tc>
        <w:tc>
          <w:tcPr>
            <w:tcW w:w="1274" w:type="dxa"/>
            <w:shd w:val="clear" w:color="auto" w:fill="C6EFCE"/>
            <w:vAlign w:val="center"/>
          </w:tcPr>
          <w:p w14:paraId="16DD58A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49DF5ED" w14:textId="77777777" w:rsidR="00FA7C11" w:rsidRDefault="00D84965">
            <w:pPr>
              <w:pStyle w:val="P68B1DB1-Normal102"/>
              <w:spacing w:after="0" w:line="240" w:lineRule="auto"/>
              <w:textAlignment w:val="baseline"/>
              <w:rPr>
                <w:noProof/>
              </w:rPr>
            </w:pPr>
            <w:r>
              <w:rPr>
                <w:noProof/>
              </w:rPr>
              <w:t xml:space="preserve">Creșterea raportului dintre salariul minim și salariul mediu brut în 2024 la 50 %. </w:t>
            </w:r>
          </w:p>
        </w:tc>
      </w:tr>
      <w:tr w:rsidR="00FA7C11" w14:paraId="0F3EB3F6" w14:textId="77777777">
        <w:trPr>
          <w:trHeight w:val="51"/>
        </w:trPr>
        <w:tc>
          <w:tcPr>
            <w:tcW w:w="1096" w:type="dxa"/>
            <w:shd w:val="clear" w:color="auto" w:fill="C6EFCE"/>
            <w:vAlign w:val="center"/>
          </w:tcPr>
          <w:p w14:paraId="6F9FAF94" w14:textId="77777777" w:rsidR="00FA7C11" w:rsidRDefault="00D84965">
            <w:pPr>
              <w:pStyle w:val="P68B1DB1-Normal102"/>
              <w:spacing w:after="0" w:line="240" w:lineRule="auto"/>
              <w:jc w:val="center"/>
              <w:textAlignment w:val="baseline"/>
              <w:rPr>
                <w:noProof/>
              </w:rPr>
            </w:pPr>
            <w:r>
              <w:rPr>
                <w:noProof/>
              </w:rPr>
              <w:t>296</w:t>
            </w:r>
          </w:p>
        </w:tc>
        <w:tc>
          <w:tcPr>
            <w:tcW w:w="1639" w:type="dxa"/>
            <w:shd w:val="clear" w:color="auto" w:fill="C6EFCE"/>
            <w:vAlign w:val="center"/>
          </w:tcPr>
          <w:p w14:paraId="5C1FA10C" w14:textId="77777777" w:rsidR="00FA7C11" w:rsidRDefault="00D84965">
            <w:pPr>
              <w:pStyle w:val="P68B1DB1-Normal102"/>
              <w:spacing w:after="0" w:line="240" w:lineRule="auto"/>
              <w:jc w:val="center"/>
              <w:textAlignment w:val="baseline"/>
              <w:rPr>
                <w:noProof/>
              </w:rPr>
            </w:pPr>
            <w:r>
              <w:rPr>
                <w:noProof/>
              </w:rPr>
              <w:t>C4.1. R4</w:t>
            </w:r>
          </w:p>
        </w:tc>
        <w:tc>
          <w:tcPr>
            <w:tcW w:w="1274" w:type="dxa"/>
            <w:shd w:val="clear" w:color="auto" w:fill="C6EFCE"/>
            <w:vAlign w:val="center"/>
          </w:tcPr>
          <w:p w14:paraId="447232E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C18D20A" w14:textId="77777777" w:rsidR="00FA7C11" w:rsidRDefault="00D84965">
            <w:pPr>
              <w:pStyle w:val="P68B1DB1-Normal102"/>
              <w:spacing w:after="0" w:line="240" w:lineRule="auto"/>
              <w:textAlignment w:val="baseline"/>
              <w:rPr>
                <w:noProof/>
              </w:rPr>
            </w:pPr>
            <w:r>
              <w:rPr>
                <w:noProof/>
              </w:rPr>
              <w:t>Reducerea ponderii contractelor temporare la 17 %</w:t>
            </w:r>
          </w:p>
        </w:tc>
      </w:tr>
      <w:tr w:rsidR="00FA7C11" w14:paraId="6AB35297" w14:textId="77777777">
        <w:trPr>
          <w:trHeight w:val="51"/>
        </w:trPr>
        <w:tc>
          <w:tcPr>
            <w:tcW w:w="1096" w:type="dxa"/>
            <w:shd w:val="clear" w:color="auto" w:fill="C6EFCE"/>
            <w:vAlign w:val="center"/>
          </w:tcPr>
          <w:p w14:paraId="738A8E40" w14:textId="77777777" w:rsidR="00FA7C11" w:rsidRDefault="00D84965">
            <w:pPr>
              <w:pStyle w:val="P68B1DB1-Normal102"/>
              <w:spacing w:after="0" w:line="240" w:lineRule="auto"/>
              <w:jc w:val="center"/>
              <w:textAlignment w:val="baseline"/>
              <w:rPr>
                <w:noProof/>
              </w:rPr>
            </w:pPr>
            <w:r>
              <w:rPr>
                <w:noProof/>
              </w:rPr>
              <w:t>299</w:t>
            </w:r>
          </w:p>
        </w:tc>
        <w:tc>
          <w:tcPr>
            <w:tcW w:w="1639" w:type="dxa"/>
            <w:shd w:val="clear" w:color="auto" w:fill="C6EFCE"/>
            <w:vAlign w:val="center"/>
          </w:tcPr>
          <w:p w14:paraId="25801BB2" w14:textId="77777777" w:rsidR="00FA7C11" w:rsidRDefault="00D84965">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3EB34B9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F68989A" w14:textId="77777777" w:rsidR="00FA7C11" w:rsidRDefault="00D84965">
            <w:pPr>
              <w:pStyle w:val="P68B1DB1-Normal102"/>
              <w:spacing w:after="0" w:line="240" w:lineRule="auto"/>
              <w:textAlignment w:val="baseline"/>
              <w:rPr>
                <w:noProof/>
              </w:rPr>
            </w:pPr>
            <w:r>
              <w:rPr>
                <w:noProof/>
              </w:rPr>
              <w:t xml:space="preserve">O creștere cu cel puțin 10 % a venitului total din pensii pentru beneficiarii formei redefinite de pensie de urmaș </w:t>
            </w:r>
          </w:p>
        </w:tc>
      </w:tr>
      <w:tr w:rsidR="00FA7C11" w14:paraId="1214AD83" w14:textId="77777777">
        <w:trPr>
          <w:trHeight w:val="51"/>
        </w:trPr>
        <w:tc>
          <w:tcPr>
            <w:tcW w:w="1096" w:type="dxa"/>
            <w:shd w:val="clear" w:color="auto" w:fill="C6EFCE"/>
            <w:vAlign w:val="center"/>
          </w:tcPr>
          <w:p w14:paraId="7C74546D" w14:textId="77777777" w:rsidR="00FA7C11" w:rsidRDefault="00D84965">
            <w:pPr>
              <w:pStyle w:val="P68B1DB1-Normal102"/>
              <w:spacing w:after="0" w:line="240" w:lineRule="auto"/>
              <w:jc w:val="center"/>
              <w:textAlignment w:val="baseline"/>
              <w:rPr>
                <w:noProof/>
              </w:rPr>
            </w:pPr>
            <w:r>
              <w:rPr>
                <w:noProof/>
              </w:rPr>
              <w:t>301</w:t>
            </w:r>
          </w:p>
        </w:tc>
        <w:tc>
          <w:tcPr>
            <w:tcW w:w="1639" w:type="dxa"/>
            <w:shd w:val="clear" w:color="auto" w:fill="C6EFCE"/>
            <w:vAlign w:val="center"/>
          </w:tcPr>
          <w:p w14:paraId="15D7D72E" w14:textId="77777777" w:rsidR="00FA7C11" w:rsidRDefault="00D84965">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1466C3A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56D6DA8" w14:textId="77777777" w:rsidR="00FA7C11" w:rsidRDefault="00D84965">
            <w:pPr>
              <w:pStyle w:val="P68B1DB1-Normal102"/>
              <w:spacing w:after="0" w:line="240" w:lineRule="auto"/>
              <w:textAlignment w:val="baseline"/>
              <w:rPr>
                <w:noProof/>
              </w:rPr>
            </w:pPr>
            <w:r>
              <w:rPr>
                <w:noProof/>
              </w:rPr>
              <w:t>Creșterea pensiei minime cu 3 %</w:t>
            </w:r>
          </w:p>
        </w:tc>
      </w:tr>
      <w:tr w:rsidR="00FA7C11" w14:paraId="01214B6E" w14:textId="77777777">
        <w:trPr>
          <w:trHeight w:val="51"/>
        </w:trPr>
        <w:tc>
          <w:tcPr>
            <w:tcW w:w="1096" w:type="dxa"/>
            <w:shd w:val="clear" w:color="auto" w:fill="C6EFCE"/>
            <w:vAlign w:val="center"/>
          </w:tcPr>
          <w:p w14:paraId="3E512826" w14:textId="77777777" w:rsidR="00FA7C11" w:rsidRDefault="00D84965">
            <w:pPr>
              <w:pStyle w:val="P68B1DB1-Normal102"/>
              <w:spacing w:after="0" w:line="240" w:lineRule="auto"/>
              <w:jc w:val="center"/>
              <w:textAlignment w:val="baseline"/>
              <w:rPr>
                <w:noProof/>
              </w:rPr>
            </w:pPr>
            <w:r>
              <w:rPr>
                <w:noProof/>
              </w:rPr>
              <w:t>305</w:t>
            </w:r>
          </w:p>
        </w:tc>
        <w:tc>
          <w:tcPr>
            <w:tcW w:w="1639" w:type="dxa"/>
            <w:shd w:val="clear" w:color="auto" w:fill="C6EFCE"/>
            <w:vAlign w:val="center"/>
          </w:tcPr>
          <w:p w14:paraId="4A7DFE10" w14:textId="77777777" w:rsidR="00FA7C11" w:rsidRDefault="00D84965">
            <w:pPr>
              <w:pStyle w:val="P68B1DB1-Normal102"/>
              <w:spacing w:after="0" w:line="240" w:lineRule="auto"/>
              <w:jc w:val="center"/>
              <w:textAlignment w:val="baseline"/>
              <w:rPr>
                <w:noProof/>
              </w:rPr>
            </w:pPr>
            <w:r>
              <w:rPr>
                <w:noProof/>
              </w:rPr>
              <w:t>C4.3. R1</w:t>
            </w:r>
          </w:p>
        </w:tc>
        <w:tc>
          <w:tcPr>
            <w:tcW w:w="1274" w:type="dxa"/>
            <w:shd w:val="clear" w:color="auto" w:fill="C6EFCE"/>
            <w:vAlign w:val="center"/>
          </w:tcPr>
          <w:p w14:paraId="5E8897DC"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936A9EA" w14:textId="77777777" w:rsidR="00FA7C11" w:rsidRDefault="00D84965">
            <w:pPr>
              <w:pStyle w:val="P68B1DB1-Normal102"/>
              <w:spacing w:after="0" w:line="240" w:lineRule="auto"/>
              <w:textAlignment w:val="baseline"/>
              <w:rPr>
                <w:noProof/>
              </w:rPr>
            </w:pPr>
            <w:r>
              <w:rPr>
                <w:noProof/>
              </w:rPr>
              <w:t xml:space="preserve">Adoptarea unei norme normative privind prestațiile sociale integrate funcțional </w:t>
            </w:r>
          </w:p>
        </w:tc>
      </w:tr>
      <w:tr w:rsidR="00FA7C11" w14:paraId="651E8494" w14:textId="77777777">
        <w:trPr>
          <w:trHeight w:val="51"/>
        </w:trPr>
        <w:tc>
          <w:tcPr>
            <w:tcW w:w="1096" w:type="dxa"/>
            <w:shd w:val="clear" w:color="auto" w:fill="C6EFCE"/>
            <w:vAlign w:val="center"/>
          </w:tcPr>
          <w:p w14:paraId="75577122" w14:textId="77777777" w:rsidR="00FA7C11" w:rsidRDefault="00D84965">
            <w:pPr>
              <w:pStyle w:val="P68B1DB1-Normal102"/>
              <w:spacing w:after="0" w:line="240" w:lineRule="auto"/>
              <w:jc w:val="center"/>
              <w:textAlignment w:val="baseline"/>
              <w:rPr>
                <w:noProof/>
              </w:rPr>
            </w:pPr>
            <w:r>
              <w:rPr>
                <w:noProof/>
              </w:rPr>
              <w:t>308</w:t>
            </w:r>
          </w:p>
        </w:tc>
        <w:tc>
          <w:tcPr>
            <w:tcW w:w="1639" w:type="dxa"/>
            <w:shd w:val="clear" w:color="auto" w:fill="C6EFCE"/>
            <w:vAlign w:val="center"/>
          </w:tcPr>
          <w:p w14:paraId="369C0BB5" w14:textId="77777777" w:rsidR="00FA7C11" w:rsidRDefault="00D84965">
            <w:pPr>
              <w:pStyle w:val="P68B1DB1-Normal102"/>
              <w:spacing w:after="0" w:line="240" w:lineRule="auto"/>
              <w:jc w:val="center"/>
              <w:textAlignment w:val="baseline"/>
              <w:rPr>
                <w:noProof/>
              </w:rPr>
            </w:pPr>
            <w:r>
              <w:rPr>
                <w:noProof/>
              </w:rPr>
              <w:t>C4.3. R1-I2</w:t>
            </w:r>
          </w:p>
        </w:tc>
        <w:tc>
          <w:tcPr>
            <w:tcW w:w="1274" w:type="dxa"/>
            <w:shd w:val="clear" w:color="auto" w:fill="C6EFCE"/>
            <w:vAlign w:val="center"/>
          </w:tcPr>
          <w:p w14:paraId="1B79E26B"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DEFD72C" w14:textId="77777777" w:rsidR="00FA7C11" w:rsidRDefault="00D84965">
            <w:pPr>
              <w:pStyle w:val="P68B1DB1-Normal102"/>
              <w:spacing w:after="0" w:line="240" w:lineRule="auto"/>
              <w:textAlignment w:val="baseline"/>
              <w:rPr>
                <w:noProof/>
              </w:rPr>
            </w:pPr>
            <w:r>
              <w:rPr>
                <w:noProof/>
              </w:rPr>
              <w:t>Disponibilitatea digitală a informațiilor privind prestațiile de protecție socială la nivel național</w:t>
            </w:r>
          </w:p>
        </w:tc>
      </w:tr>
      <w:tr w:rsidR="00FA7C11" w14:paraId="188888A4" w14:textId="77777777">
        <w:trPr>
          <w:trHeight w:val="51"/>
        </w:trPr>
        <w:tc>
          <w:tcPr>
            <w:tcW w:w="1096" w:type="dxa"/>
            <w:shd w:val="clear" w:color="auto" w:fill="C6EFCE"/>
            <w:vAlign w:val="center"/>
          </w:tcPr>
          <w:p w14:paraId="5ED11A8C" w14:textId="77777777" w:rsidR="00FA7C11" w:rsidRDefault="00D84965">
            <w:pPr>
              <w:pStyle w:val="P68B1DB1-Normal102"/>
              <w:spacing w:after="0" w:line="240" w:lineRule="auto"/>
              <w:jc w:val="center"/>
              <w:textAlignment w:val="baseline"/>
              <w:rPr>
                <w:noProof/>
              </w:rPr>
            </w:pPr>
            <w:r>
              <w:rPr>
                <w:noProof/>
              </w:rPr>
              <w:t>314</w:t>
            </w:r>
          </w:p>
        </w:tc>
        <w:tc>
          <w:tcPr>
            <w:tcW w:w="1639" w:type="dxa"/>
            <w:shd w:val="clear" w:color="auto" w:fill="C6EFCE"/>
            <w:vAlign w:val="center"/>
          </w:tcPr>
          <w:p w14:paraId="16F46592" w14:textId="77777777" w:rsidR="00FA7C11" w:rsidRDefault="00D84965">
            <w:pPr>
              <w:pStyle w:val="P68B1DB1-Normal102"/>
              <w:spacing w:after="0" w:line="240" w:lineRule="auto"/>
              <w:jc w:val="center"/>
              <w:textAlignment w:val="baseline"/>
              <w:rPr>
                <w:noProof/>
              </w:rPr>
            </w:pPr>
            <w:r>
              <w:rPr>
                <w:noProof/>
              </w:rPr>
              <w:t>C4.3. R3-I1</w:t>
            </w:r>
          </w:p>
        </w:tc>
        <w:tc>
          <w:tcPr>
            <w:tcW w:w="1274" w:type="dxa"/>
            <w:shd w:val="clear" w:color="auto" w:fill="C6EFCE"/>
            <w:vAlign w:val="center"/>
          </w:tcPr>
          <w:p w14:paraId="38E95D6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BB1A15E" w14:textId="77777777" w:rsidR="00FA7C11" w:rsidRDefault="00D84965">
            <w:pPr>
              <w:pStyle w:val="P68B1DB1-Normal102"/>
              <w:spacing w:after="0" w:line="240" w:lineRule="auto"/>
              <w:textAlignment w:val="baseline"/>
              <w:rPr>
                <w:noProof/>
              </w:rPr>
            </w:pPr>
            <w:r>
              <w:rPr>
                <w:noProof/>
              </w:rPr>
              <w:t>Consolidarea capacității umane de a furniza servicii comunitare</w:t>
            </w:r>
          </w:p>
        </w:tc>
      </w:tr>
      <w:tr w:rsidR="00FA7C11" w14:paraId="700F17B4" w14:textId="77777777">
        <w:trPr>
          <w:trHeight w:val="51"/>
        </w:trPr>
        <w:tc>
          <w:tcPr>
            <w:tcW w:w="1096" w:type="dxa"/>
            <w:shd w:val="clear" w:color="auto" w:fill="C6EFCE"/>
            <w:vAlign w:val="center"/>
          </w:tcPr>
          <w:p w14:paraId="48EEA7DC" w14:textId="77777777" w:rsidR="00FA7C11" w:rsidRDefault="00D84965">
            <w:pPr>
              <w:pStyle w:val="P68B1DB1-Normal102"/>
              <w:spacing w:after="0" w:line="240" w:lineRule="auto"/>
              <w:jc w:val="center"/>
              <w:textAlignment w:val="baseline"/>
              <w:rPr>
                <w:noProof/>
              </w:rPr>
            </w:pPr>
            <w:r>
              <w:rPr>
                <w:noProof/>
              </w:rPr>
              <w:t>378</w:t>
            </w:r>
          </w:p>
        </w:tc>
        <w:tc>
          <w:tcPr>
            <w:tcW w:w="1639" w:type="dxa"/>
            <w:shd w:val="clear" w:color="auto" w:fill="C6EFCE"/>
            <w:vAlign w:val="center"/>
          </w:tcPr>
          <w:p w14:paraId="06AA8A2D" w14:textId="77777777" w:rsidR="00FA7C11" w:rsidRDefault="00D84965">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57839F5C"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F858368" w14:textId="77777777" w:rsidR="00FA7C11" w:rsidRDefault="00D84965">
            <w:pPr>
              <w:pStyle w:val="P68B1DB1-Normal102"/>
              <w:spacing w:after="0" w:line="240" w:lineRule="auto"/>
              <w:textAlignment w:val="baseline"/>
              <w:rPr>
                <w:noProof/>
              </w:rPr>
            </w:pPr>
            <w:r>
              <w:rPr>
                <w:noProof/>
              </w:rPr>
              <w:t>Intrarea în vigoare a Regulamentului privind taxa de depozitare a deșeurilor</w:t>
            </w:r>
          </w:p>
        </w:tc>
      </w:tr>
      <w:tr w:rsidR="00FA7C11" w14:paraId="08349873" w14:textId="77777777">
        <w:trPr>
          <w:trHeight w:val="51"/>
        </w:trPr>
        <w:tc>
          <w:tcPr>
            <w:tcW w:w="1096" w:type="dxa"/>
            <w:shd w:val="clear" w:color="auto" w:fill="C6EFCE"/>
          </w:tcPr>
          <w:p w14:paraId="0E0D3607" w14:textId="77777777" w:rsidR="00FA7C11" w:rsidRDefault="00D84965">
            <w:pPr>
              <w:pStyle w:val="P68B1DB1-Normal89"/>
              <w:spacing w:after="0" w:line="240" w:lineRule="auto"/>
              <w:jc w:val="center"/>
              <w:textAlignment w:val="baseline"/>
              <w:rPr>
                <w:noProof/>
                <w:color w:val="000000"/>
              </w:rPr>
            </w:pPr>
            <w:r>
              <w:rPr>
                <w:noProof/>
              </w:rPr>
              <w:t>408</w:t>
            </w:r>
          </w:p>
        </w:tc>
        <w:tc>
          <w:tcPr>
            <w:tcW w:w="1639" w:type="dxa"/>
            <w:shd w:val="clear" w:color="auto" w:fill="C6EFCE"/>
          </w:tcPr>
          <w:p w14:paraId="2BDE51BB" w14:textId="77777777" w:rsidR="00FA7C11" w:rsidRDefault="00D84965">
            <w:pPr>
              <w:pStyle w:val="P68B1DB1-Normal89"/>
              <w:spacing w:after="0" w:line="240" w:lineRule="auto"/>
              <w:jc w:val="center"/>
              <w:textAlignment w:val="baseline"/>
              <w:rPr>
                <w:noProof/>
                <w:color w:val="000000"/>
              </w:rPr>
            </w:pPr>
            <w:r>
              <w:rPr>
                <w:noProof/>
              </w:rPr>
              <w:t>C7.1 R1-I2</w:t>
            </w:r>
          </w:p>
        </w:tc>
        <w:tc>
          <w:tcPr>
            <w:tcW w:w="1274" w:type="dxa"/>
            <w:shd w:val="clear" w:color="auto" w:fill="C6EFCE"/>
          </w:tcPr>
          <w:p w14:paraId="0AF24CB4" w14:textId="77777777" w:rsidR="00FA7C11" w:rsidRDefault="00D84965">
            <w:pPr>
              <w:pStyle w:val="P68B1DB1-Normal89"/>
              <w:spacing w:after="0" w:line="240" w:lineRule="auto"/>
              <w:jc w:val="center"/>
              <w:textAlignment w:val="baseline"/>
              <w:rPr>
                <w:noProof/>
                <w:color w:val="000000"/>
              </w:rPr>
            </w:pPr>
            <w:r>
              <w:rPr>
                <w:noProof/>
              </w:rPr>
              <w:t>M</w:t>
            </w:r>
          </w:p>
        </w:tc>
        <w:tc>
          <w:tcPr>
            <w:tcW w:w="5347" w:type="dxa"/>
            <w:shd w:val="clear" w:color="auto" w:fill="C6EFCE"/>
          </w:tcPr>
          <w:p w14:paraId="0C7539BC" w14:textId="77777777" w:rsidR="00FA7C11" w:rsidRDefault="00D84965">
            <w:pPr>
              <w:pStyle w:val="P68B1DB1-Normal89"/>
              <w:spacing w:after="0" w:line="240" w:lineRule="auto"/>
              <w:textAlignment w:val="baseline"/>
              <w:rPr>
                <w:noProof/>
                <w:color w:val="000000"/>
              </w:rPr>
            </w:pPr>
            <w:r>
              <w:rPr>
                <w:noProof/>
              </w:rPr>
              <w:t xml:space="preserve"> Studiul Planului de dezvoltare și punere în aplicare a Strategiei croate privind hidrogenul până în 2050</w:t>
            </w:r>
          </w:p>
        </w:tc>
      </w:tr>
      <w:tr w:rsidR="00FA7C11" w14:paraId="5371E6B9" w14:textId="77777777">
        <w:trPr>
          <w:trHeight w:val="51"/>
        </w:trPr>
        <w:tc>
          <w:tcPr>
            <w:tcW w:w="1096" w:type="dxa"/>
            <w:shd w:val="clear" w:color="auto" w:fill="C6EFCE"/>
          </w:tcPr>
          <w:p w14:paraId="64C91B43"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tcPr>
          <w:p w14:paraId="1227CEFB" w14:textId="77777777" w:rsidR="00FA7C11" w:rsidRDefault="00FA7C11">
            <w:pPr>
              <w:spacing w:after="0" w:line="240" w:lineRule="auto"/>
              <w:jc w:val="both"/>
              <w:textAlignment w:val="baseline"/>
              <w:rPr>
                <w:rFonts w:ascii="Times New Roman" w:hAnsi="Times New Roman" w:cs="Times New Roman"/>
                <w:noProof/>
                <w:color w:val="000000"/>
                <w:sz w:val="20"/>
                <w:szCs w:val="20"/>
              </w:rPr>
            </w:pPr>
          </w:p>
        </w:tc>
        <w:tc>
          <w:tcPr>
            <w:tcW w:w="1274" w:type="dxa"/>
            <w:shd w:val="clear" w:color="auto" w:fill="C6EFCE"/>
          </w:tcPr>
          <w:p w14:paraId="1C3C2D68" w14:textId="77777777" w:rsidR="00FA7C11" w:rsidRDefault="00D84965">
            <w:pPr>
              <w:pStyle w:val="P68B1DB1-Normal102"/>
              <w:spacing w:after="0" w:line="240" w:lineRule="auto"/>
              <w:jc w:val="both"/>
              <w:textAlignment w:val="baseline"/>
              <w:rPr>
                <w:noProof/>
              </w:rPr>
            </w:pPr>
            <w:r>
              <w:rPr>
                <w:noProof/>
              </w:rPr>
              <w:t>Cuantumul tranșei</w:t>
            </w:r>
          </w:p>
        </w:tc>
        <w:tc>
          <w:tcPr>
            <w:tcW w:w="5347" w:type="dxa"/>
            <w:shd w:val="clear" w:color="auto" w:fill="C6EFCE"/>
            <w:vAlign w:val="center"/>
          </w:tcPr>
          <w:p w14:paraId="4BA6A76D" w14:textId="130CA8E8" w:rsidR="00FA7C11" w:rsidRDefault="00D84965">
            <w:pPr>
              <w:pStyle w:val="P68B1DB1-Normal102"/>
              <w:spacing w:after="0" w:line="240" w:lineRule="auto"/>
              <w:textAlignment w:val="baseline"/>
              <w:rPr>
                <w:noProof/>
              </w:rPr>
            </w:pPr>
            <w:r>
              <w:rPr>
                <w:noProof/>
              </w:rPr>
              <w:t>699 096 086 MIL.</w:t>
            </w:r>
          </w:p>
        </w:tc>
      </w:tr>
    </w:tbl>
    <w:p w14:paraId="53AD3726" w14:textId="77777777" w:rsidR="00FA7C11" w:rsidRDefault="00FA7C11">
      <w:pPr>
        <w:spacing w:after="0" w:line="240" w:lineRule="auto"/>
        <w:jc w:val="both"/>
        <w:textAlignment w:val="baseline"/>
        <w:rPr>
          <w:rFonts w:eastAsia="Times New Roman"/>
          <w:noProof/>
          <w:szCs w:val="24"/>
        </w:rPr>
      </w:pPr>
    </w:p>
    <w:p w14:paraId="012EED47" w14:textId="77777777" w:rsidR="00FA7C11" w:rsidRDefault="00FA7C11">
      <w:pPr>
        <w:spacing w:after="0" w:line="240" w:lineRule="auto"/>
        <w:jc w:val="both"/>
        <w:textAlignment w:val="baseline"/>
        <w:rPr>
          <w:rFonts w:eastAsia="Times New Roman"/>
          <w:noProof/>
          <w:szCs w:val="24"/>
        </w:rPr>
      </w:pPr>
    </w:p>
    <w:p w14:paraId="372994E2" w14:textId="77777777" w:rsidR="00FA7C11" w:rsidRDefault="00D84965">
      <w:pPr>
        <w:pStyle w:val="P68B1DB1-Normal83"/>
        <w:numPr>
          <w:ilvl w:val="0"/>
          <w:numId w:val="80"/>
        </w:numPr>
        <w:spacing w:line="240" w:lineRule="auto"/>
        <w:contextualSpacing/>
        <w:jc w:val="both"/>
        <w:textAlignment w:val="baseline"/>
        <w:rPr>
          <w:noProof/>
        </w:rPr>
      </w:pPr>
      <w:r>
        <w:rPr>
          <w:noProof/>
        </w:rPr>
        <w:t xml:space="preserve">A opta tranșă (sprijin nerambursabil): </w:t>
      </w:r>
    </w:p>
    <w:p w14:paraId="5141610A" w14:textId="77777777" w:rsidR="00FA7C11" w:rsidRDefault="00FA7C11">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3"/>
        <w:gridCol w:w="1628"/>
        <w:gridCol w:w="1349"/>
        <w:gridCol w:w="5286"/>
      </w:tblGrid>
      <w:tr w:rsidR="00FA7C11" w14:paraId="1566DBB5" w14:textId="77777777">
        <w:trPr>
          <w:trHeight w:val="517"/>
          <w:tblHeader/>
        </w:trPr>
        <w:tc>
          <w:tcPr>
            <w:tcW w:w="1096" w:type="dxa"/>
            <w:shd w:val="clear" w:color="auto" w:fill="BDD7EE"/>
            <w:vAlign w:val="center"/>
            <w:hideMark/>
          </w:tcPr>
          <w:p w14:paraId="5434ACA6"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39" w:type="dxa"/>
            <w:shd w:val="clear" w:color="auto" w:fill="BDD7EE"/>
            <w:vAlign w:val="center"/>
            <w:hideMark/>
          </w:tcPr>
          <w:p w14:paraId="03D04B5A"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4" w:type="dxa"/>
            <w:shd w:val="clear" w:color="auto" w:fill="BDD7EE"/>
            <w:vAlign w:val="center"/>
            <w:hideMark/>
          </w:tcPr>
          <w:p w14:paraId="68E77683"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47" w:type="dxa"/>
            <w:shd w:val="clear" w:color="auto" w:fill="BDD7EE"/>
            <w:vAlign w:val="center"/>
            <w:hideMark/>
          </w:tcPr>
          <w:p w14:paraId="12BA6FFC"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3E3B127B" w14:textId="77777777">
        <w:trPr>
          <w:trHeight w:val="51"/>
        </w:trPr>
        <w:tc>
          <w:tcPr>
            <w:tcW w:w="1096" w:type="dxa"/>
            <w:shd w:val="clear" w:color="auto" w:fill="C6EFCE"/>
          </w:tcPr>
          <w:p w14:paraId="26077B55" w14:textId="77777777" w:rsidR="00FA7C11" w:rsidRDefault="00D84965">
            <w:pPr>
              <w:pStyle w:val="P68B1DB1-Normal102"/>
              <w:spacing w:after="0" w:line="240" w:lineRule="auto"/>
              <w:jc w:val="center"/>
              <w:textAlignment w:val="baseline"/>
              <w:rPr>
                <w:noProof/>
              </w:rPr>
            </w:pPr>
            <w:r>
              <w:rPr>
                <w:noProof/>
              </w:rPr>
              <w:t>78</w:t>
            </w:r>
          </w:p>
        </w:tc>
        <w:tc>
          <w:tcPr>
            <w:tcW w:w="1639" w:type="dxa"/>
            <w:shd w:val="clear" w:color="auto" w:fill="C6EFCE"/>
          </w:tcPr>
          <w:p w14:paraId="081337C9" w14:textId="77777777" w:rsidR="00FA7C11" w:rsidRDefault="00D84965">
            <w:pPr>
              <w:pStyle w:val="P68B1DB1-Normal102"/>
              <w:spacing w:after="0" w:line="240" w:lineRule="auto"/>
              <w:jc w:val="center"/>
              <w:textAlignment w:val="baseline"/>
              <w:rPr>
                <w:noProof/>
              </w:rPr>
            </w:pPr>
            <w:r>
              <w:rPr>
                <w:noProof/>
              </w:rPr>
              <w:t>C1.3. R1-I3</w:t>
            </w:r>
          </w:p>
        </w:tc>
        <w:tc>
          <w:tcPr>
            <w:tcW w:w="1274" w:type="dxa"/>
            <w:shd w:val="clear" w:color="auto" w:fill="C6EFCE"/>
          </w:tcPr>
          <w:p w14:paraId="644FCD91"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tcPr>
          <w:p w14:paraId="648E32AD" w14:textId="77777777" w:rsidR="00FA7C11" w:rsidRDefault="00D84965">
            <w:pPr>
              <w:pStyle w:val="P68B1DB1-Normal102"/>
              <w:spacing w:after="0" w:line="240" w:lineRule="auto"/>
              <w:textAlignment w:val="baseline"/>
              <w:rPr>
                <w:noProof/>
              </w:rPr>
            </w:pPr>
            <w:r>
              <w:rPr>
                <w:noProof/>
              </w:rPr>
              <w:t xml:space="preserve">Cursuri de apă revitalizate </w:t>
            </w:r>
          </w:p>
        </w:tc>
      </w:tr>
      <w:tr w:rsidR="00FA7C11" w14:paraId="1678C69F" w14:textId="77777777">
        <w:trPr>
          <w:trHeight w:val="51"/>
        </w:trPr>
        <w:tc>
          <w:tcPr>
            <w:tcW w:w="1096" w:type="dxa"/>
            <w:shd w:val="clear" w:color="auto" w:fill="C6EFCE"/>
            <w:vAlign w:val="center"/>
          </w:tcPr>
          <w:p w14:paraId="7B40C748" w14:textId="77777777" w:rsidR="00FA7C11" w:rsidRDefault="00D84965">
            <w:pPr>
              <w:pStyle w:val="P68B1DB1-Normal102"/>
              <w:spacing w:after="0" w:line="240" w:lineRule="auto"/>
              <w:jc w:val="center"/>
              <w:textAlignment w:val="baseline"/>
              <w:rPr>
                <w:noProof/>
              </w:rPr>
            </w:pPr>
            <w:r>
              <w:rPr>
                <w:noProof/>
              </w:rPr>
              <w:t>119</w:t>
            </w:r>
          </w:p>
        </w:tc>
        <w:tc>
          <w:tcPr>
            <w:tcW w:w="1639" w:type="dxa"/>
            <w:shd w:val="clear" w:color="auto" w:fill="C6EFCE"/>
            <w:vAlign w:val="center"/>
          </w:tcPr>
          <w:p w14:paraId="7F2A03BF" w14:textId="77777777" w:rsidR="00FA7C11" w:rsidRDefault="00D84965">
            <w:pPr>
              <w:pStyle w:val="P68B1DB1-Normal102"/>
              <w:spacing w:after="0" w:line="240" w:lineRule="auto"/>
              <w:jc w:val="center"/>
              <w:textAlignment w:val="baseline"/>
              <w:rPr>
                <w:noProof/>
              </w:rPr>
            </w:pPr>
            <w:r>
              <w:rPr>
                <w:noProof/>
              </w:rPr>
              <w:t>C1.4. R5-I2</w:t>
            </w:r>
          </w:p>
        </w:tc>
        <w:tc>
          <w:tcPr>
            <w:tcW w:w="1274" w:type="dxa"/>
            <w:shd w:val="clear" w:color="auto" w:fill="C6EFCE"/>
            <w:vAlign w:val="center"/>
          </w:tcPr>
          <w:p w14:paraId="09DEBA7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0A509E1" w14:textId="77777777" w:rsidR="00FA7C11" w:rsidRDefault="00D84965">
            <w:pPr>
              <w:pStyle w:val="P68B1DB1-Normal102"/>
              <w:spacing w:after="0" w:line="240" w:lineRule="auto"/>
              <w:textAlignment w:val="baseline"/>
              <w:rPr>
                <w:noProof/>
              </w:rPr>
            </w:pPr>
            <w:r>
              <w:rPr>
                <w:noProof/>
              </w:rPr>
              <w:t>Prototipuri de verificare a vehiculelor complet autonome și electrice și încercări relevante</w:t>
            </w:r>
          </w:p>
        </w:tc>
      </w:tr>
      <w:tr w:rsidR="00FA7C11" w14:paraId="185480D2" w14:textId="77777777">
        <w:trPr>
          <w:trHeight w:val="51"/>
        </w:trPr>
        <w:tc>
          <w:tcPr>
            <w:tcW w:w="1096" w:type="dxa"/>
            <w:shd w:val="clear" w:color="auto" w:fill="C6EFCE"/>
            <w:vAlign w:val="center"/>
            <w:hideMark/>
          </w:tcPr>
          <w:p w14:paraId="326878FC" w14:textId="77777777" w:rsidR="00FA7C11" w:rsidRDefault="00D84965">
            <w:pPr>
              <w:pStyle w:val="P68B1DB1-Normal102"/>
              <w:spacing w:after="0" w:line="240" w:lineRule="auto"/>
              <w:jc w:val="center"/>
              <w:textAlignment w:val="baseline"/>
              <w:rPr>
                <w:rFonts w:eastAsia="Times New Roman"/>
                <w:noProof/>
              </w:rPr>
            </w:pPr>
            <w:r>
              <w:rPr>
                <w:noProof/>
              </w:rPr>
              <w:t>133</w:t>
            </w:r>
          </w:p>
        </w:tc>
        <w:tc>
          <w:tcPr>
            <w:tcW w:w="1639" w:type="dxa"/>
            <w:shd w:val="clear" w:color="auto" w:fill="C6EFCE"/>
            <w:vAlign w:val="center"/>
            <w:hideMark/>
          </w:tcPr>
          <w:p w14:paraId="6CF6305D" w14:textId="77777777" w:rsidR="00FA7C11" w:rsidRDefault="00D84965">
            <w:pPr>
              <w:pStyle w:val="P68B1DB1-Normal102"/>
              <w:spacing w:after="0" w:line="240" w:lineRule="auto"/>
              <w:jc w:val="center"/>
              <w:textAlignment w:val="baseline"/>
              <w:rPr>
                <w:rFonts w:eastAsia="Times New Roman"/>
                <w:noProof/>
              </w:rPr>
            </w:pPr>
            <w:r>
              <w:rPr>
                <w:noProof/>
              </w:rPr>
              <w:t>C1.5. R2-I2</w:t>
            </w:r>
          </w:p>
        </w:tc>
        <w:tc>
          <w:tcPr>
            <w:tcW w:w="1274" w:type="dxa"/>
            <w:shd w:val="clear" w:color="auto" w:fill="C6EFCE"/>
            <w:vAlign w:val="center"/>
            <w:hideMark/>
          </w:tcPr>
          <w:p w14:paraId="3BAA514D" w14:textId="77777777" w:rsidR="00FA7C11" w:rsidRDefault="00D84965">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0FFDD802" w14:textId="77777777" w:rsidR="00FA7C11" w:rsidRDefault="00D84965">
            <w:pPr>
              <w:pStyle w:val="P68B1DB1-Normal102"/>
              <w:spacing w:after="0" w:line="240" w:lineRule="auto"/>
              <w:textAlignment w:val="baseline"/>
              <w:rPr>
                <w:rFonts w:eastAsia="Times New Roman"/>
                <w:noProof/>
              </w:rPr>
            </w:pPr>
            <w:r>
              <w:rPr>
                <w:noProof/>
              </w:rPr>
              <w:t>Modernizarea sistemului de informații operaționale pentru monitorizarea terenurilor agricole și înființarea a 90 stații permanente pentru monitorizarea stării terenurilor agricole</w:t>
            </w:r>
          </w:p>
        </w:tc>
      </w:tr>
      <w:tr w:rsidR="00FA7C11" w14:paraId="591D7B62" w14:textId="77777777">
        <w:trPr>
          <w:trHeight w:val="51"/>
        </w:trPr>
        <w:tc>
          <w:tcPr>
            <w:tcW w:w="1096" w:type="dxa"/>
            <w:shd w:val="clear" w:color="auto" w:fill="C6EFCE"/>
            <w:vAlign w:val="center"/>
          </w:tcPr>
          <w:p w14:paraId="7CDEC5B0" w14:textId="77777777" w:rsidR="00FA7C11" w:rsidRDefault="00D84965">
            <w:pPr>
              <w:pStyle w:val="P68B1DB1-Normal102"/>
              <w:spacing w:after="0" w:line="240" w:lineRule="auto"/>
              <w:jc w:val="center"/>
              <w:textAlignment w:val="baseline"/>
              <w:rPr>
                <w:noProof/>
              </w:rPr>
            </w:pPr>
            <w:r>
              <w:rPr>
                <w:noProof/>
              </w:rPr>
              <w:t>175</w:t>
            </w:r>
          </w:p>
        </w:tc>
        <w:tc>
          <w:tcPr>
            <w:tcW w:w="1639" w:type="dxa"/>
            <w:shd w:val="clear" w:color="auto" w:fill="C6EFCE"/>
            <w:vAlign w:val="center"/>
          </w:tcPr>
          <w:p w14:paraId="0952E322" w14:textId="77777777" w:rsidR="00FA7C11" w:rsidRDefault="00D84965">
            <w:pPr>
              <w:pStyle w:val="P68B1DB1-Normal102"/>
              <w:spacing w:after="0" w:line="240" w:lineRule="auto"/>
              <w:jc w:val="center"/>
              <w:textAlignment w:val="baseline"/>
              <w:rPr>
                <w:noProof/>
              </w:rPr>
            </w:pPr>
            <w:r>
              <w:rPr>
                <w:noProof/>
              </w:rPr>
              <w:t>C2.2. R4-I1</w:t>
            </w:r>
          </w:p>
        </w:tc>
        <w:tc>
          <w:tcPr>
            <w:tcW w:w="1274" w:type="dxa"/>
            <w:shd w:val="clear" w:color="auto" w:fill="C6EFCE"/>
            <w:vAlign w:val="center"/>
          </w:tcPr>
          <w:p w14:paraId="4BE03BEF"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4681C95" w14:textId="77777777" w:rsidR="00FA7C11" w:rsidRDefault="00D84965">
            <w:pPr>
              <w:pStyle w:val="P68B1DB1-Normal102"/>
              <w:spacing w:after="0" w:line="240" w:lineRule="auto"/>
              <w:textAlignment w:val="baseline"/>
              <w:rPr>
                <w:noProof/>
              </w:rPr>
            </w:pPr>
            <w:r>
              <w:rPr>
                <w:noProof/>
              </w:rPr>
              <w:t>Mecanismul de sprijin pentru conexiunile voluntare funcționale și reale și instituirea unui sistem complet de sprijin pentru cuplarea funcțională și eficace a unităților</w:t>
            </w:r>
          </w:p>
        </w:tc>
      </w:tr>
      <w:tr w:rsidR="00FA7C11" w14:paraId="32F3C764" w14:textId="77777777">
        <w:trPr>
          <w:trHeight w:val="51"/>
        </w:trPr>
        <w:tc>
          <w:tcPr>
            <w:tcW w:w="1096" w:type="dxa"/>
            <w:shd w:val="clear" w:color="auto" w:fill="C6EFCE"/>
            <w:vAlign w:val="center"/>
          </w:tcPr>
          <w:p w14:paraId="5B135729" w14:textId="77777777" w:rsidR="00FA7C11" w:rsidRDefault="00D84965">
            <w:pPr>
              <w:pStyle w:val="P68B1DB1-Normal102"/>
              <w:spacing w:after="0" w:line="240" w:lineRule="auto"/>
              <w:jc w:val="center"/>
              <w:textAlignment w:val="baseline"/>
              <w:rPr>
                <w:noProof/>
              </w:rPr>
            </w:pPr>
            <w:r>
              <w:rPr>
                <w:noProof/>
              </w:rPr>
              <w:t>239</w:t>
            </w:r>
          </w:p>
        </w:tc>
        <w:tc>
          <w:tcPr>
            <w:tcW w:w="1639" w:type="dxa"/>
            <w:shd w:val="clear" w:color="auto" w:fill="C6EFCE"/>
            <w:vAlign w:val="center"/>
          </w:tcPr>
          <w:p w14:paraId="1003A3B4" w14:textId="77777777" w:rsidR="00FA7C11" w:rsidRDefault="00D84965">
            <w:pPr>
              <w:pStyle w:val="P68B1DB1-Normal102"/>
              <w:spacing w:after="0" w:line="240" w:lineRule="auto"/>
              <w:jc w:val="center"/>
              <w:textAlignment w:val="baseline"/>
              <w:rPr>
                <w:noProof/>
              </w:rPr>
            </w:pPr>
            <w:r>
              <w:rPr>
                <w:noProof/>
              </w:rPr>
              <w:t>C2.6. R1-I1</w:t>
            </w:r>
          </w:p>
        </w:tc>
        <w:tc>
          <w:tcPr>
            <w:tcW w:w="1274" w:type="dxa"/>
            <w:shd w:val="clear" w:color="auto" w:fill="C6EFCE"/>
            <w:vAlign w:val="center"/>
          </w:tcPr>
          <w:p w14:paraId="76ABE1C4"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B0110F1" w14:textId="77777777" w:rsidR="00FA7C11" w:rsidRDefault="00D84965">
            <w:pPr>
              <w:pStyle w:val="P68B1DB1-Normal102"/>
              <w:spacing w:after="0" w:line="240" w:lineRule="auto"/>
              <w:textAlignment w:val="baseline"/>
              <w:rPr>
                <w:noProof/>
              </w:rPr>
            </w:pPr>
            <w:r>
              <w:rPr>
                <w:noProof/>
              </w:rPr>
              <w:t>Evaluarea efectelor campaniei naționale de informare împotriva corupției</w:t>
            </w:r>
          </w:p>
        </w:tc>
      </w:tr>
      <w:tr w:rsidR="00FA7C11" w14:paraId="7970FC94" w14:textId="77777777">
        <w:trPr>
          <w:trHeight w:val="51"/>
        </w:trPr>
        <w:tc>
          <w:tcPr>
            <w:tcW w:w="1096" w:type="dxa"/>
            <w:shd w:val="clear" w:color="auto" w:fill="C6EFCE"/>
            <w:vAlign w:val="center"/>
          </w:tcPr>
          <w:p w14:paraId="4D351900" w14:textId="77777777" w:rsidR="00FA7C11" w:rsidRDefault="00D84965">
            <w:pPr>
              <w:pStyle w:val="P68B1DB1-Normal102"/>
              <w:spacing w:after="0" w:line="240" w:lineRule="auto"/>
              <w:jc w:val="center"/>
              <w:textAlignment w:val="baseline"/>
              <w:rPr>
                <w:noProof/>
              </w:rPr>
            </w:pPr>
            <w:r>
              <w:rPr>
                <w:noProof/>
              </w:rPr>
              <w:t>242</w:t>
            </w:r>
          </w:p>
        </w:tc>
        <w:tc>
          <w:tcPr>
            <w:tcW w:w="1639" w:type="dxa"/>
            <w:shd w:val="clear" w:color="auto" w:fill="C6EFCE"/>
            <w:vAlign w:val="center"/>
          </w:tcPr>
          <w:p w14:paraId="090CEE65" w14:textId="77777777" w:rsidR="00FA7C11" w:rsidRDefault="00D84965">
            <w:pPr>
              <w:pStyle w:val="P68B1DB1-Normal102"/>
              <w:spacing w:after="0" w:line="240" w:lineRule="auto"/>
              <w:jc w:val="center"/>
              <w:textAlignment w:val="baseline"/>
              <w:rPr>
                <w:noProof/>
              </w:rPr>
            </w:pPr>
            <w:r>
              <w:rPr>
                <w:noProof/>
              </w:rPr>
              <w:t>C2.6. R1-I4</w:t>
            </w:r>
          </w:p>
        </w:tc>
        <w:tc>
          <w:tcPr>
            <w:tcW w:w="1274" w:type="dxa"/>
            <w:shd w:val="clear" w:color="auto" w:fill="C6EFCE"/>
            <w:vAlign w:val="center"/>
          </w:tcPr>
          <w:p w14:paraId="5022408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D135357" w14:textId="77777777" w:rsidR="00FA7C11" w:rsidRDefault="00D84965">
            <w:pPr>
              <w:pStyle w:val="P68B1DB1-Normal102"/>
              <w:spacing w:after="0" w:line="240" w:lineRule="auto"/>
              <w:textAlignment w:val="baseline"/>
              <w:rPr>
                <w:noProof/>
              </w:rPr>
            </w:pPr>
            <w:r>
              <w:rPr>
                <w:noProof/>
              </w:rPr>
              <w:t>Modernizarea a 4 centre regionale ale Oficiului Național de Poliție pentru Combaterea Corupției și a Criminalității Organizate (PN USKOK)</w:t>
            </w:r>
          </w:p>
        </w:tc>
      </w:tr>
      <w:tr w:rsidR="00FA7C11" w14:paraId="79D998D0" w14:textId="77777777">
        <w:trPr>
          <w:trHeight w:val="51"/>
        </w:trPr>
        <w:tc>
          <w:tcPr>
            <w:tcW w:w="1096" w:type="dxa"/>
            <w:shd w:val="clear" w:color="auto" w:fill="C6EFCE"/>
            <w:vAlign w:val="center"/>
          </w:tcPr>
          <w:p w14:paraId="7E96C102" w14:textId="77777777" w:rsidR="00FA7C11" w:rsidRDefault="00D84965">
            <w:pPr>
              <w:pStyle w:val="P68B1DB1-Normal102"/>
              <w:spacing w:after="0" w:line="240" w:lineRule="auto"/>
              <w:jc w:val="center"/>
              <w:textAlignment w:val="baseline"/>
              <w:rPr>
                <w:noProof/>
              </w:rPr>
            </w:pPr>
            <w:r>
              <w:rPr>
                <w:noProof/>
              </w:rPr>
              <w:t>282</w:t>
            </w:r>
          </w:p>
        </w:tc>
        <w:tc>
          <w:tcPr>
            <w:tcW w:w="1639" w:type="dxa"/>
            <w:shd w:val="clear" w:color="auto" w:fill="C6EFCE"/>
            <w:vAlign w:val="center"/>
          </w:tcPr>
          <w:p w14:paraId="787764AE" w14:textId="77777777" w:rsidR="00FA7C11" w:rsidRDefault="00D84965">
            <w:pPr>
              <w:pStyle w:val="P68B1DB1-Normal102"/>
              <w:spacing w:after="0" w:line="240" w:lineRule="auto"/>
              <w:jc w:val="center"/>
              <w:textAlignment w:val="baseline"/>
              <w:rPr>
                <w:noProof/>
              </w:rPr>
            </w:pPr>
            <w:r>
              <w:rPr>
                <w:noProof/>
              </w:rPr>
              <w:t>C3.2. R2-I1</w:t>
            </w:r>
          </w:p>
        </w:tc>
        <w:tc>
          <w:tcPr>
            <w:tcW w:w="1274" w:type="dxa"/>
            <w:shd w:val="clear" w:color="auto" w:fill="C6EFCE"/>
            <w:vAlign w:val="center"/>
          </w:tcPr>
          <w:p w14:paraId="175E6A43"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C1F5A58" w14:textId="77777777" w:rsidR="00FA7C11" w:rsidRDefault="00D84965">
            <w:pPr>
              <w:pStyle w:val="P68B1DB1-Normal102"/>
              <w:spacing w:after="0" w:line="240" w:lineRule="auto"/>
              <w:textAlignment w:val="baseline"/>
              <w:rPr>
                <w:noProof/>
              </w:rPr>
            </w:pPr>
            <w:r>
              <w:rPr>
                <w:noProof/>
              </w:rPr>
              <w:t>Granturi acordate în temeiul cadrului de programare pentru creșterea disponibilității și a capacității de inserție profesională a absolvenților în domeniile STIM/TIC și pentru îmbunătățirea mobilității acestora pentru cooperarea națională și internațională</w:t>
            </w:r>
          </w:p>
        </w:tc>
      </w:tr>
      <w:tr w:rsidR="00FA7C11" w14:paraId="384D1A89" w14:textId="77777777">
        <w:trPr>
          <w:trHeight w:val="51"/>
        </w:trPr>
        <w:tc>
          <w:tcPr>
            <w:tcW w:w="1096" w:type="dxa"/>
            <w:shd w:val="clear" w:color="auto" w:fill="C6EFCE"/>
            <w:vAlign w:val="center"/>
          </w:tcPr>
          <w:p w14:paraId="2BC86245" w14:textId="77777777" w:rsidR="00FA7C11" w:rsidRDefault="00D84965">
            <w:pPr>
              <w:pStyle w:val="P68B1DB1-Normal102"/>
              <w:spacing w:after="0" w:line="240" w:lineRule="auto"/>
              <w:jc w:val="center"/>
              <w:textAlignment w:val="baseline"/>
              <w:rPr>
                <w:noProof/>
              </w:rPr>
            </w:pPr>
            <w:r>
              <w:rPr>
                <w:noProof/>
              </w:rPr>
              <w:t>290</w:t>
            </w:r>
          </w:p>
        </w:tc>
        <w:tc>
          <w:tcPr>
            <w:tcW w:w="1639" w:type="dxa"/>
            <w:shd w:val="clear" w:color="auto" w:fill="C6EFCE"/>
            <w:vAlign w:val="center"/>
          </w:tcPr>
          <w:p w14:paraId="416EAA89" w14:textId="77777777" w:rsidR="00FA7C11" w:rsidRDefault="00D84965">
            <w:pPr>
              <w:pStyle w:val="P68B1DB1-Normal102"/>
              <w:spacing w:after="0" w:line="240" w:lineRule="auto"/>
              <w:jc w:val="center"/>
              <w:textAlignment w:val="baseline"/>
              <w:rPr>
                <w:noProof/>
              </w:rPr>
            </w:pPr>
            <w:r>
              <w:rPr>
                <w:noProof/>
              </w:rPr>
              <w:t>C4.1. R2</w:t>
            </w:r>
          </w:p>
        </w:tc>
        <w:tc>
          <w:tcPr>
            <w:tcW w:w="1274" w:type="dxa"/>
            <w:shd w:val="clear" w:color="auto" w:fill="C6EFCE"/>
            <w:vAlign w:val="center"/>
          </w:tcPr>
          <w:p w14:paraId="4D912FD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5E47443" w14:textId="77777777" w:rsidR="00FA7C11" w:rsidRDefault="00D84965">
            <w:pPr>
              <w:pStyle w:val="P68B1DB1-Normal102"/>
              <w:spacing w:after="0" w:line="240" w:lineRule="auto"/>
              <w:textAlignment w:val="baseline"/>
              <w:rPr>
                <w:noProof/>
              </w:rPr>
            </w:pPr>
            <w:r>
              <w:rPr>
                <w:noProof/>
              </w:rPr>
              <w:t>Îmbunătățirea calității sprijinului pentru cel puțin 5 000 de persoane din grupuri vulnerabile</w:t>
            </w:r>
          </w:p>
        </w:tc>
      </w:tr>
      <w:tr w:rsidR="00FA7C11" w14:paraId="178DE3A0" w14:textId="77777777">
        <w:trPr>
          <w:trHeight w:val="51"/>
        </w:trPr>
        <w:tc>
          <w:tcPr>
            <w:tcW w:w="1096" w:type="dxa"/>
            <w:shd w:val="clear" w:color="auto" w:fill="C6EFCE"/>
            <w:vAlign w:val="center"/>
          </w:tcPr>
          <w:p w14:paraId="00FFDEB4" w14:textId="77777777" w:rsidR="00FA7C11" w:rsidRDefault="00D84965">
            <w:pPr>
              <w:pStyle w:val="P68B1DB1-Normal102"/>
              <w:spacing w:after="0" w:line="240" w:lineRule="auto"/>
              <w:jc w:val="center"/>
              <w:textAlignment w:val="baseline"/>
              <w:rPr>
                <w:noProof/>
              </w:rPr>
            </w:pPr>
            <w:r>
              <w:rPr>
                <w:noProof/>
              </w:rPr>
              <w:t>298</w:t>
            </w:r>
          </w:p>
        </w:tc>
        <w:tc>
          <w:tcPr>
            <w:tcW w:w="1639" w:type="dxa"/>
            <w:shd w:val="clear" w:color="auto" w:fill="C6EFCE"/>
            <w:vAlign w:val="center"/>
          </w:tcPr>
          <w:p w14:paraId="730F4633" w14:textId="77777777" w:rsidR="00FA7C11" w:rsidRDefault="00D84965">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2C05162E"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tcPr>
          <w:p w14:paraId="5A30A745" w14:textId="77777777" w:rsidR="00FA7C11" w:rsidRDefault="00D84965">
            <w:pPr>
              <w:pStyle w:val="P68B1DB1-Normal102"/>
              <w:spacing w:after="0" w:line="240" w:lineRule="auto"/>
              <w:textAlignment w:val="baseline"/>
              <w:rPr>
                <w:noProof/>
              </w:rPr>
            </w:pPr>
            <w:r>
              <w:rPr>
                <w:noProof/>
              </w:rPr>
              <w:t xml:space="preserve">Adoptarea Legii de modificare a Legii privind fondurile de pensii obligatorii. </w:t>
            </w:r>
          </w:p>
        </w:tc>
      </w:tr>
      <w:tr w:rsidR="00FA7C11" w14:paraId="5A03D626" w14:textId="77777777">
        <w:trPr>
          <w:trHeight w:val="51"/>
        </w:trPr>
        <w:tc>
          <w:tcPr>
            <w:tcW w:w="1096" w:type="dxa"/>
            <w:shd w:val="clear" w:color="auto" w:fill="C6EFCE"/>
            <w:vAlign w:val="center"/>
          </w:tcPr>
          <w:p w14:paraId="396237A2" w14:textId="77777777" w:rsidR="00FA7C11" w:rsidRDefault="00D84965">
            <w:pPr>
              <w:pStyle w:val="P68B1DB1-Normal102"/>
              <w:spacing w:after="0" w:line="240" w:lineRule="auto"/>
              <w:jc w:val="center"/>
              <w:textAlignment w:val="baseline"/>
              <w:rPr>
                <w:noProof/>
              </w:rPr>
            </w:pPr>
            <w:r>
              <w:rPr>
                <w:noProof/>
              </w:rPr>
              <w:t>339</w:t>
            </w:r>
          </w:p>
        </w:tc>
        <w:tc>
          <w:tcPr>
            <w:tcW w:w="1639" w:type="dxa"/>
            <w:shd w:val="clear" w:color="auto" w:fill="C6EFCE"/>
            <w:vAlign w:val="center"/>
          </w:tcPr>
          <w:p w14:paraId="07FD18C6" w14:textId="77777777" w:rsidR="00FA7C11" w:rsidRDefault="00D84965">
            <w:pPr>
              <w:pStyle w:val="P68B1DB1-Normal102"/>
              <w:spacing w:after="0" w:line="240" w:lineRule="auto"/>
              <w:jc w:val="center"/>
              <w:textAlignment w:val="baseline"/>
              <w:rPr>
                <w:noProof/>
              </w:rPr>
            </w:pPr>
            <w:r>
              <w:rPr>
                <w:noProof/>
              </w:rPr>
              <w:t>C5.1. R4-I1</w:t>
            </w:r>
          </w:p>
        </w:tc>
        <w:tc>
          <w:tcPr>
            <w:tcW w:w="1274" w:type="dxa"/>
            <w:shd w:val="clear" w:color="auto" w:fill="C6EFCE"/>
            <w:vAlign w:val="center"/>
          </w:tcPr>
          <w:p w14:paraId="13AC0C0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A55D61C" w14:textId="77777777" w:rsidR="00FA7C11" w:rsidRDefault="00D84965">
            <w:pPr>
              <w:pStyle w:val="P68B1DB1-Normal102"/>
              <w:spacing w:after="0" w:line="240" w:lineRule="auto"/>
              <w:textAlignment w:val="baseline"/>
              <w:rPr>
                <w:noProof/>
              </w:rPr>
            </w:pPr>
            <w:r>
              <w:rPr>
                <w:noProof/>
              </w:rPr>
              <w:t xml:space="preserve">Gestionarea centralizată a preparatelor parenterale în 8 spitale </w:t>
            </w:r>
          </w:p>
        </w:tc>
      </w:tr>
      <w:tr w:rsidR="00FA7C11" w14:paraId="5CF884A0" w14:textId="77777777">
        <w:trPr>
          <w:trHeight w:val="51"/>
        </w:trPr>
        <w:tc>
          <w:tcPr>
            <w:tcW w:w="1096" w:type="dxa"/>
            <w:shd w:val="clear" w:color="auto" w:fill="C6EFCE"/>
            <w:vAlign w:val="center"/>
          </w:tcPr>
          <w:p w14:paraId="603B51CF" w14:textId="77777777" w:rsidR="00FA7C11" w:rsidRDefault="00D84965">
            <w:pPr>
              <w:pStyle w:val="P68B1DB1-Normal89"/>
              <w:spacing w:after="0" w:line="240" w:lineRule="auto"/>
              <w:jc w:val="center"/>
              <w:textAlignment w:val="baseline"/>
              <w:rPr>
                <w:noProof/>
              </w:rPr>
            </w:pPr>
            <w:r>
              <w:rPr>
                <w:noProof/>
              </w:rPr>
              <w:t>342</w:t>
            </w:r>
          </w:p>
        </w:tc>
        <w:tc>
          <w:tcPr>
            <w:tcW w:w="1639" w:type="dxa"/>
            <w:shd w:val="clear" w:color="auto" w:fill="C6EFCE"/>
            <w:vAlign w:val="center"/>
          </w:tcPr>
          <w:p w14:paraId="5EBE6284" w14:textId="77777777" w:rsidR="00FA7C11" w:rsidRDefault="00D84965">
            <w:pPr>
              <w:pStyle w:val="P68B1DB1-Normal89"/>
              <w:spacing w:after="0" w:line="240" w:lineRule="auto"/>
              <w:jc w:val="center"/>
              <w:textAlignment w:val="baseline"/>
              <w:rPr>
                <w:noProof/>
              </w:rPr>
            </w:pPr>
            <w:r>
              <w:rPr>
                <w:noProof/>
              </w:rPr>
              <w:t>C5.1. R4-I4</w:t>
            </w:r>
          </w:p>
        </w:tc>
        <w:tc>
          <w:tcPr>
            <w:tcW w:w="1274" w:type="dxa"/>
            <w:shd w:val="clear" w:color="auto" w:fill="C6EFCE"/>
            <w:vAlign w:val="center"/>
          </w:tcPr>
          <w:p w14:paraId="48D64682" w14:textId="77777777" w:rsidR="00FA7C11" w:rsidRDefault="00D84965">
            <w:pPr>
              <w:pStyle w:val="P68B1DB1-Normal89"/>
              <w:spacing w:after="0" w:line="240" w:lineRule="auto"/>
              <w:jc w:val="center"/>
              <w:textAlignment w:val="baseline"/>
              <w:rPr>
                <w:noProof/>
              </w:rPr>
            </w:pPr>
            <w:r>
              <w:rPr>
                <w:noProof/>
              </w:rPr>
              <w:t>T</w:t>
            </w:r>
          </w:p>
        </w:tc>
        <w:tc>
          <w:tcPr>
            <w:tcW w:w="5347" w:type="dxa"/>
            <w:shd w:val="clear" w:color="auto" w:fill="C6EFCE"/>
            <w:vAlign w:val="center"/>
          </w:tcPr>
          <w:p w14:paraId="5F5BB9EC" w14:textId="77777777" w:rsidR="00FA7C11" w:rsidRDefault="00D84965">
            <w:pPr>
              <w:pStyle w:val="P68B1DB1-Normal89"/>
              <w:spacing w:after="0" w:line="240" w:lineRule="auto"/>
              <w:textAlignment w:val="baseline"/>
              <w:rPr>
                <w:noProof/>
              </w:rPr>
            </w:pPr>
            <w:r>
              <w:rPr>
                <w:noProof/>
              </w:rPr>
              <w:t>Sistem de monitorizare a deficitelor de medicamente bazat pe tehnologia „blockchain”</w:t>
            </w:r>
          </w:p>
        </w:tc>
      </w:tr>
      <w:tr w:rsidR="00FA7C11" w14:paraId="46385210" w14:textId="77777777">
        <w:trPr>
          <w:trHeight w:val="51"/>
        </w:trPr>
        <w:tc>
          <w:tcPr>
            <w:tcW w:w="1096" w:type="dxa"/>
            <w:shd w:val="clear" w:color="auto" w:fill="C6EFCE"/>
            <w:vAlign w:val="center"/>
          </w:tcPr>
          <w:p w14:paraId="4504CB90" w14:textId="77777777" w:rsidR="00FA7C11" w:rsidRDefault="00D84965">
            <w:pPr>
              <w:pStyle w:val="P68B1DB1-Normal89"/>
              <w:spacing w:after="0" w:line="240" w:lineRule="auto"/>
              <w:jc w:val="center"/>
              <w:textAlignment w:val="baseline"/>
              <w:rPr>
                <w:noProof/>
              </w:rPr>
            </w:pPr>
            <w:r>
              <w:rPr>
                <w:noProof/>
              </w:rPr>
              <w:t>365</w:t>
            </w:r>
          </w:p>
        </w:tc>
        <w:tc>
          <w:tcPr>
            <w:tcW w:w="1639" w:type="dxa"/>
            <w:shd w:val="clear" w:color="auto" w:fill="C6EFCE"/>
            <w:vAlign w:val="center"/>
          </w:tcPr>
          <w:p w14:paraId="64021A31" w14:textId="77777777" w:rsidR="00FA7C11" w:rsidRDefault="00D84965">
            <w:pPr>
              <w:pStyle w:val="P68B1DB1-Normal89"/>
              <w:spacing w:after="0" w:line="240" w:lineRule="auto"/>
              <w:jc w:val="center"/>
              <w:textAlignment w:val="baseline"/>
              <w:rPr>
                <w:noProof/>
              </w:rPr>
            </w:pPr>
            <w:r>
              <w:rPr>
                <w:noProof/>
              </w:rPr>
              <w:t>C6.1. R4</w:t>
            </w:r>
          </w:p>
        </w:tc>
        <w:tc>
          <w:tcPr>
            <w:tcW w:w="1274" w:type="dxa"/>
            <w:shd w:val="clear" w:color="auto" w:fill="C6EFCE"/>
            <w:vAlign w:val="center"/>
          </w:tcPr>
          <w:p w14:paraId="3FB3C38F" w14:textId="77777777" w:rsidR="00FA7C11" w:rsidRDefault="00D84965">
            <w:pPr>
              <w:pStyle w:val="P68B1DB1-Normal89"/>
              <w:spacing w:after="0" w:line="240" w:lineRule="auto"/>
              <w:jc w:val="center"/>
              <w:textAlignment w:val="baseline"/>
              <w:rPr>
                <w:noProof/>
              </w:rPr>
            </w:pPr>
            <w:r>
              <w:rPr>
                <w:noProof/>
              </w:rPr>
              <w:t>M</w:t>
            </w:r>
          </w:p>
        </w:tc>
        <w:tc>
          <w:tcPr>
            <w:tcW w:w="5347" w:type="dxa"/>
            <w:shd w:val="clear" w:color="auto" w:fill="C6EFCE"/>
            <w:vAlign w:val="center"/>
          </w:tcPr>
          <w:p w14:paraId="6E622528" w14:textId="77777777" w:rsidR="00FA7C11" w:rsidRDefault="00D84965">
            <w:pPr>
              <w:pStyle w:val="P68B1DB1-Normal89"/>
              <w:spacing w:after="0" w:line="240" w:lineRule="auto"/>
              <w:textAlignment w:val="baseline"/>
              <w:rPr>
                <w:noProof/>
              </w:rPr>
            </w:pPr>
            <w:r>
              <w:rPr>
                <w:noProof/>
              </w:rPr>
              <w:t>Integrarea datelor seismice</w:t>
            </w:r>
          </w:p>
        </w:tc>
      </w:tr>
      <w:tr w:rsidR="00FA7C11" w14:paraId="646FA240" w14:textId="77777777">
        <w:trPr>
          <w:trHeight w:val="51"/>
        </w:trPr>
        <w:tc>
          <w:tcPr>
            <w:tcW w:w="1096" w:type="dxa"/>
            <w:shd w:val="clear" w:color="auto" w:fill="C6EFCE"/>
          </w:tcPr>
          <w:p w14:paraId="79B10441" w14:textId="77777777" w:rsidR="00FA7C11" w:rsidRDefault="00D84965">
            <w:pPr>
              <w:pStyle w:val="P68B1DB1-Normal89"/>
              <w:spacing w:after="0" w:line="240" w:lineRule="auto"/>
              <w:jc w:val="center"/>
              <w:textAlignment w:val="baseline"/>
              <w:rPr>
                <w:noProof/>
              </w:rPr>
            </w:pPr>
            <w:r>
              <w:rPr>
                <w:noProof/>
              </w:rPr>
              <w:t>406</w:t>
            </w:r>
          </w:p>
        </w:tc>
        <w:tc>
          <w:tcPr>
            <w:tcW w:w="1639" w:type="dxa"/>
            <w:shd w:val="clear" w:color="auto" w:fill="C6EFCE"/>
          </w:tcPr>
          <w:p w14:paraId="16FD26A7" w14:textId="77777777" w:rsidR="00FA7C11" w:rsidRDefault="00D84965">
            <w:pPr>
              <w:pStyle w:val="P68B1DB1-Normal89"/>
              <w:spacing w:after="0" w:line="240" w:lineRule="auto"/>
              <w:jc w:val="center"/>
              <w:textAlignment w:val="baseline"/>
              <w:rPr>
                <w:noProof/>
              </w:rPr>
            </w:pPr>
            <w:r>
              <w:rPr>
                <w:noProof/>
              </w:rPr>
              <w:t>C7.1 R1</w:t>
            </w:r>
          </w:p>
        </w:tc>
        <w:tc>
          <w:tcPr>
            <w:tcW w:w="1274" w:type="dxa"/>
            <w:shd w:val="clear" w:color="auto" w:fill="C6EFCE"/>
          </w:tcPr>
          <w:p w14:paraId="08C0A405" w14:textId="77777777" w:rsidR="00FA7C11" w:rsidRDefault="00D84965">
            <w:pPr>
              <w:pStyle w:val="P68B1DB1-Normal89"/>
              <w:spacing w:after="0" w:line="240" w:lineRule="auto"/>
              <w:jc w:val="center"/>
              <w:textAlignment w:val="baseline"/>
              <w:rPr>
                <w:noProof/>
              </w:rPr>
            </w:pPr>
            <w:r>
              <w:rPr>
                <w:noProof/>
              </w:rPr>
              <w:t>M</w:t>
            </w:r>
          </w:p>
        </w:tc>
        <w:tc>
          <w:tcPr>
            <w:tcW w:w="5347" w:type="dxa"/>
            <w:shd w:val="clear" w:color="auto" w:fill="C6EFCE"/>
          </w:tcPr>
          <w:p w14:paraId="61611501" w14:textId="77777777" w:rsidR="00FA7C11" w:rsidRDefault="00D84965">
            <w:pPr>
              <w:pStyle w:val="P68B1DB1-Normal89"/>
              <w:spacing w:after="0" w:line="240" w:lineRule="auto"/>
              <w:textAlignment w:val="baseline"/>
              <w:rPr>
                <w:noProof/>
              </w:rPr>
            </w:pPr>
            <w:r>
              <w:rPr>
                <w:noProof/>
              </w:rPr>
              <w:t>Intrarea în vigoare a legislației de instituire a noului sistem de autoconsum</w:t>
            </w:r>
          </w:p>
        </w:tc>
      </w:tr>
      <w:tr w:rsidR="00FA7C11" w14:paraId="0E0BCAA8" w14:textId="77777777">
        <w:trPr>
          <w:trHeight w:val="51"/>
        </w:trPr>
        <w:tc>
          <w:tcPr>
            <w:tcW w:w="1096" w:type="dxa"/>
            <w:shd w:val="clear" w:color="auto" w:fill="C6EFCE"/>
          </w:tcPr>
          <w:p w14:paraId="29B057C1"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tcPr>
          <w:p w14:paraId="6D234D2B" w14:textId="77777777" w:rsidR="00FA7C11" w:rsidRDefault="00FA7C11">
            <w:pPr>
              <w:spacing w:after="0" w:line="240" w:lineRule="auto"/>
              <w:jc w:val="both"/>
              <w:textAlignment w:val="baseline"/>
              <w:rPr>
                <w:rFonts w:ascii="Times New Roman" w:hAnsi="Times New Roman" w:cs="Times New Roman"/>
                <w:noProof/>
                <w:color w:val="000000"/>
                <w:sz w:val="20"/>
                <w:szCs w:val="20"/>
              </w:rPr>
            </w:pPr>
          </w:p>
        </w:tc>
        <w:tc>
          <w:tcPr>
            <w:tcW w:w="1274" w:type="dxa"/>
            <w:shd w:val="clear" w:color="auto" w:fill="C6EFCE"/>
          </w:tcPr>
          <w:p w14:paraId="7E546473" w14:textId="77777777" w:rsidR="00FA7C11" w:rsidRDefault="00D84965">
            <w:pPr>
              <w:pStyle w:val="P68B1DB1-Normal102"/>
              <w:spacing w:after="0" w:line="240" w:lineRule="auto"/>
              <w:jc w:val="both"/>
              <w:textAlignment w:val="baseline"/>
              <w:rPr>
                <w:noProof/>
              </w:rPr>
            </w:pPr>
            <w:r>
              <w:rPr>
                <w:noProof/>
              </w:rPr>
              <w:t>Cuantumul tranșei</w:t>
            </w:r>
          </w:p>
        </w:tc>
        <w:tc>
          <w:tcPr>
            <w:tcW w:w="5347" w:type="dxa"/>
            <w:shd w:val="clear" w:color="auto" w:fill="C6EFCE"/>
            <w:vAlign w:val="center"/>
          </w:tcPr>
          <w:p w14:paraId="069E9D78" w14:textId="6B9F1635" w:rsidR="00FA7C11" w:rsidRDefault="00D84965">
            <w:pPr>
              <w:pStyle w:val="P68B1DB1-Normal102"/>
              <w:spacing w:after="0" w:line="240" w:lineRule="auto"/>
              <w:jc w:val="both"/>
              <w:textAlignment w:val="baseline"/>
              <w:rPr>
                <w:noProof/>
              </w:rPr>
            </w:pPr>
            <w:r>
              <w:rPr>
                <w:noProof/>
              </w:rPr>
              <w:t>20 095 476 MIL.</w:t>
            </w:r>
          </w:p>
        </w:tc>
      </w:tr>
    </w:tbl>
    <w:p w14:paraId="4939AAE3" w14:textId="77777777" w:rsidR="00FA7C11" w:rsidRDefault="00FA7C11">
      <w:pPr>
        <w:spacing w:line="240" w:lineRule="auto"/>
        <w:contextualSpacing/>
        <w:jc w:val="both"/>
        <w:textAlignment w:val="baseline"/>
        <w:rPr>
          <w:rFonts w:ascii="Times New Roman" w:eastAsia="Times New Roman" w:hAnsi="Times New Roman" w:cs="Times New Roman"/>
          <w:noProof/>
          <w:sz w:val="24"/>
          <w:szCs w:val="24"/>
        </w:rPr>
      </w:pPr>
    </w:p>
    <w:p w14:paraId="445DAD7E" w14:textId="77777777" w:rsidR="00FA7C11" w:rsidRDefault="00FA7C11">
      <w:pPr>
        <w:spacing w:after="0" w:line="240" w:lineRule="auto"/>
        <w:jc w:val="both"/>
        <w:textAlignment w:val="baseline"/>
        <w:rPr>
          <w:rFonts w:eastAsia="Times New Roman"/>
          <w:noProof/>
          <w:szCs w:val="24"/>
        </w:rPr>
      </w:pPr>
    </w:p>
    <w:p w14:paraId="58D58B3F" w14:textId="761F91F8" w:rsidR="00FA7C11" w:rsidRDefault="00D84965">
      <w:pPr>
        <w:pStyle w:val="P68B1DB1-Normal83"/>
        <w:numPr>
          <w:ilvl w:val="0"/>
          <w:numId w:val="80"/>
        </w:numPr>
        <w:spacing w:line="240" w:lineRule="auto"/>
        <w:contextualSpacing/>
        <w:jc w:val="both"/>
        <w:textAlignment w:val="baseline"/>
        <w:rPr>
          <w:noProof/>
        </w:rPr>
      </w:pPr>
      <w:r>
        <w:rPr>
          <w:noProof/>
        </w:rPr>
        <w:t>A noua tranșă (sprijin nerambursabil):</w:t>
      </w:r>
    </w:p>
    <w:p w14:paraId="5DFF70CF" w14:textId="77777777" w:rsidR="00FA7C11" w:rsidRDefault="00FA7C11">
      <w:pPr>
        <w:spacing w:after="0" w:line="240" w:lineRule="auto"/>
        <w:jc w:val="both"/>
        <w:textAlignment w:val="baseline"/>
        <w:rPr>
          <w:rFonts w:eastAsia="Times New Roman"/>
          <w:noProof/>
          <w:szCs w:val="24"/>
        </w:rPr>
      </w:pPr>
    </w:p>
    <w:tbl>
      <w:tblPr>
        <w:tblW w:w="935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3"/>
        <w:gridCol w:w="1626"/>
        <w:gridCol w:w="1349"/>
        <w:gridCol w:w="5288"/>
      </w:tblGrid>
      <w:tr w:rsidR="00FA7C11" w14:paraId="592D41D7" w14:textId="77777777">
        <w:trPr>
          <w:trHeight w:val="517"/>
          <w:tblHeader/>
        </w:trPr>
        <w:tc>
          <w:tcPr>
            <w:tcW w:w="1096" w:type="dxa"/>
            <w:vMerge w:val="restart"/>
            <w:shd w:val="clear" w:color="auto" w:fill="BDD7EE"/>
            <w:vAlign w:val="center"/>
            <w:hideMark/>
          </w:tcPr>
          <w:p w14:paraId="2B97A153"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39" w:type="dxa"/>
            <w:vMerge w:val="restart"/>
            <w:shd w:val="clear" w:color="auto" w:fill="BDD7EE"/>
            <w:vAlign w:val="center"/>
            <w:hideMark/>
          </w:tcPr>
          <w:p w14:paraId="7314A4BF"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4" w:type="dxa"/>
            <w:vMerge w:val="restart"/>
            <w:shd w:val="clear" w:color="auto" w:fill="BDD7EE"/>
            <w:vAlign w:val="center"/>
            <w:hideMark/>
          </w:tcPr>
          <w:p w14:paraId="7A012B0B"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47" w:type="dxa"/>
            <w:vMerge w:val="restart"/>
            <w:shd w:val="clear" w:color="auto" w:fill="BDD7EE"/>
            <w:vAlign w:val="center"/>
            <w:hideMark/>
          </w:tcPr>
          <w:p w14:paraId="19DD4859"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0BF503A0" w14:textId="77777777">
        <w:trPr>
          <w:trHeight w:val="524"/>
        </w:trPr>
        <w:tc>
          <w:tcPr>
            <w:tcW w:w="1096" w:type="dxa"/>
            <w:vMerge/>
            <w:vAlign w:val="center"/>
            <w:hideMark/>
          </w:tcPr>
          <w:p w14:paraId="3843C832" w14:textId="77777777" w:rsidR="00FA7C11" w:rsidRDefault="00FA7C11">
            <w:pPr>
              <w:spacing w:after="0" w:line="240" w:lineRule="auto"/>
              <w:rPr>
                <w:rFonts w:ascii="Times New Roman" w:eastAsia="Times New Roman" w:hAnsi="Times New Roman" w:cs="Times New Roman"/>
                <w:noProof/>
                <w:sz w:val="20"/>
                <w:szCs w:val="20"/>
              </w:rPr>
            </w:pPr>
          </w:p>
        </w:tc>
        <w:tc>
          <w:tcPr>
            <w:tcW w:w="1639" w:type="dxa"/>
            <w:vMerge/>
            <w:vAlign w:val="center"/>
            <w:hideMark/>
          </w:tcPr>
          <w:p w14:paraId="1B640001" w14:textId="77777777" w:rsidR="00FA7C11" w:rsidRDefault="00FA7C11">
            <w:pPr>
              <w:spacing w:after="0" w:line="240" w:lineRule="auto"/>
              <w:rPr>
                <w:rFonts w:ascii="Times New Roman" w:eastAsia="Times New Roman" w:hAnsi="Times New Roman" w:cs="Times New Roman"/>
                <w:noProof/>
                <w:sz w:val="20"/>
                <w:szCs w:val="20"/>
              </w:rPr>
            </w:pPr>
          </w:p>
        </w:tc>
        <w:tc>
          <w:tcPr>
            <w:tcW w:w="1274" w:type="dxa"/>
            <w:vMerge/>
            <w:vAlign w:val="center"/>
            <w:hideMark/>
          </w:tcPr>
          <w:p w14:paraId="6660F808" w14:textId="77777777" w:rsidR="00FA7C11" w:rsidRDefault="00FA7C11">
            <w:pPr>
              <w:spacing w:after="0" w:line="240" w:lineRule="auto"/>
              <w:rPr>
                <w:rFonts w:ascii="Times New Roman" w:eastAsia="Times New Roman" w:hAnsi="Times New Roman" w:cs="Times New Roman"/>
                <w:noProof/>
                <w:sz w:val="20"/>
                <w:szCs w:val="20"/>
              </w:rPr>
            </w:pPr>
          </w:p>
        </w:tc>
        <w:tc>
          <w:tcPr>
            <w:tcW w:w="5347" w:type="dxa"/>
            <w:vMerge/>
            <w:vAlign w:val="center"/>
            <w:hideMark/>
          </w:tcPr>
          <w:p w14:paraId="31184AA9" w14:textId="77777777" w:rsidR="00FA7C11" w:rsidRDefault="00FA7C11">
            <w:pPr>
              <w:spacing w:after="0" w:line="240" w:lineRule="auto"/>
              <w:rPr>
                <w:rFonts w:ascii="Times New Roman" w:eastAsia="Times New Roman" w:hAnsi="Times New Roman" w:cs="Times New Roman"/>
                <w:noProof/>
                <w:sz w:val="20"/>
                <w:szCs w:val="20"/>
              </w:rPr>
            </w:pPr>
          </w:p>
        </w:tc>
      </w:tr>
      <w:tr w:rsidR="00FA7C11" w14:paraId="27489D0E" w14:textId="77777777">
        <w:trPr>
          <w:trHeight w:val="51"/>
        </w:trPr>
        <w:tc>
          <w:tcPr>
            <w:tcW w:w="1096" w:type="dxa"/>
            <w:shd w:val="clear" w:color="auto" w:fill="C6EFCE"/>
            <w:vAlign w:val="center"/>
          </w:tcPr>
          <w:p w14:paraId="5198B683" w14:textId="77777777" w:rsidR="00FA7C11" w:rsidRDefault="00D84965">
            <w:pPr>
              <w:pStyle w:val="P68B1DB1-Normal102"/>
              <w:spacing w:after="0" w:line="240" w:lineRule="auto"/>
              <w:jc w:val="center"/>
              <w:textAlignment w:val="baseline"/>
              <w:rPr>
                <w:noProof/>
              </w:rPr>
            </w:pPr>
            <w:r>
              <w:rPr>
                <w:noProof/>
              </w:rPr>
              <w:t>11</w:t>
            </w:r>
          </w:p>
        </w:tc>
        <w:tc>
          <w:tcPr>
            <w:tcW w:w="1639" w:type="dxa"/>
            <w:shd w:val="clear" w:color="auto" w:fill="C6EFCE"/>
            <w:vAlign w:val="center"/>
          </w:tcPr>
          <w:p w14:paraId="6A9EB1EE" w14:textId="77777777" w:rsidR="00FA7C11" w:rsidRDefault="00D84965">
            <w:pPr>
              <w:pStyle w:val="P68B1DB1-Normal102"/>
              <w:spacing w:after="0" w:line="240" w:lineRule="auto"/>
              <w:jc w:val="center"/>
              <w:textAlignment w:val="baseline"/>
              <w:rPr>
                <w:noProof/>
              </w:rPr>
            </w:pPr>
            <w:r>
              <w:rPr>
                <w:noProof/>
              </w:rPr>
              <w:t>C1.1.1. R1-I2</w:t>
            </w:r>
          </w:p>
        </w:tc>
        <w:tc>
          <w:tcPr>
            <w:tcW w:w="1274" w:type="dxa"/>
            <w:shd w:val="clear" w:color="auto" w:fill="C6EFCE"/>
            <w:vAlign w:val="center"/>
          </w:tcPr>
          <w:p w14:paraId="651CD857"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EA47C7D" w14:textId="77777777" w:rsidR="00FA7C11" w:rsidRDefault="00D84965">
            <w:pPr>
              <w:pStyle w:val="P68B1DB1-Normal89"/>
              <w:spacing w:after="0" w:line="240" w:lineRule="auto"/>
              <w:textAlignment w:val="baseline"/>
              <w:rPr>
                <w:noProof/>
                <w:color w:val="000000"/>
              </w:rPr>
            </w:pPr>
            <w:r>
              <w:rPr>
                <w:noProof/>
              </w:rPr>
              <w:t>Punerea în aplicare a celui de al doilea set de măsuri prevăzute în noul/cel de al cincilea plan de acțiune pentru a reduce și mai mult sarcina administrativă asupra antreprenorilor</w:t>
            </w:r>
          </w:p>
        </w:tc>
      </w:tr>
      <w:tr w:rsidR="00FA7C11" w14:paraId="15259A7F" w14:textId="77777777">
        <w:trPr>
          <w:trHeight w:val="51"/>
        </w:trPr>
        <w:tc>
          <w:tcPr>
            <w:tcW w:w="1096" w:type="dxa"/>
            <w:shd w:val="clear" w:color="auto" w:fill="C6EFCE"/>
            <w:vAlign w:val="center"/>
          </w:tcPr>
          <w:p w14:paraId="27BDED2A" w14:textId="77777777" w:rsidR="00FA7C11" w:rsidRDefault="00D84965">
            <w:pPr>
              <w:pStyle w:val="P68B1DB1-Normal102"/>
              <w:spacing w:after="0" w:line="240" w:lineRule="auto"/>
              <w:jc w:val="center"/>
              <w:textAlignment w:val="baseline"/>
              <w:rPr>
                <w:noProof/>
              </w:rPr>
            </w:pPr>
            <w:r>
              <w:rPr>
                <w:noProof/>
              </w:rPr>
              <w:t>15</w:t>
            </w:r>
          </w:p>
        </w:tc>
        <w:tc>
          <w:tcPr>
            <w:tcW w:w="1639" w:type="dxa"/>
            <w:shd w:val="clear" w:color="auto" w:fill="C6EFCE"/>
            <w:vAlign w:val="center"/>
          </w:tcPr>
          <w:p w14:paraId="3C403E3F" w14:textId="77777777" w:rsidR="00FA7C11" w:rsidRDefault="00D84965">
            <w:pPr>
              <w:pStyle w:val="P68B1DB1-Normal102"/>
              <w:spacing w:after="0" w:line="240" w:lineRule="auto"/>
              <w:jc w:val="center"/>
              <w:textAlignment w:val="baseline"/>
              <w:rPr>
                <w:noProof/>
              </w:rPr>
            </w:pPr>
            <w:r>
              <w:rPr>
                <w:noProof/>
              </w:rPr>
              <w:t>C1.1.1. R4-I1</w:t>
            </w:r>
          </w:p>
        </w:tc>
        <w:tc>
          <w:tcPr>
            <w:tcW w:w="1274" w:type="dxa"/>
            <w:shd w:val="clear" w:color="auto" w:fill="C6EFCE"/>
            <w:vAlign w:val="center"/>
          </w:tcPr>
          <w:p w14:paraId="07A0D680"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0519749" w14:textId="77777777" w:rsidR="00FA7C11" w:rsidRDefault="00D84965">
            <w:pPr>
              <w:pStyle w:val="P68B1DB1-Normal89"/>
              <w:spacing w:after="0" w:line="240" w:lineRule="auto"/>
              <w:textAlignment w:val="baseline"/>
              <w:rPr>
                <w:noProof/>
                <w:color w:val="000000"/>
              </w:rPr>
            </w:pPr>
            <w:r>
              <w:rPr>
                <w:noProof/>
              </w:rPr>
              <w:t>Acordarea de fonduri IMM-urilor și întreprinderilor cu capitalizare medie pentru investiții care vizează activități ecologice</w:t>
            </w:r>
          </w:p>
        </w:tc>
      </w:tr>
      <w:tr w:rsidR="00FA7C11" w14:paraId="5544959D" w14:textId="77777777">
        <w:trPr>
          <w:trHeight w:val="51"/>
        </w:trPr>
        <w:tc>
          <w:tcPr>
            <w:tcW w:w="1096" w:type="dxa"/>
            <w:shd w:val="clear" w:color="auto" w:fill="C6EFCE"/>
            <w:vAlign w:val="center"/>
            <w:hideMark/>
          </w:tcPr>
          <w:p w14:paraId="5EA4BED8" w14:textId="77777777" w:rsidR="00FA7C11" w:rsidRDefault="00D84965">
            <w:pPr>
              <w:pStyle w:val="P68B1DB1-Normal102"/>
              <w:spacing w:after="0" w:line="240" w:lineRule="auto"/>
              <w:jc w:val="center"/>
              <w:textAlignment w:val="baseline"/>
              <w:rPr>
                <w:rFonts w:eastAsia="Times New Roman"/>
                <w:noProof/>
              </w:rPr>
            </w:pPr>
            <w:r>
              <w:rPr>
                <w:noProof/>
              </w:rPr>
              <w:t>17</w:t>
            </w:r>
          </w:p>
        </w:tc>
        <w:tc>
          <w:tcPr>
            <w:tcW w:w="1639" w:type="dxa"/>
            <w:shd w:val="clear" w:color="auto" w:fill="C6EFCE"/>
            <w:vAlign w:val="center"/>
            <w:hideMark/>
          </w:tcPr>
          <w:p w14:paraId="713A53F6" w14:textId="77777777" w:rsidR="00FA7C11" w:rsidRDefault="00D84965">
            <w:pPr>
              <w:pStyle w:val="P68B1DB1-Normal102"/>
              <w:spacing w:after="0" w:line="240" w:lineRule="auto"/>
              <w:jc w:val="center"/>
              <w:textAlignment w:val="baseline"/>
              <w:rPr>
                <w:rFonts w:eastAsia="Times New Roman"/>
                <w:noProof/>
              </w:rPr>
            </w:pPr>
            <w:r>
              <w:rPr>
                <w:noProof/>
              </w:rPr>
              <w:t>C1.1.1. R4-I2</w:t>
            </w:r>
          </w:p>
        </w:tc>
        <w:tc>
          <w:tcPr>
            <w:tcW w:w="1274" w:type="dxa"/>
            <w:shd w:val="clear" w:color="auto" w:fill="C6EFCE"/>
            <w:vAlign w:val="center"/>
            <w:hideMark/>
          </w:tcPr>
          <w:p w14:paraId="65B3E8FE" w14:textId="77777777" w:rsidR="00FA7C11" w:rsidRDefault="00D84965">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41FE5661" w14:textId="77777777" w:rsidR="00FA7C11" w:rsidRDefault="00D84965">
            <w:pPr>
              <w:pStyle w:val="P68B1DB1-Normal102"/>
              <w:spacing w:after="0" w:line="240" w:lineRule="auto"/>
              <w:textAlignment w:val="baseline"/>
              <w:rPr>
                <w:rFonts w:eastAsia="Times New Roman"/>
                <w:noProof/>
              </w:rPr>
            </w:pPr>
            <w:r>
              <w:rPr>
                <w:noProof/>
              </w:rPr>
              <w:t>Împrumuturi/subvenții la rata dobânzii acordate microîntreprinderilor și întreprinderilor mici și mijlocii</w:t>
            </w:r>
          </w:p>
        </w:tc>
      </w:tr>
      <w:tr w:rsidR="00FA7C11" w14:paraId="7EA9C7D5" w14:textId="77777777">
        <w:trPr>
          <w:trHeight w:val="51"/>
        </w:trPr>
        <w:tc>
          <w:tcPr>
            <w:tcW w:w="1096" w:type="dxa"/>
            <w:shd w:val="clear" w:color="auto" w:fill="C6EFCE"/>
            <w:vAlign w:val="center"/>
            <w:hideMark/>
          </w:tcPr>
          <w:p w14:paraId="432C81B9" w14:textId="77777777" w:rsidR="00FA7C11" w:rsidRDefault="00D84965">
            <w:pPr>
              <w:pStyle w:val="P68B1DB1-Normal102"/>
              <w:spacing w:after="0" w:line="240" w:lineRule="auto"/>
              <w:jc w:val="center"/>
              <w:textAlignment w:val="baseline"/>
              <w:rPr>
                <w:rFonts w:eastAsia="Times New Roman"/>
                <w:noProof/>
              </w:rPr>
            </w:pPr>
            <w:r>
              <w:rPr>
                <w:noProof/>
              </w:rPr>
              <w:t>18</w:t>
            </w:r>
          </w:p>
        </w:tc>
        <w:tc>
          <w:tcPr>
            <w:tcW w:w="1639" w:type="dxa"/>
            <w:shd w:val="clear" w:color="auto" w:fill="C6EFCE"/>
            <w:vAlign w:val="center"/>
            <w:hideMark/>
          </w:tcPr>
          <w:p w14:paraId="1D79804F" w14:textId="77777777" w:rsidR="00FA7C11" w:rsidRDefault="00D84965">
            <w:pPr>
              <w:pStyle w:val="P68B1DB1-Normal102"/>
              <w:spacing w:after="0" w:line="240" w:lineRule="auto"/>
              <w:jc w:val="center"/>
              <w:textAlignment w:val="baseline"/>
              <w:rPr>
                <w:rFonts w:eastAsia="Times New Roman"/>
                <w:noProof/>
              </w:rPr>
            </w:pPr>
            <w:r>
              <w:rPr>
                <w:noProof/>
              </w:rPr>
              <w:t>C1.1.1. R4-I2</w:t>
            </w:r>
          </w:p>
        </w:tc>
        <w:tc>
          <w:tcPr>
            <w:tcW w:w="1274" w:type="dxa"/>
            <w:shd w:val="clear" w:color="auto" w:fill="C6EFCE"/>
            <w:vAlign w:val="center"/>
            <w:hideMark/>
          </w:tcPr>
          <w:p w14:paraId="593C11F7" w14:textId="77777777" w:rsidR="00FA7C11" w:rsidRDefault="00D84965">
            <w:pPr>
              <w:pStyle w:val="P68B1DB1-Normal102"/>
              <w:spacing w:after="0" w:line="240" w:lineRule="auto"/>
              <w:jc w:val="center"/>
              <w:textAlignment w:val="baseline"/>
              <w:rPr>
                <w:rFonts w:eastAsia="Times New Roman"/>
                <w:noProof/>
              </w:rPr>
            </w:pPr>
            <w:r>
              <w:rPr>
                <w:noProof/>
              </w:rPr>
              <w:t>T</w:t>
            </w:r>
          </w:p>
        </w:tc>
        <w:tc>
          <w:tcPr>
            <w:tcW w:w="5347" w:type="dxa"/>
            <w:shd w:val="clear" w:color="auto" w:fill="C6EFCE"/>
            <w:vAlign w:val="center"/>
            <w:hideMark/>
          </w:tcPr>
          <w:p w14:paraId="708A2491" w14:textId="77777777" w:rsidR="00FA7C11" w:rsidRDefault="00D84965">
            <w:pPr>
              <w:pStyle w:val="P68B1DB1-Normal102"/>
              <w:spacing w:after="0" w:line="240" w:lineRule="auto"/>
              <w:textAlignment w:val="baseline"/>
              <w:rPr>
                <w:rFonts w:eastAsia="Times New Roman"/>
                <w:noProof/>
              </w:rPr>
            </w:pPr>
            <w:r>
              <w:rPr>
                <w:noProof/>
              </w:rPr>
              <w:t>Împrumuturi/subvenții la rata dobânzii acordate microîntreprinderilor și întreprinderilor mici și mijlocii</w:t>
            </w:r>
          </w:p>
        </w:tc>
      </w:tr>
      <w:tr w:rsidR="00FA7C11" w14:paraId="06CC4DAD" w14:textId="77777777">
        <w:trPr>
          <w:trHeight w:val="51"/>
        </w:trPr>
        <w:tc>
          <w:tcPr>
            <w:tcW w:w="1096" w:type="dxa"/>
            <w:shd w:val="clear" w:color="auto" w:fill="C6EFCE"/>
            <w:vAlign w:val="center"/>
          </w:tcPr>
          <w:p w14:paraId="52642BA4" w14:textId="77777777" w:rsidR="00FA7C11" w:rsidRDefault="00D84965">
            <w:pPr>
              <w:pStyle w:val="P68B1DB1-Normal102"/>
              <w:spacing w:after="0" w:line="240" w:lineRule="auto"/>
              <w:jc w:val="center"/>
              <w:textAlignment w:val="baseline"/>
              <w:rPr>
                <w:noProof/>
              </w:rPr>
            </w:pPr>
            <w:r>
              <w:rPr>
                <w:noProof/>
              </w:rPr>
              <w:t>20</w:t>
            </w:r>
          </w:p>
        </w:tc>
        <w:tc>
          <w:tcPr>
            <w:tcW w:w="1639" w:type="dxa"/>
            <w:shd w:val="clear" w:color="auto" w:fill="C6EFCE"/>
            <w:vAlign w:val="center"/>
          </w:tcPr>
          <w:p w14:paraId="67EB16C1" w14:textId="77777777" w:rsidR="00FA7C11" w:rsidRDefault="00D84965">
            <w:pPr>
              <w:pStyle w:val="P68B1DB1-Normal102"/>
              <w:spacing w:after="0" w:line="240" w:lineRule="auto"/>
              <w:jc w:val="center"/>
              <w:textAlignment w:val="baseline"/>
              <w:rPr>
                <w:noProof/>
              </w:rPr>
            </w:pPr>
            <w:r>
              <w:rPr>
                <w:noProof/>
              </w:rPr>
              <w:t>C1.1.1. R4-I3</w:t>
            </w:r>
          </w:p>
        </w:tc>
        <w:tc>
          <w:tcPr>
            <w:tcW w:w="1274" w:type="dxa"/>
            <w:shd w:val="clear" w:color="auto" w:fill="C6EFCE"/>
            <w:vAlign w:val="center"/>
          </w:tcPr>
          <w:p w14:paraId="40D4E4B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25660CC" w14:textId="77777777" w:rsidR="00FA7C11" w:rsidRDefault="00D84965">
            <w:pPr>
              <w:pStyle w:val="P68B1DB1-Normal102"/>
              <w:spacing w:after="0" w:line="240" w:lineRule="auto"/>
              <w:textAlignment w:val="baseline"/>
              <w:rPr>
                <w:noProof/>
              </w:rPr>
            </w:pPr>
            <w:r>
              <w:rPr>
                <w:noProof/>
              </w:rPr>
              <w:t>Numărul de proiecte acordate întreprinderilor cu capitalizare medie și întreprinderilor mari</w:t>
            </w:r>
          </w:p>
        </w:tc>
      </w:tr>
      <w:tr w:rsidR="00FA7C11" w14:paraId="039EBBD2" w14:textId="77777777">
        <w:trPr>
          <w:trHeight w:val="51"/>
        </w:trPr>
        <w:tc>
          <w:tcPr>
            <w:tcW w:w="1096" w:type="dxa"/>
            <w:shd w:val="clear" w:color="auto" w:fill="C6EFCE"/>
            <w:vAlign w:val="center"/>
          </w:tcPr>
          <w:p w14:paraId="66CC97F9" w14:textId="77777777" w:rsidR="00FA7C11" w:rsidRDefault="00D84965">
            <w:pPr>
              <w:pStyle w:val="P68B1DB1-Normal102"/>
              <w:spacing w:after="0" w:line="240" w:lineRule="auto"/>
              <w:jc w:val="center"/>
              <w:textAlignment w:val="baseline"/>
              <w:rPr>
                <w:noProof/>
              </w:rPr>
            </w:pPr>
            <w:r>
              <w:rPr>
                <w:noProof/>
              </w:rPr>
              <w:t>22</w:t>
            </w:r>
          </w:p>
        </w:tc>
        <w:tc>
          <w:tcPr>
            <w:tcW w:w="1639" w:type="dxa"/>
            <w:shd w:val="clear" w:color="auto" w:fill="C6EFCE"/>
            <w:vAlign w:val="center"/>
          </w:tcPr>
          <w:p w14:paraId="51EF1927" w14:textId="77777777" w:rsidR="00FA7C11" w:rsidRDefault="00D84965">
            <w:pPr>
              <w:pStyle w:val="P68B1DB1-Normal102"/>
              <w:spacing w:after="0" w:line="240" w:lineRule="auto"/>
              <w:jc w:val="center"/>
              <w:textAlignment w:val="baseline"/>
              <w:rPr>
                <w:noProof/>
              </w:rPr>
            </w:pPr>
            <w:r>
              <w:rPr>
                <w:noProof/>
              </w:rPr>
              <w:t>C1.1.1. R4-I4</w:t>
            </w:r>
          </w:p>
        </w:tc>
        <w:tc>
          <w:tcPr>
            <w:tcW w:w="1274" w:type="dxa"/>
            <w:shd w:val="clear" w:color="auto" w:fill="C6EFCE"/>
            <w:vAlign w:val="center"/>
          </w:tcPr>
          <w:p w14:paraId="5CA4C40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8006E92" w14:textId="77777777" w:rsidR="00FA7C11" w:rsidRDefault="00D84965">
            <w:pPr>
              <w:pStyle w:val="P68B1DB1-Normal102"/>
              <w:spacing w:after="0" w:line="240" w:lineRule="auto"/>
              <w:textAlignment w:val="baseline"/>
              <w:rPr>
                <w:noProof/>
              </w:rPr>
            </w:pPr>
            <w:r>
              <w:rPr>
                <w:noProof/>
              </w:rPr>
              <w:t>Credite acordate pentru proiecte din sectorul public</w:t>
            </w:r>
          </w:p>
        </w:tc>
      </w:tr>
      <w:tr w:rsidR="00FA7C11" w14:paraId="53B18389" w14:textId="77777777">
        <w:trPr>
          <w:trHeight w:val="51"/>
        </w:trPr>
        <w:tc>
          <w:tcPr>
            <w:tcW w:w="1096" w:type="dxa"/>
            <w:shd w:val="clear" w:color="auto" w:fill="C6EFCE"/>
            <w:vAlign w:val="center"/>
          </w:tcPr>
          <w:p w14:paraId="7B982686" w14:textId="77777777" w:rsidR="00FA7C11" w:rsidRDefault="00D84965">
            <w:pPr>
              <w:pStyle w:val="P68B1DB1-Normal102"/>
              <w:spacing w:after="0" w:line="240" w:lineRule="auto"/>
              <w:jc w:val="center"/>
              <w:textAlignment w:val="baseline"/>
              <w:rPr>
                <w:noProof/>
              </w:rPr>
            </w:pPr>
            <w:r>
              <w:rPr>
                <w:noProof/>
              </w:rPr>
              <w:t>24</w:t>
            </w:r>
          </w:p>
        </w:tc>
        <w:tc>
          <w:tcPr>
            <w:tcW w:w="1639" w:type="dxa"/>
            <w:shd w:val="clear" w:color="auto" w:fill="C6EFCE"/>
            <w:vAlign w:val="center"/>
          </w:tcPr>
          <w:p w14:paraId="170AEE93" w14:textId="77777777" w:rsidR="00FA7C11" w:rsidRDefault="00D84965">
            <w:pPr>
              <w:pStyle w:val="P68B1DB1-Normal102"/>
              <w:spacing w:after="0" w:line="240" w:lineRule="auto"/>
              <w:jc w:val="center"/>
              <w:textAlignment w:val="baseline"/>
              <w:rPr>
                <w:noProof/>
              </w:rPr>
            </w:pPr>
            <w:r>
              <w:rPr>
                <w:noProof/>
              </w:rPr>
              <w:t>C1.1.1. R5-I1</w:t>
            </w:r>
          </w:p>
        </w:tc>
        <w:tc>
          <w:tcPr>
            <w:tcW w:w="1274" w:type="dxa"/>
            <w:shd w:val="clear" w:color="auto" w:fill="C6EFCE"/>
            <w:vAlign w:val="center"/>
          </w:tcPr>
          <w:p w14:paraId="196F35A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A6AF122" w14:textId="77777777" w:rsidR="00FA7C11" w:rsidRDefault="00D84965">
            <w:pPr>
              <w:pStyle w:val="P68B1DB1-Normal102"/>
              <w:spacing w:after="0" w:line="240" w:lineRule="auto"/>
              <w:textAlignment w:val="baseline"/>
              <w:rPr>
                <w:noProof/>
              </w:rPr>
            </w:pPr>
            <w:r>
              <w:rPr>
                <w:noProof/>
              </w:rPr>
              <w:t>Investiții în instrumente de capital și cvasicapital</w:t>
            </w:r>
          </w:p>
        </w:tc>
      </w:tr>
      <w:tr w:rsidR="00FA7C11" w14:paraId="7D9599AE" w14:textId="77777777">
        <w:trPr>
          <w:trHeight w:val="51"/>
        </w:trPr>
        <w:tc>
          <w:tcPr>
            <w:tcW w:w="1096" w:type="dxa"/>
            <w:shd w:val="clear" w:color="auto" w:fill="C6EFCE"/>
            <w:vAlign w:val="center"/>
          </w:tcPr>
          <w:p w14:paraId="5C1004F8" w14:textId="77777777" w:rsidR="00FA7C11" w:rsidRDefault="00D84965">
            <w:pPr>
              <w:pStyle w:val="P68B1DB1-Normal102"/>
              <w:spacing w:after="0" w:line="240" w:lineRule="auto"/>
              <w:jc w:val="center"/>
              <w:textAlignment w:val="baseline"/>
              <w:rPr>
                <w:noProof/>
              </w:rPr>
            </w:pPr>
            <w:r>
              <w:rPr>
                <w:noProof/>
              </w:rPr>
              <w:t>26</w:t>
            </w:r>
          </w:p>
        </w:tc>
        <w:tc>
          <w:tcPr>
            <w:tcW w:w="1639" w:type="dxa"/>
            <w:shd w:val="clear" w:color="auto" w:fill="C6EFCE"/>
            <w:vAlign w:val="center"/>
          </w:tcPr>
          <w:p w14:paraId="6D9B9501" w14:textId="77777777" w:rsidR="00FA7C11" w:rsidRDefault="00D84965">
            <w:pPr>
              <w:pStyle w:val="P68B1DB1-Normal102"/>
              <w:spacing w:after="0" w:line="240" w:lineRule="auto"/>
              <w:jc w:val="center"/>
              <w:textAlignment w:val="baseline"/>
              <w:rPr>
                <w:noProof/>
              </w:rPr>
            </w:pPr>
            <w:r>
              <w:rPr>
                <w:noProof/>
              </w:rPr>
              <w:t>C1.1.1. R6-I1</w:t>
            </w:r>
          </w:p>
        </w:tc>
        <w:tc>
          <w:tcPr>
            <w:tcW w:w="1274" w:type="dxa"/>
            <w:shd w:val="clear" w:color="auto" w:fill="C6EFCE"/>
            <w:vAlign w:val="center"/>
          </w:tcPr>
          <w:p w14:paraId="04B02B5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57AA840" w14:textId="77777777" w:rsidR="00FA7C11" w:rsidRDefault="00D84965">
            <w:pPr>
              <w:pStyle w:val="P68B1DB1-Normal102"/>
              <w:spacing w:after="0" w:line="240" w:lineRule="auto"/>
              <w:textAlignment w:val="baseline"/>
              <w:rPr>
                <w:noProof/>
              </w:rPr>
            </w:pPr>
            <w:r>
              <w:rPr>
                <w:noProof/>
              </w:rPr>
              <w:t>Investiții în transformarea și competitivitatea industriilor culturale și creative</w:t>
            </w:r>
          </w:p>
        </w:tc>
      </w:tr>
      <w:tr w:rsidR="00FA7C11" w14:paraId="0EE6EC4E" w14:textId="77777777">
        <w:trPr>
          <w:trHeight w:val="51"/>
        </w:trPr>
        <w:tc>
          <w:tcPr>
            <w:tcW w:w="1096" w:type="dxa"/>
            <w:shd w:val="clear" w:color="auto" w:fill="C6EFCE"/>
            <w:vAlign w:val="center"/>
          </w:tcPr>
          <w:p w14:paraId="6F35A0EB" w14:textId="77777777" w:rsidR="00FA7C11" w:rsidRDefault="00D84965">
            <w:pPr>
              <w:pStyle w:val="P68B1DB1-Normal102"/>
              <w:spacing w:after="0" w:line="240" w:lineRule="auto"/>
              <w:jc w:val="center"/>
              <w:textAlignment w:val="baseline"/>
              <w:rPr>
                <w:noProof/>
              </w:rPr>
            </w:pPr>
            <w:r>
              <w:rPr>
                <w:noProof/>
              </w:rPr>
              <w:t>27</w:t>
            </w:r>
          </w:p>
        </w:tc>
        <w:tc>
          <w:tcPr>
            <w:tcW w:w="1639" w:type="dxa"/>
            <w:shd w:val="clear" w:color="auto" w:fill="C6EFCE"/>
            <w:vAlign w:val="center"/>
          </w:tcPr>
          <w:p w14:paraId="776B492F" w14:textId="77777777" w:rsidR="00FA7C11" w:rsidRDefault="00D84965">
            <w:pPr>
              <w:pStyle w:val="P68B1DB1-Normal102"/>
              <w:spacing w:after="0" w:line="240" w:lineRule="auto"/>
              <w:jc w:val="center"/>
              <w:textAlignment w:val="baseline"/>
              <w:rPr>
                <w:noProof/>
              </w:rPr>
            </w:pPr>
            <w:r>
              <w:rPr>
                <w:noProof/>
              </w:rPr>
              <w:t>C1.1.1. R6-I2</w:t>
            </w:r>
          </w:p>
        </w:tc>
        <w:tc>
          <w:tcPr>
            <w:tcW w:w="1274" w:type="dxa"/>
            <w:shd w:val="clear" w:color="auto" w:fill="C6EFCE"/>
            <w:vAlign w:val="center"/>
          </w:tcPr>
          <w:p w14:paraId="69E38CFA"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9A44B3B" w14:textId="77777777" w:rsidR="00FA7C11" w:rsidRDefault="00D84965">
            <w:pPr>
              <w:pStyle w:val="P68B1DB1-Normal102"/>
              <w:spacing w:after="0" w:line="240" w:lineRule="auto"/>
              <w:textAlignment w:val="baseline"/>
              <w:rPr>
                <w:noProof/>
              </w:rPr>
            </w:pPr>
            <w:r>
              <w:rPr>
                <w:noProof/>
              </w:rPr>
              <w:t>Instituirea unui sistem de verificare a veridicității informațiilor</w:t>
            </w:r>
          </w:p>
        </w:tc>
      </w:tr>
      <w:tr w:rsidR="00FA7C11" w14:paraId="5A03F3C4"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tcPr>
          <w:p w14:paraId="4C0425F5" w14:textId="77777777" w:rsidR="00FA7C11" w:rsidRDefault="00D84965">
            <w:pPr>
              <w:pStyle w:val="P68B1DB1-Normal102"/>
              <w:spacing w:after="0" w:line="240" w:lineRule="auto"/>
              <w:jc w:val="center"/>
              <w:textAlignment w:val="baseline"/>
              <w:rPr>
                <w:noProof/>
              </w:rPr>
            </w:pPr>
            <w:r>
              <w:rPr>
                <w:noProof/>
              </w:rPr>
              <w:t>29</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5630F5A1" w14:textId="77777777" w:rsidR="00FA7C11" w:rsidRDefault="00D84965">
            <w:pPr>
              <w:pStyle w:val="P68B1DB1-Normal102"/>
              <w:spacing w:after="0" w:line="240" w:lineRule="auto"/>
              <w:jc w:val="center"/>
              <w:textAlignment w:val="baseline"/>
              <w:rPr>
                <w:noProof/>
              </w:rPr>
            </w:pPr>
            <w:r>
              <w:rPr>
                <w:noProof/>
              </w:rPr>
              <w:t>C1.1.2. R2-I2</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F4C0239" w14:textId="77777777" w:rsidR="00FA7C11" w:rsidRDefault="00D84965">
            <w:pPr>
              <w:pStyle w:val="P68B1DB1-Normal102"/>
              <w:spacing w:after="0" w:line="240" w:lineRule="auto"/>
              <w:jc w:val="center"/>
              <w:textAlignment w:val="baseline"/>
              <w:rPr>
                <w:noProof/>
              </w:rPr>
            </w:pPr>
            <w:r>
              <w:rPr>
                <w:noProof/>
              </w:rPr>
              <w:t>T</w:t>
            </w:r>
          </w:p>
        </w:tc>
        <w:tc>
          <w:tcPr>
            <w:tcW w:w="5347" w:type="dxa"/>
            <w:tcBorders>
              <w:top w:val="single" w:sz="4" w:space="0" w:color="auto"/>
              <w:left w:val="single" w:sz="4" w:space="0" w:color="auto"/>
              <w:bottom w:val="single" w:sz="4" w:space="0" w:color="auto"/>
              <w:right w:val="single" w:sz="4" w:space="0" w:color="auto"/>
            </w:tcBorders>
            <w:shd w:val="clear" w:color="auto" w:fill="C6EFCE"/>
          </w:tcPr>
          <w:p w14:paraId="11FE0B4B" w14:textId="77777777" w:rsidR="00FA7C11" w:rsidRDefault="00D84965">
            <w:pPr>
              <w:pStyle w:val="P68B1DB1-Normal89"/>
              <w:spacing w:after="0" w:line="240" w:lineRule="auto"/>
              <w:jc w:val="both"/>
              <w:textAlignment w:val="baseline"/>
              <w:rPr>
                <w:noProof/>
                <w:color w:val="000000"/>
              </w:rPr>
            </w:pPr>
            <w:r>
              <w:rPr>
                <w:noProof/>
              </w:rPr>
              <w:t xml:space="preserve">Sprijinirea IMM-urilor în vederea modernizării capacității de gestionare </w:t>
            </w:r>
          </w:p>
        </w:tc>
      </w:tr>
      <w:tr w:rsidR="00FA7C11" w14:paraId="455CDC39" w14:textId="77777777">
        <w:trPr>
          <w:trHeight w:val="51"/>
        </w:trPr>
        <w:tc>
          <w:tcPr>
            <w:tcW w:w="1096" w:type="dxa"/>
            <w:shd w:val="clear" w:color="auto" w:fill="C6EFCE"/>
            <w:vAlign w:val="center"/>
          </w:tcPr>
          <w:p w14:paraId="64AB96E5" w14:textId="77777777" w:rsidR="00FA7C11" w:rsidRDefault="00D84965">
            <w:pPr>
              <w:pStyle w:val="P68B1DB1-Normal102"/>
              <w:spacing w:after="0" w:line="240" w:lineRule="auto"/>
              <w:jc w:val="center"/>
              <w:textAlignment w:val="baseline"/>
              <w:rPr>
                <w:noProof/>
              </w:rPr>
            </w:pPr>
            <w:r>
              <w:rPr>
                <w:noProof/>
              </w:rPr>
              <w:t>31</w:t>
            </w:r>
          </w:p>
        </w:tc>
        <w:tc>
          <w:tcPr>
            <w:tcW w:w="1639" w:type="dxa"/>
            <w:shd w:val="clear" w:color="auto" w:fill="C6EFCE"/>
            <w:vAlign w:val="center"/>
          </w:tcPr>
          <w:p w14:paraId="25C8B03A" w14:textId="77777777" w:rsidR="00FA7C11" w:rsidRDefault="00D84965">
            <w:pPr>
              <w:pStyle w:val="P68B1DB1-Normal102"/>
              <w:spacing w:after="0" w:line="240" w:lineRule="auto"/>
              <w:jc w:val="center"/>
              <w:textAlignment w:val="baseline"/>
              <w:rPr>
                <w:noProof/>
              </w:rPr>
            </w:pPr>
            <w:r>
              <w:rPr>
                <w:noProof/>
              </w:rPr>
              <w:t>C1.1.2. R2-I4</w:t>
            </w:r>
          </w:p>
        </w:tc>
        <w:tc>
          <w:tcPr>
            <w:tcW w:w="1274" w:type="dxa"/>
            <w:shd w:val="clear" w:color="auto" w:fill="C6EFCE"/>
            <w:vAlign w:val="center"/>
          </w:tcPr>
          <w:p w14:paraId="1F1D5D2A"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48BE1A9" w14:textId="77777777" w:rsidR="00FA7C11" w:rsidRDefault="00D84965">
            <w:pPr>
              <w:pStyle w:val="P68B1DB1-Normal102"/>
              <w:spacing w:after="0" w:line="240" w:lineRule="auto"/>
              <w:jc w:val="both"/>
              <w:textAlignment w:val="baseline"/>
              <w:rPr>
                <w:noProof/>
              </w:rPr>
            </w:pPr>
            <w:r>
              <w:rPr>
                <w:noProof/>
              </w:rPr>
              <w:t>Sprijinirea creșterii întreprinderilor nou-înființate prin instituirea unui program accelerator.</w:t>
            </w:r>
          </w:p>
        </w:tc>
      </w:tr>
      <w:tr w:rsidR="00FA7C11" w14:paraId="5E79FF0C" w14:textId="77777777">
        <w:trPr>
          <w:trHeight w:val="51"/>
        </w:trPr>
        <w:tc>
          <w:tcPr>
            <w:tcW w:w="1096" w:type="dxa"/>
            <w:shd w:val="clear" w:color="auto" w:fill="C6EFCE"/>
            <w:vAlign w:val="center"/>
          </w:tcPr>
          <w:p w14:paraId="167949A8" w14:textId="77777777" w:rsidR="00FA7C11" w:rsidRDefault="00D84965">
            <w:pPr>
              <w:pStyle w:val="P68B1DB1-Normal102"/>
              <w:spacing w:after="0" w:line="240" w:lineRule="auto"/>
              <w:jc w:val="center"/>
              <w:textAlignment w:val="baseline"/>
              <w:rPr>
                <w:noProof/>
              </w:rPr>
            </w:pPr>
            <w:r>
              <w:rPr>
                <w:noProof/>
              </w:rPr>
              <w:t>33</w:t>
            </w:r>
          </w:p>
        </w:tc>
        <w:tc>
          <w:tcPr>
            <w:tcW w:w="1639" w:type="dxa"/>
            <w:shd w:val="clear" w:color="auto" w:fill="C6EFCE"/>
            <w:vAlign w:val="center"/>
          </w:tcPr>
          <w:p w14:paraId="460B686E" w14:textId="77777777" w:rsidR="00FA7C11" w:rsidRDefault="00D84965">
            <w:pPr>
              <w:pStyle w:val="P68B1DB1-Normal102"/>
              <w:spacing w:after="0" w:line="240" w:lineRule="auto"/>
              <w:jc w:val="center"/>
              <w:textAlignment w:val="baseline"/>
              <w:rPr>
                <w:noProof/>
              </w:rPr>
            </w:pPr>
            <w:r>
              <w:rPr>
                <w:noProof/>
              </w:rPr>
              <w:t>C1.1.2. R3-I2</w:t>
            </w:r>
          </w:p>
        </w:tc>
        <w:tc>
          <w:tcPr>
            <w:tcW w:w="1274" w:type="dxa"/>
            <w:shd w:val="clear" w:color="auto" w:fill="C6EFCE"/>
            <w:vAlign w:val="center"/>
          </w:tcPr>
          <w:p w14:paraId="3EB218D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1705BAE" w14:textId="77777777" w:rsidR="00FA7C11" w:rsidRDefault="00D84965">
            <w:pPr>
              <w:pStyle w:val="P68B1DB1-Normal102"/>
              <w:spacing w:after="0" w:line="240" w:lineRule="auto"/>
              <w:jc w:val="both"/>
              <w:textAlignment w:val="baseline"/>
              <w:rPr>
                <w:noProof/>
              </w:rPr>
            </w:pPr>
            <w:r>
              <w:rPr>
                <w:noProof/>
              </w:rPr>
              <w:t xml:space="preserve">Acordarea de sprijin sub formă de vouchere </w:t>
            </w:r>
          </w:p>
        </w:tc>
      </w:tr>
      <w:tr w:rsidR="00FA7C11" w14:paraId="57344D4C" w14:textId="77777777">
        <w:trPr>
          <w:trHeight w:val="51"/>
        </w:trPr>
        <w:tc>
          <w:tcPr>
            <w:tcW w:w="1096" w:type="dxa"/>
            <w:shd w:val="clear" w:color="auto" w:fill="C6EFCE"/>
            <w:vAlign w:val="center"/>
          </w:tcPr>
          <w:p w14:paraId="093A4B3A" w14:textId="77777777" w:rsidR="00FA7C11" w:rsidRDefault="00D84965">
            <w:pPr>
              <w:pStyle w:val="P68B1DB1-Normal102"/>
              <w:spacing w:after="0" w:line="240" w:lineRule="auto"/>
              <w:jc w:val="center"/>
              <w:textAlignment w:val="baseline"/>
              <w:rPr>
                <w:noProof/>
              </w:rPr>
            </w:pPr>
            <w:r>
              <w:rPr>
                <w:noProof/>
              </w:rPr>
              <w:t>34</w:t>
            </w:r>
          </w:p>
        </w:tc>
        <w:tc>
          <w:tcPr>
            <w:tcW w:w="1639" w:type="dxa"/>
            <w:shd w:val="clear" w:color="auto" w:fill="C6EFCE"/>
            <w:vAlign w:val="center"/>
          </w:tcPr>
          <w:p w14:paraId="1C6497B6" w14:textId="77777777" w:rsidR="00FA7C11" w:rsidRDefault="00D84965">
            <w:pPr>
              <w:pStyle w:val="P68B1DB1-Normal102"/>
              <w:spacing w:after="0" w:line="240" w:lineRule="auto"/>
              <w:jc w:val="center"/>
              <w:textAlignment w:val="baseline"/>
              <w:rPr>
                <w:noProof/>
              </w:rPr>
            </w:pPr>
            <w:r>
              <w:rPr>
                <w:noProof/>
              </w:rPr>
              <w:t>C1.1.2. R3-I3</w:t>
            </w:r>
          </w:p>
        </w:tc>
        <w:tc>
          <w:tcPr>
            <w:tcW w:w="1274" w:type="dxa"/>
            <w:shd w:val="clear" w:color="auto" w:fill="C6EFCE"/>
            <w:vAlign w:val="center"/>
          </w:tcPr>
          <w:p w14:paraId="5A1CD7F7"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F95F713" w14:textId="3E9CC37E" w:rsidR="00FA7C11" w:rsidRDefault="00D84965">
            <w:pPr>
              <w:pStyle w:val="P68B1DB1-Normal102"/>
              <w:spacing w:after="0" w:line="240" w:lineRule="auto"/>
              <w:jc w:val="both"/>
              <w:textAlignment w:val="baseline"/>
              <w:rPr>
                <w:noProof/>
              </w:rPr>
            </w:pPr>
            <w:r>
              <w:rPr>
                <w:noProof/>
              </w:rPr>
              <w:t xml:space="preserve">Acordarea de sprijin pentru transformarea digitală a IMM-urilor croate </w:t>
            </w:r>
          </w:p>
        </w:tc>
      </w:tr>
      <w:tr w:rsidR="00FA7C11" w14:paraId="79A9EB69" w14:textId="77777777">
        <w:trPr>
          <w:trHeight w:val="51"/>
        </w:trPr>
        <w:tc>
          <w:tcPr>
            <w:tcW w:w="1096" w:type="dxa"/>
            <w:shd w:val="clear" w:color="auto" w:fill="C6EFCE"/>
            <w:vAlign w:val="center"/>
          </w:tcPr>
          <w:p w14:paraId="0C863BB2" w14:textId="77777777" w:rsidR="00FA7C11" w:rsidRDefault="00D84965">
            <w:pPr>
              <w:pStyle w:val="P68B1DB1-Normal102"/>
              <w:spacing w:after="0" w:line="240" w:lineRule="auto"/>
              <w:jc w:val="center"/>
              <w:textAlignment w:val="baseline"/>
              <w:rPr>
                <w:noProof/>
              </w:rPr>
            </w:pPr>
            <w:r>
              <w:rPr>
                <w:noProof/>
              </w:rPr>
              <w:t>44</w:t>
            </w:r>
          </w:p>
        </w:tc>
        <w:tc>
          <w:tcPr>
            <w:tcW w:w="1639" w:type="dxa"/>
            <w:shd w:val="clear" w:color="auto" w:fill="C6EFCE"/>
            <w:vAlign w:val="center"/>
          </w:tcPr>
          <w:p w14:paraId="14ACE266" w14:textId="77777777" w:rsidR="00FA7C11" w:rsidRDefault="00D84965">
            <w:pPr>
              <w:pStyle w:val="P68B1DB1-Normal102"/>
              <w:spacing w:after="0" w:line="240" w:lineRule="auto"/>
              <w:jc w:val="center"/>
              <w:textAlignment w:val="baseline"/>
              <w:rPr>
                <w:noProof/>
              </w:rPr>
            </w:pPr>
            <w:r>
              <w:rPr>
                <w:noProof/>
              </w:rPr>
              <w:t>C1.2. R1-I1</w:t>
            </w:r>
          </w:p>
        </w:tc>
        <w:tc>
          <w:tcPr>
            <w:tcW w:w="1274" w:type="dxa"/>
            <w:shd w:val="clear" w:color="auto" w:fill="C6EFCE"/>
            <w:vAlign w:val="center"/>
          </w:tcPr>
          <w:p w14:paraId="47762883"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AFD120B" w14:textId="2A4691A7" w:rsidR="00FA7C11" w:rsidRDefault="00D84965">
            <w:pPr>
              <w:pStyle w:val="P68B1DB1-Normal102"/>
              <w:spacing w:after="0" w:line="240" w:lineRule="auto"/>
              <w:jc w:val="both"/>
              <w:textAlignment w:val="baseline"/>
              <w:rPr>
                <w:noProof/>
              </w:rPr>
            </w:pPr>
            <w:r>
              <w:rPr>
                <w:noProof/>
              </w:rPr>
              <w:t>A cablurilor modernizate pentru rețeaua de înaltă tensiune (220/110 kV) și a cablurilor submarine pentru rețeaua de distribuție stabilite</w:t>
            </w:r>
          </w:p>
        </w:tc>
      </w:tr>
      <w:tr w:rsidR="00FA7C11" w14:paraId="12461C2F"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6B91CED" w14:textId="77777777" w:rsidR="00FA7C11" w:rsidRDefault="00D84965">
            <w:pPr>
              <w:pStyle w:val="P68B1DB1-Normal102"/>
              <w:spacing w:after="0" w:line="240" w:lineRule="auto"/>
              <w:jc w:val="center"/>
              <w:textAlignment w:val="baseline"/>
              <w:rPr>
                <w:noProof/>
              </w:rPr>
            </w:pPr>
            <w:r>
              <w:rPr>
                <w:noProof/>
              </w:rPr>
              <w:t>48</w:t>
            </w:r>
          </w:p>
        </w:tc>
        <w:tc>
          <w:tcPr>
            <w:tcW w:w="1639" w:type="dxa"/>
            <w:tcBorders>
              <w:top w:val="single" w:sz="4" w:space="0" w:color="auto"/>
              <w:left w:val="single" w:sz="4" w:space="0" w:color="auto"/>
              <w:bottom w:val="single" w:sz="4" w:space="0" w:color="auto"/>
              <w:right w:val="single" w:sz="4" w:space="0" w:color="auto"/>
            </w:tcBorders>
            <w:shd w:val="clear" w:color="auto" w:fill="C6EFCE"/>
            <w:vAlign w:val="center"/>
          </w:tcPr>
          <w:p w14:paraId="0697544B" w14:textId="77777777" w:rsidR="00FA7C11" w:rsidRDefault="00D84965">
            <w:pPr>
              <w:pStyle w:val="P68B1DB1-Normal102"/>
              <w:spacing w:after="0" w:line="240" w:lineRule="auto"/>
              <w:jc w:val="center"/>
              <w:textAlignment w:val="baseline"/>
              <w:rPr>
                <w:noProof/>
              </w:rPr>
            </w:pPr>
            <w:r>
              <w:rPr>
                <w:noProof/>
              </w:rPr>
              <w:t>C1.2. R1-I2</w:t>
            </w:r>
          </w:p>
        </w:tc>
        <w:tc>
          <w:tcPr>
            <w:tcW w:w="1274" w:type="dxa"/>
            <w:tcBorders>
              <w:top w:val="single" w:sz="4" w:space="0" w:color="auto"/>
              <w:left w:val="single" w:sz="4" w:space="0" w:color="auto"/>
              <w:bottom w:val="single" w:sz="4" w:space="0" w:color="auto"/>
              <w:right w:val="single" w:sz="4" w:space="0" w:color="auto"/>
            </w:tcBorders>
            <w:shd w:val="clear" w:color="auto" w:fill="C6EFCE"/>
            <w:vAlign w:val="center"/>
          </w:tcPr>
          <w:p w14:paraId="76896A74" w14:textId="77777777" w:rsidR="00FA7C11" w:rsidRDefault="00D84965">
            <w:pPr>
              <w:pStyle w:val="P68B1DB1-Normal102"/>
              <w:spacing w:after="0" w:line="240" w:lineRule="auto"/>
              <w:jc w:val="center"/>
              <w:textAlignment w:val="baseline"/>
              <w:rPr>
                <w:noProof/>
              </w:rPr>
            </w:pPr>
            <w:r>
              <w:rPr>
                <w:noProof/>
              </w:rPr>
              <w:t>M</w:t>
            </w:r>
          </w:p>
        </w:tc>
        <w:tc>
          <w:tcPr>
            <w:tcW w:w="5347" w:type="dxa"/>
            <w:tcBorders>
              <w:top w:val="single" w:sz="4" w:space="0" w:color="auto"/>
              <w:left w:val="single" w:sz="4" w:space="0" w:color="auto"/>
              <w:bottom w:val="single" w:sz="4" w:space="0" w:color="auto"/>
              <w:right w:val="single" w:sz="4" w:space="0" w:color="auto"/>
            </w:tcBorders>
            <w:shd w:val="clear" w:color="auto" w:fill="C6EFCE"/>
            <w:vAlign w:val="center"/>
          </w:tcPr>
          <w:p w14:paraId="10C5E09A" w14:textId="77777777" w:rsidR="00FA7C11" w:rsidRDefault="00D84965">
            <w:pPr>
              <w:pStyle w:val="P68B1DB1-Normal89"/>
              <w:spacing w:after="0" w:line="240" w:lineRule="auto"/>
              <w:jc w:val="both"/>
              <w:textAlignment w:val="baseline"/>
              <w:rPr>
                <w:noProof/>
                <w:color w:val="000000"/>
              </w:rPr>
            </w:pPr>
            <w:r>
              <w:rPr>
                <w:noProof/>
              </w:rPr>
              <w:t>Rezultatele potențialului geotermal pentru încălzirea centralizată puse la dispoziția publicului</w:t>
            </w:r>
          </w:p>
        </w:tc>
      </w:tr>
      <w:tr w:rsidR="00FA7C11" w14:paraId="18BE9007" w14:textId="77777777">
        <w:trPr>
          <w:trHeight w:val="51"/>
        </w:trPr>
        <w:tc>
          <w:tcPr>
            <w:tcW w:w="1096" w:type="dxa"/>
            <w:tcBorders>
              <w:top w:val="single" w:sz="4" w:space="0" w:color="auto"/>
              <w:left w:val="single" w:sz="4" w:space="0" w:color="auto"/>
              <w:bottom w:val="single" w:sz="4" w:space="0" w:color="auto"/>
              <w:right w:val="single" w:sz="4" w:space="0" w:color="auto"/>
            </w:tcBorders>
            <w:shd w:val="clear" w:color="auto" w:fill="C6EFCE"/>
          </w:tcPr>
          <w:p w14:paraId="26B3FF4F" w14:textId="77777777" w:rsidR="00FA7C11" w:rsidRDefault="00D84965">
            <w:pPr>
              <w:pStyle w:val="P68B1DB1-Normal66"/>
              <w:spacing w:after="0" w:line="240" w:lineRule="auto"/>
              <w:jc w:val="center"/>
              <w:textAlignment w:val="baseline"/>
              <w:rPr>
                <w:noProof/>
              </w:rPr>
            </w:pPr>
            <w:r>
              <w:rPr>
                <w:noProof/>
              </w:rPr>
              <w:t>51</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62563112" w14:textId="77777777" w:rsidR="00FA7C11" w:rsidRDefault="00D84965">
            <w:pPr>
              <w:pStyle w:val="P68B1DB1-Normal66"/>
              <w:spacing w:after="0" w:line="240" w:lineRule="auto"/>
              <w:jc w:val="center"/>
              <w:textAlignment w:val="baseline"/>
              <w:rPr>
                <w:noProof/>
              </w:rPr>
            </w:pPr>
            <w:r>
              <w:rPr>
                <w:noProof/>
              </w:rPr>
              <w:t>C7.1 R1-I1</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FA5624C" w14:textId="77777777" w:rsidR="00FA7C11" w:rsidRDefault="00D84965">
            <w:pPr>
              <w:pStyle w:val="P68B1DB1-Normal66"/>
              <w:spacing w:after="0" w:line="240" w:lineRule="auto"/>
              <w:jc w:val="center"/>
              <w:textAlignment w:val="baseline"/>
              <w:rPr>
                <w:noProof/>
              </w:rPr>
            </w:pPr>
            <w:r>
              <w:rPr>
                <w:noProof/>
              </w:rPr>
              <w:t>M</w:t>
            </w:r>
          </w:p>
        </w:tc>
        <w:tc>
          <w:tcPr>
            <w:tcW w:w="5347" w:type="dxa"/>
            <w:tcBorders>
              <w:top w:val="single" w:sz="4" w:space="0" w:color="auto"/>
              <w:left w:val="single" w:sz="4" w:space="0" w:color="auto"/>
              <w:bottom w:val="single" w:sz="4" w:space="0" w:color="auto"/>
              <w:right w:val="single" w:sz="4" w:space="0" w:color="auto"/>
            </w:tcBorders>
            <w:shd w:val="clear" w:color="auto" w:fill="C6EFCE"/>
          </w:tcPr>
          <w:p w14:paraId="26B8C086" w14:textId="77777777" w:rsidR="00FA7C11" w:rsidRDefault="00D84965">
            <w:pPr>
              <w:pStyle w:val="P68B1DB1-Normal89"/>
              <w:spacing w:after="0" w:line="240" w:lineRule="auto"/>
              <w:jc w:val="both"/>
              <w:textAlignment w:val="baseline"/>
              <w:rPr>
                <w:noProof/>
                <w:color w:val="000000"/>
              </w:rPr>
            </w:pPr>
            <w:r>
              <w:rPr>
                <w:noProof/>
              </w:rPr>
              <w:t>Finanțarea unui proiect privind hidrogenul din surse regenerabile</w:t>
            </w:r>
          </w:p>
        </w:tc>
      </w:tr>
      <w:tr w:rsidR="00FA7C11" w14:paraId="16DED337" w14:textId="77777777">
        <w:trPr>
          <w:trHeight w:val="51"/>
        </w:trPr>
        <w:tc>
          <w:tcPr>
            <w:tcW w:w="1096" w:type="dxa"/>
            <w:shd w:val="clear" w:color="auto" w:fill="C6EFCE"/>
            <w:vAlign w:val="center"/>
          </w:tcPr>
          <w:p w14:paraId="61A80A9F" w14:textId="77777777" w:rsidR="00FA7C11" w:rsidRDefault="00D84965">
            <w:pPr>
              <w:pStyle w:val="P68B1DB1-Normal102"/>
              <w:spacing w:after="0" w:line="240" w:lineRule="auto"/>
              <w:jc w:val="center"/>
              <w:textAlignment w:val="baseline"/>
              <w:rPr>
                <w:noProof/>
              </w:rPr>
            </w:pPr>
            <w:r>
              <w:rPr>
                <w:noProof/>
              </w:rPr>
              <w:t>52</w:t>
            </w:r>
          </w:p>
        </w:tc>
        <w:tc>
          <w:tcPr>
            <w:tcW w:w="1639" w:type="dxa"/>
            <w:shd w:val="clear" w:color="auto" w:fill="C6EFCE"/>
            <w:vAlign w:val="center"/>
          </w:tcPr>
          <w:p w14:paraId="06AC6ACE" w14:textId="77777777" w:rsidR="00FA7C11" w:rsidRDefault="00D84965">
            <w:pPr>
              <w:pStyle w:val="P68B1DB1-Normal102"/>
              <w:spacing w:after="0" w:line="240" w:lineRule="auto"/>
              <w:jc w:val="center"/>
              <w:textAlignment w:val="baseline"/>
              <w:rPr>
                <w:noProof/>
              </w:rPr>
            </w:pPr>
            <w:r>
              <w:rPr>
                <w:noProof/>
              </w:rPr>
              <w:t>C7.1 R1-I1</w:t>
            </w:r>
          </w:p>
        </w:tc>
        <w:tc>
          <w:tcPr>
            <w:tcW w:w="1274" w:type="dxa"/>
            <w:shd w:val="clear" w:color="auto" w:fill="C6EFCE"/>
            <w:vAlign w:val="center"/>
          </w:tcPr>
          <w:p w14:paraId="1F8A09AD"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tcPr>
          <w:p w14:paraId="0DA1E51A" w14:textId="77777777" w:rsidR="00FA7C11" w:rsidRDefault="00D84965">
            <w:pPr>
              <w:pStyle w:val="P68B1DB1-Normal102"/>
              <w:spacing w:after="0" w:line="240" w:lineRule="auto"/>
              <w:jc w:val="both"/>
              <w:textAlignment w:val="baseline"/>
              <w:rPr>
                <w:noProof/>
              </w:rPr>
            </w:pPr>
            <w:r>
              <w:rPr>
                <w:noProof/>
              </w:rPr>
              <w:t xml:space="preserve">Licitație publică lansată pentru o capacitate suplimentară de hidrogen </w:t>
            </w:r>
          </w:p>
        </w:tc>
      </w:tr>
      <w:tr w:rsidR="00FA7C11" w14:paraId="61D9C4BF" w14:textId="77777777">
        <w:trPr>
          <w:trHeight w:val="51"/>
        </w:trPr>
        <w:tc>
          <w:tcPr>
            <w:tcW w:w="1096" w:type="dxa"/>
            <w:shd w:val="clear" w:color="auto" w:fill="C6EFCE"/>
            <w:vAlign w:val="center"/>
          </w:tcPr>
          <w:p w14:paraId="72E32D7B" w14:textId="77777777" w:rsidR="00FA7C11" w:rsidRDefault="00D84965">
            <w:pPr>
              <w:pStyle w:val="P68B1DB1-Normal102"/>
              <w:spacing w:after="0" w:line="240" w:lineRule="auto"/>
              <w:jc w:val="center"/>
              <w:textAlignment w:val="baseline"/>
              <w:rPr>
                <w:noProof/>
              </w:rPr>
            </w:pPr>
            <w:r>
              <w:rPr>
                <w:noProof/>
              </w:rPr>
              <w:t>54</w:t>
            </w:r>
          </w:p>
        </w:tc>
        <w:tc>
          <w:tcPr>
            <w:tcW w:w="1639" w:type="dxa"/>
            <w:shd w:val="clear" w:color="auto" w:fill="C6EFCE"/>
            <w:vAlign w:val="center"/>
          </w:tcPr>
          <w:p w14:paraId="1054C591" w14:textId="77777777" w:rsidR="00FA7C11" w:rsidRDefault="00D84965">
            <w:pPr>
              <w:pStyle w:val="P68B1DB1-Normal102"/>
              <w:spacing w:after="0" w:line="240" w:lineRule="auto"/>
              <w:jc w:val="center"/>
              <w:textAlignment w:val="baseline"/>
              <w:rPr>
                <w:noProof/>
              </w:rPr>
            </w:pPr>
            <w:r>
              <w:rPr>
                <w:noProof/>
              </w:rPr>
              <w:t>C7.1 R1-I1</w:t>
            </w:r>
          </w:p>
        </w:tc>
        <w:tc>
          <w:tcPr>
            <w:tcW w:w="1274" w:type="dxa"/>
            <w:shd w:val="clear" w:color="auto" w:fill="C6EFCE"/>
            <w:vAlign w:val="center"/>
          </w:tcPr>
          <w:p w14:paraId="1F2C0526"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tcPr>
          <w:p w14:paraId="76CE427E" w14:textId="77777777" w:rsidR="00FA7C11" w:rsidRDefault="00D84965">
            <w:pPr>
              <w:pStyle w:val="P68B1DB1-Normal102"/>
              <w:spacing w:after="0" w:line="240" w:lineRule="auto"/>
              <w:jc w:val="both"/>
              <w:textAlignment w:val="baseline"/>
              <w:rPr>
                <w:noProof/>
              </w:rPr>
            </w:pPr>
            <w:r>
              <w:rPr>
                <w:noProof/>
              </w:rPr>
              <w:t>Studii privind stocarea geologică a carbonului</w:t>
            </w:r>
          </w:p>
        </w:tc>
      </w:tr>
      <w:tr w:rsidR="00FA7C11" w14:paraId="4A52E5B1" w14:textId="77777777">
        <w:trPr>
          <w:trHeight w:val="51"/>
        </w:trPr>
        <w:tc>
          <w:tcPr>
            <w:tcW w:w="1096" w:type="dxa"/>
            <w:shd w:val="clear" w:color="auto" w:fill="C6EFCE"/>
            <w:vAlign w:val="center"/>
          </w:tcPr>
          <w:p w14:paraId="7A5DBFA8" w14:textId="77777777" w:rsidR="00FA7C11" w:rsidRDefault="00D84965">
            <w:pPr>
              <w:pStyle w:val="P68B1DB1-Normal102"/>
              <w:spacing w:after="0" w:line="240" w:lineRule="auto"/>
              <w:jc w:val="center"/>
              <w:textAlignment w:val="baseline"/>
              <w:rPr>
                <w:noProof/>
              </w:rPr>
            </w:pPr>
            <w:r>
              <w:rPr>
                <w:noProof/>
              </w:rPr>
              <w:t>65</w:t>
            </w:r>
          </w:p>
        </w:tc>
        <w:tc>
          <w:tcPr>
            <w:tcW w:w="1639" w:type="dxa"/>
            <w:shd w:val="clear" w:color="auto" w:fill="C6EFCE"/>
            <w:vAlign w:val="center"/>
          </w:tcPr>
          <w:p w14:paraId="798E7BED" w14:textId="77777777" w:rsidR="00FA7C11" w:rsidRDefault="00D84965">
            <w:pPr>
              <w:pStyle w:val="P68B1DB1-Normal102"/>
              <w:spacing w:after="0" w:line="240" w:lineRule="auto"/>
              <w:jc w:val="center"/>
              <w:textAlignment w:val="baseline"/>
              <w:rPr>
                <w:noProof/>
              </w:rPr>
            </w:pPr>
            <w:r>
              <w:rPr>
                <w:noProof/>
              </w:rPr>
              <w:t>C1.3. R1-I1</w:t>
            </w:r>
          </w:p>
        </w:tc>
        <w:tc>
          <w:tcPr>
            <w:tcW w:w="1274" w:type="dxa"/>
            <w:shd w:val="clear" w:color="auto" w:fill="C6EFCE"/>
            <w:vAlign w:val="center"/>
          </w:tcPr>
          <w:p w14:paraId="6A352284"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379FFB1" w14:textId="77777777" w:rsidR="00FA7C11" w:rsidRDefault="00D84965">
            <w:pPr>
              <w:pStyle w:val="P68B1DB1-Normal89"/>
              <w:spacing w:after="0" w:line="240" w:lineRule="auto"/>
              <w:jc w:val="both"/>
              <w:textAlignment w:val="baseline"/>
              <w:rPr>
                <w:noProof/>
                <w:color w:val="000000"/>
              </w:rPr>
            </w:pPr>
            <w:r>
              <w:rPr>
                <w:noProof/>
              </w:rPr>
              <w:t>Stații de epurare a apelor uzate construite</w:t>
            </w:r>
            <w:r>
              <w:rPr>
                <w:noProof/>
                <w:color w:val="000000"/>
              </w:rPr>
              <w:t xml:space="preserve"> sau modernizate</w:t>
            </w:r>
          </w:p>
        </w:tc>
      </w:tr>
      <w:tr w:rsidR="00FA7C11" w14:paraId="43FF971A" w14:textId="77777777">
        <w:trPr>
          <w:trHeight w:val="51"/>
        </w:trPr>
        <w:tc>
          <w:tcPr>
            <w:tcW w:w="1096" w:type="dxa"/>
            <w:shd w:val="clear" w:color="auto" w:fill="C6EFCE"/>
            <w:vAlign w:val="center"/>
          </w:tcPr>
          <w:p w14:paraId="6942A093" w14:textId="77777777" w:rsidR="00FA7C11" w:rsidRDefault="00D84965">
            <w:pPr>
              <w:pStyle w:val="P68B1DB1-Normal102"/>
              <w:spacing w:after="0" w:line="240" w:lineRule="auto"/>
              <w:jc w:val="center"/>
              <w:textAlignment w:val="baseline"/>
              <w:rPr>
                <w:noProof/>
              </w:rPr>
            </w:pPr>
            <w:r>
              <w:rPr>
                <w:noProof/>
              </w:rPr>
              <w:t>66</w:t>
            </w:r>
          </w:p>
        </w:tc>
        <w:tc>
          <w:tcPr>
            <w:tcW w:w="1639" w:type="dxa"/>
            <w:shd w:val="clear" w:color="auto" w:fill="C6EFCE"/>
            <w:vAlign w:val="center"/>
          </w:tcPr>
          <w:p w14:paraId="3C17091C" w14:textId="77777777" w:rsidR="00FA7C11" w:rsidRDefault="00D84965">
            <w:pPr>
              <w:pStyle w:val="P68B1DB1-Normal102"/>
              <w:spacing w:after="0" w:line="240" w:lineRule="auto"/>
              <w:jc w:val="center"/>
              <w:textAlignment w:val="baseline"/>
              <w:rPr>
                <w:noProof/>
              </w:rPr>
            </w:pPr>
            <w:r>
              <w:rPr>
                <w:noProof/>
              </w:rPr>
              <w:t>C1.3. R1-I1</w:t>
            </w:r>
          </w:p>
        </w:tc>
        <w:tc>
          <w:tcPr>
            <w:tcW w:w="1274" w:type="dxa"/>
            <w:shd w:val="clear" w:color="auto" w:fill="C6EFCE"/>
            <w:vAlign w:val="center"/>
          </w:tcPr>
          <w:p w14:paraId="5AC54B9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DF2BB12" w14:textId="77777777" w:rsidR="00FA7C11" w:rsidRDefault="00D84965">
            <w:pPr>
              <w:pStyle w:val="P68B1DB1-Normal89"/>
              <w:spacing w:after="0" w:line="240" w:lineRule="auto"/>
              <w:jc w:val="both"/>
              <w:textAlignment w:val="baseline"/>
              <w:rPr>
                <w:noProof/>
                <w:color w:val="000000"/>
              </w:rPr>
            </w:pPr>
            <w:r>
              <w:rPr>
                <w:noProof/>
              </w:rPr>
              <w:t>Rețea publică de canalizare construită sau reconstruită</w:t>
            </w:r>
          </w:p>
        </w:tc>
      </w:tr>
      <w:tr w:rsidR="00FA7C11" w14:paraId="10371D31" w14:textId="77777777">
        <w:trPr>
          <w:trHeight w:val="51"/>
        </w:trPr>
        <w:tc>
          <w:tcPr>
            <w:tcW w:w="1096" w:type="dxa"/>
            <w:shd w:val="clear" w:color="auto" w:fill="C6EFCE"/>
            <w:vAlign w:val="center"/>
          </w:tcPr>
          <w:p w14:paraId="3F549A0F" w14:textId="77777777" w:rsidR="00FA7C11" w:rsidRDefault="00D84965">
            <w:pPr>
              <w:pStyle w:val="P68B1DB1-Normal102"/>
              <w:spacing w:after="0" w:line="240" w:lineRule="auto"/>
              <w:jc w:val="center"/>
              <w:textAlignment w:val="baseline"/>
              <w:rPr>
                <w:noProof/>
              </w:rPr>
            </w:pPr>
            <w:r>
              <w:rPr>
                <w:noProof/>
              </w:rPr>
              <w:t>72</w:t>
            </w:r>
          </w:p>
        </w:tc>
        <w:tc>
          <w:tcPr>
            <w:tcW w:w="1639" w:type="dxa"/>
            <w:shd w:val="clear" w:color="auto" w:fill="C6EFCE"/>
            <w:vAlign w:val="center"/>
          </w:tcPr>
          <w:p w14:paraId="2BA71495" w14:textId="77777777" w:rsidR="00FA7C11" w:rsidRDefault="00D84965">
            <w:pPr>
              <w:pStyle w:val="P68B1DB1-Normal102"/>
              <w:spacing w:after="0" w:line="240" w:lineRule="auto"/>
              <w:jc w:val="center"/>
              <w:textAlignment w:val="baseline"/>
              <w:rPr>
                <w:noProof/>
              </w:rPr>
            </w:pPr>
            <w:r>
              <w:rPr>
                <w:noProof/>
              </w:rPr>
              <w:t>C1.3. R1-I2</w:t>
            </w:r>
          </w:p>
        </w:tc>
        <w:tc>
          <w:tcPr>
            <w:tcW w:w="1274" w:type="dxa"/>
            <w:shd w:val="clear" w:color="auto" w:fill="C6EFCE"/>
            <w:vAlign w:val="center"/>
          </w:tcPr>
          <w:p w14:paraId="43CD578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7A3566B" w14:textId="77777777" w:rsidR="00FA7C11" w:rsidRDefault="00D84965">
            <w:pPr>
              <w:pStyle w:val="P68B1DB1-Normal89"/>
              <w:spacing w:after="0" w:line="240" w:lineRule="auto"/>
              <w:jc w:val="both"/>
              <w:textAlignment w:val="baseline"/>
              <w:rPr>
                <w:noProof/>
                <w:color w:val="000000"/>
              </w:rPr>
            </w:pPr>
            <w:r>
              <w:rPr>
                <w:noProof/>
              </w:rPr>
              <w:t>Rețea publică de alimentare cu apă construită sau reconstruită</w:t>
            </w:r>
          </w:p>
        </w:tc>
      </w:tr>
      <w:tr w:rsidR="00FA7C11" w14:paraId="035B7CC5" w14:textId="77777777">
        <w:trPr>
          <w:trHeight w:val="51"/>
        </w:trPr>
        <w:tc>
          <w:tcPr>
            <w:tcW w:w="1096" w:type="dxa"/>
            <w:shd w:val="clear" w:color="auto" w:fill="C6EFCE"/>
            <w:vAlign w:val="center"/>
          </w:tcPr>
          <w:p w14:paraId="2D679DDE" w14:textId="77777777" w:rsidR="00FA7C11" w:rsidRDefault="00D84965">
            <w:pPr>
              <w:pStyle w:val="P68B1DB1-Normal102"/>
              <w:spacing w:after="0" w:line="240" w:lineRule="auto"/>
              <w:jc w:val="center"/>
              <w:textAlignment w:val="baseline"/>
              <w:rPr>
                <w:noProof/>
              </w:rPr>
            </w:pPr>
            <w:r>
              <w:rPr>
                <w:noProof/>
              </w:rPr>
              <w:t>79</w:t>
            </w:r>
          </w:p>
        </w:tc>
        <w:tc>
          <w:tcPr>
            <w:tcW w:w="1639" w:type="dxa"/>
            <w:shd w:val="clear" w:color="auto" w:fill="C6EFCE"/>
            <w:vAlign w:val="center"/>
          </w:tcPr>
          <w:p w14:paraId="7B2028E8" w14:textId="77777777" w:rsidR="00FA7C11" w:rsidRDefault="00D84965">
            <w:pPr>
              <w:pStyle w:val="P68B1DB1-Normal102"/>
              <w:spacing w:after="0" w:line="240" w:lineRule="auto"/>
              <w:jc w:val="center"/>
              <w:textAlignment w:val="baseline"/>
              <w:rPr>
                <w:noProof/>
              </w:rPr>
            </w:pPr>
            <w:r>
              <w:rPr>
                <w:noProof/>
              </w:rPr>
              <w:t>C1.3. R1-I3</w:t>
            </w:r>
          </w:p>
        </w:tc>
        <w:tc>
          <w:tcPr>
            <w:tcW w:w="1274" w:type="dxa"/>
            <w:shd w:val="clear" w:color="auto" w:fill="C6EFCE"/>
            <w:vAlign w:val="center"/>
          </w:tcPr>
          <w:p w14:paraId="1BCE55A1"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5B7B304" w14:textId="77777777" w:rsidR="00FA7C11" w:rsidRDefault="00D84965">
            <w:pPr>
              <w:pStyle w:val="P68B1DB1-Normal89"/>
              <w:spacing w:after="0" w:line="240" w:lineRule="auto"/>
              <w:jc w:val="both"/>
              <w:textAlignment w:val="baseline"/>
              <w:rPr>
                <w:noProof/>
                <w:color w:val="000000"/>
              </w:rPr>
            </w:pPr>
            <w:r>
              <w:rPr>
                <w:noProof/>
              </w:rPr>
              <w:t>Structuri de protecție împotriva inundațiilor construite</w:t>
            </w:r>
          </w:p>
        </w:tc>
      </w:tr>
      <w:tr w:rsidR="00FA7C11" w14:paraId="6C09188E" w14:textId="77777777">
        <w:trPr>
          <w:trHeight w:val="51"/>
        </w:trPr>
        <w:tc>
          <w:tcPr>
            <w:tcW w:w="1096" w:type="dxa"/>
            <w:shd w:val="clear" w:color="auto" w:fill="C6EFCE"/>
            <w:vAlign w:val="center"/>
          </w:tcPr>
          <w:p w14:paraId="67CE3CA6" w14:textId="77777777" w:rsidR="00FA7C11" w:rsidRDefault="00D84965">
            <w:pPr>
              <w:pStyle w:val="P68B1DB1-Normal102"/>
              <w:spacing w:after="0" w:line="240" w:lineRule="auto"/>
              <w:jc w:val="center"/>
              <w:textAlignment w:val="baseline"/>
              <w:rPr>
                <w:noProof/>
              </w:rPr>
            </w:pPr>
            <w:r>
              <w:rPr>
                <w:noProof/>
              </w:rPr>
              <w:t>86</w:t>
            </w:r>
          </w:p>
        </w:tc>
        <w:tc>
          <w:tcPr>
            <w:tcW w:w="1639" w:type="dxa"/>
            <w:shd w:val="clear" w:color="auto" w:fill="C6EFCE"/>
            <w:vAlign w:val="center"/>
          </w:tcPr>
          <w:p w14:paraId="6DF99726" w14:textId="77777777" w:rsidR="00FA7C11" w:rsidRDefault="00D84965">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7DD3162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606C039" w14:textId="77777777" w:rsidR="00FA7C11" w:rsidRDefault="00D84965">
            <w:pPr>
              <w:pStyle w:val="P68B1DB1-Normal89"/>
              <w:spacing w:after="0" w:line="240" w:lineRule="auto"/>
              <w:jc w:val="both"/>
              <w:textAlignment w:val="baseline"/>
              <w:rPr>
                <w:noProof/>
                <w:color w:val="000000"/>
              </w:rPr>
            </w:pPr>
            <w:r>
              <w:rPr>
                <w:noProof/>
              </w:rPr>
              <w:t>Instalații de sortare construite</w:t>
            </w:r>
          </w:p>
        </w:tc>
      </w:tr>
      <w:tr w:rsidR="00FA7C11" w14:paraId="428629BB" w14:textId="77777777">
        <w:trPr>
          <w:trHeight w:val="51"/>
        </w:trPr>
        <w:tc>
          <w:tcPr>
            <w:tcW w:w="1096" w:type="dxa"/>
            <w:shd w:val="clear" w:color="auto" w:fill="C6EFCE"/>
            <w:vAlign w:val="center"/>
          </w:tcPr>
          <w:p w14:paraId="33FFF539" w14:textId="77777777" w:rsidR="00FA7C11" w:rsidRDefault="00D84965">
            <w:pPr>
              <w:pStyle w:val="P68B1DB1-Normal102"/>
              <w:spacing w:after="0" w:line="240" w:lineRule="auto"/>
              <w:jc w:val="center"/>
              <w:textAlignment w:val="baseline"/>
              <w:rPr>
                <w:noProof/>
              </w:rPr>
            </w:pPr>
            <w:r>
              <w:rPr>
                <w:noProof/>
              </w:rPr>
              <w:t>87</w:t>
            </w:r>
          </w:p>
        </w:tc>
        <w:tc>
          <w:tcPr>
            <w:tcW w:w="1639" w:type="dxa"/>
            <w:shd w:val="clear" w:color="auto" w:fill="C6EFCE"/>
            <w:vAlign w:val="center"/>
          </w:tcPr>
          <w:p w14:paraId="7D6F6C70" w14:textId="77777777" w:rsidR="00FA7C11" w:rsidRDefault="00D84965">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369FF1A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105B1E3" w14:textId="77777777" w:rsidR="00FA7C11" w:rsidRDefault="00D84965">
            <w:pPr>
              <w:pStyle w:val="P68B1DB1-Normal89"/>
              <w:spacing w:after="0" w:line="240" w:lineRule="auto"/>
              <w:jc w:val="both"/>
              <w:textAlignment w:val="baseline"/>
              <w:rPr>
                <w:noProof/>
                <w:color w:val="000000"/>
              </w:rPr>
            </w:pPr>
            <w:r>
              <w:rPr>
                <w:noProof/>
              </w:rPr>
              <w:t>Instalații construite pentru tratarea deșeurilor biologice colectate separat</w:t>
            </w:r>
          </w:p>
        </w:tc>
      </w:tr>
      <w:tr w:rsidR="00FA7C11" w14:paraId="47FFD72E" w14:textId="77777777">
        <w:trPr>
          <w:trHeight w:val="51"/>
        </w:trPr>
        <w:tc>
          <w:tcPr>
            <w:tcW w:w="1096" w:type="dxa"/>
            <w:shd w:val="clear" w:color="auto" w:fill="C6EFCE"/>
            <w:vAlign w:val="center"/>
          </w:tcPr>
          <w:p w14:paraId="2FFBC3BA" w14:textId="77777777" w:rsidR="00FA7C11" w:rsidRDefault="00D84965">
            <w:pPr>
              <w:pStyle w:val="P68B1DB1-Normal102"/>
              <w:spacing w:after="0" w:line="240" w:lineRule="auto"/>
              <w:jc w:val="center"/>
              <w:textAlignment w:val="baseline"/>
              <w:rPr>
                <w:noProof/>
              </w:rPr>
            </w:pPr>
            <w:r>
              <w:rPr>
                <w:noProof/>
              </w:rPr>
              <w:t>88</w:t>
            </w:r>
          </w:p>
        </w:tc>
        <w:tc>
          <w:tcPr>
            <w:tcW w:w="1639" w:type="dxa"/>
            <w:shd w:val="clear" w:color="auto" w:fill="C6EFCE"/>
            <w:vAlign w:val="center"/>
          </w:tcPr>
          <w:p w14:paraId="68907369" w14:textId="77777777" w:rsidR="00FA7C11" w:rsidRDefault="00D84965">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08A86FD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0D860A1" w14:textId="77777777" w:rsidR="00FA7C11" w:rsidRDefault="00D84965">
            <w:pPr>
              <w:pStyle w:val="P68B1DB1-Normal89"/>
              <w:spacing w:after="0" w:line="240" w:lineRule="auto"/>
              <w:jc w:val="both"/>
              <w:textAlignment w:val="baseline"/>
              <w:rPr>
                <w:noProof/>
                <w:color w:val="000000"/>
              </w:rPr>
            </w:pPr>
            <w:r>
              <w:rPr>
                <w:noProof/>
              </w:rPr>
              <w:t>Amplasament funcțional fix/mobil de sortare a deșeurilor</w:t>
            </w:r>
          </w:p>
        </w:tc>
      </w:tr>
      <w:tr w:rsidR="00FA7C11" w14:paraId="41DFCAC6" w14:textId="77777777">
        <w:trPr>
          <w:trHeight w:val="51"/>
        </w:trPr>
        <w:tc>
          <w:tcPr>
            <w:tcW w:w="1096" w:type="dxa"/>
            <w:shd w:val="clear" w:color="auto" w:fill="C6EFCE"/>
            <w:vAlign w:val="center"/>
          </w:tcPr>
          <w:p w14:paraId="3CEEDF9F" w14:textId="77777777" w:rsidR="00FA7C11" w:rsidRDefault="00D84965">
            <w:pPr>
              <w:pStyle w:val="P68B1DB1-Normal102"/>
              <w:spacing w:after="0" w:line="240" w:lineRule="auto"/>
              <w:jc w:val="center"/>
              <w:textAlignment w:val="baseline"/>
              <w:rPr>
                <w:noProof/>
              </w:rPr>
            </w:pPr>
            <w:r>
              <w:rPr>
                <w:noProof/>
              </w:rPr>
              <w:t>90</w:t>
            </w:r>
          </w:p>
        </w:tc>
        <w:tc>
          <w:tcPr>
            <w:tcW w:w="1639" w:type="dxa"/>
            <w:shd w:val="clear" w:color="auto" w:fill="C6EFCE"/>
            <w:vAlign w:val="center"/>
          </w:tcPr>
          <w:p w14:paraId="33059D6C" w14:textId="77777777" w:rsidR="00FA7C11" w:rsidRDefault="00D84965">
            <w:pPr>
              <w:pStyle w:val="P68B1DB1-Normal102"/>
              <w:spacing w:after="0" w:line="240" w:lineRule="auto"/>
              <w:jc w:val="center"/>
              <w:textAlignment w:val="baseline"/>
              <w:rPr>
                <w:noProof/>
              </w:rPr>
            </w:pPr>
            <w:r>
              <w:rPr>
                <w:noProof/>
              </w:rPr>
              <w:t>C1.3. R2-I2</w:t>
            </w:r>
          </w:p>
        </w:tc>
        <w:tc>
          <w:tcPr>
            <w:tcW w:w="1274" w:type="dxa"/>
            <w:shd w:val="clear" w:color="auto" w:fill="C6EFCE"/>
            <w:vAlign w:val="center"/>
          </w:tcPr>
          <w:p w14:paraId="7974F6B9"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72A03C8" w14:textId="77777777" w:rsidR="00FA7C11" w:rsidRDefault="00D84965">
            <w:pPr>
              <w:pStyle w:val="P68B1DB1-Normal102"/>
              <w:spacing w:after="0" w:line="240" w:lineRule="auto"/>
              <w:jc w:val="both"/>
              <w:textAlignment w:val="baseline"/>
              <w:rPr>
                <w:noProof/>
              </w:rPr>
            </w:pPr>
            <w:r>
              <w:rPr>
                <w:noProof/>
              </w:rPr>
              <w:t>Decontaminarea depozitelor de deșeuri</w:t>
            </w:r>
          </w:p>
        </w:tc>
      </w:tr>
      <w:tr w:rsidR="00FA7C11" w14:paraId="48B0FBAE" w14:textId="77777777">
        <w:trPr>
          <w:trHeight w:val="51"/>
        </w:trPr>
        <w:tc>
          <w:tcPr>
            <w:tcW w:w="1096" w:type="dxa"/>
            <w:shd w:val="clear" w:color="auto" w:fill="C6EFCE"/>
            <w:vAlign w:val="center"/>
          </w:tcPr>
          <w:p w14:paraId="4172F3D5" w14:textId="77777777" w:rsidR="00FA7C11" w:rsidRDefault="00D84965">
            <w:pPr>
              <w:pStyle w:val="P68B1DB1-Normal102"/>
              <w:spacing w:after="0" w:line="240" w:lineRule="auto"/>
              <w:jc w:val="center"/>
              <w:textAlignment w:val="baseline"/>
              <w:rPr>
                <w:noProof/>
              </w:rPr>
            </w:pPr>
            <w:r>
              <w:rPr>
                <w:noProof/>
              </w:rPr>
              <w:t>95</w:t>
            </w:r>
          </w:p>
        </w:tc>
        <w:tc>
          <w:tcPr>
            <w:tcW w:w="1639" w:type="dxa"/>
            <w:shd w:val="clear" w:color="auto" w:fill="C6EFCE"/>
            <w:vAlign w:val="center"/>
          </w:tcPr>
          <w:p w14:paraId="72010D6A" w14:textId="77777777" w:rsidR="00FA7C11" w:rsidRDefault="00D84965">
            <w:pPr>
              <w:pStyle w:val="P68B1DB1-Normal102"/>
              <w:spacing w:after="0" w:line="240" w:lineRule="auto"/>
              <w:jc w:val="center"/>
              <w:textAlignment w:val="baseline"/>
              <w:rPr>
                <w:noProof/>
              </w:rPr>
            </w:pPr>
            <w:r>
              <w:rPr>
                <w:noProof/>
              </w:rPr>
              <w:t>C1.4. R1-I3</w:t>
            </w:r>
          </w:p>
        </w:tc>
        <w:tc>
          <w:tcPr>
            <w:tcW w:w="1274" w:type="dxa"/>
            <w:shd w:val="clear" w:color="auto" w:fill="C6EFCE"/>
            <w:vAlign w:val="center"/>
          </w:tcPr>
          <w:p w14:paraId="2D6C8FF3"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8DB1B3E" w14:textId="77777777" w:rsidR="00FA7C11" w:rsidRDefault="00D84965">
            <w:pPr>
              <w:pStyle w:val="P68B1DB1-Normal102"/>
              <w:spacing w:after="0" w:line="240" w:lineRule="auto"/>
              <w:jc w:val="both"/>
              <w:textAlignment w:val="baseline"/>
              <w:rPr>
                <w:noProof/>
              </w:rPr>
            </w:pPr>
            <w:r>
              <w:rPr>
                <w:noProof/>
              </w:rPr>
              <w:t>Instituirea unui sistem național de stocare electronică și de schimb de date în domeniul transportului rutier (PNSC)</w:t>
            </w:r>
          </w:p>
        </w:tc>
      </w:tr>
      <w:tr w:rsidR="00FA7C11" w14:paraId="067290B9" w14:textId="77777777">
        <w:trPr>
          <w:trHeight w:val="51"/>
        </w:trPr>
        <w:tc>
          <w:tcPr>
            <w:tcW w:w="1096" w:type="dxa"/>
            <w:shd w:val="clear" w:color="auto" w:fill="C6EFCE"/>
            <w:vAlign w:val="center"/>
          </w:tcPr>
          <w:p w14:paraId="48B41A1A" w14:textId="77777777" w:rsidR="00FA7C11" w:rsidRDefault="00D84965">
            <w:pPr>
              <w:pStyle w:val="P68B1DB1-Normal102"/>
              <w:spacing w:after="0" w:line="240" w:lineRule="auto"/>
              <w:jc w:val="center"/>
              <w:textAlignment w:val="baseline"/>
              <w:rPr>
                <w:noProof/>
              </w:rPr>
            </w:pPr>
            <w:r>
              <w:rPr>
                <w:noProof/>
              </w:rPr>
              <w:t>97</w:t>
            </w:r>
          </w:p>
        </w:tc>
        <w:tc>
          <w:tcPr>
            <w:tcW w:w="1639" w:type="dxa"/>
            <w:shd w:val="clear" w:color="auto" w:fill="C6EFCE"/>
            <w:vAlign w:val="center"/>
          </w:tcPr>
          <w:p w14:paraId="405A33C2" w14:textId="77777777" w:rsidR="00FA7C11" w:rsidRDefault="00D84965">
            <w:pPr>
              <w:pStyle w:val="P68B1DB1-Normal102"/>
              <w:spacing w:after="0" w:line="240" w:lineRule="auto"/>
              <w:jc w:val="center"/>
              <w:textAlignment w:val="baseline"/>
              <w:rPr>
                <w:noProof/>
              </w:rPr>
            </w:pPr>
            <w:r>
              <w:rPr>
                <w:noProof/>
              </w:rPr>
              <w:t>C1.4. R1-I5</w:t>
            </w:r>
          </w:p>
        </w:tc>
        <w:tc>
          <w:tcPr>
            <w:tcW w:w="1274" w:type="dxa"/>
            <w:shd w:val="clear" w:color="auto" w:fill="C6EFCE"/>
            <w:vAlign w:val="center"/>
          </w:tcPr>
          <w:p w14:paraId="5F806AEC"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C92CA95" w14:textId="704E7082" w:rsidR="00FA7C11" w:rsidRDefault="00D84965">
            <w:pPr>
              <w:pStyle w:val="P68B1DB1-Normal102"/>
              <w:spacing w:after="0" w:line="240" w:lineRule="auto"/>
              <w:jc w:val="both"/>
              <w:textAlignment w:val="baseline"/>
              <w:rPr>
                <w:noProof/>
              </w:rPr>
            </w:pPr>
            <w:r>
              <w:rPr>
                <w:noProof/>
              </w:rPr>
              <w:t>Instituirea unui sistem de monitorizare a transportului rutier de mărfuri periculoase (e-ADR)</w:t>
            </w:r>
          </w:p>
        </w:tc>
      </w:tr>
      <w:tr w:rsidR="00FA7C11" w14:paraId="0BFA648F" w14:textId="77777777">
        <w:trPr>
          <w:trHeight w:val="51"/>
        </w:trPr>
        <w:tc>
          <w:tcPr>
            <w:tcW w:w="1096" w:type="dxa"/>
            <w:shd w:val="clear" w:color="auto" w:fill="C6EFCE"/>
            <w:vAlign w:val="center"/>
          </w:tcPr>
          <w:p w14:paraId="7426AD78" w14:textId="77777777" w:rsidR="00FA7C11" w:rsidRDefault="00D84965">
            <w:pPr>
              <w:pStyle w:val="P68B1DB1-Normal102"/>
              <w:spacing w:after="0" w:line="240" w:lineRule="auto"/>
              <w:jc w:val="center"/>
              <w:textAlignment w:val="baseline"/>
              <w:rPr>
                <w:noProof/>
              </w:rPr>
            </w:pPr>
            <w:r>
              <w:rPr>
                <w:noProof/>
              </w:rPr>
              <w:t>104</w:t>
            </w:r>
          </w:p>
        </w:tc>
        <w:tc>
          <w:tcPr>
            <w:tcW w:w="1639" w:type="dxa"/>
            <w:shd w:val="clear" w:color="auto" w:fill="C6EFCE"/>
            <w:vAlign w:val="center"/>
          </w:tcPr>
          <w:p w14:paraId="0AD9D181" w14:textId="77777777" w:rsidR="00FA7C11" w:rsidRDefault="00D84965">
            <w:pPr>
              <w:pStyle w:val="P68B1DB1-Normal102"/>
              <w:spacing w:after="0" w:line="240" w:lineRule="auto"/>
              <w:jc w:val="center"/>
              <w:textAlignment w:val="baseline"/>
              <w:rPr>
                <w:noProof/>
              </w:rPr>
            </w:pPr>
            <w:r>
              <w:rPr>
                <w:noProof/>
              </w:rPr>
              <w:t>C1.4. R2-I3</w:t>
            </w:r>
          </w:p>
        </w:tc>
        <w:tc>
          <w:tcPr>
            <w:tcW w:w="1274" w:type="dxa"/>
            <w:shd w:val="clear" w:color="auto" w:fill="C6EFCE"/>
            <w:vAlign w:val="center"/>
          </w:tcPr>
          <w:p w14:paraId="6146ED8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913E9B9" w14:textId="77777777" w:rsidR="00FA7C11" w:rsidRDefault="00D84965">
            <w:pPr>
              <w:pStyle w:val="P68B1DB1-Normal102"/>
              <w:spacing w:after="0" w:line="240" w:lineRule="auto"/>
              <w:jc w:val="both"/>
              <w:textAlignment w:val="baseline"/>
              <w:rPr>
                <w:noProof/>
              </w:rPr>
            </w:pPr>
            <w:r>
              <w:rPr>
                <w:noProof/>
              </w:rPr>
              <w:t>Cinci blocaje eliminate pe tronsoanele cu constrângeri actuale, viteze de rulare de până la 60 km/h</w:t>
            </w:r>
          </w:p>
        </w:tc>
      </w:tr>
      <w:tr w:rsidR="00FA7C11" w14:paraId="5D3ABDE8" w14:textId="77777777">
        <w:trPr>
          <w:trHeight w:val="51"/>
        </w:trPr>
        <w:tc>
          <w:tcPr>
            <w:tcW w:w="1096" w:type="dxa"/>
            <w:shd w:val="clear" w:color="auto" w:fill="C6EFCE"/>
            <w:vAlign w:val="center"/>
          </w:tcPr>
          <w:p w14:paraId="1FF0694A" w14:textId="77777777" w:rsidR="00FA7C11" w:rsidRDefault="00D84965">
            <w:pPr>
              <w:pStyle w:val="P68B1DB1-Normal102"/>
              <w:spacing w:after="0" w:line="240" w:lineRule="auto"/>
              <w:jc w:val="center"/>
              <w:textAlignment w:val="baseline"/>
              <w:rPr>
                <w:noProof/>
              </w:rPr>
            </w:pPr>
            <w:r>
              <w:rPr>
                <w:noProof/>
              </w:rPr>
              <w:t>107</w:t>
            </w:r>
          </w:p>
        </w:tc>
        <w:tc>
          <w:tcPr>
            <w:tcW w:w="1639" w:type="dxa"/>
            <w:shd w:val="clear" w:color="auto" w:fill="C6EFCE"/>
            <w:vAlign w:val="center"/>
          </w:tcPr>
          <w:p w14:paraId="6503FD38" w14:textId="77777777" w:rsidR="00FA7C11" w:rsidRDefault="00D84965">
            <w:pPr>
              <w:pStyle w:val="P68B1DB1-Normal102"/>
              <w:spacing w:after="0" w:line="240" w:lineRule="auto"/>
              <w:jc w:val="center"/>
              <w:textAlignment w:val="baseline"/>
              <w:rPr>
                <w:noProof/>
              </w:rPr>
            </w:pPr>
            <w:r>
              <w:rPr>
                <w:noProof/>
              </w:rPr>
              <w:t>C1.4. R2-I6</w:t>
            </w:r>
          </w:p>
        </w:tc>
        <w:tc>
          <w:tcPr>
            <w:tcW w:w="1274" w:type="dxa"/>
            <w:shd w:val="clear" w:color="auto" w:fill="C6EFCE"/>
            <w:vAlign w:val="center"/>
          </w:tcPr>
          <w:p w14:paraId="6516362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028EDE2" w14:textId="77777777" w:rsidR="00FA7C11" w:rsidRDefault="00D84965">
            <w:pPr>
              <w:pStyle w:val="P68B1DB1-Normal102"/>
              <w:spacing w:after="0" w:line="240" w:lineRule="auto"/>
              <w:jc w:val="both"/>
              <w:textAlignment w:val="baseline"/>
              <w:rPr>
                <w:noProof/>
              </w:rPr>
            </w:pPr>
            <w:r>
              <w:rPr>
                <w:noProof/>
              </w:rPr>
              <w:t xml:space="preserve">Două prototipuri de trenuri cu baterii produse </w:t>
            </w:r>
          </w:p>
        </w:tc>
      </w:tr>
      <w:tr w:rsidR="00FA7C11" w14:paraId="3D97FDE2" w14:textId="77777777">
        <w:trPr>
          <w:trHeight w:val="51"/>
        </w:trPr>
        <w:tc>
          <w:tcPr>
            <w:tcW w:w="1096" w:type="dxa"/>
            <w:shd w:val="clear" w:color="auto" w:fill="C6EFCE"/>
            <w:vAlign w:val="center"/>
          </w:tcPr>
          <w:p w14:paraId="31946013" w14:textId="77777777" w:rsidR="00FA7C11" w:rsidRDefault="00D84965">
            <w:pPr>
              <w:pStyle w:val="P68B1DB1-Normal102"/>
              <w:spacing w:after="0" w:line="240" w:lineRule="auto"/>
              <w:jc w:val="center"/>
              <w:textAlignment w:val="baseline"/>
              <w:rPr>
                <w:noProof/>
              </w:rPr>
            </w:pPr>
            <w:r>
              <w:rPr>
                <w:noProof/>
              </w:rPr>
              <w:t>108</w:t>
            </w:r>
          </w:p>
        </w:tc>
        <w:tc>
          <w:tcPr>
            <w:tcW w:w="1639" w:type="dxa"/>
            <w:shd w:val="clear" w:color="auto" w:fill="C6EFCE"/>
            <w:vAlign w:val="center"/>
          </w:tcPr>
          <w:p w14:paraId="243676DF" w14:textId="77777777" w:rsidR="00FA7C11" w:rsidRDefault="00D84965">
            <w:pPr>
              <w:pStyle w:val="P68B1DB1-Normal102"/>
              <w:spacing w:after="0" w:line="240" w:lineRule="auto"/>
              <w:jc w:val="center"/>
              <w:textAlignment w:val="baseline"/>
              <w:rPr>
                <w:noProof/>
              </w:rPr>
            </w:pPr>
            <w:r>
              <w:rPr>
                <w:noProof/>
              </w:rPr>
              <w:t>C1.4. R2-I7</w:t>
            </w:r>
          </w:p>
        </w:tc>
        <w:tc>
          <w:tcPr>
            <w:tcW w:w="1274" w:type="dxa"/>
            <w:shd w:val="clear" w:color="auto" w:fill="C6EFCE"/>
            <w:vAlign w:val="center"/>
          </w:tcPr>
          <w:p w14:paraId="587B04CE"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2742ABB" w14:textId="5123D66E" w:rsidR="00FA7C11" w:rsidRDefault="00D84965">
            <w:pPr>
              <w:pStyle w:val="P68B1DB1-Normal102"/>
              <w:spacing w:after="0" w:line="240" w:lineRule="auto"/>
              <w:jc w:val="both"/>
              <w:textAlignment w:val="baseline"/>
              <w:rPr>
                <w:noProof/>
              </w:rPr>
            </w:pPr>
            <w:r>
              <w:rPr>
                <w:noProof/>
              </w:rPr>
              <w:t>Modernizarea sistemelor informatice pentru transportul de pasageri HŽ</w:t>
            </w:r>
          </w:p>
        </w:tc>
      </w:tr>
      <w:tr w:rsidR="00FA7C11" w14:paraId="53C19F5F" w14:textId="77777777">
        <w:trPr>
          <w:trHeight w:val="51"/>
        </w:trPr>
        <w:tc>
          <w:tcPr>
            <w:tcW w:w="1096" w:type="dxa"/>
            <w:shd w:val="clear" w:color="auto" w:fill="C6EFCE"/>
            <w:vAlign w:val="center"/>
          </w:tcPr>
          <w:p w14:paraId="0AF3988E" w14:textId="77777777" w:rsidR="00FA7C11" w:rsidRDefault="00D84965">
            <w:pPr>
              <w:pStyle w:val="P68B1DB1-Normal102"/>
              <w:spacing w:after="0" w:line="240" w:lineRule="auto"/>
              <w:jc w:val="center"/>
              <w:textAlignment w:val="baseline"/>
              <w:rPr>
                <w:noProof/>
              </w:rPr>
            </w:pPr>
            <w:r>
              <w:rPr>
                <w:noProof/>
              </w:rPr>
              <w:t>112</w:t>
            </w:r>
          </w:p>
        </w:tc>
        <w:tc>
          <w:tcPr>
            <w:tcW w:w="1639" w:type="dxa"/>
            <w:shd w:val="clear" w:color="auto" w:fill="C6EFCE"/>
            <w:vAlign w:val="center"/>
          </w:tcPr>
          <w:p w14:paraId="3E3034B6" w14:textId="77777777" w:rsidR="00FA7C11" w:rsidRDefault="00D84965">
            <w:pPr>
              <w:pStyle w:val="P68B1DB1-Normal102"/>
              <w:spacing w:after="0" w:line="240" w:lineRule="auto"/>
              <w:jc w:val="center"/>
              <w:textAlignment w:val="baseline"/>
              <w:rPr>
                <w:noProof/>
              </w:rPr>
            </w:pPr>
            <w:r>
              <w:rPr>
                <w:noProof/>
              </w:rPr>
              <w:t>C1.4. R3-I1</w:t>
            </w:r>
          </w:p>
        </w:tc>
        <w:tc>
          <w:tcPr>
            <w:tcW w:w="1274" w:type="dxa"/>
            <w:shd w:val="clear" w:color="auto" w:fill="C6EFCE"/>
            <w:vAlign w:val="center"/>
          </w:tcPr>
          <w:p w14:paraId="5A62FBA3"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25C8E08" w14:textId="6B868E55" w:rsidR="00FA7C11" w:rsidRDefault="00D84965">
            <w:pPr>
              <w:pStyle w:val="P68B1DB1-Normal102"/>
              <w:spacing w:after="0" w:line="240" w:lineRule="auto"/>
              <w:jc w:val="both"/>
              <w:textAlignment w:val="baseline"/>
              <w:rPr>
                <w:noProof/>
              </w:rPr>
            </w:pPr>
            <w:r>
              <w:rPr>
                <w:noProof/>
              </w:rPr>
              <w:t>Terminal nou pentru pasageri în Portul Municipal Split</w:t>
            </w:r>
          </w:p>
        </w:tc>
      </w:tr>
      <w:tr w:rsidR="00FA7C11" w14:paraId="7DFC2109" w14:textId="77777777">
        <w:trPr>
          <w:trHeight w:val="51"/>
        </w:trPr>
        <w:tc>
          <w:tcPr>
            <w:tcW w:w="1096" w:type="dxa"/>
            <w:shd w:val="clear" w:color="auto" w:fill="C6EFCE"/>
            <w:vAlign w:val="center"/>
          </w:tcPr>
          <w:p w14:paraId="460BF0E1" w14:textId="77777777" w:rsidR="00FA7C11" w:rsidRDefault="00D84965">
            <w:pPr>
              <w:pStyle w:val="P68B1DB1-Normal102"/>
              <w:spacing w:after="0" w:line="240" w:lineRule="auto"/>
              <w:jc w:val="center"/>
              <w:textAlignment w:val="baseline"/>
              <w:rPr>
                <w:noProof/>
              </w:rPr>
            </w:pPr>
            <w:r>
              <w:rPr>
                <w:noProof/>
              </w:rPr>
              <w:t>116</w:t>
            </w:r>
          </w:p>
        </w:tc>
        <w:tc>
          <w:tcPr>
            <w:tcW w:w="1639" w:type="dxa"/>
            <w:shd w:val="clear" w:color="auto" w:fill="C6EFCE"/>
            <w:vAlign w:val="center"/>
          </w:tcPr>
          <w:p w14:paraId="5324BAC2" w14:textId="65D1A977" w:rsidR="00FA7C11" w:rsidRDefault="00D84965">
            <w:pPr>
              <w:pStyle w:val="P68B1DB1-Normal102"/>
              <w:spacing w:after="0" w:line="240" w:lineRule="auto"/>
              <w:jc w:val="center"/>
              <w:textAlignment w:val="baseline"/>
              <w:rPr>
                <w:noProof/>
              </w:rPr>
            </w:pPr>
            <w:r>
              <w:rPr>
                <w:noProof/>
              </w:rPr>
              <w:t>C7.1. I4</w:t>
            </w:r>
          </w:p>
        </w:tc>
        <w:tc>
          <w:tcPr>
            <w:tcW w:w="1274" w:type="dxa"/>
            <w:shd w:val="clear" w:color="auto" w:fill="C6EFCE"/>
            <w:vAlign w:val="center"/>
          </w:tcPr>
          <w:p w14:paraId="431D8835"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EFF2A06" w14:textId="77777777" w:rsidR="00FA7C11" w:rsidRDefault="00D84965">
            <w:pPr>
              <w:pStyle w:val="P68B1DB1-Normal102"/>
              <w:spacing w:after="0" w:line="240" w:lineRule="auto"/>
              <w:jc w:val="both"/>
              <w:textAlignment w:val="baseline"/>
              <w:rPr>
                <w:noProof/>
              </w:rPr>
            </w:pPr>
            <w:r>
              <w:rPr>
                <w:noProof/>
              </w:rPr>
              <w:t xml:space="preserve">70 autobuze alimentate cu combustibili alternativi (electrice și/sau pe bază de hidrogen) </w:t>
            </w:r>
          </w:p>
        </w:tc>
      </w:tr>
      <w:tr w:rsidR="00FA7C11" w14:paraId="4AEBB2E6" w14:textId="77777777">
        <w:trPr>
          <w:trHeight w:val="51"/>
        </w:trPr>
        <w:tc>
          <w:tcPr>
            <w:tcW w:w="1096" w:type="dxa"/>
            <w:shd w:val="clear" w:color="auto" w:fill="C6EFCE"/>
            <w:vAlign w:val="center"/>
          </w:tcPr>
          <w:p w14:paraId="4C8C55F2" w14:textId="77777777" w:rsidR="00FA7C11" w:rsidRDefault="00D84965">
            <w:pPr>
              <w:pStyle w:val="P68B1DB1-Normal102"/>
              <w:spacing w:after="0" w:line="240" w:lineRule="auto"/>
              <w:jc w:val="center"/>
              <w:textAlignment w:val="baseline"/>
              <w:rPr>
                <w:noProof/>
              </w:rPr>
            </w:pPr>
            <w:r>
              <w:rPr>
                <w:noProof/>
              </w:rPr>
              <w:t>117</w:t>
            </w:r>
          </w:p>
        </w:tc>
        <w:tc>
          <w:tcPr>
            <w:tcW w:w="1639" w:type="dxa"/>
            <w:shd w:val="clear" w:color="auto" w:fill="C6EFCE"/>
            <w:vAlign w:val="center"/>
          </w:tcPr>
          <w:p w14:paraId="3ECA1289" w14:textId="77777777" w:rsidR="00FA7C11" w:rsidRDefault="00D84965">
            <w:pPr>
              <w:pStyle w:val="P68B1DB1-Normal102"/>
              <w:spacing w:after="0" w:line="240" w:lineRule="auto"/>
              <w:jc w:val="center"/>
              <w:textAlignment w:val="baseline"/>
              <w:rPr>
                <w:noProof/>
              </w:rPr>
            </w:pPr>
            <w:r>
              <w:rPr>
                <w:noProof/>
              </w:rPr>
              <w:t>C1.4. R4-I2</w:t>
            </w:r>
          </w:p>
        </w:tc>
        <w:tc>
          <w:tcPr>
            <w:tcW w:w="1274" w:type="dxa"/>
            <w:shd w:val="clear" w:color="auto" w:fill="C6EFCE"/>
            <w:vAlign w:val="center"/>
          </w:tcPr>
          <w:p w14:paraId="6935E1A4"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31E428B" w14:textId="77777777" w:rsidR="00FA7C11" w:rsidRDefault="00D84965">
            <w:pPr>
              <w:pStyle w:val="P68B1DB1-Normal102"/>
              <w:spacing w:after="0" w:line="240" w:lineRule="auto"/>
              <w:jc w:val="both"/>
              <w:textAlignment w:val="baseline"/>
              <w:rPr>
                <w:noProof/>
              </w:rPr>
            </w:pPr>
            <w:r>
              <w:rPr>
                <w:noProof/>
              </w:rPr>
              <w:t>30 de tramvaie noi livrate pentru transportul public</w:t>
            </w:r>
          </w:p>
        </w:tc>
      </w:tr>
      <w:tr w:rsidR="00FA7C11" w14:paraId="69ECCE6E" w14:textId="77777777">
        <w:trPr>
          <w:trHeight w:val="51"/>
        </w:trPr>
        <w:tc>
          <w:tcPr>
            <w:tcW w:w="1096" w:type="dxa"/>
            <w:shd w:val="clear" w:color="auto" w:fill="C6EFCE"/>
            <w:vAlign w:val="center"/>
          </w:tcPr>
          <w:p w14:paraId="4F3B0AAE" w14:textId="77777777" w:rsidR="00FA7C11" w:rsidRDefault="00D84965">
            <w:pPr>
              <w:pStyle w:val="P68B1DB1-Normal102"/>
              <w:spacing w:after="0" w:line="240" w:lineRule="auto"/>
              <w:jc w:val="center"/>
              <w:textAlignment w:val="baseline"/>
              <w:rPr>
                <w:noProof/>
              </w:rPr>
            </w:pPr>
            <w:r>
              <w:rPr>
                <w:noProof/>
              </w:rPr>
              <w:t>122</w:t>
            </w:r>
          </w:p>
        </w:tc>
        <w:tc>
          <w:tcPr>
            <w:tcW w:w="1639" w:type="dxa"/>
            <w:shd w:val="clear" w:color="auto" w:fill="C6EFCE"/>
            <w:vAlign w:val="center"/>
          </w:tcPr>
          <w:p w14:paraId="271588FC" w14:textId="77777777" w:rsidR="00FA7C11" w:rsidRDefault="00D84965">
            <w:pPr>
              <w:pStyle w:val="P68B1DB1-Normal102"/>
              <w:spacing w:after="0" w:line="240" w:lineRule="auto"/>
              <w:jc w:val="center"/>
              <w:textAlignment w:val="baseline"/>
              <w:rPr>
                <w:noProof/>
              </w:rPr>
            </w:pPr>
            <w:r>
              <w:rPr>
                <w:noProof/>
              </w:rPr>
              <w:t>C1.4. R5-I2</w:t>
            </w:r>
          </w:p>
        </w:tc>
        <w:tc>
          <w:tcPr>
            <w:tcW w:w="1274" w:type="dxa"/>
            <w:shd w:val="clear" w:color="auto" w:fill="C6EFCE"/>
            <w:vAlign w:val="center"/>
          </w:tcPr>
          <w:p w14:paraId="0034E1E0"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7C9F5F1" w14:textId="77777777" w:rsidR="00FA7C11" w:rsidRDefault="00D84965">
            <w:pPr>
              <w:pStyle w:val="P68B1DB1-Normal102"/>
              <w:spacing w:after="0" w:line="240" w:lineRule="auto"/>
              <w:jc w:val="both"/>
              <w:textAlignment w:val="baseline"/>
              <w:rPr>
                <w:noProof/>
              </w:rPr>
            </w:pPr>
            <w:r>
              <w:rPr>
                <w:noProof/>
              </w:rPr>
              <w:t>Un nou serviciu de transport urban al vehiculelor complet autonome și electrice, adaptat la nevoile pasagerilor cu handicap și o infrastructură specializată</w:t>
            </w:r>
          </w:p>
        </w:tc>
      </w:tr>
      <w:tr w:rsidR="00FA7C11" w14:paraId="72FDE2D3" w14:textId="77777777">
        <w:trPr>
          <w:trHeight w:val="51"/>
        </w:trPr>
        <w:tc>
          <w:tcPr>
            <w:tcW w:w="1096" w:type="dxa"/>
            <w:shd w:val="clear" w:color="auto" w:fill="C6EFCE"/>
            <w:vAlign w:val="center"/>
          </w:tcPr>
          <w:p w14:paraId="3CB83CCD" w14:textId="77777777" w:rsidR="00FA7C11" w:rsidRDefault="00D84965">
            <w:pPr>
              <w:pStyle w:val="P68B1DB1-Normal102"/>
              <w:spacing w:after="0" w:line="240" w:lineRule="auto"/>
              <w:jc w:val="center"/>
              <w:textAlignment w:val="baseline"/>
              <w:rPr>
                <w:noProof/>
              </w:rPr>
            </w:pPr>
            <w:r>
              <w:rPr>
                <w:noProof/>
              </w:rPr>
              <w:t>123</w:t>
            </w:r>
          </w:p>
        </w:tc>
        <w:tc>
          <w:tcPr>
            <w:tcW w:w="1639" w:type="dxa"/>
            <w:shd w:val="clear" w:color="auto" w:fill="C6EFCE"/>
            <w:vAlign w:val="center"/>
          </w:tcPr>
          <w:p w14:paraId="03014FC8" w14:textId="77777777" w:rsidR="00FA7C11" w:rsidRDefault="00D84965">
            <w:pPr>
              <w:pStyle w:val="P68B1DB1-Normal102"/>
              <w:spacing w:after="0" w:line="240" w:lineRule="auto"/>
              <w:jc w:val="center"/>
              <w:textAlignment w:val="baseline"/>
              <w:rPr>
                <w:noProof/>
              </w:rPr>
            </w:pPr>
            <w:r>
              <w:rPr>
                <w:noProof/>
              </w:rPr>
              <w:t>C1.4. R5-I2</w:t>
            </w:r>
          </w:p>
        </w:tc>
        <w:tc>
          <w:tcPr>
            <w:tcW w:w="1274" w:type="dxa"/>
            <w:shd w:val="clear" w:color="auto" w:fill="C6EFCE"/>
            <w:vAlign w:val="center"/>
          </w:tcPr>
          <w:p w14:paraId="645E4DD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0DC6AE7" w14:textId="77777777" w:rsidR="00FA7C11" w:rsidRDefault="00D84965">
            <w:pPr>
              <w:pStyle w:val="P68B1DB1-Normal102"/>
              <w:spacing w:after="0" w:line="240" w:lineRule="auto"/>
              <w:jc w:val="both"/>
              <w:textAlignment w:val="baseline"/>
              <w:rPr>
                <w:noProof/>
              </w:rPr>
            </w:pPr>
            <w:r>
              <w:rPr>
                <w:noProof/>
              </w:rPr>
              <w:t xml:space="preserve">50 000 vouchere gratuite pentru călătoriile cu vehicule complet autonome pentru persoanele cu handicap și/sau care se confruntă cu dificultăți în utilizarea altor mijloace de transport public </w:t>
            </w:r>
          </w:p>
        </w:tc>
      </w:tr>
      <w:tr w:rsidR="00FA7C11" w14:paraId="4F8C6BFA" w14:textId="77777777">
        <w:trPr>
          <w:trHeight w:val="51"/>
        </w:trPr>
        <w:tc>
          <w:tcPr>
            <w:tcW w:w="1096" w:type="dxa"/>
            <w:shd w:val="clear" w:color="auto" w:fill="C6EFCE"/>
            <w:vAlign w:val="center"/>
          </w:tcPr>
          <w:p w14:paraId="10F3C0BA" w14:textId="77777777" w:rsidR="00FA7C11" w:rsidRDefault="00D84965">
            <w:pPr>
              <w:pStyle w:val="P68B1DB1-Normal102"/>
              <w:spacing w:after="0" w:line="240" w:lineRule="auto"/>
              <w:jc w:val="center"/>
              <w:textAlignment w:val="baseline"/>
              <w:rPr>
                <w:noProof/>
              </w:rPr>
            </w:pPr>
            <w:r>
              <w:rPr>
                <w:noProof/>
              </w:rPr>
              <w:t>124</w:t>
            </w:r>
          </w:p>
        </w:tc>
        <w:tc>
          <w:tcPr>
            <w:tcW w:w="1639" w:type="dxa"/>
            <w:shd w:val="clear" w:color="auto" w:fill="C6EFCE"/>
            <w:vAlign w:val="center"/>
          </w:tcPr>
          <w:p w14:paraId="72354DA6" w14:textId="77777777" w:rsidR="00FA7C11" w:rsidRDefault="00D84965">
            <w:pPr>
              <w:pStyle w:val="P68B1DB1-Normal102"/>
              <w:spacing w:after="0" w:line="240" w:lineRule="auto"/>
              <w:jc w:val="center"/>
              <w:textAlignment w:val="baseline"/>
              <w:rPr>
                <w:noProof/>
              </w:rPr>
            </w:pPr>
            <w:r>
              <w:rPr>
                <w:noProof/>
              </w:rPr>
              <w:t>C1.4. R5-I3</w:t>
            </w:r>
          </w:p>
        </w:tc>
        <w:tc>
          <w:tcPr>
            <w:tcW w:w="1274" w:type="dxa"/>
            <w:shd w:val="clear" w:color="auto" w:fill="C6EFCE"/>
            <w:vAlign w:val="center"/>
          </w:tcPr>
          <w:p w14:paraId="01F0CE59"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E28D552" w14:textId="77777777" w:rsidR="00FA7C11" w:rsidRDefault="00D84965">
            <w:pPr>
              <w:pStyle w:val="P68B1DB1-Normal102"/>
              <w:spacing w:after="0" w:line="240" w:lineRule="auto"/>
              <w:jc w:val="both"/>
              <w:textAlignment w:val="baseline"/>
              <w:rPr>
                <w:noProof/>
              </w:rPr>
            </w:pPr>
            <w:r>
              <w:rPr>
                <w:noProof/>
              </w:rPr>
              <w:t>2 000 vehicule rutiere alimentate alternativ (electrice și/sau pe bază de hidrogen)</w:t>
            </w:r>
          </w:p>
        </w:tc>
      </w:tr>
      <w:tr w:rsidR="00FA7C11" w14:paraId="4B84E57F" w14:textId="77777777">
        <w:trPr>
          <w:trHeight w:val="51"/>
        </w:trPr>
        <w:tc>
          <w:tcPr>
            <w:tcW w:w="1096" w:type="dxa"/>
            <w:shd w:val="clear" w:color="auto" w:fill="C6EFCE"/>
            <w:vAlign w:val="center"/>
          </w:tcPr>
          <w:p w14:paraId="5177E936" w14:textId="77777777" w:rsidR="00FA7C11" w:rsidRDefault="00D84965">
            <w:pPr>
              <w:pStyle w:val="P68B1DB1-Normal102"/>
              <w:spacing w:after="0" w:line="240" w:lineRule="auto"/>
              <w:jc w:val="center"/>
              <w:textAlignment w:val="baseline"/>
              <w:rPr>
                <w:noProof/>
              </w:rPr>
            </w:pPr>
            <w:r>
              <w:rPr>
                <w:noProof/>
              </w:rPr>
              <w:t>128</w:t>
            </w:r>
          </w:p>
        </w:tc>
        <w:tc>
          <w:tcPr>
            <w:tcW w:w="1639" w:type="dxa"/>
            <w:shd w:val="clear" w:color="auto" w:fill="C6EFCE"/>
            <w:vAlign w:val="center"/>
          </w:tcPr>
          <w:p w14:paraId="003A91BD" w14:textId="77777777" w:rsidR="00FA7C11" w:rsidRDefault="00D84965">
            <w:pPr>
              <w:pStyle w:val="P68B1DB1-Normal102"/>
              <w:spacing w:after="0" w:line="240" w:lineRule="auto"/>
              <w:jc w:val="center"/>
              <w:textAlignment w:val="baseline"/>
              <w:rPr>
                <w:noProof/>
              </w:rPr>
            </w:pPr>
            <w:r>
              <w:rPr>
                <w:noProof/>
              </w:rPr>
              <w:t>C1.5. R1-I1</w:t>
            </w:r>
          </w:p>
        </w:tc>
        <w:tc>
          <w:tcPr>
            <w:tcW w:w="1274" w:type="dxa"/>
            <w:shd w:val="clear" w:color="auto" w:fill="C6EFCE"/>
            <w:vAlign w:val="center"/>
          </w:tcPr>
          <w:p w14:paraId="61F5C05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E000A1" w14:textId="0DF21D47" w:rsidR="00FA7C11" w:rsidRDefault="00D84965">
            <w:pPr>
              <w:pStyle w:val="P68B1DB1-Normal102"/>
              <w:spacing w:after="0" w:line="240" w:lineRule="auto"/>
              <w:textAlignment w:val="baseline"/>
              <w:rPr>
                <w:noProof/>
              </w:rPr>
            </w:pPr>
            <w:r>
              <w:rPr>
                <w:noProof/>
              </w:rPr>
              <w:t xml:space="preserve">Cel puțin două centre logistice de distribuție construite </w:t>
            </w:r>
          </w:p>
        </w:tc>
      </w:tr>
      <w:tr w:rsidR="00FA7C11" w14:paraId="495E7C85" w14:textId="77777777">
        <w:trPr>
          <w:trHeight w:val="51"/>
        </w:trPr>
        <w:tc>
          <w:tcPr>
            <w:tcW w:w="1096" w:type="dxa"/>
            <w:shd w:val="clear" w:color="auto" w:fill="C6EFCE"/>
            <w:vAlign w:val="center"/>
          </w:tcPr>
          <w:p w14:paraId="44651E24" w14:textId="77777777" w:rsidR="00FA7C11" w:rsidRDefault="00D84965">
            <w:pPr>
              <w:pStyle w:val="P68B1DB1-Normal102"/>
              <w:spacing w:after="0" w:line="240" w:lineRule="auto"/>
              <w:jc w:val="center"/>
              <w:textAlignment w:val="baseline"/>
              <w:rPr>
                <w:noProof/>
              </w:rPr>
            </w:pPr>
            <w:r>
              <w:rPr>
                <w:noProof/>
              </w:rPr>
              <w:t>129</w:t>
            </w:r>
          </w:p>
        </w:tc>
        <w:tc>
          <w:tcPr>
            <w:tcW w:w="1639" w:type="dxa"/>
            <w:shd w:val="clear" w:color="auto" w:fill="C6EFCE"/>
            <w:vAlign w:val="center"/>
          </w:tcPr>
          <w:p w14:paraId="76421F38" w14:textId="77777777" w:rsidR="00FA7C11" w:rsidRDefault="00D84965">
            <w:pPr>
              <w:pStyle w:val="P68B1DB1-Normal102"/>
              <w:spacing w:after="0" w:line="240" w:lineRule="auto"/>
              <w:jc w:val="center"/>
              <w:textAlignment w:val="baseline"/>
              <w:rPr>
                <w:noProof/>
              </w:rPr>
            </w:pPr>
            <w:r>
              <w:rPr>
                <w:noProof/>
              </w:rPr>
              <w:t>C1.5. R1-I2</w:t>
            </w:r>
          </w:p>
        </w:tc>
        <w:tc>
          <w:tcPr>
            <w:tcW w:w="1274" w:type="dxa"/>
            <w:shd w:val="clear" w:color="auto" w:fill="C6EFCE"/>
            <w:vAlign w:val="center"/>
          </w:tcPr>
          <w:p w14:paraId="61B4A6D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A7298D8" w14:textId="77777777" w:rsidR="00FA7C11" w:rsidRDefault="00D84965">
            <w:pPr>
              <w:pStyle w:val="P68B1DB1-Normal102"/>
              <w:spacing w:after="0" w:line="240" w:lineRule="auto"/>
              <w:textAlignment w:val="baseline"/>
              <w:rPr>
                <w:noProof/>
              </w:rPr>
            </w:pPr>
            <w:r>
              <w:rPr>
                <w:noProof/>
              </w:rPr>
              <w:t>Formare pentru organizațiile de producători</w:t>
            </w:r>
          </w:p>
        </w:tc>
      </w:tr>
      <w:tr w:rsidR="00FA7C11" w14:paraId="22128C0B" w14:textId="77777777">
        <w:trPr>
          <w:trHeight w:val="51"/>
        </w:trPr>
        <w:tc>
          <w:tcPr>
            <w:tcW w:w="1096" w:type="dxa"/>
            <w:shd w:val="clear" w:color="auto" w:fill="C6EFCE"/>
            <w:vAlign w:val="center"/>
          </w:tcPr>
          <w:p w14:paraId="48DBE34A" w14:textId="77777777" w:rsidR="00FA7C11" w:rsidRDefault="00D84965">
            <w:pPr>
              <w:pStyle w:val="P68B1DB1-Normal102"/>
              <w:spacing w:after="0" w:line="240" w:lineRule="auto"/>
              <w:jc w:val="center"/>
              <w:textAlignment w:val="baseline"/>
              <w:rPr>
                <w:noProof/>
              </w:rPr>
            </w:pPr>
            <w:r>
              <w:rPr>
                <w:noProof/>
              </w:rPr>
              <w:t>130</w:t>
            </w:r>
          </w:p>
        </w:tc>
        <w:tc>
          <w:tcPr>
            <w:tcW w:w="1639" w:type="dxa"/>
            <w:shd w:val="clear" w:color="auto" w:fill="C6EFCE"/>
            <w:vAlign w:val="center"/>
          </w:tcPr>
          <w:p w14:paraId="36AB7A15" w14:textId="77777777" w:rsidR="00FA7C11" w:rsidRDefault="00D84965">
            <w:pPr>
              <w:pStyle w:val="P68B1DB1-Normal102"/>
              <w:spacing w:after="0" w:line="240" w:lineRule="auto"/>
              <w:jc w:val="center"/>
              <w:textAlignment w:val="baseline"/>
              <w:rPr>
                <w:noProof/>
              </w:rPr>
            </w:pPr>
            <w:r>
              <w:rPr>
                <w:noProof/>
              </w:rPr>
              <w:t>C1.5. R1-I2</w:t>
            </w:r>
          </w:p>
        </w:tc>
        <w:tc>
          <w:tcPr>
            <w:tcW w:w="1274" w:type="dxa"/>
            <w:shd w:val="clear" w:color="auto" w:fill="C6EFCE"/>
            <w:vAlign w:val="center"/>
          </w:tcPr>
          <w:p w14:paraId="6B773631"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766E957" w14:textId="77777777" w:rsidR="00FA7C11" w:rsidRDefault="00D84965">
            <w:pPr>
              <w:pStyle w:val="P68B1DB1-Normal102"/>
              <w:spacing w:after="0" w:line="240" w:lineRule="auto"/>
              <w:textAlignment w:val="baseline"/>
              <w:rPr>
                <w:noProof/>
              </w:rPr>
            </w:pPr>
            <w:r>
              <w:rPr>
                <w:noProof/>
              </w:rPr>
              <w:t>Sistemul de etichetare a fructelor și legumelor</w:t>
            </w:r>
          </w:p>
        </w:tc>
      </w:tr>
      <w:tr w:rsidR="00FA7C11" w14:paraId="47608A0D" w14:textId="77777777">
        <w:trPr>
          <w:trHeight w:val="51"/>
        </w:trPr>
        <w:tc>
          <w:tcPr>
            <w:tcW w:w="1096" w:type="dxa"/>
            <w:shd w:val="clear" w:color="auto" w:fill="C6EFCE"/>
            <w:vAlign w:val="center"/>
          </w:tcPr>
          <w:p w14:paraId="3C9348E1" w14:textId="77777777" w:rsidR="00FA7C11" w:rsidRDefault="00D84965">
            <w:pPr>
              <w:pStyle w:val="P68B1DB1-Normal102"/>
              <w:spacing w:after="0" w:line="240" w:lineRule="auto"/>
              <w:jc w:val="center"/>
              <w:textAlignment w:val="baseline"/>
              <w:rPr>
                <w:noProof/>
              </w:rPr>
            </w:pPr>
            <w:r>
              <w:rPr>
                <w:noProof/>
              </w:rPr>
              <w:t>136</w:t>
            </w:r>
          </w:p>
        </w:tc>
        <w:tc>
          <w:tcPr>
            <w:tcW w:w="1639" w:type="dxa"/>
            <w:shd w:val="clear" w:color="auto" w:fill="C6EFCE"/>
            <w:vAlign w:val="center"/>
          </w:tcPr>
          <w:p w14:paraId="795FB321" w14:textId="77777777" w:rsidR="00FA7C11" w:rsidRDefault="00D84965">
            <w:pPr>
              <w:pStyle w:val="P68B1DB1-Normal102"/>
              <w:spacing w:after="0" w:line="240" w:lineRule="auto"/>
              <w:jc w:val="center"/>
              <w:textAlignment w:val="baseline"/>
              <w:rPr>
                <w:noProof/>
              </w:rPr>
            </w:pPr>
            <w:r>
              <w:rPr>
                <w:noProof/>
              </w:rPr>
              <w:t>C1.5. R3-I2</w:t>
            </w:r>
          </w:p>
        </w:tc>
        <w:tc>
          <w:tcPr>
            <w:tcW w:w="1274" w:type="dxa"/>
            <w:shd w:val="clear" w:color="auto" w:fill="C6EFCE"/>
            <w:vAlign w:val="center"/>
          </w:tcPr>
          <w:p w14:paraId="6767FF8F"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BC3F37C" w14:textId="77777777" w:rsidR="00FA7C11" w:rsidRDefault="00D84965">
            <w:pPr>
              <w:pStyle w:val="P68B1DB1-Normal102"/>
              <w:spacing w:after="0" w:line="240" w:lineRule="auto"/>
              <w:textAlignment w:val="baseline"/>
              <w:rPr>
                <w:noProof/>
              </w:rPr>
            </w:pPr>
            <w:r>
              <w:rPr>
                <w:noProof/>
              </w:rPr>
              <w:t>Crearea unei platforme pentru agricultura inteligentă</w:t>
            </w:r>
          </w:p>
        </w:tc>
      </w:tr>
      <w:tr w:rsidR="00FA7C11" w14:paraId="491507C2" w14:textId="77777777">
        <w:trPr>
          <w:trHeight w:val="51"/>
        </w:trPr>
        <w:tc>
          <w:tcPr>
            <w:tcW w:w="1096" w:type="dxa"/>
            <w:shd w:val="clear" w:color="auto" w:fill="C6EFCE"/>
            <w:vAlign w:val="center"/>
          </w:tcPr>
          <w:p w14:paraId="5D9D02CA" w14:textId="77777777" w:rsidR="00FA7C11" w:rsidRDefault="00D84965">
            <w:pPr>
              <w:pStyle w:val="P68B1DB1-Normal102"/>
              <w:spacing w:after="0" w:line="240" w:lineRule="auto"/>
              <w:jc w:val="center"/>
              <w:textAlignment w:val="baseline"/>
              <w:rPr>
                <w:noProof/>
              </w:rPr>
            </w:pPr>
            <w:r>
              <w:rPr>
                <w:noProof/>
              </w:rPr>
              <w:t>145</w:t>
            </w:r>
          </w:p>
        </w:tc>
        <w:tc>
          <w:tcPr>
            <w:tcW w:w="1639" w:type="dxa"/>
            <w:shd w:val="clear" w:color="auto" w:fill="C6EFCE"/>
            <w:vAlign w:val="center"/>
          </w:tcPr>
          <w:p w14:paraId="6B80F910" w14:textId="77777777" w:rsidR="00FA7C11" w:rsidRDefault="00D84965">
            <w:pPr>
              <w:pStyle w:val="P68B1DB1-Normal102"/>
              <w:spacing w:after="0" w:line="240" w:lineRule="auto"/>
              <w:jc w:val="center"/>
              <w:textAlignment w:val="baseline"/>
              <w:rPr>
                <w:noProof/>
              </w:rPr>
            </w:pPr>
            <w:r>
              <w:rPr>
                <w:noProof/>
              </w:rPr>
              <w:t>C1.6. R1-I1</w:t>
            </w:r>
          </w:p>
        </w:tc>
        <w:tc>
          <w:tcPr>
            <w:tcW w:w="1274" w:type="dxa"/>
            <w:shd w:val="clear" w:color="auto" w:fill="C6EFCE"/>
            <w:vAlign w:val="center"/>
          </w:tcPr>
          <w:p w14:paraId="4DDFDA6A"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FCAFB3D" w14:textId="77777777" w:rsidR="00FA7C11" w:rsidRDefault="00D84965">
            <w:pPr>
              <w:pStyle w:val="P68B1DB1-Normal102"/>
              <w:spacing w:after="0" w:line="240" w:lineRule="auto"/>
              <w:textAlignment w:val="baseline"/>
              <w:rPr>
                <w:noProof/>
              </w:rPr>
            </w:pPr>
            <w:r>
              <w:rPr>
                <w:noProof/>
              </w:rPr>
              <w:t>Finalizarea proiectelor atribuite pentru construirea și adaptarea infrastructurii turistice publice</w:t>
            </w:r>
          </w:p>
        </w:tc>
      </w:tr>
      <w:tr w:rsidR="00FA7C11" w14:paraId="1A7AB9A8" w14:textId="77777777">
        <w:trPr>
          <w:trHeight w:val="51"/>
        </w:trPr>
        <w:tc>
          <w:tcPr>
            <w:tcW w:w="1096" w:type="dxa"/>
            <w:shd w:val="clear" w:color="auto" w:fill="C6EFCE"/>
            <w:vAlign w:val="center"/>
          </w:tcPr>
          <w:p w14:paraId="46D78AF2" w14:textId="77777777" w:rsidR="00FA7C11" w:rsidRDefault="00D84965">
            <w:pPr>
              <w:pStyle w:val="P68B1DB1-Normal102"/>
              <w:spacing w:after="0" w:line="240" w:lineRule="auto"/>
              <w:jc w:val="center"/>
              <w:textAlignment w:val="baseline"/>
              <w:rPr>
                <w:noProof/>
              </w:rPr>
            </w:pPr>
            <w:r>
              <w:rPr>
                <w:noProof/>
              </w:rPr>
              <w:t>147</w:t>
            </w:r>
          </w:p>
        </w:tc>
        <w:tc>
          <w:tcPr>
            <w:tcW w:w="1639" w:type="dxa"/>
            <w:shd w:val="clear" w:color="auto" w:fill="C6EFCE"/>
            <w:vAlign w:val="center"/>
          </w:tcPr>
          <w:p w14:paraId="55FA4E37" w14:textId="77777777" w:rsidR="00FA7C11" w:rsidRDefault="00D84965">
            <w:pPr>
              <w:pStyle w:val="P68B1DB1-Normal102"/>
              <w:spacing w:after="0" w:line="240" w:lineRule="auto"/>
              <w:jc w:val="center"/>
              <w:textAlignment w:val="baseline"/>
              <w:rPr>
                <w:noProof/>
              </w:rPr>
            </w:pPr>
            <w:r>
              <w:rPr>
                <w:noProof/>
              </w:rPr>
              <w:t>C1.6. R1-I2</w:t>
            </w:r>
          </w:p>
        </w:tc>
        <w:tc>
          <w:tcPr>
            <w:tcW w:w="1274" w:type="dxa"/>
            <w:shd w:val="clear" w:color="auto" w:fill="C6EFCE"/>
            <w:vAlign w:val="center"/>
          </w:tcPr>
          <w:p w14:paraId="7E9767D2"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176ED4F" w14:textId="77777777" w:rsidR="00FA7C11" w:rsidRDefault="00D84965">
            <w:pPr>
              <w:pStyle w:val="P68B1DB1-Normal102"/>
              <w:spacing w:after="0" w:line="240" w:lineRule="auto"/>
              <w:textAlignment w:val="baseline"/>
              <w:rPr>
                <w:noProof/>
              </w:rPr>
            </w:pPr>
            <w:r>
              <w:rPr>
                <w:noProof/>
              </w:rPr>
              <w:t>Finalizarea proiectelor de investiții atribuite pentru a consolida durabilitatea și a promova tranziția verde și digitală a antreprenorilor din domeniul turismului</w:t>
            </w:r>
          </w:p>
        </w:tc>
      </w:tr>
      <w:tr w:rsidR="00FA7C11" w14:paraId="0C6CE37E" w14:textId="77777777">
        <w:trPr>
          <w:trHeight w:val="51"/>
        </w:trPr>
        <w:tc>
          <w:tcPr>
            <w:tcW w:w="1096" w:type="dxa"/>
            <w:shd w:val="clear" w:color="auto" w:fill="C6EFCE"/>
            <w:vAlign w:val="center"/>
          </w:tcPr>
          <w:p w14:paraId="71312038" w14:textId="77777777" w:rsidR="00FA7C11" w:rsidRDefault="00D84965">
            <w:pPr>
              <w:pStyle w:val="P68B1DB1-Normal102"/>
              <w:spacing w:after="0" w:line="240" w:lineRule="auto"/>
              <w:jc w:val="center"/>
              <w:textAlignment w:val="baseline"/>
              <w:rPr>
                <w:noProof/>
              </w:rPr>
            </w:pPr>
            <w:r>
              <w:rPr>
                <w:noProof/>
              </w:rPr>
              <w:t>149</w:t>
            </w:r>
          </w:p>
        </w:tc>
        <w:tc>
          <w:tcPr>
            <w:tcW w:w="1639" w:type="dxa"/>
            <w:shd w:val="clear" w:color="auto" w:fill="C6EFCE"/>
            <w:vAlign w:val="center"/>
          </w:tcPr>
          <w:p w14:paraId="04ADFB69" w14:textId="77777777" w:rsidR="00FA7C11" w:rsidRDefault="00D84965">
            <w:pPr>
              <w:pStyle w:val="P68B1DB1-Normal102"/>
              <w:spacing w:after="0" w:line="240" w:lineRule="auto"/>
              <w:jc w:val="center"/>
              <w:textAlignment w:val="baseline"/>
              <w:rPr>
                <w:noProof/>
              </w:rPr>
            </w:pPr>
            <w:r>
              <w:rPr>
                <w:noProof/>
              </w:rPr>
              <w:t>C1.6. R1-I3</w:t>
            </w:r>
          </w:p>
        </w:tc>
        <w:tc>
          <w:tcPr>
            <w:tcW w:w="1274" w:type="dxa"/>
            <w:shd w:val="clear" w:color="auto" w:fill="C6EFCE"/>
            <w:vAlign w:val="center"/>
          </w:tcPr>
          <w:p w14:paraId="21929063"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EB9E402" w14:textId="77777777" w:rsidR="00FA7C11" w:rsidRDefault="00D84965">
            <w:pPr>
              <w:pStyle w:val="P68B1DB1-Normal102"/>
              <w:spacing w:after="0" w:line="240" w:lineRule="auto"/>
              <w:textAlignment w:val="baseline"/>
              <w:rPr>
                <w:noProof/>
              </w:rPr>
            </w:pPr>
            <w:r>
              <w:rPr>
                <w:noProof/>
              </w:rPr>
              <w:t xml:space="preserve">Persoane educate în programe educaționale legate de turism </w:t>
            </w:r>
          </w:p>
        </w:tc>
      </w:tr>
      <w:tr w:rsidR="00FA7C11" w14:paraId="6AC7EA0F" w14:textId="77777777">
        <w:trPr>
          <w:trHeight w:val="51"/>
        </w:trPr>
        <w:tc>
          <w:tcPr>
            <w:tcW w:w="1096" w:type="dxa"/>
            <w:shd w:val="clear" w:color="auto" w:fill="C6EFCE"/>
            <w:vAlign w:val="center"/>
          </w:tcPr>
          <w:p w14:paraId="4860062E" w14:textId="77777777" w:rsidR="00FA7C11" w:rsidRDefault="00D84965">
            <w:pPr>
              <w:pStyle w:val="P68B1DB1-Normal102"/>
              <w:spacing w:after="0" w:line="240" w:lineRule="auto"/>
              <w:jc w:val="center"/>
              <w:textAlignment w:val="baseline"/>
              <w:rPr>
                <w:noProof/>
              </w:rPr>
            </w:pPr>
            <w:r>
              <w:rPr>
                <w:noProof/>
              </w:rPr>
              <w:t>152</w:t>
            </w:r>
          </w:p>
        </w:tc>
        <w:tc>
          <w:tcPr>
            <w:tcW w:w="1639" w:type="dxa"/>
            <w:shd w:val="clear" w:color="auto" w:fill="C6EFCE"/>
            <w:vAlign w:val="center"/>
          </w:tcPr>
          <w:p w14:paraId="26D9EF66" w14:textId="77777777" w:rsidR="00FA7C11" w:rsidRDefault="00D84965">
            <w:pPr>
              <w:pStyle w:val="P68B1DB1-Normal102"/>
              <w:spacing w:after="0" w:line="240" w:lineRule="auto"/>
              <w:jc w:val="center"/>
              <w:textAlignment w:val="baseline"/>
              <w:rPr>
                <w:noProof/>
              </w:rPr>
            </w:pPr>
            <w:r>
              <w:rPr>
                <w:noProof/>
              </w:rPr>
              <w:t>C2.1. R1</w:t>
            </w:r>
          </w:p>
        </w:tc>
        <w:tc>
          <w:tcPr>
            <w:tcW w:w="1274" w:type="dxa"/>
            <w:shd w:val="clear" w:color="auto" w:fill="C6EFCE"/>
            <w:vAlign w:val="center"/>
          </w:tcPr>
          <w:p w14:paraId="11C1E9FC"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73A186D" w14:textId="41BAE92F" w:rsidR="00FA7C11" w:rsidRDefault="00D84965">
            <w:pPr>
              <w:pStyle w:val="P68B1DB1-Normal102"/>
              <w:spacing w:after="0" w:line="240" w:lineRule="auto"/>
              <w:textAlignment w:val="baseline"/>
              <w:rPr>
                <w:noProof/>
              </w:rPr>
            </w:pPr>
            <w:r>
              <w:rPr>
                <w:noProof/>
              </w:rPr>
              <w:t>Reducerea sarcinii administrative care afectează în mod direct cetățenii, prin digitalizare și simplificarea procedurilor</w:t>
            </w:r>
          </w:p>
        </w:tc>
      </w:tr>
      <w:tr w:rsidR="00FA7C11" w14:paraId="2DCAED9F" w14:textId="77777777">
        <w:trPr>
          <w:trHeight w:val="51"/>
        </w:trPr>
        <w:tc>
          <w:tcPr>
            <w:tcW w:w="1096" w:type="dxa"/>
            <w:shd w:val="clear" w:color="auto" w:fill="C6EFCE"/>
            <w:vAlign w:val="center"/>
          </w:tcPr>
          <w:p w14:paraId="126B20D6" w14:textId="77777777" w:rsidR="00FA7C11" w:rsidRDefault="00D84965">
            <w:pPr>
              <w:pStyle w:val="P68B1DB1-Normal102"/>
              <w:spacing w:after="0" w:line="240" w:lineRule="auto"/>
              <w:jc w:val="center"/>
              <w:textAlignment w:val="baseline"/>
              <w:rPr>
                <w:noProof/>
              </w:rPr>
            </w:pPr>
            <w:r>
              <w:rPr>
                <w:noProof/>
              </w:rPr>
              <w:t>153</w:t>
            </w:r>
          </w:p>
        </w:tc>
        <w:tc>
          <w:tcPr>
            <w:tcW w:w="1639" w:type="dxa"/>
            <w:shd w:val="clear" w:color="auto" w:fill="C6EFCE"/>
            <w:vAlign w:val="center"/>
          </w:tcPr>
          <w:p w14:paraId="32D76E10" w14:textId="77777777" w:rsidR="00FA7C11" w:rsidRDefault="00D84965">
            <w:pPr>
              <w:pStyle w:val="P68B1DB1-Normal102"/>
              <w:spacing w:after="0" w:line="240" w:lineRule="auto"/>
              <w:jc w:val="center"/>
              <w:textAlignment w:val="baseline"/>
              <w:rPr>
                <w:noProof/>
              </w:rPr>
            </w:pPr>
            <w:r>
              <w:rPr>
                <w:noProof/>
              </w:rPr>
              <w:t>C2.1. R1-I1</w:t>
            </w:r>
          </w:p>
        </w:tc>
        <w:tc>
          <w:tcPr>
            <w:tcW w:w="1274" w:type="dxa"/>
            <w:shd w:val="clear" w:color="auto" w:fill="C6EFCE"/>
            <w:vAlign w:val="center"/>
          </w:tcPr>
          <w:p w14:paraId="0DA617C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7EA2CF1" w14:textId="77777777" w:rsidR="00FA7C11" w:rsidRDefault="00D84965">
            <w:pPr>
              <w:pStyle w:val="P68B1DB1-Normal102"/>
              <w:spacing w:after="0" w:line="240" w:lineRule="auto"/>
              <w:textAlignment w:val="baseline"/>
              <w:rPr>
                <w:noProof/>
              </w:rPr>
            </w:pPr>
            <w:r>
              <w:rPr>
                <w:noProof/>
              </w:rPr>
              <w:t>Digitalizarea tuturor proceselor operaționale cartografierea în domeniul planificării strategice și al evaluării impactului normativ</w:t>
            </w:r>
          </w:p>
        </w:tc>
      </w:tr>
      <w:tr w:rsidR="00FA7C11" w14:paraId="5832A727" w14:textId="77777777">
        <w:trPr>
          <w:trHeight w:val="51"/>
        </w:trPr>
        <w:tc>
          <w:tcPr>
            <w:tcW w:w="1096" w:type="dxa"/>
            <w:shd w:val="clear" w:color="auto" w:fill="C6EFCE"/>
            <w:vAlign w:val="center"/>
          </w:tcPr>
          <w:p w14:paraId="5D0ABEF5" w14:textId="77777777" w:rsidR="00FA7C11" w:rsidRDefault="00D84965">
            <w:pPr>
              <w:pStyle w:val="P68B1DB1-Normal102"/>
              <w:spacing w:after="0" w:line="240" w:lineRule="auto"/>
              <w:jc w:val="center"/>
              <w:textAlignment w:val="baseline"/>
              <w:rPr>
                <w:noProof/>
              </w:rPr>
            </w:pPr>
            <w:r>
              <w:rPr>
                <w:noProof/>
              </w:rPr>
              <w:t>162</w:t>
            </w:r>
          </w:p>
        </w:tc>
        <w:tc>
          <w:tcPr>
            <w:tcW w:w="1639" w:type="dxa"/>
            <w:shd w:val="clear" w:color="auto" w:fill="C6EFCE"/>
            <w:vAlign w:val="center"/>
          </w:tcPr>
          <w:p w14:paraId="004CA0D0" w14:textId="77777777" w:rsidR="00FA7C11" w:rsidRDefault="00D84965">
            <w:pPr>
              <w:pStyle w:val="P68B1DB1-Normal102"/>
              <w:spacing w:after="0" w:line="240" w:lineRule="auto"/>
              <w:jc w:val="center"/>
              <w:textAlignment w:val="baseline"/>
              <w:rPr>
                <w:noProof/>
              </w:rPr>
            </w:pPr>
            <w:r>
              <w:rPr>
                <w:noProof/>
              </w:rPr>
              <w:t>C2.1. R2-I1</w:t>
            </w:r>
          </w:p>
        </w:tc>
        <w:tc>
          <w:tcPr>
            <w:tcW w:w="1274" w:type="dxa"/>
            <w:shd w:val="clear" w:color="auto" w:fill="C6EFCE"/>
            <w:vAlign w:val="center"/>
          </w:tcPr>
          <w:p w14:paraId="16C1FCF1"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1177EE" w14:textId="77777777" w:rsidR="00FA7C11" w:rsidRDefault="00D84965">
            <w:pPr>
              <w:pStyle w:val="P68B1DB1-Normal102"/>
              <w:spacing w:after="0" w:line="240" w:lineRule="auto"/>
              <w:textAlignment w:val="baseline"/>
              <w:rPr>
                <w:noProof/>
              </w:rPr>
            </w:pPr>
            <w:r>
              <w:rPr>
                <w:noProof/>
              </w:rPr>
              <w:t>Pregătirea documentației tehnice a proiectului pentru proiectele de tranziție verde și digitală</w:t>
            </w:r>
          </w:p>
        </w:tc>
      </w:tr>
      <w:tr w:rsidR="00FA7C11" w14:paraId="3B1AF867" w14:textId="77777777">
        <w:trPr>
          <w:trHeight w:val="51"/>
        </w:trPr>
        <w:tc>
          <w:tcPr>
            <w:tcW w:w="1096" w:type="dxa"/>
            <w:shd w:val="clear" w:color="auto" w:fill="C6EFCE"/>
            <w:vAlign w:val="center"/>
          </w:tcPr>
          <w:p w14:paraId="2A437057" w14:textId="77777777" w:rsidR="00FA7C11" w:rsidRDefault="00D84965">
            <w:pPr>
              <w:pStyle w:val="P68B1DB1-Normal102"/>
              <w:spacing w:after="0" w:line="240" w:lineRule="auto"/>
              <w:jc w:val="center"/>
              <w:textAlignment w:val="baseline"/>
              <w:rPr>
                <w:noProof/>
              </w:rPr>
            </w:pPr>
            <w:r>
              <w:rPr>
                <w:noProof/>
              </w:rPr>
              <w:t>172</w:t>
            </w:r>
          </w:p>
        </w:tc>
        <w:tc>
          <w:tcPr>
            <w:tcW w:w="1639" w:type="dxa"/>
            <w:shd w:val="clear" w:color="auto" w:fill="C6EFCE"/>
            <w:vAlign w:val="center"/>
          </w:tcPr>
          <w:p w14:paraId="78398607" w14:textId="77777777" w:rsidR="00FA7C11" w:rsidRDefault="00D84965">
            <w:pPr>
              <w:pStyle w:val="P68B1DB1-Normal102"/>
              <w:spacing w:after="0" w:line="240" w:lineRule="auto"/>
              <w:jc w:val="center"/>
              <w:textAlignment w:val="baseline"/>
              <w:rPr>
                <w:noProof/>
              </w:rPr>
            </w:pPr>
            <w:r>
              <w:rPr>
                <w:noProof/>
              </w:rPr>
              <w:t>C2.2. R3-I1</w:t>
            </w:r>
          </w:p>
        </w:tc>
        <w:tc>
          <w:tcPr>
            <w:tcW w:w="1274" w:type="dxa"/>
            <w:shd w:val="clear" w:color="auto" w:fill="C6EFCE"/>
            <w:vAlign w:val="center"/>
          </w:tcPr>
          <w:p w14:paraId="51D7C53C"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DB67107" w14:textId="77777777" w:rsidR="00FA7C11" w:rsidRDefault="00D84965">
            <w:pPr>
              <w:pStyle w:val="P68B1DB1-Normal102"/>
              <w:spacing w:after="0" w:line="240" w:lineRule="auto"/>
              <w:textAlignment w:val="baseline"/>
              <w:rPr>
                <w:noProof/>
              </w:rPr>
            </w:pPr>
            <w:r>
              <w:rPr>
                <w:noProof/>
              </w:rPr>
              <w:t>Crearea unui set de 60 de baze de conservare accesibile publicului pentru cele mai complexe situri culturale și istorice de mare valoare monumentală</w:t>
            </w:r>
          </w:p>
        </w:tc>
      </w:tr>
      <w:tr w:rsidR="00FA7C11" w14:paraId="216ACFD5" w14:textId="77777777">
        <w:trPr>
          <w:trHeight w:val="51"/>
        </w:trPr>
        <w:tc>
          <w:tcPr>
            <w:tcW w:w="1096" w:type="dxa"/>
            <w:shd w:val="clear" w:color="auto" w:fill="C6EFCE"/>
            <w:vAlign w:val="center"/>
          </w:tcPr>
          <w:p w14:paraId="14B85F9D" w14:textId="77777777" w:rsidR="00FA7C11" w:rsidRDefault="00D84965">
            <w:pPr>
              <w:pStyle w:val="P68B1DB1-Normal102"/>
              <w:spacing w:after="0" w:line="240" w:lineRule="auto"/>
              <w:jc w:val="center"/>
              <w:textAlignment w:val="baseline"/>
              <w:rPr>
                <w:noProof/>
              </w:rPr>
            </w:pPr>
            <w:r>
              <w:rPr>
                <w:noProof/>
              </w:rPr>
              <w:t>173</w:t>
            </w:r>
          </w:p>
        </w:tc>
        <w:tc>
          <w:tcPr>
            <w:tcW w:w="1639" w:type="dxa"/>
            <w:shd w:val="clear" w:color="auto" w:fill="C6EFCE"/>
            <w:vAlign w:val="center"/>
          </w:tcPr>
          <w:p w14:paraId="0038B57F" w14:textId="77777777" w:rsidR="00FA7C11" w:rsidRDefault="00D84965">
            <w:pPr>
              <w:pStyle w:val="P68B1DB1-Normal102"/>
              <w:spacing w:after="0" w:line="240" w:lineRule="auto"/>
              <w:jc w:val="center"/>
              <w:textAlignment w:val="baseline"/>
              <w:rPr>
                <w:noProof/>
              </w:rPr>
            </w:pPr>
            <w:r>
              <w:rPr>
                <w:noProof/>
              </w:rPr>
              <w:t>C2.2. R3-I2</w:t>
            </w:r>
          </w:p>
        </w:tc>
        <w:tc>
          <w:tcPr>
            <w:tcW w:w="1274" w:type="dxa"/>
            <w:shd w:val="clear" w:color="auto" w:fill="C6EFCE"/>
            <w:vAlign w:val="center"/>
          </w:tcPr>
          <w:p w14:paraId="1A978A1A"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299CD6E" w14:textId="77777777" w:rsidR="00FA7C11" w:rsidRDefault="00D84965">
            <w:pPr>
              <w:pStyle w:val="P68B1DB1-Normal102"/>
              <w:spacing w:after="0" w:line="240" w:lineRule="auto"/>
              <w:textAlignment w:val="baseline"/>
              <w:rPr>
                <w:noProof/>
              </w:rPr>
            </w:pPr>
            <w:r>
              <w:rPr>
                <w:noProof/>
              </w:rPr>
              <w:t>600 creatorii de documente utilizează sistemul informatic de arhivă</w:t>
            </w:r>
          </w:p>
        </w:tc>
      </w:tr>
      <w:tr w:rsidR="00FA7C11" w14:paraId="3E984299" w14:textId="77777777">
        <w:trPr>
          <w:trHeight w:val="51"/>
        </w:trPr>
        <w:tc>
          <w:tcPr>
            <w:tcW w:w="1096" w:type="dxa"/>
            <w:shd w:val="clear" w:color="auto" w:fill="C6EFCE"/>
            <w:vAlign w:val="center"/>
          </w:tcPr>
          <w:p w14:paraId="19B3E663" w14:textId="77777777" w:rsidR="00FA7C11" w:rsidRDefault="00D84965">
            <w:pPr>
              <w:pStyle w:val="P68B1DB1-Normal102"/>
              <w:spacing w:after="0" w:line="240" w:lineRule="auto"/>
              <w:jc w:val="center"/>
              <w:textAlignment w:val="baseline"/>
              <w:rPr>
                <w:noProof/>
              </w:rPr>
            </w:pPr>
            <w:r>
              <w:rPr>
                <w:noProof/>
              </w:rPr>
              <w:t>180</w:t>
            </w:r>
          </w:p>
        </w:tc>
        <w:tc>
          <w:tcPr>
            <w:tcW w:w="1639" w:type="dxa"/>
            <w:shd w:val="clear" w:color="auto" w:fill="C6EFCE"/>
            <w:vAlign w:val="center"/>
          </w:tcPr>
          <w:p w14:paraId="259A2CCC" w14:textId="77777777" w:rsidR="00FA7C11" w:rsidRDefault="00D84965">
            <w:pPr>
              <w:pStyle w:val="P68B1DB1-Normal102"/>
              <w:spacing w:after="0" w:line="240" w:lineRule="auto"/>
              <w:jc w:val="center"/>
              <w:textAlignment w:val="baseline"/>
              <w:rPr>
                <w:noProof/>
              </w:rPr>
            </w:pPr>
            <w:r>
              <w:rPr>
                <w:noProof/>
              </w:rPr>
              <w:t>C2.3. R3-I1</w:t>
            </w:r>
          </w:p>
        </w:tc>
        <w:tc>
          <w:tcPr>
            <w:tcW w:w="1274" w:type="dxa"/>
            <w:shd w:val="clear" w:color="auto" w:fill="C6EFCE"/>
            <w:vAlign w:val="center"/>
          </w:tcPr>
          <w:p w14:paraId="26B556DE"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5D24470" w14:textId="77777777" w:rsidR="00FA7C11" w:rsidRDefault="00D84965">
            <w:pPr>
              <w:pStyle w:val="P68B1DB1-Normal102"/>
              <w:spacing w:after="0" w:line="240" w:lineRule="auto"/>
              <w:textAlignment w:val="baseline"/>
              <w:rPr>
                <w:noProof/>
              </w:rPr>
            </w:pPr>
            <w:r>
              <w:rPr>
                <w:noProof/>
              </w:rPr>
              <w:t>Creșterea numărului de utilizatori în cadrul Centrului de servicii partajate</w:t>
            </w:r>
          </w:p>
        </w:tc>
      </w:tr>
      <w:tr w:rsidR="00FA7C11" w14:paraId="7AB618C2" w14:textId="77777777">
        <w:trPr>
          <w:trHeight w:val="51"/>
        </w:trPr>
        <w:tc>
          <w:tcPr>
            <w:tcW w:w="1096" w:type="dxa"/>
            <w:shd w:val="clear" w:color="auto" w:fill="C6EFCE"/>
            <w:vAlign w:val="center"/>
          </w:tcPr>
          <w:p w14:paraId="723FAD1D" w14:textId="77777777" w:rsidR="00FA7C11" w:rsidRDefault="00D84965">
            <w:pPr>
              <w:pStyle w:val="P68B1DB1-Normal102"/>
              <w:spacing w:after="0" w:line="240" w:lineRule="auto"/>
              <w:jc w:val="center"/>
              <w:textAlignment w:val="baseline"/>
              <w:rPr>
                <w:noProof/>
              </w:rPr>
            </w:pPr>
            <w:r>
              <w:rPr>
                <w:noProof/>
              </w:rPr>
              <w:t>186</w:t>
            </w:r>
          </w:p>
        </w:tc>
        <w:tc>
          <w:tcPr>
            <w:tcW w:w="1639" w:type="dxa"/>
            <w:shd w:val="clear" w:color="auto" w:fill="C6EFCE"/>
            <w:vAlign w:val="center"/>
          </w:tcPr>
          <w:p w14:paraId="0FE120F5" w14:textId="77777777" w:rsidR="00FA7C11" w:rsidRDefault="00D84965">
            <w:pPr>
              <w:pStyle w:val="P68B1DB1-Normal102"/>
              <w:spacing w:after="0" w:line="240" w:lineRule="auto"/>
              <w:jc w:val="center"/>
              <w:textAlignment w:val="baseline"/>
              <w:rPr>
                <w:noProof/>
              </w:rPr>
            </w:pPr>
            <w:r>
              <w:rPr>
                <w:noProof/>
              </w:rPr>
              <w:t>C2.3. R3-I6</w:t>
            </w:r>
          </w:p>
        </w:tc>
        <w:tc>
          <w:tcPr>
            <w:tcW w:w="1274" w:type="dxa"/>
            <w:shd w:val="clear" w:color="auto" w:fill="C6EFCE"/>
            <w:vAlign w:val="center"/>
          </w:tcPr>
          <w:p w14:paraId="4ABA0E60"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EC65BA1" w14:textId="77777777" w:rsidR="00FA7C11" w:rsidRDefault="00D84965">
            <w:pPr>
              <w:pStyle w:val="P68B1DB1-Normal102"/>
              <w:spacing w:after="0" w:line="240" w:lineRule="auto"/>
              <w:textAlignment w:val="baseline"/>
              <w:rPr>
                <w:noProof/>
              </w:rPr>
            </w:pPr>
            <w:r>
              <w:rPr>
                <w:noProof/>
              </w:rPr>
              <w:t>Modernizarea infrastructurii de informații de stat (DII)</w:t>
            </w:r>
          </w:p>
        </w:tc>
      </w:tr>
      <w:tr w:rsidR="00FA7C11" w14:paraId="141E1E80" w14:textId="77777777">
        <w:trPr>
          <w:trHeight w:val="51"/>
        </w:trPr>
        <w:tc>
          <w:tcPr>
            <w:tcW w:w="1096" w:type="dxa"/>
            <w:shd w:val="clear" w:color="auto" w:fill="C6EFCE"/>
            <w:vAlign w:val="center"/>
          </w:tcPr>
          <w:p w14:paraId="36E0D28C" w14:textId="77777777" w:rsidR="00FA7C11" w:rsidRDefault="00D84965">
            <w:pPr>
              <w:pStyle w:val="P68B1DB1-Normal102"/>
              <w:spacing w:after="0" w:line="240" w:lineRule="auto"/>
              <w:jc w:val="center"/>
              <w:textAlignment w:val="baseline"/>
              <w:rPr>
                <w:noProof/>
              </w:rPr>
            </w:pPr>
            <w:r>
              <w:rPr>
                <w:noProof/>
              </w:rPr>
              <w:t>187</w:t>
            </w:r>
          </w:p>
        </w:tc>
        <w:tc>
          <w:tcPr>
            <w:tcW w:w="1639" w:type="dxa"/>
            <w:shd w:val="clear" w:color="auto" w:fill="C6EFCE"/>
            <w:vAlign w:val="center"/>
          </w:tcPr>
          <w:p w14:paraId="69FA194D" w14:textId="77777777" w:rsidR="00FA7C11" w:rsidRDefault="00D84965">
            <w:pPr>
              <w:pStyle w:val="P68B1DB1-Normal102"/>
              <w:spacing w:after="0" w:line="240" w:lineRule="auto"/>
              <w:jc w:val="center"/>
              <w:textAlignment w:val="baseline"/>
              <w:rPr>
                <w:noProof/>
              </w:rPr>
            </w:pPr>
            <w:r>
              <w:rPr>
                <w:noProof/>
              </w:rPr>
              <w:t>C2.3. R3-I6</w:t>
            </w:r>
          </w:p>
        </w:tc>
        <w:tc>
          <w:tcPr>
            <w:tcW w:w="1274" w:type="dxa"/>
            <w:shd w:val="clear" w:color="auto" w:fill="C6EFCE"/>
            <w:vAlign w:val="center"/>
          </w:tcPr>
          <w:p w14:paraId="3AA99403"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6A0064B" w14:textId="77777777" w:rsidR="00FA7C11" w:rsidRDefault="00D84965">
            <w:pPr>
              <w:pStyle w:val="P68B1DB1-Normal102"/>
              <w:spacing w:after="0" w:line="240" w:lineRule="auto"/>
              <w:textAlignment w:val="baseline"/>
              <w:rPr>
                <w:noProof/>
              </w:rPr>
            </w:pPr>
            <w:r>
              <w:rPr>
                <w:noProof/>
              </w:rPr>
              <w:t>Noi utilizatori ai rețelei publice de infrastructură de informații (DII)</w:t>
            </w:r>
          </w:p>
        </w:tc>
      </w:tr>
      <w:tr w:rsidR="00FA7C11" w14:paraId="1D59798F" w14:textId="77777777">
        <w:trPr>
          <w:trHeight w:val="51"/>
        </w:trPr>
        <w:tc>
          <w:tcPr>
            <w:tcW w:w="1096" w:type="dxa"/>
            <w:shd w:val="clear" w:color="auto" w:fill="C6EFCE"/>
            <w:vAlign w:val="center"/>
          </w:tcPr>
          <w:p w14:paraId="6284D144" w14:textId="77777777" w:rsidR="00FA7C11" w:rsidRDefault="00D84965">
            <w:pPr>
              <w:pStyle w:val="P68B1DB1-Normal102"/>
              <w:spacing w:after="0" w:line="240" w:lineRule="auto"/>
              <w:jc w:val="center"/>
              <w:textAlignment w:val="baseline"/>
              <w:rPr>
                <w:noProof/>
              </w:rPr>
            </w:pPr>
            <w:r>
              <w:rPr>
                <w:noProof/>
              </w:rPr>
              <w:t>188</w:t>
            </w:r>
          </w:p>
        </w:tc>
        <w:tc>
          <w:tcPr>
            <w:tcW w:w="1639" w:type="dxa"/>
            <w:shd w:val="clear" w:color="auto" w:fill="C6EFCE"/>
            <w:vAlign w:val="center"/>
          </w:tcPr>
          <w:p w14:paraId="1C5D0375" w14:textId="77777777" w:rsidR="00FA7C11" w:rsidRDefault="00D84965">
            <w:pPr>
              <w:pStyle w:val="P68B1DB1-Normal102"/>
              <w:spacing w:after="0" w:line="240" w:lineRule="auto"/>
              <w:jc w:val="center"/>
              <w:textAlignment w:val="baseline"/>
              <w:rPr>
                <w:noProof/>
              </w:rPr>
            </w:pPr>
            <w:r>
              <w:rPr>
                <w:noProof/>
              </w:rPr>
              <w:t>C2.3. R3-I7</w:t>
            </w:r>
          </w:p>
        </w:tc>
        <w:tc>
          <w:tcPr>
            <w:tcW w:w="1274" w:type="dxa"/>
            <w:shd w:val="clear" w:color="auto" w:fill="C6EFCE"/>
            <w:vAlign w:val="center"/>
          </w:tcPr>
          <w:p w14:paraId="375A6C9B"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3054CA1" w14:textId="77777777" w:rsidR="00FA7C11" w:rsidRDefault="00D84965">
            <w:pPr>
              <w:pStyle w:val="P68B1DB1-Normal102"/>
              <w:spacing w:after="0" w:line="240" w:lineRule="auto"/>
              <w:textAlignment w:val="baseline"/>
              <w:rPr>
                <w:noProof/>
              </w:rPr>
            </w:pPr>
            <w:r>
              <w:rPr>
                <w:noProof/>
              </w:rPr>
              <w:t xml:space="preserve">Planuri digitale de amenajare a teritoriului </w:t>
            </w:r>
          </w:p>
        </w:tc>
      </w:tr>
      <w:tr w:rsidR="00FA7C11" w14:paraId="3B6574B3" w14:textId="77777777">
        <w:trPr>
          <w:trHeight w:val="51"/>
        </w:trPr>
        <w:tc>
          <w:tcPr>
            <w:tcW w:w="1096" w:type="dxa"/>
            <w:shd w:val="clear" w:color="auto" w:fill="C6EFCE"/>
            <w:vAlign w:val="center"/>
          </w:tcPr>
          <w:p w14:paraId="0C9917DA" w14:textId="77777777" w:rsidR="00FA7C11" w:rsidRDefault="00D84965">
            <w:pPr>
              <w:pStyle w:val="P68B1DB1-Normal102"/>
              <w:spacing w:after="0" w:line="240" w:lineRule="auto"/>
              <w:jc w:val="center"/>
              <w:textAlignment w:val="baseline"/>
              <w:rPr>
                <w:noProof/>
              </w:rPr>
            </w:pPr>
            <w:r>
              <w:rPr>
                <w:noProof/>
              </w:rPr>
              <w:t>189</w:t>
            </w:r>
          </w:p>
        </w:tc>
        <w:tc>
          <w:tcPr>
            <w:tcW w:w="1639" w:type="dxa"/>
            <w:shd w:val="clear" w:color="auto" w:fill="C6EFCE"/>
            <w:vAlign w:val="center"/>
          </w:tcPr>
          <w:p w14:paraId="6834C2CF" w14:textId="77777777" w:rsidR="00FA7C11" w:rsidRDefault="00D84965">
            <w:pPr>
              <w:pStyle w:val="P68B1DB1-Normal102"/>
              <w:spacing w:after="0" w:line="240" w:lineRule="auto"/>
              <w:jc w:val="center"/>
              <w:textAlignment w:val="baseline"/>
              <w:rPr>
                <w:noProof/>
              </w:rPr>
            </w:pPr>
            <w:r>
              <w:rPr>
                <w:noProof/>
              </w:rPr>
              <w:t>C2.3. R3-I7</w:t>
            </w:r>
          </w:p>
        </w:tc>
        <w:tc>
          <w:tcPr>
            <w:tcW w:w="1274" w:type="dxa"/>
            <w:shd w:val="clear" w:color="auto" w:fill="C6EFCE"/>
            <w:vAlign w:val="center"/>
          </w:tcPr>
          <w:p w14:paraId="4B227D61"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0530C796" w14:textId="77777777" w:rsidR="00FA7C11" w:rsidRDefault="00D84965">
            <w:pPr>
              <w:pStyle w:val="P68B1DB1-Normal102"/>
              <w:spacing w:after="0" w:line="240" w:lineRule="auto"/>
              <w:textAlignment w:val="baseline"/>
              <w:rPr>
                <w:noProof/>
              </w:rPr>
            </w:pPr>
            <w:r>
              <w:rPr>
                <w:noProof/>
              </w:rPr>
              <w:t>Modernizarea sistemului de informații privind planurile spațiale</w:t>
            </w:r>
          </w:p>
        </w:tc>
      </w:tr>
      <w:tr w:rsidR="00FA7C11" w14:paraId="70F10CCD" w14:textId="77777777">
        <w:trPr>
          <w:trHeight w:val="51"/>
        </w:trPr>
        <w:tc>
          <w:tcPr>
            <w:tcW w:w="1096" w:type="dxa"/>
            <w:shd w:val="clear" w:color="auto" w:fill="C6EFCE"/>
            <w:vAlign w:val="center"/>
          </w:tcPr>
          <w:p w14:paraId="3E3ABB23" w14:textId="77777777" w:rsidR="00FA7C11" w:rsidRDefault="00D84965">
            <w:pPr>
              <w:pStyle w:val="P68B1DB1-Normal102"/>
              <w:spacing w:after="0" w:line="240" w:lineRule="auto"/>
              <w:jc w:val="center"/>
              <w:textAlignment w:val="baseline"/>
              <w:rPr>
                <w:noProof/>
              </w:rPr>
            </w:pPr>
            <w:r>
              <w:rPr>
                <w:noProof/>
              </w:rPr>
              <w:t>193</w:t>
            </w:r>
          </w:p>
        </w:tc>
        <w:tc>
          <w:tcPr>
            <w:tcW w:w="1639" w:type="dxa"/>
            <w:shd w:val="clear" w:color="auto" w:fill="C6EFCE"/>
            <w:vAlign w:val="center"/>
          </w:tcPr>
          <w:p w14:paraId="6E2A0BD3" w14:textId="77777777" w:rsidR="00FA7C11" w:rsidRDefault="00D84965">
            <w:pPr>
              <w:pStyle w:val="P68B1DB1-Normal102"/>
              <w:spacing w:after="0" w:line="240" w:lineRule="auto"/>
              <w:jc w:val="center"/>
              <w:textAlignment w:val="baseline"/>
              <w:rPr>
                <w:noProof/>
              </w:rPr>
            </w:pPr>
            <w:r>
              <w:rPr>
                <w:noProof/>
              </w:rPr>
              <w:t>C2.3. R3-I10</w:t>
            </w:r>
          </w:p>
        </w:tc>
        <w:tc>
          <w:tcPr>
            <w:tcW w:w="1274" w:type="dxa"/>
            <w:shd w:val="clear" w:color="auto" w:fill="C6EFCE"/>
            <w:vAlign w:val="center"/>
          </w:tcPr>
          <w:p w14:paraId="5E147CE2"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5307E535" w14:textId="77777777" w:rsidR="00FA7C11" w:rsidRDefault="00D84965">
            <w:pPr>
              <w:pStyle w:val="P68B1DB1-Normal102"/>
              <w:spacing w:after="0" w:line="240" w:lineRule="auto"/>
              <w:textAlignment w:val="baseline"/>
              <w:rPr>
                <w:noProof/>
              </w:rPr>
            </w:pPr>
            <w:r>
              <w:rPr>
                <w:noProof/>
              </w:rPr>
              <w:t>Modernizarea digitalizării CES</w:t>
            </w:r>
          </w:p>
        </w:tc>
      </w:tr>
      <w:tr w:rsidR="00FA7C11" w14:paraId="6A478F8F" w14:textId="77777777">
        <w:trPr>
          <w:trHeight w:val="51"/>
        </w:trPr>
        <w:tc>
          <w:tcPr>
            <w:tcW w:w="1096" w:type="dxa"/>
            <w:shd w:val="clear" w:color="auto" w:fill="C6EFCE"/>
            <w:vAlign w:val="center"/>
          </w:tcPr>
          <w:p w14:paraId="6A84F98C" w14:textId="77777777" w:rsidR="00FA7C11" w:rsidRDefault="00D84965">
            <w:pPr>
              <w:pStyle w:val="P68B1DB1-Normal102"/>
              <w:spacing w:after="0" w:line="240" w:lineRule="auto"/>
              <w:jc w:val="center"/>
              <w:textAlignment w:val="baseline"/>
              <w:rPr>
                <w:noProof/>
              </w:rPr>
            </w:pPr>
            <w:r>
              <w:rPr>
                <w:noProof/>
              </w:rPr>
              <w:t>194</w:t>
            </w:r>
          </w:p>
        </w:tc>
        <w:tc>
          <w:tcPr>
            <w:tcW w:w="1639" w:type="dxa"/>
            <w:shd w:val="clear" w:color="auto" w:fill="C6EFCE"/>
            <w:vAlign w:val="center"/>
          </w:tcPr>
          <w:p w14:paraId="0A66716A" w14:textId="77777777" w:rsidR="00FA7C11" w:rsidRDefault="00D84965">
            <w:pPr>
              <w:pStyle w:val="P68B1DB1-Normal102"/>
              <w:spacing w:after="0" w:line="240" w:lineRule="auto"/>
              <w:jc w:val="center"/>
              <w:textAlignment w:val="baseline"/>
              <w:rPr>
                <w:noProof/>
              </w:rPr>
            </w:pPr>
            <w:r>
              <w:rPr>
                <w:noProof/>
              </w:rPr>
              <w:t>C2.3. R3-I11</w:t>
            </w:r>
          </w:p>
        </w:tc>
        <w:tc>
          <w:tcPr>
            <w:tcW w:w="1274" w:type="dxa"/>
            <w:shd w:val="clear" w:color="auto" w:fill="C6EFCE"/>
            <w:vAlign w:val="center"/>
          </w:tcPr>
          <w:p w14:paraId="1719A529"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DE1CB78" w14:textId="77777777" w:rsidR="00FA7C11" w:rsidRDefault="00D84965">
            <w:pPr>
              <w:pStyle w:val="P68B1DB1-Normal102"/>
              <w:spacing w:after="0" w:line="240" w:lineRule="auto"/>
              <w:textAlignment w:val="baseline"/>
              <w:rPr>
                <w:noProof/>
              </w:rPr>
            </w:pPr>
            <w:r>
              <w:rPr>
                <w:noProof/>
              </w:rPr>
              <w:t>Modernizarea sistemului informatic al Institutului Croat de Asigurări de Pensii (HZMO)</w:t>
            </w:r>
          </w:p>
        </w:tc>
      </w:tr>
      <w:tr w:rsidR="00FA7C11" w14:paraId="031CE6DA" w14:textId="77777777">
        <w:trPr>
          <w:trHeight w:val="51"/>
        </w:trPr>
        <w:tc>
          <w:tcPr>
            <w:tcW w:w="1096" w:type="dxa"/>
            <w:shd w:val="clear" w:color="auto" w:fill="C6EFCE"/>
            <w:vAlign w:val="center"/>
          </w:tcPr>
          <w:p w14:paraId="565B6067" w14:textId="77777777" w:rsidR="00FA7C11" w:rsidRDefault="00D84965">
            <w:pPr>
              <w:pStyle w:val="P68B1DB1-Normal102"/>
              <w:spacing w:after="0" w:line="240" w:lineRule="auto"/>
              <w:jc w:val="center"/>
              <w:textAlignment w:val="baseline"/>
              <w:rPr>
                <w:noProof/>
              </w:rPr>
            </w:pPr>
            <w:r>
              <w:rPr>
                <w:noProof/>
              </w:rPr>
              <w:t>196</w:t>
            </w:r>
          </w:p>
        </w:tc>
        <w:tc>
          <w:tcPr>
            <w:tcW w:w="1639" w:type="dxa"/>
            <w:shd w:val="clear" w:color="auto" w:fill="C6EFCE"/>
            <w:vAlign w:val="center"/>
          </w:tcPr>
          <w:p w14:paraId="0A8E2823" w14:textId="77777777" w:rsidR="00FA7C11" w:rsidRDefault="00D84965">
            <w:pPr>
              <w:pStyle w:val="P68B1DB1-Normal102"/>
              <w:spacing w:after="0" w:line="240" w:lineRule="auto"/>
              <w:jc w:val="center"/>
              <w:textAlignment w:val="baseline"/>
              <w:rPr>
                <w:noProof/>
              </w:rPr>
            </w:pPr>
            <w:r>
              <w:rPr>
                <w:noProof/>
              </w:rPr>
              <w:t>C2.3. R3-I12</w:t>
            </w:r>
          </w:p>
        </w:tc>
        <w:tc>
          <w:tcPr>
            <w:tcW w:w="1274" w:type="dxa"/>
            <w:shd w:val="clear" w:color="auto" w:fill="C6EFCE"/>
            <w:vAlign w:val="center"/>
          </w:tcPr>
          <w:p w14:paraId="0AA67C98"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0067756" w14:textId="77777777" w:rsidR="00FA7C11" w:rsidRDefault="00D84965">
            <w:pPr>
              <w:pStyle w:val="P68B1DB1-Normal102"/>
              <w:spacing w:after="0" w:line="240" w:lineRule="auto"/>
              <w:textAlignment w:val="baseline"/>
              <w:rPr>
                <w:noProof/>
              </w:rPr>
            </w:pPr>
            <w:r>
              <w:rPr>
                <w:noProof/>
              </w:rPr>
              <w:t>Arhivele digitale ale Institutului Croat de Asigurări de Pensii (HZMO)</w:t>
            </w:r>
          </w:p>
        </w:tc>
      </w:tr>
      <w:tr w:rsidR="00FA7C11" w14:paraId="1D6B7B26" w14:textId="77777777">
        <w:trPr>
          <w:trHeight w:val="51"/>
        </w:trPr>
        <w:tc>
          <w:tcPr>
            <w:tcW w:w="1096" w:type="dxa"/>
            <w:shd w:val="clear" w:color="auto" w:fill="C6EFCE"/>
            <w:vAlign w:val="center"/>
          </w:tcPr>
          <w:p w14:paraId="06D0ED0D" w14:textId="77777777" w:rsidR="00FA7C11" w:rsidRDefault="00D84965">
            <w:pPr>
              <w:pStyle w:val="P68B1DB1-Normal102"/>
              <w:spacing w:after="0" w:line="240" w:lineRule="auto"/>
              <w:jc w:val="center"/>
              <w:textAlignment w:val="baseline"/>
              <w:rPr>
                <w:noProof/>
              </w:rPr>
            </w:pPr>
            <w:r>
              <w:rPr>
                <w:noProof/>
              </w:rPr>
              <w:t>197</w:t>
            </w:r>
          </w:p>
        </w:tc>
        <w:tc>
          <w:tcPr>
            <w:tcW w:w="1639" w:type="dxa"/>
            <w:shd w:val="clear" w:color="auto" w:fill="C6EFCE"/>
            <w:vAlign w:val="center"/>
          </w:tcPr>
          <w:p w14:paraId="1822B384" w14:textId="77777777" w:rsidR="00FA7C11" w:rsidRDefault="00D84965">
            <w:pPr>
              <w:pStyle w:val="P68B1DB1-Normal102"/>
              <w:spacing w:after="0" w:line="240" w:lineRule="auto"/>
              <w:jc w:val="center"/>
              <w:textAlignment w:val="baseline"/>
              <w:rPr>
                <w:noProof/>
              </w:rPr>
            </w:pPr>
            <w:r>
              <w:rPr>
                <w:noProof/>
              </w:rPr>
              <w:t>C2.3. R3-I13</w:t>
            </w:r>
          </w:p>
        </w:tc>
        <w:tc>
          <w:tcPr>
            <w:tcW w:w="1274" w:type="dxa"/>
            <w:shd w:val="clear" w:color="auto" w:fill="C6EFCE"/>
            <w:vAlign w:val="center"/>
          </w:tcPr>
          <w:p w14:paraId="064D845F"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66DBE84B" w14:textId="77777777" w:rsidR="00FA7C11" w:rsidRDefault="00D84965">
            <w:pPr>
              <w:pStyle w:val="P68B1DB1-Normal102"/>
              <w:spacing w:after="0" w:line="240" w:lineRule="auto"/>
              <w:textAlignment w:val="baseline"/>
              <w:rPr>
                <w:noProof/>
              </w:rPr>
            </w:pPr>
            <w:r>
              <w:rPr>
                <w:noProof/>
              </w:rPr>
              <w:t>Modernizarea sistemului de informații privind administrația fiscală</w:t>
            </w:r>
          </w:p>
        </w:tc>
      </w:tr>
      <w:tr w:rsidR="00FA7C11" w14:paraId="10D39927" w14:textId="77777777">
        <w:trPr>
          <w:trHeight w:val="51"/>
        </w:trPr>
        <w:tc>
          <w:tcPr>
            <w:tcW w:w="1096" w:type="dxa"/>
            <w:shd w:val="clear" w:color="auto" w:fill="C6EFCE"/>
            <w:vAlign w:val="center"/>
          </w:tcPr>
          <w:p w14:paraId="3F602032" w14:textId="77777777" w:rsidR="00FA7C11" w:rsidRDefault="00D84965">
            <w:pPr>
              <w:pStyle w:val="P68B1DB1-Normal102"/>
              <w:spacing w:after="0" w:line="240" w:lineRule="auto"/>
              <w:jc w:val="center"/>
              <w:textAlignment w:val="baseline"/>
              <w:rPr>
                <w:noProof/>
              </w:rPr>
            </w:pPr>
            <w:r>
              <w:rPr>
                <w:noProof/>
              </w:rPr>
              <w:t>200</w:t>
            </w:r>
          </w:p>
        </w:tc>
        <w:tc>
          <w:tcPr>
            <w:tcW w:w="1639" w:type="dxa"/>
            <w:shd w:val="clear" w:color="auto" w:fill="C6EFCE"/>
            <w:vAlign w:val="center"/>
          </w:tcPr>
          <w:p w14:paraId="65BFEB43" w14:textId="77777777" w:rsidR="00FA7C11" w:rsidRDefault="00D84965">
            <w:pPr>
              <w:pStyle w:val="P68B1DB1-Normal102"/>
              <w:spacing w:after="0" w:line="240" w:lineRule="auto"/>
              <w:jc w:val="center"/>
              <w:textAlignment w:val="baseline"/>
              <w:rPr>
                <w:noProof/>
              </w:rPr>
            </w:pPr>
            <w:r>
              <w:rPr>
                <w:noProof/>
              </w:rPr>
              <w:t>C2.3. R3-I15</w:t>
            </w:r>
          </w:p>
        </w:tc>
        <w:tc>
          <w:tcPr>
            <w:tcW w:w="1274" w:type="dxa"/>
            <w:shd w:val="clear" w:color="auto" w:fill="C6EFCE"/>
            <w:vAlign w:val="center"/>
          </w:tcPr>
          <w:p w14:paraId="0EB16606"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6A3B13F" w14:textId="77777777" w:rsidR="00FA7C11" w:rsidRDefault="00D84965">
            <w:pPr>
              <w:pStyle w:val="P68B1DB1-Normal102"/>
              <w:spacing w:after="0" w:line="240" w:lineRule="auto"/>
              <w:textAlignment w:val="baseline"/>
              <w:rPr>
                <w:noProof/>
              </w:rPr>
            </w:pPr>
            <w:r>
              <w:rPr>
                <w:noProof/>
              </w:rPr>
              <w:t>Instrumente în sistemul informatic pentru turism</w:t>
            </w:r>
          </w:p>
        </w:tc>
      </w:tr>
      <w:tr w:rsidR="00FA7C11" w14:paraId="0EAEFB93" w14:textId="77777777">
        <w:trPr>
          <w:trHeight w:val="51"/>
        </w:trPr>
        <w:tc>
          <w:tcPr>
            <w:tcW w:w="1096" w:type="dxa"/>
            <w:shd w:val="clear" w:color="auto" w:fill="C6EFCE"/>
            <w:vAlign w:val="center"/>
          </w:tcPr>
          <w:p w14:paraId="20A729CA" w14:textId="77777777" w:rsidR="00FA7C11" w:rsidRDefault="00D84965">
            <w:pPr>
              <w:pStyle w:val="P68B1DB1-Normal102"/>
              <w:spacing w:after="0" w:line="240" w:lineRule="auto"/>
              <w:jc w:val="center"/>
              <w:textAlignment w:val="baseline"/>
              <w:rPr>
                <w:noProof/>
              </w:rPr>
            </w:pPr>
            <w:r>
              <w:rPr>
                <w:noProof/>
              </w:rPr>
              <w:t>201</w:t>
            </w:r>
          </w:p>
        </w:tc>
        <w:tc>
          <w:tcPr>
            <w:tcW w:w="1639" w:type="dxa"/>
            <w:shd w:val="clear" w:color="auto" w:fill="C6EFCE"/>
            <w:vAlign w:val="center"/>
          </w:tcPr>
          <w:p w14:paraId="47FADBD6" w14:textId="77777777" w:rsidR="00FA7C11" w:rsidRDefault="00D84965">
            <w:pPr>
              <w:pStyle w:val="P68B1DB1-Normal102"/>
              <w:spacing w:after="0" w:line="240" w:lineRule="auto"/>
              <w:jc w:val="center"/>
              <w:textAlignment w:val="baseline"/>
              <w:rPr>
                <w:noProof/>
              </w:rPr>
            </w:pPr>
            <w:r>
              <w:rPr>
                <w:noProof/>
              </w:rPr>
              <w:t>C2.3. R3-I16</w:t>
            </w:r>
          </w:p>
        </w:tc>
        <w:tc>
          <w:tcPr>
            <w:tcW w:w="1274" w:type="dxa"/>
            <w:shd w:val="clear" w:color="auto" w:fill="C6EFCE"/>
            <w:vAlign w:val="center"/>
          </w:tcPr>
          <w:p w14:paraId="7DD0761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14EFF90" w14:textId="77777777" w:rsidR="00FA7C11" w:rsidRDefault="00D84965">
            <w:pPr>
              <w:pStyle w:val="P68B1DB1-Normal102"/>
              <w:spacing w:after="0" w:line="240" w:lineRule="auto"/>
              <w:textAlignment w:val="baseline"/>
              <w:rPr>
                <w:noProof/>
              </w:rPr>
            </w:pPr>
            <w:r>
              <w:rPr>
                <w:noProof/>
              </w:rPr>
              <w:t>Noi module de aplicații pentru sistemul informatic sportiv</w:t>
            </w:r>
          </w:p>
        </w:tc>
      </w:tr>
      <w:tr w:rsidR="00FA7C11" w14:paraId="227E350F" w14:textId="77777777">
        <w:trPr>
          <w:trHeight w:val="51"/>
        </w:trPr>
        <w:tc>
          <w:tcPr>
            <w:tcW w:w="1096" w:type="dxa"/>
            <w:shd w:val="clear" w:color="auto" w:fill="C6EFCE"/>
            <w:vAlign w:val="center"/>
          </w:tcPr>
          <w:p w14:paraId="69F5FC15" w14:textId="498642A0" w:rsidR="00FA7C11" w:rsidRDefault="00D84965">
            <w:pPr>
              <w:pStyle w:val="P68B1DB1-Normal102"/>
              <w:spacing w:after="0" w:line="240" w:lineRule="auto"/>
              <w:jc w:val="center"/>
              <w:textAlignment w:val="baseline"/>
              <w:rPr>
                <w:noProof/>
              </w:rPr>
            </w:pPr>
            <w:r>
              <w:rPr>
                <w:noProof/>
              </w:rPr>
              <w:t>449</w:t>
            </w:r>
          </w:p>
        </w:tc>
        <w:tc>
          <w:tcPr>
            <w:tcW w:w="1639" w:type="dxa"/>
            <w:shd w:val="clear" w:color="auto" w:fill="C6EFCE"/>
            <w:vAlign w:val="center"/>
          </w:tcPr>
          <w:p w14:paraId="1CD4AEFD" w14:textId="77777777" w:rsidR="00FA7C11" w:rsidRDefault="00D84965">
            <w:pPr>
              <w:pStyle w:val="P68B1DB1-Normal102"/>
              <w:spacing w:after="0" w:line="240" w:lineRule="auto"/>
              <w:jc w:val="center"/>
              <w:textAlignment w:val="baseline"/>
              <w:rPr>
                <w:noProof/>
              </w:rPr>
            </w:pPr>
            <w:r>
              <w:rPr>
                <w:noProof/>
              </w:rPr>
              <w:t>C2.3. R3-I18</w:t>
            </w:r>
          </w:p>
        </w:tc>
        <w:tc>
          <w:tcPr>
            <w:tcW w:w="1274" w:type="dxa"/>
            <w:shd w:val="clear" w:color="auto" w:fill="C6EFCE"/>
            <w:vAlign w:val="center"/>
          </w:tcPr>
          <w:p w14:paraId="2649CEF8" w14:textId="77777777" w:rsidR="00FA7C11" w:rsidRDefault="00D84965">
            <w:pPr>
              <w:pStyle w:val="P68B1DB1-Normal102"/>
              <w:spacing w:after="0" w:line="240" w:lineRule="auto"/>
              <w:jc w:val="center"/>
              <w:textAlignment w:val="baseline"/>
              <w:rPr>
                <w:noProof/>
              </w:rPr>
            </w:pPr>
            <w:r>
              <w:rPr>
                <w:noProof/>
              </w:rPr>
              <w:t xml:space="preserve">M </w:t>
            </w:r>
          </w:p>
        </w:tc>
        <w:tc>
          <w:tcPr>
            <w:tcW w:w="5347" w:type="dxa"/>
            <w:shd w:val="clear" w:color="auto" w:fill="C6EFCE"/>
            <w:vAlign w:val="center"/>
          </w:tcPr>
          <w:p w14:paraId="7895B644" w14:textId="77777777" w:rsidR="00FA7C11" w:rsidRDefault="00D84965">
            <w:pPr>
              <w:pStyle w:val="P68B1DB1-Normal102"/>
              <w:spacing w:after="0" w:line="240" w:lineRule="auto"/>
              <w:textAlignment w:val="baseline"/>
              <w:rPr>
                <w:noProof/>
              </w:rPr>
            </w:pPr>
            <w:r>
              <w:rPr>
                <w:noProof/>
              </w:rPr>
              <w:t>Semnarea acordului de contribuție dintre Croația și întreprinderea comună EuroHPC și plata contribuției voluntare către întreprinderea comună EuroHPC</w:t>
            </w:r>
          </w:p>
        </w:tc>
      </w:tr>
      <w:tr w:rsidR="00FA7C11" w14:paraId="1361C5AD" w14:textId="77777777">
        <w:trPr>
          <w:trHeight w:val="51"/>
        </w:trPr>
        <w:tc>
          <w:tcPr>
            <w:tcW w:w="1096" w:type="dxa"/>
            <w:shd w:val="clear" w:color="auto" w:fill="C6EFCE"/>
            <w:vAlign w:val="center"/>
          </w:tcPr>
          <w:p w14:paraId="5EC638B8" w14:textId="77777777" w:rsidR="00FA7C11" w:rsidRDefault="00D84965">
            <w:pPr>
              <w:pStyle w:val="P68B1DB1-Normal102"/>
              <w:spacing w:after="0" w:line="240" w:lineRule="auto"/>
              <w:jc w:val="center"/>
              <w:textAlignment w:val="baseline"/>
              <w:rPr>
                <w:noProof/>
              </w:rPr>
            </w:pPr>
            <w:r>
              <w:rPr>
                <w:noProof/>
              </w:rPr>
              <w:t>204</w:t>
            </w:r>
          </w:p>
        </w:tc>
        <w:tc>
          <w:tcPr>
            <w:tcW w:w="1639" w:type="dxa"/>
            <w:shd w:val="clear" w:color="auto" w:fill="C6EFCE"/>
            <w:vAlign w:val="center"/>
          </w:tcPr>
          <w:p w14:paraId="757AD47D" w14:textId="77777777" w:rsidR="00FA7C11" w:rsidRDefault="00D84965">
            <w:pPr>
              <w:pStyle w:val="P68B1DB1-Normal102"/>
              <w:spacing w:after="0" w:line="240" w:lineRule="auto"/>
              <w:jc w:val="center"/>
              <w:textAlignment w:val="baseline"/>
              <w:rPr>
                <w:noProof/>
              </w:rPr>
            </w:pPr>
            <w:r>
              <w:rPr>
                <w:noProof/>
              </w:rPr>
              <w:t>C2.3. R4-I1</w:t>
            </w:r>
          </w:p>
        </w:tc>
        <w:tc>
          <w:tcPr>
            <w:tcW w:w="1274" w:type="dxa"/>
            <w:shd w:val="clear" w:color="auto" w:fill="C6EFCE"/>
            <w:vAlign w:val="center"/>
          </w:tcPr>
          <w:p w14:paraId="0436C3F6"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4087448" w14:textId="77777777" w:rsidR="00FA7C11" w:rsidRDefault="00D84965">
            <w:pPr>
              <w:pStyle w:val="P68B1DB1-Normal102"/>
              <w:spacing w:after="0" w:line="240" w:lineRule="auto"/>
              <w:textAlignment w:val="baseline"/>
              <w:rPr>
                <w:noProof/>
              </w:rPr>
            </w:pPr>
            <w:r>
              <w:rPr>
                <w:noProof/>
              </w:rPr>
              <w:t xml:space="preserve">Accesul la internet în bandă largă pentru gospodăriile din zonele NGA albe </w:t>
            </w:r>
          </w:p>
        </w:tc>
      </w:tr>
      <w:tr w:rsidR="00FA7C11" w14:paraId="07B145FC" w14:textId="77777777">
        <w:trPr>
          <w:trHeight w:val="51"/>
        </w:trPr>
        <w:tc>
          <w:tcPr>
            <w:tcW w:w="1096" w:type="dxa"/>
            <w:shd w:val="clear" w:color="auto" w:fill="C6EFCE"/>
            <w:vAlign w:val="center"/>
          </w:tcPr>
          <w:p w14:paraId="28E93752" w14:textId="77777777" w:rsidR="00FA7C11" w:rsidRDefault="00D84965">
            <w:pPr>
              <w:pStyle w:val="P68B1DB1-Normal102"/>
              <w:spacing w:after="0" w:line="240" w:lineRule="auto"/>
              <w:jc w:val="center"/>
              <w:textAlignment w:val="baseline"/>
              <w:rPr>
                <w:noProof/>
              </w:rPr>
            </w:pPr>
            <w:r>
              <w:rPr>
                <w:noProof/>
              </w:rPr>
              <w:t>206</w:t>
            </w:r>
          </w:p>
        </w:tc>
        <w:tc>
          <w:tcPr>
            <w:tcW w:w="1639" w:type="dxa"/>
            <w:shd w:val="clear" w:color="auto" w:fill="C6EFCE"/>
            <w:vAlign w:val="center"/>
          </w:tcPr>
          <w:p w14:paraId="15FC047B" w14:textId="77777777" w:rsidR="00FA7C11" w:rsidRDefault="00D84965">
            <w:pPr>
              <w:pStyle w:val="P68B1DB1-Normal102"/>
              <w:spacing w:after="0" w:line="240" w:lineRule="auto"/>
              <w:jc w:val="center"/>
              <w:textAlignment w:val="baseline"/>
              <w:rPr>
                <w:noProof/>
              </w:rPr>
            </w:pPr>
            <w:r>
              <w:rPr>
                <w:noProof/>
              </w:rPr>
              <w:t>C2.3. R4-I2</w:t>
            </w:r>
          </w:p>
        </w:tc>
        <w:tc>
          <w:tcPr>
            <w:tcW w:w="1274" w:type="dxa"/>
            <w:shd w:val="clear" w:color="auto" w:fill="C6EFCE"/>
            <w:vAlign w:val="center"/>
          </w:tcPr>
          <w:p w14:paraId="0044A54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4861A71" w14:textId="77777777" w:rsidR="00FA7C11" w:rsidRDefault="00D84965">
            <w:pPr>
              <w:pStyle w:val="P68B1DB1-Normal102"/>
              <w:spacing w:after="0" w:line="240" w:lineRule="auto"/>
              <w:textAlignment w:val="baseline"/>
              <w:rPr>
                <w:noProof/>
              </w:rPr>
            </w:pPr>
            <w:r>
              <w:rPr>
                <w:noProof/>
              </w:rPr>
              <w:t>Accesul la tehnologia 5G</w:t>
            </w:r>
          </w:p>
        </w:tc>
      </w:tr>
      <w:tr w:rsidR="00FA7C11" w14:paraId="62671F15" w14:textId="77777777">
        <w:trPr>
          <w:trHeight w:val="51"/>
        </w:trPr>
        <w:tc>
          <w:tcPr>
            <w:tcW w:w="1096" w:type="dxa"/>
            <w:shd w:val="clear" w:color="auto" w:fill="C6EFCE"/>
            <w:vAlign w:val="center"/>
          </w:tcPr>
          <w:p w14:paraId="36D689BF" w14:textId="77777777" w:rsidR="00FA7C11" w:rsidRDefault="00D84965">
            <w:pPr>
              <w:pStyle w:val="P68B1DB1-Normal102"/>
              <w:spacing w:after="0" w:line="240" w:lineRule="auto"/>
              <w:jc w:val="center"/>
              <w:textAlignment w:val="baseline"/>
              <w:rPr>
                <w:noProof/>
              </w:rPr>
            </w:pPr>
            <w:r>
              <w:rPr>
                <w:noProof/>
              </w:rPr>
              <w:t>209</w:t>
            </w:r>
          </w:p>
        </w:tc>
        <w:tc>
          <w:tcPr>
            <w:tcW w:w="1639" w:type="dxa"/>
            <w:shd w:val="clear" w:color="auto" w:fill="C6EFCE"/>
            <w:vAlign w:val="center"/>
          </w:tcPr>
          <w:p w14:paraId="5F6F3CE0" w14:textId="77777777" w:rsidR="00FA7C11" w:rsidRDefault="00D84965">
            <w:pPr>
              <w:pStyle w:val="P68B1DB1-Normal102"/>
              <w:spacing w:after="0" w:line="240" w:lineRule="auto"/>
              <w:jc w:val="center"/>
              <w:textAlignment w:val="baseline"/>
              <w:rPr>
                <w:noProof/>
              </w:rPr>
            </w:pPr>
            <w:r>
              <w:rPr>
                <w:noProof/>
              </w:rPr>
              <w:t>C2.4. R3</w:t>
            </w:r>
          </w:p>
        </w:tc>
        <w:tc>
          <w:tcPr>
            <w:tcW w:w="1274" w:type="dxa"/>
            <w:shd w:val="clear" w:color="auto" w:fill="C6EFCE"/>
            <w:vAlign w:val="center"/>
          </w:tcPr>
          <w:p w14:paraId="497F4B1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36FC862" w14:textId="77777777" w:rsidR="00FA7C11" w:rsidRDefault="00D84965">
            <w:pPr>
              <w:pStyle w:val="P68B1DB1-Normal102"/>
              <w:spacing w:after="0" w:line="240" w:lineRule="auto"/>
              <w:textAlignment w:val="baseline"/>
              <w:rPr>
                <w:noProof/>
              </w:rPr>
            </w:pPr>
            <w:r>
              <w:rPr>
                <w:noProof/>
              </w:rPr>
              <w:t>Formare pentru ministerele de resort și unitățile centrale de coordonare în ceea ce privește activitățile de guvernanță corporativă</w:t>
            </w:r>
          </w:p>
        </w:tc>
      </w:tr>
      <w:tr w:rsidR="00FA7C11" w14:paraId="4123AE8A" w14:textId="77777777">
        <w:trPr>
          <w:trHeight w:val="51"/>
        </w:trPr>
        <w:tc>
          <w:tcPr>
            <w:tcW w:w="1096" w:type="dxa"/>
            <w:shd w:val="clear" w:color="auto" w:fill="C6EFCE"/>
            <w:vAlign w:val="center"/>
          </w:tcPr>
          <w:p w14:paraId="29204D69" w14:textId="77777777" w:rsidR="00FA7C11" w:rsidRDefault="00D84965">
            <w:pPr>
              <w:pStyle w:val="P68B1DB1-Normal102"/>
              <w:spacing w:after="0" w:line="240" w:lineRule="auto"/>
              <w:jc w:val="center"/>
              <w:textAlignment w:val="baseline"/>
              <w:rPr>
                <w:noProof/>
              </w:rPr>
            </w:pPr>
            <w:r>
              <w:rPr>
                <w:noProof/>
              </w:rPr>
              <w:t>211</w:t>
            </w:r>
          </w:p>
        </w:tc>
        <w:tc>
          <w:tcPr>
            <w:tcW w:w="1639" w:type="dxa"/>
            <w:shd w:val="clear" w:color="auto" w:fill="C6EFCE"/>
            <w:vAlign w:val="center"/>
          </w:tcPr>
          <w:p w14:paraId="57467462" w14:textId="77777777" w:rsidR="00FA7C11" w:rsidRDefault="00D84965">
            <w:pPr>
              <w:pStyle w:val="P68B1DB1-Normal102"/>
              <w:spacing w:after="0" w:line="240" w:lineRule="auto"/>
              <w:jc w:val="center"/>
              <w:textAlignment w:val="baseline"/>
              <w:rPr>
                <w:noProof/>
              </w:rPr>
            </w:pPr>
            <w:r>
              <w:rPr>
                <w:noProof/>
              </w:rPr>
              <w:t>C2.4. R4</w:t>
            </w:r>
          </w:p>
        </w:tc>
        <w:tc>
          <w:tcPr>
            <w:tcW w:w="1274" w:type="dxa"/>
            <w:shd w:val="clear" w:color="auto" w:fill="C6EFCE"/>
            <w:vAlign w:val="center"/>
          </w:tcPr>
          <w:p w14:paraId="44EBB921"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22A058D" w14:textId="77777777" w:rsidR="00FA7C11" w:rsidRDefault="00D84965">
            <w:pPr>
              <w:pStyle w:val="P68B1DB1-Normal102"/>
              <w:spacing w:after="0" w:line="240" w:lineRule="auto"/>
              <w:textAlignment w:val="baseline"/>
              <w:rPr>
                <w:noProof/>
              </w:rPr>
            </w:pPr>
            <w:r>
              <w:rPr>
                <w:noProof/>
              </w:rPr>
              <w:t>Realizarea vânzărilor a 20 de întreprinderi de stat din portofoliul CERP</w:t>
            </w:r>
          </w:p>
        </w:tc>
      </w:tr>
      <w:tr w:rsidR="00FA7C11" w14:paraId="4AD8A6C1" w14:textId="77777777">
        <w:trPr>
          <w:trHeight w:val="51"/>
        </w:trPr>
        <w:tc>
          <w:tcPr>
            <w:tcW w:w="1096" w:type="dxa"/>
            <w:shd w:val="clear" w:color="auto" w:fill="C6EFCE"/>
            <w:vAlign w:val="center"/>
          </w:tcPr>
          <w:p w14:paraId="10EBC671" w14:textId="77777777" w:rsidR="00FA7C11" w:rsidRDefault="00D84965">
            <w:pPr>
              <w:pStyle w:val="P68B1DB1-Normal102"/>
              <w:spacing w:after="0" w:line="240" w:lineRule="auto"/>
              <w:jc w:val="center"/>
              <w:textAlignment w:val="baseline"/>
              <w:rPr>
                <w:noProof/>
              </w:rPr>
            </w:pPr>
            <w:r>
              <w:rPr>
                <w:noProof/>
              </w:rPr>
              <w:t>213</w:t>
            </w:r>
          </w:p>
        </w:tc>
        <w:tc>
          <w:tcPr>
            <w:tcW w:w="1639" w:type="dxa"/>
            <w:shd w:val="clear" w:color="auto" w:fill="C6EFCE"/>
            <w:vAlign w:val="center"/>
          </w:tcPr>
          <w:p w14:paraId="40289C84" w14:textId="77777777" w:rsidR="00FA7C11" w:rsidRDefault="00D84965">
            <w:pPr>
              <w:pStyle w:val="P68B1DB1-Normal102"/>
              <w:spacing w:after="0" w:line="240" w:lineRule="auto"/>
              <w:jc w:val="center"/>
              <w:textAlignment w:val="baseline"/>
              <w:rPr>
                <w:noProof/>
              </w:rPr>
            </w:pPr>
            <w:r>
              <w:rPr>
                <w:noProof/>
              </w:rPr>
              <w:t>C2.4. R5</w:t>
            </w:r>
          </w:p>
        </w:tc>
        <w:tc>
          <w:tcPr>
            <w:tcW w:w="1274" w:type="dxa"/>
            <w:shd w:val="clear" w:color="auto" w:fill="C6EFCE"/>
            <w:vAlign w:val="center"/>
          </w:tcPr>
          <w:p w14:paraId="7109480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C1CE061" w14:textId="3EB6CB91" w:rsidR="00FA7C11" w:rsidRDefault="00D84965">
            <w:pPr>
              <w:pStyle w:val="P68B1DB1-Normal102"/>
              <w:spacing w:after="0" w:line="240" w:lineRule="auto"/>
              <w:textAlignment w:val="baseline"/>
              <w:rPr>
                <w:noProof/>
              </w:rPr>
            </w:pPr>
            <w:r>
              <w:rPr>
                <w:noProof/>
              </w:rPr>
              <w:t>Înstrăinarea bunurilor imobile aflate în proprietatea statului</w:t>
            </w:r>
          </w:p>
        </w:tc>
      </w:tr>
      <w:tr w:rsidR="00FA7C11" w14:paraId="0A2ADDEE" w14:textId="77777777">
        <w:trPr>
          <w:trHeight w:val="51"/>
        </w:trPr>
        <w:tc>
          <w:tcPr>
            <w:tcW w:w="1096" w:type="dxa"/>
            <w:shd w:val="clear" w:color="auto" w:fill="C6EFCE"/>
            <w:vAlign w:val="center"/>
          </w:tcPr>
          <w:p w14:paraId="748218D2" w14:textId="77777777" w:rsidR="00FA7C11" w:rsidRDefault="00D84965">
            <w:pPr>
              <w:pStyle w:val="P68B1DB1-Normal102"/>
              <w:spacing w:after="0" w:line="240" w:lineRule="auto"/>
              <w:jc w:val="center"/>
              <w:textAlignment w:val="baseline"/>
              <w:rPr>
                <w:noProof/>
              </w:rPr>
            </w:pPr>
            <w:r>
              <w:rPr>
                <w:noProof/>
              </w:rPr>
              <w:t>221</w:t>
            </w:r>
          </w:p>
        </w:tc>
        <w:tc>
          <w:tcPr>
            <w:tcW w:w="1639" w:type="dxa"/>
            <w:shd w:val="clear" w:color="auto" w:fill="C6EFCE"/>
            <w:vAlign w:val="center"/>
          </w:tcPr>
          <w:p w14:paraId="3DFF20E8" w14:textId="77777777" w:rsidR="00FA7C11" w:rsidRDefault="00D84965">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7F9E3E6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4CD7C6A" w14:textId="77777777" w:rsidR="00FA7C11" w:rsidRDefault="00D84965">
            <w:pPr>
              <w:pStyle w:val="P68B1DB1-Normal102"/>
              <w:spacing w:after="0" w:line="240" w:lineRule="auto"/>
              <w:textAlignment w:val="baseline"/>
              <w:rPr>
                <w:noProof/>
              </w:rPr>
            </w:pPr>
            <w:r>
              <w:rPr>
                <w:noProof/>
              </w:rPr>
              <w:t>Reducerea duratei litigiilor și a cauzelor comerciale</w:t>
            </w:r>
          </w:p>
        </w:tc>
      </w:tr>
      <w:tr w:rsidR="00FA7C11" w14:paraId="7142E7D2" w14:textId="77777777">
        <w:trPr>
          <w:trHeight w:val="51"/>
        </w:trPr>
        <w:tc>
          <w:tcPr>
            <w:tcW w:w="1096" w:type="dxa"/>
            <w:shd w:val="clear" w:color="auto" w:fill="C6EFCE"/>
            <w:vAlign w:val="center"/>
          </w:tcPr>
          <w:p w14:paraId="2990AAD6" w14:textId="77777777" w:rsidR="00FA7C11" w:rsidRDefault="00D84965">
            <w:pPr>
              <w:pStyle w:val="P68B1DB1-Normal102"/>
              <w:spacing w:after="0" w:line="240" w:lineRule="auto"/>
              <w:jc w:val="center"/>
              <w:textAlignment w:val="baseline"/>
              <w:rPr>
                <w:noProof/>
              </w:rPr>
            </w:pPr>
            <w:r>
              <w:rPr>
                <w:noProof/>
              </w:rPr>
              <w:t>222</w:t>
            </w:r>
          </w:p>
        </w:tc>
        <w:tc>
          <w:tcPr>
            <w:tcW w:w="1639" w:type="dxa"/>
            <w:shd w:val="clear" w:color="auto" w:fill="C6EFCE"/>
            <w:vAlign w:val="center"/>
          </w:tcPr>
          <w:p w14:paraId="2DF69023" w14:textId="77777777" w:rsidR="00FA7C11" w:rsidRDefault="00D84965">
            <w:pPr>
              <w:pStyle w:val="P68B1DB1-Normal102"/>
              <w:spacing w:after="0" w:line="240" w:lineRule="auto"/>
              <w:jc w:val="center"/>
              <w:textAlignment w:val="baseline"/>
              <w:rPr>
                <w:noProof/>
              </w:rPr>
            </w:pPr>
            <w:r>
              <w:rPr>
                <w:noProof/>
              </w:rPr>
              <w:t>C2.5. R1</w:t>
            </w:r>
          </w:p>
        </w:tc>
        <w:tc>
          <w:tcPr>
            <w:tcW w:w="1274" w:type="dxa"/>
            <w:shd w:val="clear" w:color="auto" w:fill="C6EFCE"/>
            <w:vAlign w:val="center"/>
          </w:tcPr>
          <w:p w14:paraId="670451A0"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BC48D5" w14:textId="77777777" w:rsidR="00FA7C11" w:rsidRDefault="00D84965">
            <w:pPr>
              <w:pStyle w:val="P68B1DB1-Normal102"/>
              <w:spacing w:after="0" w:line="240" w:lineRule="auto"/>
              <w:textAlignment w:val="baseline"/>
              <w:rPr>
                <w:noProof/>
              </w:rPr>
            </w:pPr>
            <w:r>
              <w:rPr>
                <w:noProof/>
              </w:rPr>
              <w:t>Reducerea numărului total de cauze pendinte</w:t>
            </w:r>
          </w:p>
        </w:tc>
      </w:tr>
      <w:tr w:rsidR="00FA7C11" w14:paraId="7C6C80FD" w14:textId="77777777">
        <w:trPr>
          <w:trHeight w:val="51"/>
        </w:trPr>
        <w:tc>
          <w:tcPr>
            <w:tcW w:w="1096" w:type="dxa"/>
            <w:shd w:val="clear" w:color="auto" w:fill="C6EFCE"/>
            <w:vAlign w:val="center"/>
          </w:tcPr>
          <w:p w14:paraId="2EC45854" w14:textId="77777777" w:rsidR="00FA7C11" w:rsidRDefault="00D84965">
            <w:pPr>
              <w:pStyle w:val="P68B1DB1-Normal102"/>
              <w:spacing w:after="0" w:line="240" w:lineRule="auto"/>
              <w:jc w:val="center"/>
              <w:textAlignment w:val="baseline"/>
              <w:rPr>
                <w:noProof/>
              </w:rPr>
            </w:pPr>
            <w:r>
              <w:rPr>
                <w:noProof/>
              </w:rPr>
              <w:t>225</w:t>
            </w:r>
          </w:p>
        </w:tc>
        <w:tc>
          <w:tcPr>
            <w:tcW w:w="1639" w:type="dxa"/>
            <w:shd w:val="clear" w:color="auto" w:fill="C6EFCE"/>
            <w:vAlign w:val="center"/>
          </w:tcPr>
          <w:p w14:paraId="3D7D5DDD" w14:textId="77777777" w:rsidR="00FA7C11" w:rsidRDefault="00D84965">
            <w:pPr>
              <w:pStyle w:val="P68B1DB1-Normal102"/>
              <w:spacing w:after="0" w:line="240" w:lineRule="auto"/>
              <w:jc w:val="center"/>
              <w:textAlignment w:val="baseline"/>
              <w:rPr>
                <w:noProof/>
              </w:rPr>
            </w:pPr>
            <w:r>
              <w:rPr>
                <w:noProof/>
              </w:rPr>
              <w:t>C2.5. R1-I2</w:t>
            </w:r>
          </w:p>
        </w:tc>
        <w:tc>
          <w:tcPr>
            <w:tcW w:w="1274" w:type="dxa"/>
            <w:shd w:val="clear" w:color="auto" w:fill="C6EFCE"/>
            <w:vAlign w:val="center"/>
          </w:tcPr>
          <w:p w14:paraId="0D86CED7"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7B9C2A2" w14:textId="77777777" w:rsidR="00FA7C11" w:rsidRDefault="00D84965">
            <w:pPr>
              <w:pStyle w:val="P68B1DB1-Normal102"/>
              <w:spacing w:after="0" w:line="240" w:lineRule="auto"/>
              <w:textAlignment w:val="baseline"/>
              <w:rPr>
                <w:noProof/>
              </w:rPr>
            </w:pPr>
            <w:r>
              <w:rPr>
                <w:noProof/>
              </w:rPr>
              <w:t>60 % din datele cadastrale și cadastrale integrate</w:t>
            </w:r>
          </w:p>
        </w:tc>
      </w:tr>
      <w:tr w:rsidR="00FA7C11" w14:paraId="6717D23C" w14:textId="77777777">
        <w:trPr>
          <w:trHeight w:val="51"/>
        </w:trPr>
        <w:tc>
          <w:tcPr>
            <w:tcW w:w="1096" w:type="dxa"/>
            <w:shd w:val="clear" w:color="auto" w:fill="C6EFCE"/>
            <w:vAlign w:val="center"/>
          </w:tcPr>
          <w:p w14:paraId="699D5654" w14:textId="77777777" w:rsidR="00FA7C11" w:rsidRDefault="00D84965">
            <w:pPr>
              <w:pStyle w:val="P68B1DB1-Normal102"/>
              <w:spacing w:after="0" w:line="240" w:lineRule="auto"/>
              <w:jc w:val="center"/>
              <w:textAlignment w:val="baseline"/>
              <w:rPr>
                <w:noProof/>
              </w:rPr>
            </w:pPr>
            <w:r>
              <w:rPr>
                <w:noProof/>
              </w:rPr>
              <w:t>227</w:t>
            </w:r>
          </w:p>
        </w:tc>
        <w:tc>
          <w:tcPr>
            <w:tcW w:w="1639" w:type="dxa"/>
            <w:shd w:val="clear" w:color="auto" w:fill="C6EFCE"/>
            <w:vAlign w:val="center"/>
          </w:tcPr>
          <w:p w14:paraId="5405CE6C" w14:textId="77777777" w:rsidR="00FA7C11" w:rsidRDefault="00D84965">
            <w:pPr>
              <w:pStyle w:val="P68B1DB1-Normal102"/>
              <w:spacing w:after="0" w:line="240" w:lineRule="auto"/>
              <w:jc w:val="center"/>
              <w:textAlignment w:val="baseline"/>
              <w:rPr>
                <w:noProof/>
              </w:rPr>
            </w:pPr>
            <w:r>
              <w:rPr>
                <w:noProof/>
              </w:rPr>
              <w:t>C2.5. R1-I4</w:t>
            </w:r>
          </w:p>
        </w:tc>
        <w:tc>
          <w:tcPr>
            <w:tcW w:w="1274" w:type="dxa"/>
            <w:shd w:val="clear" w:color="auto" w:fill="C6EFCE"/>
            <w:vAlign w:val="center"/>
          </w:tcPr>
          <w:p w14:paraId="7DCCF360"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A1AA87" w14:textId="77777777" w:rsidR="00FA7C11" w:rsidRDefault="00D84965">
            <w:pPr>
              <w:pStyle w:val="P68B1DB1-Normal102"/>
              <w:spacing w:after="0" w:line="240" w:lineRule="auto"/>
              <w:textAlignment w:val="baseline"/>
              <w:rPr>
                <w:noProof/>
              </w:rPr>
            </w:pPr>
            <w:r>
              <w:rPr>
                <w:noProof/>
              </w:rPr>
              <w:t xml:space="preserve"> Construirea unei zone de garaj pentru piața justiției din Zagreb</w:t>
            </w:r>
          </w:p>
        </w:tc>
      </w:tr>
      <w:tr w:rsidR="00FA7C11" w14:paraId="3713A808" w14:textId="77777777">
        <w:trPr>
          <w:trHeight w:val="51"/>
        </w:trPr>
        <w:tc>
          <w:tcPr>
            <w:tcW w:w="1096" w:type="dxa"/>
            <w:shd w:val="clear" w:color="auto" w:fill="C6EFCE"/>
            <w:vAlign w:val="center"/>
          </w:tcPr>
          <w:p w14:paraId="17E935CB" w14:textId="77777777" w:rsidR="00FA7C11" w:rsidRDefault="00D84965">
            <w:pPr>
              <w:pStyle w:val="P68B1DB1-Normal102"/>
              <w:spacing w:after="0" w:line="240" w:lineRule="auto"/>
              <w:jc w:val="center"/>
              <w:textAlignment w:val="baseline"/>
              <w:rPr>
                <w:noProof/>
              </w:rPr>
            </w:pPr>
            <w:r>
              <w:rPr>
                <w:noProof/>
              </w:rPr>
              <w:t>230</w:t>
            </w:r>
          </w:p>
        </w:tc>
        <w:tc>
          <w:tcPr>
            <w:tcW w:w="1639" w:type="dxa"/>
            <w:shd w:val="clear" w:color="auto" w:fill="C6EFCE"/>
            <w:vAlign w:val="center"/>
          </w:tcPr>
          <w:p w14:paraId="68C17919" w14:textId="77777777" w:rsidR="00FA7C11" w:rsidRDefault="00D84965">
            <w:pPr>
              <w:pStyle w:val="P68B1DB1-Normal102"/>
              <w:spacing w:after="0" w:line="240" w:lineRule="auto"/>
              <w:jc w:val="center"/>
              <w:textAlignment w:val="baseline"/>
              <w:rPr>
                <w:noProof/>
              </w:rPr>
            </w:pPr>
            <w:r>
              <w:rPr>
                <w:noProof/>
              </w:rPr>
              <w:t>C2.5. R1-I6</w:t>
            </w:r>
          </w:p>
        </w:tc>
        <w:tc>
          <w:tcPr>
            <w:tcW w:w="1274" w:type="dxa"/>
            <w:shd w:val="clear" w:color="auto" w:fill="C6EFCE"/>
            <w:vAlign w:val="center"/>
          </w:tcPr>
          <w:p w14:paraId="614F9171"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48B8254" w14:textId="77777777" w:rsidR="00FA7C11" w:rsidRDefault="00D84965">
            <w:pPr>
              <w:pStyle w:val="P68B1DB1-Normal102"/>
              <w:spacing w:after="0" w:line="240" w:lineRule="auto"/>
              <w:textAlignment w:val="baseline"/>
              <w:rPr>
                <w:noProof/>
              </w:rPr>
            </w:pPr>
            <w:r>
              <w:rPr>
                <w:noProof/>
              </w:rPr>
              <w:t>Modernizarea infrastructurilor TIC în cadrul organismelor judiciare</w:t>
            </w:r>
          </w:p>
        </w:tc>
      </w:tr>
      <w:tr w:rsidR="00FA7C11" w14:paraId="6C236526" w14:textId="77777777">
        <w:trPr>
          <w:trHeight w:val="51"/>
        </w:trPr>
        <w:tc>
          <w:tcPr>
            <w:tcW w:w="1096" w:type="dxa"/>
            <w:shd w:val="clear" w:color="auto" w:fill="C6EFCE"/>
            <w:vAlign w:val="center"/>
          </w:tcPr>
          <w:p w14:paraId="08221ABE" w14:textId="77777777" w:rsidR="00FA7C11" w:rsidRDefault="00D84965">
            <w:pPr>
              <w:pStyle w:val="P68B1DB1-Normal102"/>
              <w:spacing w:after="0" w:line="240" w:lineRule="auto"/>
              <w:jc w:val="center"/>
              <w:textAlignment w:val="baseline"/>
              <w:rPr>
                <w:noProof/>
              </w:rPr>
            </w:pPr>
            <w:r>
              <w:rPr>
                <w:noProof/>
              </w:rPr>
              <w:t>237</w:t>
            </w:r>
          </w:p>
        </w:tc>
        <w:tc>
          <w:tcPr>
            <w:tcW w:w="1639" w:type="dxa"/>
            <w:shd w:val="clear" w:color="auto" w:fill="C6EFCE"/>
            <w:vAlign w:val="center"/>
          </w:tcPr>
          <w:p w14:paraId="1F68AAB7" w14:textId="77777777" w:rsidR="00FA7C11" w:rsidRDefault="00D84965">
            <w:pPr>
              <w:pStyle w:val="P68B1DB1-Normal102"/>
              <w:spacing w:after="0" w:line="240" w:lineRule="auto"/>
              <w:jc w:val="center"/>
              <w:textAlignment w:val="baseline"/>
              <w:rPr>
                <w:noProof/>
              </w:rPr>
            </w:pPr>
            <w:r>
              <w:rPr>
                <w:noProof/>
              </w:rPr>
              <w:t>C2.6. R1</w:t>
            </w:r>
          </w:p>
        </w:tc>
        <w:tc>
          <w:tcPr>
            <w:tcW w:w="1274" w:type="dxa"/>
            <w:shd w:val="clear" w:color="auto" w:fill="C6EFCE"/>
            <w:vAlign w:val="center"/>
          </w:tcPr>
          <w:p w14:paraId="0D69F118"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452EB8E" w14:textId="77777777" w:rsidR="00FA7C11" w:rsidRDefault="00D84965">
            <w:pPr>
              <w:pStyle w:val="P68B1DB1-Normal102"/>
              <w:spacing w:after="0" w:line="240" w:lineRule="auto"/>
              <w:textAlignment w:val="baseline"/>
              <w:rPr>
                <w:noProof/>
              </w:rPr>
            </w:pPr>
            <w:r>
              <w:rPr>
                <w:noProof/>
              </w:rPr>
              <w:t>Crearea unei platforme informatice pentru monitorizarea punerii în aplicare a măsurilor naționale anticorupție</w:t>
            </w:r>
          </w:p>
        </w:tc>
      </w:tr>
      <w:tr w:rsidR="00FA7C11" w14:paraId="18D16474" w14:textId="77777777">
        <w:trPr>
          <w:trHeight w:val="51"/>
        </w:trPr>
        <w:tc>
          <w:tcPr>
            <w:tcW w:w="1096" w:type="dxa"/>
            <w:shd w:val="clear" w:color="auto" w:fill="C6EFCE"/>
            <w:vAlign w:val="center"/>
          </w:tcPr>
          <w:p w14:paraId="24EC5659" w14:textId="77777777" w:rsidR="00FA7C11" w:rsidRDefault="00D84965">
            <w:pPr>
              <w:pStyle w:val="P68B1DB1-Normal102"/>
              <w:spacing w:after="0" w:line="240" w:lineRule="auto"/>
              <w:jc w:val="center"/>
              <w:textAlignment w:val="baseline"/>
              <w:rPr>
                <w:noProof/>
              </w:rPr>
            </w:pPr>
            <w:r>
              <w:rPr>
                <w:noProof/>
              </w:rPr>
              <w:t>245</w:t>
            </w:r>
          </w:p>
        </w:tc>
        <w:tc>
          <w:tcPr>
            <w:tcW w:w="1639" w:type="dxa"/>
            <w:shd w:val="clear" w:color="auto" w:fill="C6EFCE"/>
            <w:vAlign w:val="center"/>
          </w:tcPr>
          <w:p w14:paraId="19B94B68" w14:textId="77777777" w:rsidR="00FA7C11" w:rsidRDefault="00D84965">
            <w:pPr>
              <w:pStyle w:val="P68B1DB1-Normal102"/>
              <w:spacing w:after="0" w:line="240" w:lineRule="auto"/>
              <w:jc w:val="center"/>
              <w:textAlignment w:val="baseline"/>
              <w:rPr>
                <w:noProof/>
              </w:rPr>
            </w:pPr>
            <w:r>
              <w:rPr>
                <w:noProof/>
              </w:rPr>
              <w:t>C2.6. R3</w:t>
            </w:r>
          </w:p>
        </w:tc>
        <w:tc>
          <w:tcPr>
            <w:tcW w:w="1274" w:type="dxa"/>
            <w:shd w:val="clear" w:color="auto" w:fill="C6EFCE"/>
            <w:vAlign w:val="center"/>
          </w:tcPr>
          <w:p w14:paraId="748E9BA9"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1DF69C28" w14:textId="54BFF66C" w:rsidR="00FA7C11" w:rsidRDefault="00D84965">
            <w:pPr>
              <w:pStyle w:val="P68B1DB1-Normal102"/>
              <w:spacing w:after="0" w:line="240" w:lineRule="auto"/>
              <w:textAlignment w:val="baseline"/>
              <w:rPr>
                <w:noProof/>
              </w:rPr>
            </w:pPr>
            <w:r>
              <w:rPr>
                <w:noProof/>
              </w:rPr>
              <w:t>Evaluarea efectelor punerii în aplicare a Programului anticorupție 2021-2022 pentru societățile deținute în proporție majoritară de administrația locală și de unitățile administrației regionale</w:t>
            </w:r>
          </w:p>
        </w:tc>
      </w:tr>
      <w:tr w:rsidR="00FA7C11" w14:paraId="51EFEECF" w14:textId="77777777">
        <w:trPr>
          <w:trHeight w:val="51"/>
        </w:trPr>
        <w:tc>
          <w:tcPr>
            <w:tcW w:w="1096" w:type="dxa"/>
            <w:shd w:val="clear" w:color="auto" w:fill="C6EFCE"/>
            <w:vAlign w:val="center"/>
          </w:tcPr>
          <w:p w14:paraId="34077947" w14:textId="77777777" w:rsidR="00FA7C11" w:rsidRDefault="00D84965">
            <w:pPr>
              <w:pStyle w:val="P68B1DB1-Normal102"/>
              <w:spacing w:after="0" w:line="240" w:lineRule="auto"/>
              <w:jc w:val="center"/>
              <w:textAlignment w:val="baseline"/>
              <w:rPr>
                <w:noProof/>
              </w:rPr>
            </w:pPr>
            <w:r>
              <w:rPr>
                <w:noProof/>
              </w:rPr>
              <w:t>264</w:t>
            </w:r>
          </w:p>
        </w:tc>
        <w:tc>
          <w:tcPr>
            <w:tcW w:w="1639" w:type="dxa"/>
            <w:shd w:val="clear" w:color="auto" w:fill="C6EFCE"/>
            <w:vAlign w:val="center"/>
          </w:tcPr>
          <w:p w14:paraId="1DC4690B" w14:textId="77777777" w:rsidR="00FA7C11" w:rsidRDefault="00D84965">
            <w:pPr>
              <w:pStyle w:val="P68B1DB1-Normal102"/>
              <w:spacing w:after="0" w:line="240" w:lineRule="auto"/>
              <w:jc w:val="center"/>
              <w:textAlignment w:val="baseline"/>
              <w:rPr>
                <w:noProof/>
              </w:rPr>
            </w:pPr>
            <w:r>
              <w:rPr>
                <w:noProof/>
              </w:rPr>
              <w:t>C2.9. R3</w:t>
            </w:r>
          </w:p>
        </w:tc>
        <w:tc>
          <w:tcPr>
            <w:tcW w:w="1274" w:type="dxa"/>
            <w:shd w:val="clear" w:color="auto" w:fill="C6EFCE"/>
            <w:vAlign w:val="center"/>
          </w:tcPr>
          <w:p w14:paraId="12FE931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B5D3610" w14:textId="77777777" w:rsidR="00FA7C11" w:rsidRDefault="00D84965">
            <w:pPr>
              <w:pStyle w:val="P68B1DB1-Normal102"/>
              <w:spacing w:after="0" w:line="240" w:lineRule="auto"/>
              <w:textAlignment w:val="baseline"/>
              <w:rPr>
                <w:noProof/>
              </w:rPr>
            </w:pPr>
            <w:r>
              <w:rPr>
                <w:noProof/>
              </w:rPr>
              <w:t xml:space="preserve">Formare privind achizițiile publice în domeniul inovării </w:t>
            </w:r>
          </w:p>
        </w:tc>
      </w:tr>
      <w:tr w:rsidR="00FA7C11" w14:paraId="0DBB79F8" w14:textId="77777777">
        <w:trPr>
          <w:trHeight w:val="51"/>
        </w:trPr>
        <w:tc>
          <w:tcPr>
            <w:tcW w:w="1096" w:type="dxa"/>
            <w:shd w:val="clear" w:color="auto" w:fill="C6EFCE"/>
            <w:vAlign w:val="center"/>
          </w:tcPr>
          <w:p w14:paraId="7CA963B9" w14:textId="77777777" w:rsidR="00FA7C11" w:rsidRDefault="00D84965">
            <w:pPr>
              <w:pStyle w:val="P68B1DB1-Normal102"/>
              <w:spacing w:after="0" w:line="240" w:lineRule="auto"/>
              <w:jc w:val="center"/>
              <w:textAlignment w:val="baseline"/>
              <w:rPr>
                <w:noProof/>
              </w:rPr>
            </w:pPr>
            <w:r>
              <w:rPr>
                <w:noProof/>
              </w:rPr>
              <w:t>269</w:t>
            </w:r>
          </w:p>
        </w:tc>
        <w:tc>
          <w:tcPr>
            <w:tcW w:w="1639" w:type="dxa"/>
            <w:shd w:val="clear" w:color="auto" w:fill="C6EFCE"/>
            <w:vAlign w:val="center"/>
          </w:tcPr>
          <w:p w14:paraId="096398F6" w14:textId="77777777" w:rsidR="00FA7C11" w:rsidRDefault="00D84965">
            <w:pPr>
              <w:pStyle w:val="P68B1DB1-Normal102"/>
              <w:spacing w:after="0" w:line="240" w:lineRule="auto"/>
              <w:jc w:val="center"/>
              <w:textAlignment w:val="baseline"/>
              <w:rPr>
                <w:noProof/>
              </w:rPr>
            </w:pPr>
            <w:r>
              <w:rPr>
                <w:noProof/>
              </w:rPr>
              <w:t>C3.1. R1</w:t>
            </w:r>
          </w:p>
        </w:tc>
        <w:tc>
          <w:tcPr>
            <w:tcW w:w="1274" w:type="dxa"/>
            <w:shd w:val="clear" w:color="auto" w:fill="C6EFCE"/>
            <w:vAlign w:val="center"/>
          </w:tcPr>
          <w:p w14:paraId="4CEFC67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59CDC48" w14:textId="77777777" w:rsidR="00FA7C11" w:rsidRDefault="00D84965">
            <w:pPr>
              <w:pStyle w:val="P68B1DB1-Normal102"/>
              <w:spacing w:after="0" w:line="240" w:lineRule="auto"/>
              <w:textAlignment w:val="baseline"/>
              <w:rPr>
                <w:noProof/>
              </w:rPr>
            </w:pPr>
            <w:r>
              <w:rPr>
                <w:noProof/>
              </w:rPr>
              <w:t>Participarea la educația și îngrijirea timpurie</w:t>
            </w:r>
          </w:p>
        </w:tc>
      </w:tr>
      <w:tr w:rsidR="00FA7C11" w14:paraId="38E71BA0" w14:textId="77777777">
        <w:trPr>
          <w:trHeight w:val="51"/>
        </w:trPr>
        <w:tc>
          <w:tcPr>
            <w:tcW w:w="1096" w:type="dxa"/>
            <w:shd w:val="clear" w:color="auto" w:fill="C6EFCE"/>
            <w:vAlign w:val="center"/>
          </w:tcPr>
          <w:p w14:paraId="6C42E154" w14:textId="77777777" w:rsidR="00FA7C11" w:rsidRDefault="00D84965">
            <w:pPr>
              <w:pStyle w:val="P68B1DB1-Normal102"/>
              <w:spacing w:after="0" w:line="240" w:lineRule="auto"/>
              <w:jc w:val="center"/>
              <w:textAlignment w:val="baseline"/>
              <w:rPr>
                <w:noProof/>
              </w:rPr>
            </w:pPr>
            <w:r>
              <w:rPr>
                <w:noProof/>
              </w:rPr>
              <w:t>270</w:t>
            </w:r>
          </w:p>
        </w:tc>
        <w:tc>
          <w:tcPr>
            <w:tcW w:w="1639" w:type="dxa"/>
            <w:shd w:val="clear" w:color="auto" w:fill="C6EFCE"/>
            <w:vAlign w:val="center"/>
          </w:tcPr>
          <w:p w14:paraId="5CCB433B" w14:textId="77777777" w:rsidR="00FA7C11" w:rsidRDefault="00D84965">
            <w:pPr>
              <w:pStyle w:val="P68B1DB1-Normal102"/>
              <w:spacing w:after="0" w:line="240" w:lineRule="auto"/>
              <w:jc w:val="center"/>
              <w:textAlignment w:val="baseline"/>
              <w:rPr>
                <w:noProof/>
              </w:rPr>
            </w:pPr>
            <w:r>
              <w:rPr>
                <w:noProof/>
              </w:rPr>
              <w:t>C3.1. R1-I1</w:t>
            </w:r>
          </w:p>
        </w:tc>
        <w:tc>
          <w:tcPr>
            <w:tcW w:w="1274" w:type="dxa"/>
            <w:shd w:val="clear" w:color="auto" w:fill="C6EFCE"/>
            <w:vAlign w:val="center"/>
          </w:tcPr>
          <w:p w14:paraId="7CDF280A"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8100045" w14:textId="77777777" w:rsidR="00FA7C11" w:rsidRDefault="00D84965">
            <w:pPr>
              <w:pStyle w:val="P68B1DB1-Normal102"/>
              <w:spacing w:after="0" w:line="240" w:lineRule="auto"/>
              <w:textAlignment w:val="baseline"/>
              <w:rPr>
                <w:noProof/>
              </w:rPr>
            </w:pPr>
            <w:r>
              <w:rPr>
                <w:noProof/>
              </w:rPr>
              <w:t>Numărul de locuri construite în ECEC</w:t>
            </w:r>
          </w:p>
        </w:tc>
      </w:tr>
      <w:tr w:rsidR="00FA7C11" w14:paraId="278C625C" w14:textId="77777777">
        <w:trPr>
          <w:trHeight w:val="51"/>
        </w:trPr>
        <w:tc>
          <w:tcPr>
            <w:tcW w:w="1096" w:type="dxa"/>
            <w:shd w:val="clear" w:color="auto" w:fill="C6EFCE"/>
            <w:vAlign w:val="center"/>
          </w:tcPr>
          <w:p w14:paraId="151BAAAF" w14:textId="77777777" w:rsidR="00FA7C11" w:rsidRDefault="00D84965">
            <w:pPr>
              <w:pStyle w:val="P68B1DB1-Normal102"/>
              <w:spacing w:after="0" w:line="240" w:lineRule="auto"/>
              <w:jc w:val="center"/>
              <w:textAlignment w:val="baseline"/>
              <w:rPr>
                <w:noProof/>
              </w:rPr>
            </w:pPr>
            <w:r>
              <w:rPr>
                <w:noProof/>
              </w:rPr>
              <w:t>271</w:t>
            </w:r>
          </w:p>
        </w:tc>
        <w:tc>
          <w:tcPr>
            <w:tcW w:w="1639" w:type="dxa"/>
            <w:shd w:val="clear" w:color="auto" w:fill="C6EFCE"/>
            <w:vAlign w:val="center"/>
          </w:tcPr>
          <w:p w14:paraId="616FC214" w14:textId="77777777" w:rsidR="00FA7C11" w:rsidRDefault="00D84965">
            <w:pPr>
              <w:pStyle w:val="P68B1DB1-Normal102"/>
              <w:spacing w:after="0" w:line="240" w:lineRule="auto"/>
              <w:jc w:val="center"/>
              <w:textAlignment w:val="baseline"/>
              <w:rPr>
                <w:noProof/>
              </w:rPr>
            </w:pPr>
            <w:r>
              <w:rPr>
                <w:noProof/>
              </w:rPr>
              <w:t>C3.1. R1-I2</w:t>
            </w:r>
          </w:p>
        </w:tc>
        <w:tc>
          <w:tcPr>
            <w:tcW w:w="1274" w:type="dxa"/>
            <w:shd w:val="clear" w:color="auto" w:fill="C6EFCE"/>
            <w:vAlign w:val="center"/>
          </w:tcPr>
          <w:p w14:paraId="1775768C"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051A750" w14:textId="77777777" w:rsidR="00FA7C11" w:rsidRDefault="00D84965">
            <w:pPr>
              <w:pStyle w:val="P68B1DB1-Normal102"/>
              <w:spacing w:after="0" w:line="240" w:lineRule="auto"/>
              <w:textAlignment w:val="baseline"/>
              <w:rPr>
                <w:noProof/>
              </w:rPr>
            </w:pPr>
            <w:r>
              <w:rPr>
                <w:noProof/>
              </w:rPr>
              <w:t xml:space="preserve">Numărul de săli de clasă ale școlilor primare construite sau reconstruite </w:t>
            </w:r>
          </w:p>
        </w:tc>
      </w:tr>
      <w:tr w:rsidR="00FA7C11" w14:paraId="0BABD441" w14:textId="77777777">
        <w:trPr>
          <w:trHeight w:val="51"/>
        </w:trPr>
        <w:tc>
          <w:tcPr>
            <w:tcW w:w="1096" w:type="dxa"/>
            <w:shd w:val="clear" w:color="auto" w:fill="C6EFCE"/>
            <w:vAlign w:val="center"/>
          </w:tcPr>
          <w:p w14:paraId="4FA62309" w14:textId="77777777" w:rsidR="00FA7C11" w:rsidRDefault="00D84965">
            <w:pPr>
              <w:pStyle w:val="P68B1DB1-Normal102"/>
              <w:spacing w:after="0" w:line="240" w:lineRule="auto"/>
              <w:jc w:val="center"/>
              <w:textAlignment w:val="baseline"/>
              <w:rPr>
                <w:noProof/>
              </w:rPr>
            </w:pPr>
            <w:r>
              <w:rPr>
                <w:noProof/>
              </w:rPr>
              <w:t>274</w:t>
            </w:r>
          </w:p>
        </w:tc>
        <w:tc>
          <w:tcPr>
            <w:tcW w:w="1639" w:type="dxa"/>
            <w:shd w:val="clear" w:color="auto" w:fill="C6EFCE"/>
            <w:vAlign w:val="center"/>
          </w:tcPr>
          <w:p w14:paraId="339AF247" w14:textId="77777777" w:rsidR="00FA7C11" w:rsidRDefault="00D84965">
            <w:pPr>
              <w:pStyle w:val="P68B1DB1-Normal102"/>
              <w:spacing w:after="0" w:line="240" w:lineRule="auto"/>
              <w:jc w:val="center"/>
              <w:textAlignment w:val="baseline"/>
              <w:rPr>
                <w:noProof/>
              </w:rPr>
            </w:pPr>
            <w:r>
              <w:rPr>
                <w:noProof/>
              </w:rPr>
              <w:t>C3.1. R2-I1</w:t>
            </w:r>
          </w:p>
        </w:tc>
        <w:tc>
          <w:tcPr>
            <w:tcW w:w="1274" w:type="dxa"/>
            <w:shd w:val="clear" w:color="auto" w:fill="C6EFCE"/>
            <w:vAlign w:val="center"/>
          </w:tcPr>
          <w:p w14:paraId="5A4D57B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42C1EF0" w14:textId="77777777" w:rsidR="00FA7C11" w:rsidRDefault="00D84965">
            <w:pPr>
              <w:pStyle w:val="P68B1DB1-Normal102"/>
              <w:spacing w:after="0" w:line="240" w:lineRule="auto"/>
              <w:textAlignment w:val="baseline"/>
              <w:rPr>
                <w:noProof/>
              </w:rPr>
            </w:pPr>
            <w:r>
              <w:rPr>
                <w:noProof/>
              </w:rPr>
              <w:t xml:space="preserve">Infrastructură și echipamente digitale furnizate instituțiilor publice de învățământ superior </w:t>
            </w:r>
          </w:p>
        </w:tc>
      </w:tr>
      <w:tr w:rsidR="00FA7C11" w14:paraId="3F4F37D0" w14:textId="77777777">
        <w:trPr>
          <w:trHeight w:val="51"/>
        </w:trPr>
        <w:tc>
          <w:tcPr>
            <w:tcW w:w="1096" w:type="dxa"/>
            <w:shd w:val="clear" w:color="auto" w:fill="C6EFCE"/>
            <w:vAlign w:val="center"/>
          </w:tcPr>
          <w:p w14:paraId="59FA66C7" w14:textId="77777777" w:rsidR="00FA7C11" w:rsidRDefault="00D84965">
            <w:pPr>
              <w:pStyle w:val="P68B1DB1-Normal102"/>
              <w:spacing w:after="0" w:line="240" w:lineRule="auto"/>
              <w:jc w:val="center"/>
              <w:textAlignment w:val="baseline"/>
              <w:rPr>
                <w:noProof/>
              </w:rPr>
            </w:pPr>
            <w:r>
              <w:rPr>
                <w:noProof/>
              </w:rPr>
              <w:t>278</w:t>
            </w:r>
          </w:p>
        </w:tc>
        <w:tc>
          <w:tcPr>
            <w:tcW w:w="1639" w:type="dxa"/>
            <w:shd w:val="clear" w:color="auto" w:fill="C6EFCE"/>
            <w:vAlign w:val="center"/>
          </w:tcPr>
          <w:p w14:paraId="7645BDBA" w14:textId="77777777" w:rsidR="00FA7C11" w:rsidRDefault="00D84965">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6C8C75D0"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390A678" w14:textId="77777777" w:rsidR="00FA7C11" w:rsidRDefault="00D84965">
            <w:pPr>
              <w:pStyle w:val="P68B1DB1-Normal102"/>
              <w:spacing w:after="0" w:line="240" w:lineRule="auto"/>
              <w:textAlignment w:val="baseline"/>
              <w:rPr>
                <w:noProof/>
              </w:rPr>
            </w:pPr>
            <w:r>
              <w:rPr>
                <w:noProof/>
              </w:rPr>
              <w:t>Proiecte de cercetare finalizate, în domeniul „verde”, de către organizații științifice care au semnat noi acorduri de program</w:t>
            </w:r>
          </w:p>
        </w:tc>
      </w:tr>
      <w:tr w:rsidR="00FA7C11" w14:paraId="48BE5D51" w14:textId="77777777">
        <w:trPr>
          <w:trHeight w:val="51"/>
        </w:trPr>
        <w:tc>
          <w:tcPr>
            <w:tcW w:w="1096" w:type="dxa"/>
            <w:shd w:val="clear" w:color="auto" w:fill="C6EFCE"/>
            <w:vAlign w:val="center"/>
          </w:tcPr>
          <w:p w14:paraId="5D1D07D1" w14:textId="77777777" w:rsidR="00FA7C11" w:rsidRDefault="00D84965">
            <w:pPr>
              <w:pStyle w:val="P68B1DB1-Normal102"/>
              <w:spacing w:after="0" w:line="240" w:lineRule="auto"/>
              <w:jc w:val="center"/>
              <w:textAlignment w:val="baseline"/>
              <w:rPr>
                <w:noProof/>
              </w:rPr>
            </w:pPr>
            <w:r>
              <w:rPr>
                <w:noProof/>
              </w:rPr>
              <w:t>279</w:t>
            </w:r>
          </w:p>
        </w:tc>
        <w:tc>
          <w:tcPr>
            <w:tcW w:w="1639" w:type="dxa"/>
            <w:shd w:val="clear" w:color="auto" w:fill="C6EFCE"/>
            <w:vAlign w:val="center"/>
          </w:tcPr>
          <w:p w14:paraId="3DC1D449" w14:textId="77777777" w:rsidR="00FA7C11" w:rsidRDefault="00D84965">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4FF9DBEC"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F76B9B0" w14:textId="12A1060F" w:rsidR="00FA7C11" w:rsidRDefault="00D84965">
            <w:pPr>
              <w:pStyle w:val="P68B1DB1-Normal102"/>
              <w:spacing w:after="0" w:line="240" w:lineRule="auto"/>
              <w:textAlignment w:val="baseline"/>
              <w:rPr>
                <w:noProof/>
              </w:rPr>
            </w:pPr>
            <w:r>
              <w:rPr>
                <w:noProof/>
              </w:rPr>
              <w:t>Fonduri alocate proiectelor de cercetare pe baza cererilor interne ale organizațiilor de cercetare</w:t>
            </w:r>
          </w:p>
        </w:tc>
      </w:tr>
      <w:tr w:rsidR="00FA7C11" w14:paraId="7C31C208" w14:textId="77777777">
        <w:trPr>
          <w:trHeight w:val="51"/>
        </w:trPr>
        <w:tc>
          <w:tcPr>
            <w:tcW w:w="1096" w:type="dxa"/>
            <w:shd w:val="clear" w:color="auto" w:fill="C6EFCE"/>
            <w:vAlign w:val="center"/>
          </w:tcPr>
          <w:p w14:paraId="4A0ED819" w14:textId="77777777" w:rsidR="00FA7C11" w:rsidRDefault="00D84965">
            <w:pPr>
              <w:pStyle w:val="P68B1DB1-Normal102"/>
              <w:spacing w:after="0" w:line="240" w:lineRule="auto"/>
              <w:jc w:val="center"/>
              <w:textAlignment w:val="baseline"/>
              <w:rPr>
                <w:noProof/>
              </w:rPr>
            </w:pPr>
            <w:r>
              <w:rPr>
                <w:noProof/>
              </w:rPr>
              <w:t>280</w:t>
            </w:r>
          </w:p>
        </w:tc>
        <w:tc>
          <w:tcPr>
            <w:tcW w:w="1639" w:type="dxa"/>
            <w:shd w:val="clear" w:color="auto" w:fill="C6EFCE"/>
            <w:vAlign w:val="center"/>
          </w:tcPr>
          <w:p w14:paraId="36851199" w14:textId="77777777" w:rsidR="00FA7C11" w:rsidRDefault="00D84965">
            <w:pPr>
              <w:pStyle w:val="P68B1DB1-Normal102"/>
              <w:spacing w:after="0" w:line="240" w:lineRule="auto"/>
              <w:jc w:val="center"/>
              <w:textAlignment w:val="baseline"/>
              <w:rPr>
                <w:noProof/>
              </w:rPr>
            </w:pPr>
            <w:r>
              <w:rPr>
                <w:noProof/>
              </w:rPr>
              <w:t>C3.2. R1-I1</w:t>
            </w:r>
          </w:p>
        </w:tc>
        <w:tc>
          <w:tcPr>
            <w:tcW w:w="1274" w:type="dxa"/>
            <w:shd w:val="clear" w:color="auto" w:fill="C6EFCE"/>
            <w:vAlign w:val="center"/>
          </w:tcPr>
          <w:p w14:paraId="2A00DE3E"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E5ACB2F" w14:textId="77777777" w:rsidR="00FA7C11" w:rsidRDefault="00D84965">
            <w:pPr>
              <w:pStyle w:val="P68B1DB1-Normal102"/>
              <w:spacing w:after="0" w:line="240" w:lineRule="auto"/>
              <w:textAlignment w:val="baseline"/>
              <w:rPr>
                <w:noProof/>
              </w:rPr>
            </w:pPr>
            <w:r>
              <w:rPr>
                <w:noProof/>
              </w:rPr>
              <w:t>Reorganizarea instituțiilor de învățământ superior și a institutelor științifice</w:t>
            </w:r>
          </w:p>
        </w:tc>
      </w:tr>
      <w:tr w:rsidR="00FA7C11" w14:paraId="593EC499" w14:textId="77777777">
        <w:trPr>
          <w:trHeight w:val="51"/>
        </w:trPr>
        <w:tc>
          <w:tcPr>
            <w:tcW w:w="1096" w:type="dxa"/>
            <w:shd w:val="clear" w:color="auto" w:fill="C6EFCE"/>
            <w:vAlign w:val="center"/>
          </w:tcPr>
          <w:p w14:paraId="1BEDA5C5" w14:textId="77777777" w:rsidR="00FA7C11" w:rsidRDefault="00D84965">
            <w:pPr>
              <w:pStyle w:val="P68B1DB1-Normal102"/>
              <w:spacing w:after="0" w:line="240" w:lineRule="auto"/>
              <w:jc w:val="center"/>
              <w:textAlignment w:val="baseline"/>
              <w:rPr>
                <w:noProof/>
              </w:rPr>
            </w:pPr>
            <w:r>
              <w:rPr>
                <w:noProof/>
              </w:rPr>
              <w:t>283</w:t>
            </w:r>
          </w:p>
        </w:tc>
        <w:tc>
          <w:tcPr>
            <w:tcW w:w="1639" w:type="dxa"/>
            <w:shd w:val="clear" w:color="auto" w:fill="C6EFCE"/>
            <w:vAlign w:val="center"/>
          </w:tcPr>
          <w:p w14:paraId="06FD2999" w14:textId="77777777" w:rsidR="00FA7C11" w:rsidRDefault="00D84965">
            <w:pPr>
              <w:pStyle w:val="P68B1DB1-Normal102"/>
              <w:spacing w:after="0" w:line="240" w:lineRule="auto"/>
              <w:jc w:val="center"/>
              <w:textAlignment w:val="baseline"/>
              <w:rPr>
                <w:noProof/>
              </w:rPr>
            </w:pPr>
            <w:r>
              <w:rPr>
                <w:noProof/>
              </w:rPr>
              <w:t>C3.2. R2-I2</w:t>
            </w:r>
          </w:p>
        </w:tc>
        <w:tc>
          <w:tcPr>
            <w:tcW w:w="1274" w:type="dxa"/>
            <w:shd w:val="clear" w:color="auto" w:fill="C6EFCE"/>
            <w:vAlign w:val="center"/>
          </w:tcPr>
          <w:p w14:paraId="39317A7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A33332B" w14:textId="23F5AF4E" w:rsidR="00FA7C11" w:rsidRDefault="00D84965">
            <w:pPr>
              <w:pStyle w:val="P68B1DB1-Normal102"/>
              <w:spacing w:after="0" w:line="240" w:lineRule="auto"/>
              <w:textAlignment w:val="baseline"/>
              <w:rPr>
                <w:noProof/>
              </w:rPr>
            </w:pPr>
            <w:r>
              <w:rPr>
                <w:noProof/>
              </w:rPr>
              <w:t>Proiecte de infrastructură pentru cercetare aplicată și specifică</w:t>
            </w:r>
          </w:p>
        </w:tc>
      </w:tr>
      <w:tr w:rsidR="00FA7C11" w14:paraId="4F63FA6D" w14:textId="77777777">
        <w:trPr>
          <w:trHeight w:val="51"/>
        </w:trPr>
        <w:tc>
          <w:tcPr>
            <w:tcW w:w="1096" w:type="dxa"/>
            <w:shd w:val="clear" w:color="auto" w:fill="C6EFCE"/>
            <w:vAlign w:val="center"/>
          </w:tcPr>
          <w:p w14:paraId="58090277" w14:textId="77777777" w:rsidR="00FA7C11" w:rsidRDefault="00D84965">
            <w:pPr>
              <w:pStyle w:val="P68B1DB1-Normal102"/>
              <w:spacing w:after="0" w:line="240" w:lineRule="auto"/>
              <w:jc w:val="center"/>
              <w:textAlignment w:val="baseline"/>
              <w:rPr>
                <w:noProof/>
              </w:rPr>
            </w:pPr>
            <w:r>
              <w:rPr>
                <w:noProof/>
              </w:rPr>
              <w:t>285</w:t>
            </w:r>
          </w:p>
        </w:tc>
        <w:tc>
          <w:tcPr>
            <w:tcW w:w="1639" w:type="dxa"/>
            <w:shd w:val="clear" w:color="auto" w:fill="C6EFCE"/>
            <w:vAlign w:val="center"/>
          </w:tcPr>
          <w:p w14:paraId="6CB063BF" w14:textId="77777777" w:rsidR="00FA7C11" w:rsidRDefault="00D84965">
            <w:pPr>
              <w:pStyle w:val="P68B1DB1-Normal102"/>
              <w:spacing w:after="0" w:line="240" w:lineRule="auto"/>
              <w:jc w:val="center"/>
              <w:textAlignment w:val="baseline"/>
              <w:rPr>
                <w:noProof/>
              </w:rPr>
            </w:pPr>
            <w:r>
              <w:rPr>
                <w:noProof/>
              </w:rPr>
              <w:t>C3.2. R3-I1</w:t>
            </w:r>
          </w:p>
        </w:tc>
        <w:tc>
          <w:tcPr>
            <w:tcW w:w="1274" w:type="dxa"/>
            <w:shd w:val="clear" w:color="auto" w:fill="C6EFCE"/>
            <w:vAlign w:val="center"/>
          </w:tcPr>
          <w:p w14:paraId="45EF926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2CFF7D9" w14:textId="77777777" w:rsidR="00FA7C11" w:rsidRDefault="00D84965">
            <w:pPr>
              <w:pStyle w:val="P68B1DB1-Normal102"/>
              <w:spacing w:after="0" w:line="240" w:lineRule="auto"/>
              <w:textAlignment w:val="baseline"/>
              <w:rPr>
                <w:noProof/>
              </w:rPr>
            </w:pPr>
            <w:r>
              <w:rPr>
                <w:noProof/>
              </w:rPr>
              <w:t>Granturi acordate în cadrul unui „program-pilot” de sprijinire a instituirii unui cadru reformat de C &amp; D &amp; I.</w:t>
            </w:r>
          </w:p>
        </w:tc>
      </w:tr>
      <w:tr w:rsidR="00FA7C11" w14:paraId="1039ED34" w14:textId="77777777">
        <w:trPr>
          <w:trHeight w:val="51"/>
        </w:trPr>
        <w:tc>
          <w:tcPr>
            <w:tcW w:w="1096" w:type="dxa"/>
            <w:shd w:val="clear" w:color="auto" w:fill="C6EFCE"/>
            <w:vAlign w:val="center"/>
          </w:tcPr>
          <w:p w14:paraId="498B0316" w14:textId="77777777" w:rsidR="00FA7C11" w:rsidRDefault="00D84965">
            <w:pPr>
              <w:pStyle w:val="P68B1DB1-Normal102"/>
              <w:spacing w:after="0" w:line="240" w:lineRule="auto"/>
              <w:jc w:val="center"/>
              <w:textAlignment w:val="baseline"/>
              <w:rPr>
                <w:noProof/>
              </w:rPr>
            </w:pPr>
            <w:r>
              <w:rPr>
                <w:noProof/>
              </w:rPr>
              <w:t>287</w:t>
            </w:r>
          </w:p>
        </w:tc>
        <w:tc>
          <w:tcPr>
            <w:tcW w:w="1639" w:type="dxa"/>
            <w:shd w:val="clear" w:color="auto" w:fill="C6EFCE"/>
            <w:vAlign w:val="center"/>
          </w:tcPr>
          <w:p w14:paraId="75023483" w14:textId="77777777" w:rsidR="00FA7C11" w:rsidRDefault="00D84965">
            <w:pPr>
              <w:pStyle w:val="P68B1DB1-Normal102"/>
              <w:spacing w:after="0" w:line="240" w:lineRule="auto"/>
              <w:jc w:val="center"/>
              <w:textAlignment w:val="baseline"/>
              <w:rPr>
                <w:noProof/>
              </w:rPr>
            </w:pPr>
            <w:r>
              <w:rPr>
                <w:noProof/>
              </w:rPr>
              <w:t>C4.1. R1</w:t>
            </w:r>
          </w:p>
        </w:tc>
        <w:tc>
          <w:tcPr>
            <w:tcW w:w="1274" w:type="dxa"/>
            <w:shd w:val="clear" w:color="auto" w:fill="C6EFCE"/>
            <w:vAlign w:val="center"/>
          </w:tcPr>
          <w:p w14:paraId="70A57767"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6E2A754" w14:textId="77777777" w:rsidR="00FA7C11" w:rsidRDefault="00D84965">
            <w:pPr>
              <w:pStyle w:val="P68B1DB1-Normal102"/>
              <w:spacing w:after="0" w:line="240" w:lineRule="auto"/>
              <w:textAlignment w:val="baseline"/>
              <w:rPr>
                <w:noProof/>
              </w:rPr>
            </w:pPr>
            <w:r>
              <w:rPr>
                <w:noProof/>
              </w:rPr>
              <w:t>Numărul de beneficiari ai noilor măsuri de politică active în domeniul pieței forței de muncă</w:t>
            </w:r>
          </w:p>
        </w:tc>
      </w:tr>
      <w:tr w:rsidR="00FA7C11" w14:paraId="0C071DF6" w14:textId="77777777">
        <w:trPr>
          <w:trHeight w:val="51"/>
        </w:trPr>
        <w:tc>
          <w:tcPr>
            <w:tcW w:w="1096" w:type="dxa"/>
            <w:shd w:val="clear" w:color="auto" w:fill="C6EFCE"/>
            <w:vAlign w:val="center"/>
          </w:tcPr>
          <w:p w14:paraId="194D9366" w14:textId="77777777" w:rsidR="00FA7C11" w:rsidRDefault="00D84965">
            <w:pPr>
              <w:pStyle w:val="P68B1DB1-Normal102"/>
              <w:spacing w:after="0" w:line="240" w:lineRule="auto"/>
              <w:jc w:val="center"/>
              <w:textAlignment w:val="baseline"/>
              <w:rPr>
                <w:noProof/>
              </w:rPr>
            </w:pPr>
            <w:r>
              <w:rPr>
                <w:noProof/>
              </w:rPr>
              <w:t>292</w:t>
            </w:r>
          </w:p>
        </w:tc>
        <w:tc>
          <w:tcPr>
            <w:tcW w:w="1639" w:type="dxa"/>
            <w:shd w:val="clear" w:color="auto" w:fill="C6EFCE"/>
            <w:vAlign w:val="center"/>
          </w:tcPr>
          <w:p w14:paraId="501C69AD" w14:textId="77777777" w:rsidR="00FA7C11" w:rsidRDefault="00D84965">
            <w:pPr>
              <w:pStyle w:val="P68B1DB1-Normal102"/>
              <w:spacing w:after="0" w:line="240" w:lineRule="auto"/>
              <w:jc w:val="center"/>
              <w:textAlignment w:val="baseline"/>
              <w:rPr>
                <w:noProof/>
              </w:rPr>
            </w:pPr>
            <w:r>
              <w:rPr>
                <w:noProof/>
              </w:rPr>
              <w:t>C4.1. R3-I1</w:t>
            </w:r>
          </w:p>
        </w:tc>
        <w:tc>
          <w:tcPr>
            <w:tcW w:w="1274" w:type="dxa"/>
            <w:shd w:val="clear" w:color="auto" w:fill="C6EFCE"/>
            <w:vAlign w:val="center"/>
          </w:tcPr>
          <w:p w14:paraId="6D0EDF79"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EA005B0" w14:textId="77777777" w:rsidR="00FA7C11" w:rsidRDefault="00D84965">
            <w:pPr>
              <w:pStyle w:val="P68B1DB1-Normal102"/>
              <w:spacing w:after="0" w:line="240" w:lineRule="auto"/>
              <w:textAlignment w:val="baseline"/>
              <w:rPr>
                <w:noProof/>
              </w:rPr>
            </w:pPr>
            <w:r>
              <w:rPr>
                <w:noProof/>
              </w:rPr>
              <w:t>Utilizarea voucherelor pentru educație</w:t>
            </w:r>
          </w:p>
        </w:tc>
      </w:tr>
      <w:tr w:rsidR="00FA7C11" w14:paraId="72F0D2A6" w14:textId="77777777">
        <w:trPr>
          <w:trHeight w:val="51"/>
        </w:trPr>
        <w:tc>
          <w:tcPr>
            <w:tcW w:w="1096" w:type="dxa"/>
            <w:shd w:val="clear" w:color="auto" w:fill="C6EFCE"/>
            <w:vAlign w:val="center"/>
          </w:tcPr>
          <w:p w14:paraId="081524F0" w14:textId="77777777" w:rsidR="00FA7C11" w:rsidRDefault="00D84965">
            <w:pPr>
              <w:pStyle w:val="P68B1DB1-Normal102"/>
              <w:spacing w:after="0" w:line="240" w:lineRule="auto"/>
              <w:jc w:val="center"/>
              <w:textAlignment w:val="baseline"/>
              <w:rPr>
                <w:noProof/>
              </w:rPr>
            </w:pPr>
            <w:r>
              <w:rPr>
                <w:noProof/>
              </w:rPr>
              <w:t>300</w:t>
            </w:r>
          </w:p>
        </w:tc>
        <w:tc>
          <w:tcPr>
            <w:tcW w:w="1639" w:type="dxa"/>
            <w:shd w:val="clear" w:color="auto" w:fill="C6EFCE"/>
            <w:vAlign w:val="center"/>
          </w:tcPr>
          <w:p w14:paraId="2E36B200" w14:textId="77777777" w:rsidR="00FA7C11" w:rsidRDefault="00D84965">
            <w:pPr>
              <w:pStyle w:val="P68B1DB1-Normal102"/>
              <w:spacing w:after="0" w:line="240" w:lineRule="auto"/>
              <w:jc w:val="center"/>
              <w:textAlignment w:val="baseline"/>
              <w:rPr>
                <w:noProof/>
              </w:rPr>
            </w:pPr>
            <w:r>
              <w:rPr>
                <w:noProof/>
              </w:rPr>
              <w:t>C4.2. R1</w:t>
            </w:r>
          </w:p>
        </w:tc>
        <w:tc>
          <w:tcPr>
            <w:tcW w:w="1274" w:type="dxa"/>
            <w:shd w:val="clear" w:color="auto" w:fill="C6EFCE"/>
            <w:vAlign w:val="center"/>
          </w:tcPr>
          <w:p w14:paraId="0357874A"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4FEDDAD4" w14:textId="77777777" w:rsidR="00FA7C11" w:rsidRDefault="00D84965">
            <w:pPr>
              <w:pStyle w:val="P68B1DB1-Normal102"/>
              <w:spacing w:after="0" w:line="240" w:lineRule="auto"/>
              <w:textAlignment w:val="baseline"/>
              <w:rPr>
                <w:noProof/>
              </w:rPr>
            </w:pPr>
            <w:r>
              <w:rPr>
                <w:noProof/>
              </w:rPr>
              <w:t>Adoptarea modificărilor la Legea privind asigurarea de pensie</w:t>
            </w:r>
          </w:p>
        </w:tc>
      </w:tr>
      <w:tr w:rsidR="00FA7C11" w14:paraId="7FB709FB" w14:textId="77777777">
        <w:trPr>
          <w:trHeight w:val="51"/>
        </w:trPr>
        <w:tc>
          <w:tcPr>
            <w:tcW w:w="1096" w:type="dxa"/>
            <w:shd w:val="clear" w:color="auto" w:fill="C6EFCE"/>
            <w:vAlign w:val="center"/>
          </w:tcPr>
          <w:p w14:paraId="1BCE3021" w14:textId="77777777" w:rsidR="00FA7C11" w:rsidRDefault="00D84965">
            <w:pPr>
              <w:pStyle w:val="P68B1DB1-Normal102"/>
              <w:spacing w:after="0" w:line="240" w:lineRule="auto"/>
              <w:jc w:val="center"/>
              <w:textAlignment w:val="baseline"/>
              <w:rPr>
                <w:noProof/>
              </w:rPr>
            </w:pPr>
            <w:r>
              <w:rPr>
                <w:noProof/>
              </w:rPr>
              <w:t>304</w:t>
            </w:r>
          </w:p>
        </w:tc>
        <w:tc>
          <w:tcPr>
            <w:tcW w:w="1639" w:type="dxa"/>
            <w:shd w:val="clear" w:color="auto" w:fill="C6EFCE"/>
            <w:vAlign w:val="center"/>
          </w:tcPr>
          <w:p w14:paraId="50192559" w14:textId="77777777" w:rsidR="00FA7C11" w:rsidRDefault="00D84965">
            <w:pPr>
              <w:pStyle w:val="P68B1DB1-Normal102"/>
              <w:spacing w:after="0" w:line="240" w:lineRule="auto"/>
              <w:jc w:val="center"/>
              <w:textAlignment w:val="baseline"/>
              <w:rPr>
                <w:noProof/>
              </w:rPr>
            </w:pPr>
            <w:r>
              <w:rPr>
                <w:noProof/>
              </w:rPr>
              <w:t>C4.3. R1</w:t>
            </w:r>
          </w:p>
        </w:tc>
        <w:tc>
          <w:tcPr>
            <w:tcW w:w="1274" w:type="dxa"/>
            <w:shd w:val="clear" w:color="auto" w:fill="C6EFCE"/>
            <w:vAlign w:val="center"/>
          </w:tcPr>
          <w:p w14:paraId="6FBAAC7C"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777F320" w14:textId="77777777" w:rsidR="00FA7C11" w:rsidRDefault="00D84965">
            <w:pPr>
              <w:pStyle w:val="P68B1DB1-Normal89"/>
              <w:spacing w:after="0" w:line="240" w:lineRule="auto"/>
              <w:textAlignment w:val="baseline"/>
              <w:rPr>
                <w:noProof/>
                <w:color w:val="000000"/>
              </w:rPr>
            </w:pPr>
            <w:r>
              <w:rPr>
                <w:noProof/>
                <w:color w:val="000000"/>
              </w:rPr>
              <w:t>Beneficiarii prestației minime garantate și ai compensației naționale pentru persoanele în vârstă</w:t>
            </w:r>
          </w:p>
        </w:tc>
      </w:tr>
      <w:tr w:rsidR="00FA7C11" w14:paraId="4CA13C4F" w14:textId="77777777">
        <w:trPr>
          <w:trHeight w:val="51"/>
        </w:trPr>
        <w:tc>
          <w:tcPr>
            <w:tcW w:w="1096" w:type="dxa"/>
            <w:shd w:val="clear" w:color="auto" w:fill="C6EFCE"/>
            <w:vAlign w:val="center"/>
          </w:tcPr>
          <w:p w14:paraId="2C06EFF3" w14:textId="77777777" w:rsidR="00FA7C11" w:rsidRDefault="00D84965">
            <w:pPr>
              <w:pStyle w:val="P68B1DB1-Normal102"/>
              <w:spacing w:after="0" w:line="240" w:lineRule="auto"/>
              <w:jc w:val="center"/>
              <w:textAlignment w:val="baseline"/>
              <w:rPr>
                <w:noProof/>
              </w:rPr>
            </w:pPr>
            <w:r>
              <w:rPr>
                <w:noProof/>
              </w:rPr>
              <w:t>307</w:t>
            </w:r>
          </w:p>
        </w:tc>
        <w:tc>
          <w:tcPr>
            <w:tcW w:w="1639" w:type="dxa"/>
            <w:shd w:val="clear" w:color="auto" w:fill="C6EFCE"/>
            <w:vAlign w:val="center"/>
          </w:tcPr>
          <w:p w14:paraId="21300A3B" w14:textId="77777777" w:rsidR="00FA7C11" w:rsidRDefault="00D84965">
            <w:pPr>
              <w:pStyle w:val="P68B1DB1-Normal102"/>
              <w:spacing w:after="0" w:line="240" w:lineRule="auto"/>
              <w:jc w:val="center"/>
              <w:textAlignment w:val="baseline"/>
              <w:rPr>
                <w:noProof/>
              </w:rPr>
            </w:pPr>
            <w:r>
              <w:rPr>
                <w:noProof/>
              </w:rPr>
              <w:t>C4.3. R1-I1</w:t>
            </w:r>
          </w:p>
        </w:tc>
        <w:tc>
          <w:tcPr>
            <w:tcW w:w="1274" w:type="dxa"/>
            <w:shd w:val="clear" w:color="auto" w:fill="C6EFCE"/>
            <w:vAlign w:val="center"/>
          </w:tcPr>
          <w:p w14:paraId="4B0541D0"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3BAB43D" w14:textId="77777777" w:rsidR="00FA7C11" w:rsidRDefault="00D84965">
            <w:pPr>
              <w:pStyle w:val="P68B1DB1-Normal102"/>
              <w:spacing w:after="0" w:line="240" w:lineRule="auto"/>
              <w:textAlignment w:val="baseline"/>
              <w:rPr>
                <w:noProof/>
              </w:rPr>
            </w:pPr>
            <w:r>
              <w:rPr>
                <w:noProof/>
              </w:rPr>
              <w:t>Accesul unităților administrației locale la datele privind prestațiile sociale pentru fiecare beneficiar individual</w:t>
            </w:r>
          </w:p>
        </w:tc>
      </w:tr>
      <w:tr w:rsidR="00FA7C11" w14:paraId="2DCE3911" w14:textId="77777777">
        <w:trPr>
          <w:trHeight w:val="51"/>
        </w:trPr>
        <w:tc>
          <w:tcPr>
            <w:tcW w:w="1096" w:type="dxa"/>
            <w:shd w:val="clear" w:color="auto" w:fill="C6EFCE"/>
            <w:vAlign w:val="center"/>
          </w:tcPr>
          <w:p w14:paraId="60938CB9" w14:textId="77777777" w:rsidR="00FA7C11" w:rsidRDefault="00D84965">
            <w:pPr>
              <w:pStyle w:val="P68B1DB1-Normal102"/>
              <w:spacing w:after="0" w:line="240" w:lineRule="auto"/>
              <w:jc w:val="center"/>
              <w:textAlignment w:val="baseline"/>
              <w:rPr>
                <w:noProof/>
              </w:rPr>
            </w:pPr>
            <w:r>
              <w:rPr>
                <w:noProof/>
              </w:rPr>
              <w:t>310</w:t>
            </w:r>
          </w:p>
        </w:tc>
        <w:tc>
          <w:tcPr>
            <w:tcW w:w="1639" w:type="dxa"/>
            <w:shd w:val="clear" w:color="auto" w:fill="C6EFCE"/>
            <w:vAlign w:val="center"/>
          </w:tcPr>
          <w:p w14:paraId="178A6FE0" w14:textId="77777777" w:rsidR="00FA7C11" w:rsidRDefault="00D84965">
            <w:pPr>
              <w:pStyle w:val="P68B1DB1-Normal102"/>
              <w:spacing w:after="0" w:line="240" w:lineRule="auto"/>
              <w:jc w:val="center"/>
              <w:textAlignment w:val="baseline"/>
              <w:rPr>
                <w:noProof/>
              </w:rPr>
            </w:pPr>
            <w:r>
              <w:rPr>
                <w:noProof/>
              </w:rPr>
              <w:t>C4.3. R2-I1</w:t>
            </w:r>
          </w:p>
        </w:tc>
        <w:tc>
          <w:tcPr>
            <w:tcW w:w="1274" w:type="dxa"/>
            <w:shd w:val="clear" w:color="auto" w:fill="C6EFCE"/>
            <w:vAlign w:val="center"/>
          </w:tcPr>
          <w:p w14:paraId="34F28F9C"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87C2618" w14:textId="77777777" w:rsidR="00FA7C11" w:rsidRDefault="00D84965">
            <w:pPr>
              <w:pStyle w:val="P68B1DB1-Normal102"/>
              <w:spacing w:after="0" w:line="240" w:lineRule="auto"/>
              <w:textAlignment w:val="baseline"/>
              <w:rPr>
                <w:noProof/>
              </w:rPr>
            </w:pPr>
            <w:r>
              <w:rPr>
                <w:noProof/>
              </w:rPr>
              <w:t>Angajarea profesioniștilor din domeniul mentoratului social</w:t>
            </w:r>
          </w:p>
        </w:tc>
      </w:tr>
      <w:tr w:rsidR="00FA7C11" w14:paraId="24F69AD3" w14:textId="77777777">
        <w:trPr>
          <w:trHeight w:val="51"/>
        </w:trPr>
        <w:tc>
          <w:tcPr>
            <w:tcW w:w="1096" w:type="dxa"/>
            <w:shd w:val="clear" w:color="auto" w:fill="C6EFCE"/>
            <w:vAlign w:val="center"/>
          </w:tcPr>
          <w:p w14:paraId="5B700C8D" w14:textId="77777777" w:rsidR="00FA7C11" w:rsidRDefault="00D84965">
            <w:pPr>
              <w:pStyle w:val="P68B1DB1-Normal102"/>
              <w:spacing w:after="0" w:line="240" w:lineRule="auto"/>
              <w:jc w:val="center"/>
              <w:textAlignment w:val="baseline"/>
              <w:rPr>
                <w:noProof/>
              </w:rPr>
            </w:pPr>
            <w:r>
              <w:rPr>
                <w:noProof/>
              </w:rPr>
              <w:t>317</w:t>
            </w:r>
          </w:p>
        </w:tc>
        <w:tc>
          <w:tcPr>
            <w:tcW w:w="1639" w:type="dxa"/>
            <w:shd w:val="clear" w:color="auto" w:fill="C6EFCE"/>
            <w:vAlign w:val="center"/>
          </w:tcPr>
          <w:p w14:paraId="749E7315" w14:textId="77777777" w:rsidR="00FA7C11" w:rsidRDefault="00D84965">
            <w:pPr>
              <w:pStyle w:val="P68B1DB1-Normal102"/>
              <w:spacing w:after="0" w:line="240" w:lineRule="auto"/>
              <w:jc w:val="center"/>
              <w:textAlignment w:val="baseline"/>
              <w:rPr>
                <w:noProof/>
              </w:rPr>
            </w:pPr>
            <w:r>
              <w:rPr>
                <w:noProof/>
              </w:rPr>
              <w:t>C4.3. R3-I4</w:t>
            </w:r>
          </w:p>
        </w:tc>
        <w:tc>
          <w:tcPr>
            <w:tcW w:w="1274" w:type="dxa"/>
            <w:shd w:val="clear" w:color="auto" w:fill="C6EFCE"/>
            <w:vAlign w:val="center"/>
          </w:tcPr>
          <w:p w14:paraId="7DB1E21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C3C6B8C" w14:textId="77777777" w:rsidR="00FA7C11" w:rsidRDefault="00D84965">
            <w:pPr>
              <w:pStyle w:val="P68B1DB1-Normal102"/>
              <w:spacing w:after="0" w:line="240" w:lineRule="auto"/>
              <w:textAlignment w:val="baseline"/>
              <w:rPr>
                <w:noProof/>
              </w:rPr>
            </w:pPr>
            <w:r>
              <w:rPr>
                <w:noProof/>
              </w:rPr>
              <w:t>Construirea de centre pentru îngrijirea instituționalizată, la domiciliu și comunitară a persoanelor în vârstă</w:t>
            </w:r>
          </w:p>
        </w:tc>
      </w:tr>
      <w:tr w:rsidR="00FA7C11" w14:paraId="73C300C7" w14:textId="77777777">
        <w:trPr>
          <w:trHeight w:val="51"/>
        </w:trPr>
        <w:tc>
          <w:tcPr>
            <w:tcW w:w="1096" w:type="dxa"/>
            <w:shd w:val="clear" w:color="auto" w:fill="C6EFCE"/>
            <w:vAlign w:val="center"/>
          </w:tcPr>
          <w:p w14:paraId="239E56A3" w14:textId="77777777" w:rsidR="00FA7C11" w:rsidRDefault="00D84965">
            <w:pPr>
              <w:pStyle w:val="P68B1DB1-Normal102"/>
              <w:spacing w:after="0" w:line="240" w:lineRule="auto"/>
              <w:jc w:val="center"/>
              <w:textAlignment w:val="baseline"/>
              <w:rPr>
                <w:noProof/>
              </w:rPr>
            </w:pPr>
            <w:r>
              <w:rPr>
                <w:noProof/>
              </w:rPr>
              <w:t>324</w:t>
            </w:r>
          </w:p>
        </w:tc>
        <w:tc>
          <w:tcPr>
            <w:tcW w:w="1639" w:type="dxa"/>
            <w:shd w:val="clear" w:color="auto" w:fill="C6EFCE"/>
            <w:vAlign w:val="center"/>
          </w:tcPr>
          <w:p w14:paraId="0C6E77B8" w14:textId="77777777" w:rsidR="00FA7C11" w:rsidRDefault="00D84965">
            <w:pPr>
              <w:pStyle w:val="P68B1DB1-Normal102"/>
              <w:spacing w:after="0" w:line="240" w:lineRule="auto"/>
              <w:jc w:val="center"/>
              <w:textAlignment w:val="baseline"/>
              <w:rPr>
                <w:noProof/>
              </w:rPr>
            </w:pPr>
            <w:r>
              <w:rPr>
                <w:noProof/>
              </w:rPr>
              <w:t>C5.1. R1-I5</w:t>
            </w:r>
          </w:p>
        </w:tc>
        <w:tc>
          <w:tcPr>
            <w:tcW w:w="1274" w:type="dxa"/>
            <w:shd w:val="clear" w:color="auto" w:fill="C6EFCE"/>
            <w:vAlign w:val="center"/>
          </w:tcPr>
          <w:p w14:paraId="04F392C8"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F52BA55" w14:textId="77777777" w:rsidR="00FA7C11" w:rsidRDefault="00D84965">
            <w:pPr>
              <w:pStyle w:val="P68B1DB1-Normal102"/>
              <w:spacing w:after="0" w:line="240" w:lineRule="auto"/>
              <w:textAlignment w:val="baseline"/>
              <w:rPr>
                <w:noProof/>
              </w:rPr>
            </w:pPr>
            <w:r>
              <w:rPr>
                <w:noProof/>
              </w:rPr>
              <w:t>Construcția blocului operațional central, cu conținutul însoțitor al Spitalului General Varaždin</w:t>
            </w:r>
          </w:p>
        </w:tc>
      </w:tr>
      <w:tr w:rsidR="00FA7C11" w14:paraId="0662CA6C" w14:textId="77777777">
        <w:trPr>
          <w:trHeight w:val="51"/>
        </w:trPr>
        <w:tc>
          <w:tcPr>
            <w:tcW w:w="1096" w:type="dxa"/>
            <w:shd w:val="clear" w:color="auto" w:fill="C6EFCE"/>
            <w:vAlign w:val="center"/>
          </w:tcPr>
          <w:p w14:paraId="1B01D173" w14:textId="77777777" w:rsidR="00FA7C11" w:rsidRDefault="00D84965">
            <w:pPr>
              <w:pStyle w:val="P68B1DB1-Normal102"/>
              <w:spacing w:after="0" w:line="240" w:lineRule="auto"/>
              <w:jc w:val="center"/>
              <w:textAlignment w:val="baseline"/>
              <w:rPr>
                <w:noProof/>
              </w:rPr>
            </w:pPr>
            <w:r>
              <w:rPr>
                <w:noProof/>
              </w:rPr>
              <w:t>328</w:t>
            </w:r>
          </w:p>
        </w:tc>
        <w:tc>
          <w:tcPr>
            <w:tcW w:w="1639" w:type="dxa"/>
            <w:shd w:val="clear" w:color="auto" w:fill="C6EFCE"/>
            <w:vAlign w:val="center"/>
          </w:tcPr>
          <w:p w14:paraId="2FCCE5B2" w14:textId="77777777" w:rsidR="00FA7C11" w:rsidRDefault="00D84965">
            <w:pPr>
              <w:pStyle w:val="P68B1DB1-Normal102"/>
              <w:spacing w:after="0" w:line="240" w:lineRule="auto"/>
              <w:jc w:val="center"/>
              <w:textAlignment w:val="baseline"/>
              <w:rPr>
                <w:noProof/>
              </w:rPr>
            </w:pPr>
            <w:r>
              <w:rPr>
                <w:noProof/>
              </w:rPr>
              <w:t>C5.1. R1-I9</w:t>
            </w:r>
          </w:p>
        </w:tc>
        <w:tc>
          <w:tcPr>
            <w:tcW w:w="1274" w:type="dxa"/>
            <w:shd w:val="clear" w:color="auto" w:fill="C6EFCE"/>
            <w:vAlign w:val="center"/>
          </w:tcPr>
          <w:p w14:paraId="6294AAFD"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C709721" w14:textId="77777777" w:rsidR="00FA7C11" w:rsidRDefault="00D84965">
            <w:pPr>
              <w:pStyle w:val="P68B1DB1-Normal102"/>
              <w:spacing w:after="0" w:line="240" w:lineRule="auto"/>
              <w:textAlignment w:val="baseline"/>
              <w:rPr>
                <w:noProof/>
              </w:rPr>
            </w:pPr>
            <w:r>
              <w:rPr>
                <w:noProof/>
              </w:rPr>
              <w:t>Proiectul de dezvoltare a Centrului spitalicesc clinic (KBC) din Zagreb</w:t>
            </w:r>
          </w:p>
        </w:tc>
      </w:tr>
      <w:tr w:rsidR="00FA7C11" w14:paraId="544BEA91" w14:textId="77777777">
        <w:trPr>
          <w:trHeight w:val="51"/>
        </w:trPr>
        <w:tc>
          <w:tcPr>
            <w:tcW w:w="1096" w:type="dxa"/>
            <w:shd w:val="clear" w:color="auto" w:fill="C6EFCE"/>
            <w:vAlign w:val="center"/>
          </w:tcPr>
          <w:p w14:paraId="16FC4769" w14:textId="77777777" w:rsidR="00FA7C11" w:rsidRDefault="00D84965">
            <w:pPr>
              <w:pStyle w:val="P68B1DB1-Normal102"/>
              <w:spacing w:after="0" w:line="240" w:lineRule="auto"/>
              <w:jc w:val="center"/>
              <w:textAlignment w:val="baseline"/>
              <w:rPr>
                <w:noProof/>
              </w:rPr>
            </w:pPr>
            <w:r>
              <w:rPr>
                <w:noProof/>
              </w:rPr>
              <w:t>329</w:t>
            </w:r>
          </w:p>
        </w:tc>
        <w:tc>
          <w:tcPr>
            <w:tcW w:w="1639" w:type="dxa"/>
            <w:shd w:val="clear" w:color="auto" w:fill="C6EFCE"/>
            <w:vAlign w:val="center"/>
          </w:tcPr>
          <w:p w14:paraId="674C4722" w14:textId="77777777" w:rsidR="00FA7C11" w:rsidRDefault="00D84965">
            <w:pPr>
              <w:pStyle w:val="P68B1DB1-Normal102"/>
              <w:spacing w:after="0" w:line="240" w:lineRule="auto"/>
              <w:jc w:val="center"/>
              <w:textAlignment w:val="baseline"/>
              <w:rPr>
                <w:noProof/>
              </w:rPr>
            </w:pPr>
            <w:r>
              <w:rPr>
                <w:noProof/>
              </w:rPr>
              <w:t>C5.1. R2</w:t>
            </w:r>
          </w:p>
        </w:tc>
        <w:tc>
          <w:tcPr>
            <w:tcW w:w="1274" w:type="dxa"/>
            <w:shd w:val="clear" w:color="auto" w:fill="C6EFCE"/>
            <w:vAlign w:val="center"/>
          </w:tcPr>
          <w:p w14:paraId="7451C1D5"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7F860A73" w14:textId="77777777" w:rsidR="00FA7C11" w:rsidRDefault="00D84965">
            <w:pPr>
              <w:pStyle w:val="P68B1DB1-Normal102"/>
              <w:spacing w:after="0" w:line="240" w:lineRule="auto"/>
              <w:textAlignment w:val="baseline"/>
              <w:rPr>
                <w:noProof/>
              </w:rPr>
            </w:pPr>
            <w:r>
              <w:rPr>
                <w:noProof/>
              </w:rPr>
              <w:t>Îmbunătățirea și armonizarea calității asistenței medicale prin elaborarea de orientări clinice electronice</w:t>
            </w:r>
          </w:p>
        </w:tc>
      </w:tr>
      <w:tr w:rsidR="00FA7C11" w14:paraId="20833DAE" w14:textId="77777777">
        <w:trPr>
          <w:trHeight w:val="51"/>
        </w:trPr>
        <w:tc>
          <w:tcPr>
            <w:tcW w:w="1096" w:type="dxa"/>
            <w:shd w:val="clear" w:color="auto" w:fill="C6EFCE"/>
            <w:vAlign w:val="center"/>
          </w:tcPr>
          <w:p w14:paraId="7F72A233" w14:textId="77777777" w:rsidR="00FA7C11" w:rsidRDefault="00D84965">
            <w:pPr>
              <w:pStyle w:val="P68B1DB1-Normal102"/>
              <w:spacing w:after="0" w:line="240" w:lineRule="auto"/>
              <w:jc w:val="center"/>
              <w:textAlignment w:val="baseline"/>
              <w:rPr>
                <w:noProof/>
              </w:rPr>
            </w:pPr>
            <w:r>
              <w:rPr>
                <w:noProof/>
              </w:rPr>
              <w:t>331</w:t>
            </w:r>
          </w:p>
        </w:tc>
        <w:tc>
          <w:tcPr>
            <w:tcW w:w="1639" w:type="dxa"/>
            <w:shd w:val="clear" w:color="auto" w:fill="C6EFCE"/>
            <w:vAlign w:val="center"/>
          </w:tcPr>
          <w:p w14:paraId="6BC58373" w14:textId="77777777" w:rsidR="00FA7C11" w:rsidRDefault="00D84965">
            <w:pPr>
              <w:pStyle w:val="P68B1DB1-Normal102"/>
              <w:spacing w:after="0" w:line="240" w:lineRule="auto"/>
              <w:jc w:val="center"/>
              <w:textAlignment w:val="baseline"/>
              <w:rPr>
                <w:noProof/>
              </w:rPr>
            </w:pPr>
            <w:r>
              <w:rPr>
                <w:noProof/>
              </w:rPr>
              <w:t>C5.1. R2-I1</w:t>
            </w:r>
          </w:p>
        </w:tc>
        <w:tc>
          <w:tcPr>
            <w:tcW w:w="1274" w:type="dxa"/>
            <w:shd w:val="clear" w:color="auto" w:fill="C6EFCE"/>
            <w:vAlign w:val="center"/>
          </w:tcPr>
          <w:p w14:paraId="1350B59C"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A53EBA1" w14:textId="77777777" w:rsidR="00FA7C11" w:rsidRDefault="00D84965">
            <w:pPr>
              <w:pStyle w:val="P68B1DB1-Normal102"/>
              <w:spacing w:after="0" w:line="240" w:lineRule="auto"/>
              <w:textAlignment w:val="baseline"/>
              <w:rPr>
                <w:noProof/>
              </w:rPr>
            </w:pPr>
            <w:r>
              <w:rPr>
                <w:noProof/>
              </w:rPr>
              <w:t>Îmbunătățirea calității radioterapiei oncologice</w:t>
            </w:r>
          </w:p>
        </w:tc>
      </w:tr>
      <w:tr w:rsidR="00FA7C11" w14:paraId="1C40E74C" w14:textId="77777777">
        <w:trPr>
          <w:trHeight w:val="51"/>
        </w:trPr>
        <w:tc>
          <w:tcPr>
            <w:tcW w:w="1096" w:type="dxa"/>
            <w:shd w:val="clear" w:color="auto" w:fill="C6EFCE"/>
            <w:vAlign w:val="center"/>
          </w:tcPr>
          <w:p w14:paraId="65E20CE8" w14:textId="77777777" w:rsidR="00FA7C11" w:rsidRDefault="00D84965">
            <w:pPr>
              <w:pStyle w:val="P68B1DB1-Normal102"/>
              <w:spacing w:after="0" w:line="240" w:lineRule="auto"/>
              <w:jc w:val="center"/>
              <w:textAlignment w:val="baseline"/>
              <w:rPr>
                <w:noProof/>
              </w:rPr>
            </w:pPr>
            <w:r>
              <w:rPr>
                <w:noProof/>
              </w:rPr>
              <w:t>332</w:t>
            </w:r>
          </w:p>
        </w:tc>
        <w:tc>
          <w:tcPr>
            <w:tcW w:w="1639" w:type="dxa"/>
            <w:shd w:val="clear" w:color="auto" w:fill="C6EFCE"/>
            <w:vAlign w:val="center"/>
          </w:tcPr>
          <w:p w14:paraId="2C16122C" w14:textId="77777777" w:rsidR="00FA7C11" w:rsidRDefault="00D84965">
            <w:pPr>
              <w:pStyle w:val="P68B1DB1-Normal102"/>
              <w:spacing w:after="0" w:line="240" w:lineRule="auto"/>
              <w:jc w:val="center"/>
              <w:textAlignment w:val="baseline"/>
              <w:rPr>
                <w:noProof/>
              </w:rPr>
            </w:pPr>
            <w:r>
              <w:rPr>
                <w:noProof/>
              </w:rPr>
              <w:t>C5.1. R2-I2</w:t>
            </w:r>
          </w:p>
        </w:tc>
        <w:tc>
          <w:tcPr>
            <w:tcW w:w="1274" w:type="dxa"/>
            <w:shd w:val="clear" w:color="auto" w:fill="C6EFCE"/>
            <w:vAlign w:val="center"/>
          </w:tcPr>
          <w:p w14:paraId="65C3FF6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B2A991E" w14:textId="17418DBD" w:rsidR="00FA7C11" w:rsidRDefault="00D84965">
            <w:pPr>
              <w:pStyle w:val="P68B1DB1-Normal102"/>
              <w:spacing w:after="0" w:line="240" w:lineRule="auto"/>
              <w:textAlignment w:val="baseline"/>
              <w:rPr>
                <w:noProof/>
              </w:rPr>
            </w:pPr>
            <w:r>
              <w:rPr>
                <w:noProof/>
              </w:rPr>
              <w:t>Platforma IT unică pentru monitorizarea pacienților oncologici</w:t>
            </w:r>
          </w:p>
        </w:tc>
      </w:tr>
      <w:tr w:rsidR="00FA7C11" w14:paraId="76E50B1B" w14:textId="77777777">
        <w:trPr>
          <w:trHeight w:val="51"/>
        </w:trPr>
        <w:tc>
          <w:tcPr>
            <w:tcW w:w="1096" w:type="dxa"/>
            <w:shd w:val="clear" w:color="auto" w:fill="C6EFCE"/>
            <w:vAlign w:val="center"/>
          </w:tcPr>
          <w:p w14:paraId="00F60875" w14:textId="77777777" w:rsidR="00FA7C11" w:rsidRDefault="00D84965">
            <w:pPr>
              <w:pStyle w:val="P68B1DB1-Normal102"/>
              <w:spacing w:after="0" w:line="240" w:lineRule="auto"/>
              <w:jc w:val="center"/>
              <w:textAlignment w:val="baseline"/>
              <w:rPr>
                <w:noProof/>
              </w:rPr>
            </w:pPr>
            <w:r>
              <w:rPr>
                <w:noProof/>
              </w:rPr>
              <w:t>334</w:t>
            </w:r>
          </w:p>
        </w:tc>
        <w:tc>
          <w:tcPr>
            <w:tcW w:w="1639" w:type="dxa"/>
            <w:shd w:val="clear" w:color="auto" w:fill="C6EFCE"/>
            <w:vAlign w:val="center"/>
          </w:tcPr>
          <w:p w14:paraId="79AF2CAB" w14:textId="77777777" w:rsidR="00FA7C11" w:rsidRDefault="00D84965">
            <w:pPr>
              <w:pStyle w:val="P68B1DB1-Normal102"/>
              <w:spacing w:after="0" w:line="240" w:lineRule="auto"/>
              <w:jc w:val="center"/>
              <w:textAlignment w:val="baseline"/>
              <w:rPr>
                <w:noProof/>
              </w:rPr>
            </w:pPr>
            <w:r>
              <w:rPr>
                <w:noProof/>
              </w:rPr>
              <w:t>C5.1. R3-I1</w:t>
            </w:r>
          </w:p>
        </w:tc>
        <w:tc>
          <w:tcPr>
            <w:tcW w:w="1274" w:type="dxa"/>
            <w:shd w:val="clear" w:color="auto" w:fill="C6EFCE"/>
            <w:vAlign w:val="center"/>
          </w:tcPr>
          <w:p w14:paraId="505196DB"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51522CD" w14:textId="77777777" w:rsidR="00FA7C11" w:rsidRDefault="00D84965">
            <w:pPr>
              <w:pStyle w:val="P68B1DB1-Normal102"/>
              <w:spacing w:after="0" w:line="240" w:lineRule="auto"/>
              <w:textAlignment w:val="baseline"/>
              <w:rPr>
                <w:noProof/>
              </w:rPr>
            </w:pPr>
            <w:r>
              <w:rPr>
                <w:noProof/>
              </w:rPr>
              <w:t>Formare medicală specializată la nivelul primar de bază al asistenței medicale</w:t>
            </w:r>
          </w:p>
        </w:tc>
      </w:tr>
      <w:tr w:rsidR="00FA7C11" w14:paraId="3AAF35D1" w14:textId="77777777">
        <w:trPr>
          <w:trHeight w:val="51"/>
        </w:trPr>
        <w:tc>
          <w:tcPr>
            <w:tcW w:w="1096" w:type="dxa"/>
            <w:shd w:val="clear" w:color="auto" w:fill="C6EFCE"/>
            <w:vAlign w:val="center"/>
          </w:tcPr>
          <w:p w14:paraId="4BE7F595" w14:textId="77777777" w:rsidR="00FA7C11" w:rsidRDefault="00D84965">
            <w:pPr>
              <w:pStyle w:val="P68B1DB1-Normal102"/>
              <w:spacing w:after="0" w:line="240" w:lineRule="auto"/>
              <w:jc w:val="center"/>
              <w:textAlignment w:val="baseline"/>
              <w:rPr>
                <w:noProof/>
              </w:rPr>
            </w:pPr>
            <w:r>
              <w:rPr>
                <w:noProof/>
              </w:rPr>
              <w:t>335</w:t>
            </w:r>
          </w:p>
        </w:tc>
        <w:tc>
          <w:tcPr>
            <w:tcW w:w="1639" w:type="dxa"/>
            <w:shd w:val="clear" w:color="auto" w:fill="C6EFCE"/>
            <w:vAlign w:val="center"/>
          </w:tcPr>
          <w:p w14:paraId="1CC528D4" w14:textId="77777777" w:rsidR="00FA7C11" w:rsidRDefault="00D84965">
            <w:pPr>
              <w:pStyle w:val="P68B1DB1-Normal102"/>
              <w:spacing w:after="0" w:line="240" w:lineRule="auto"/>
              <w:jc w:val="center"/>
              <w:textAlignment w:val="baseline"/>
              <w:rPr>
                <w:noProof/>
              </w:rPr>
            </w:pPr>
            <w:r>
              <w:rPr>
                <w:noProof/>
              </w:rPr>
              <w:t>C5.1. R3-I2</w:t>
            </w:r>
          </w:p>
        </w:tc>
        <w:tc>
          <w:tcPr>
            <w:tcW w:w="1274" w:type="dxa"/>
            <w:shd w:val="clear" w:color="auto" w:fill="C6EFCE"/>
            <w:vAlign w:val="center"/>
          </w:tcPr>
          <w:p w14:paraId="52BBFC5F"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10CD9A90" w14:textId="77777777" w:rsidR="00FA7C11" w:rsidRDefault="00D84965">
            <w:pPr>
              <w:pStyle w:val="P68B1DB1-Normal102"/>
              <w:spacing w:after="0" w:line="240" w:lineRule="auto"/>
              <w:textAlignment w:val="baseline"/>
              <w:rPr>
                <w:noProof/>
              </w:rPr>
            </w:pPr>
            <w:r>
              <w:rPr>
                <w:noProof/>
              </w:rPr>
              <w:t>Licențiat în asistență medicală specializată în medicină de urgență</w:t>
            </w:r>
          </w:p>
        </w:tc>
      </w:tr>
      <w:tr w:rsidR="00FA7C11" w14:paraId="742509F9" w14:textId="77777777">
        <w:trPr>
          <w:trHeight w:val="51"/>
        </w:trPr>
        <w:tc>
          <w:tcPr>
            <w:tcW w:w="1096" w:type="dxa"/>
            <w:shd w:val="clear" w:color="auto" w:fill="C6EFCE"/>
            <w:vAlign w:val="center"/>
          </w:tcPr>
          <w:p w14:paraId="6EB072E8" w14:textId="77777777" w:rsidR="00FA7C11" w:rsidRDefault="00D84965">
            <w:pPr>
              <w:pStyle w:val="P68B1DB1-Normal102"/>
              <w:spacing w:after="0" w:line="240" w:lineRule="auto"/>
              <w:jc w:val="center"/>
              <w:textAlignment w:val="baseline"/>
              <w:rPr>
                <w:noProof/>
              </w:rPr>
            </w:pPr>
            <w:r>
              <w:rPr>
                <w:noProof/>
              </w:rPr>
              <w:t>340</w:t>
            </w:r>
          </w:p>
        </w:tc>
        <w:tc>
          <w:tcPr>
            <w:tcW w:w="1639" w:type="dxa"/>
            <w:shd w:val="clear" w:color="auto" w:fill="C6EFCE"/>
            <w:vAlign w:val="center"/>
          </w:tcPr>
          <w:p w14:paraId="02352246" w14:textId="77777777" w:rsidR="00FA7C11" w:rsidRDefault="00D84965">
            <w:pPr>
              <w:pStyle w:val="P68B1DB1-Normal102"/>
              <w:spacing w:after="0" w:line="240" w:lineRule="auto"/>
              <w:jc w:val="center"/>
              <w:textAlignment w:val="baseline"/>
              <w:rPr>
                <w:noProof/>
              </w:rPr>
            </w:pPr>
            <w:r>
              <w:rPr>
                <w:noProof/>
              </w:rPr>
              <w:t>C5.1. R4-I2</w:t>
            </w:r>
          </w:p>
        </w:tc>
        <w:tc>
          <w:tcPr>
            <w:tcW w:w="1274" w:type="dxa"/>
            <w:shd w:val="clear" w:color="auto" w:fill="C6EFCE"/>
            <w:vAlign w:val="center"/>
          </w:tcPr>
          <w:p w14:paraId="4B7091CC"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38962C0F" w14:textId="77777777" w:rsidR="00FA7C11" w:rsidRDefault="00D84965">
            <w:pPr>
              <w:pStyle w:val="P68B1DB1-Normal102"/>
              <w:spacing w:after="0" w:line="240" w:lineRule="auto"/>
              <w:textAlignment w:val="baseline"/>
              <w:rPr>
                <w:noProof/>
              </w:rPr>
            </w:pPr>
            <w:r>
              <w:rPr>
                <w:noProof/>
              </w:rPr>
              <w:t>Sistem de terapie unitară pentru forme solide de medicamente în 40 spitale croate</w:t>
            </w:r>
          </w:p>
        </w:tc>
      </w:tr>
      <w:tr w:rsidR="00FA7C11" w14:paraId="3099DBD8" w14:textId="77777777">
        <w:trPr>
          <w:trHeight w:val="51"/>
        </w:trPr>
        <w:tc>
          <w:tcPr>
            <w:tcW w:w="1096" w:type="dxa"/>
            <w:shd w:val="clear" w:color="auto" w:fill="C6EFCE"/>
            <w:vAlign w:val="center"/>
          </w:tcPr>
          <w:p w14:paraId="4BFC7D15" w14:textId="77777777" w:rsidR="00FA7C11" w:rsidRDefault="00D84965">
            <w:pPr>
              <w:pStyle w:val="P68B1DB1-Normal102"/>
              <w:spacing w:after="0" w:line="240" w:lineRule="auto"/>
              <w:jc w:val="center"/>
              <w:textAlignment w:val="baseline"/>
              <w:rPr>
                <w:noProof/>
              </w:rPr>
            </w:pPr>
            <w:r>
              <w:rPr>
                <w:noProof/>
              </w:rPr>
              <w:t>341</w:t>
            </w:r>
          </w:p>
        </w:tc>
        <w:tc>
          <w:tcPr>
            <w:tcW w:w="1639" w:type="dxa"/>
            <w:shd w:val="clear" w:color="auto" w:fill="C6EFCE"/>
            <w:vAlign w:val="center"/>
          </w:tcPr>
          <w:p w14:paraId="30577090" w14:textId="77777777" w:rsidR="00FA7C11" w:rsidRDefault="00D84965">
            <w:pPr>
              <w:pStyle w:val="P68B1DB1-Normal102"/>
              <w:spacing w:after="0" w:line="240" w:lineRule="auto"/>
              <w:jc w:val="center"/>
              <w:textAlignment w:val="baseline"/>
              <w:rPr>
                <w:noProof/>
              </w:rPr>
            </w:pPr>
            <w:r>
              <w:rPr>
                <w:noProof/>
              </w:rPr>
              <w:t>C5.1. R4-I3</w:t>
            </w:r>
          </w:p>
        </w:tc>
        <w:tc>
          <w:tcPr>
            <w:tcW w:w="1274" w:type="dxa"/>
            <w:shd w:val="clear" w:color="auto" w:fill="C6EFCE"/>
            <w:vAlign w:val="center"/>
          </w:tcPr>
          <w:p w14:paraId="2586074D"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1D2D749" w14:textId="77777777" w:rsidR="00FA7C11" w:rsidRDefault="00D84965">
            <w:pPr>
              <w:pStyle w:val="P68B1DB1-Normal102"/>
              <w:spacing w:after="0" w:line="240" w:lineRule="auto"/>
              <w:textAlignment w:val="baseline"/>
              <w:rPr>
                <w:noProof/>
              </w:rPr>
            </w:pPr>
            <w:r>
              <w:rPr>
                <w:noProof/>
              </w:rPr>
              <w:t>Monitorizarea medicamentelor în sistemul spitalicesc, de la farmacie la pacient</w:t>
            </w:r>
          </w:p>
        </w:tc>
      </w:tr>
      <w:tr w:rsidR="00FA7C11" w14:paraId="3611AA0F" w14:textId="77777777">
        <w:trPr>
          <w:trHeight w:val="51"/>
        </w:trPr>
        <w:tc>
          <w:tcPr>
            <w:tcW w:w="1096" w:type="dxa"/>
            <w:shd w:val="clear" w:color="auto" w:fill="C6EFCE"/>
            <w:vAlign w:val="center"/>
          </w:tcPr>
          <w:p w14:paraId="1993BC85" w14:textId="77777777" w:rsidR="00FA7C11" w:rsidRDefault="00D84965">
            <w:pPr>
              <w:pStyle w:val="P68B1DB1-Normal102"/>
              <w:spacing w:after="0" w:line="240" w:lineRule="auto"/>
              <w:jc w:val="center"/>
              <w:textAlignment w:val="baseline"/>
              <w:rPr>
                <w:noProof/>
              </w:rPr>
            </w:pPr>
            <w:r>
              <w:rPr>
                <w:noProof/>
              </w:rPr>
              <w:t>344</w:t>
            </w:r>
          </w:p>
        </w:tc>
        <w:tc>
          <w:tcPr>
            <w:tcW w:w="1639" w:type="dxa"/>
            <w:shd w:val="clear" w:color="auto" w:fill="C6EFCE"/>
            <w:vAlign w:val="center"/>
          </w:tcPr>
          <w:p w14:paraId="53B405FE" w14:textId="77777777" w:rsidR="00FA7C11" w:rsidRDefault="00D84965">
            <w:pPr>
              <w:pStyle w:val="P68B1DB1-Normal102"/>
              <w:spacing w:after="0" w:line="240" w:lineRule="auto"/>
              <w:jc w:val="center"/>
              <w:textAlignment w:val="baseline"/>
              <w:rPr>
                <w:noProof/>
              </w:rPr>
            </w:pPr>
            <w:r>
              <w:rPr>
                <w:noProof/>
              </w:rPr>
              <w:t>C5.1. R4-I5</w:t>
            </w:r>
          </w:p>
        </w:tc>
        <w:tc>
          <w:tcPr>
            <w:tcW w:w="1274" w:type="dxa"/>
            <w:shd w:val="clear" w:color="auto" w:fill="C6EFCE"/>
            <w:vAlign w:val="center"/>
          </w:tcPr>
          <w:p w14:paraId="3C56CCA5"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8F5BAF1" w14:textId="77777777" w:rsidR="00FA7C11" w:rsidRDefault="00D84965">
            <w:pPr>
              <w:pStyle w:val="P68B1DB1-Normal102"/>
              <w:spacing w:after="0" w:line="240" w:lineRule="auto"/>
              <w:textAlignment w:val="baseline"/>
              <w:rPr>
                <w:noProof/>
              </w:rPr>
            </w:pPr>
            <w:r>
              <w:rPr>
                <w:noProof/>
              </w:rPr>
              <w:t>Monitorizarea rezultatelor tratamentului pacienților cronici din afara spitalelor în farmaciile publice</w:t>
            </w:r>
          </w:p>
        </w:tc>
      </w:tr>
      <w:tr w:rsidR="00FA7C11" w14:paraId="609F954A" w14:textId="77777777">
        <w:trPr>
          <w:trHeight w:val="51"/>
        </w:trPr>
        <w:tc>
          <w:tcPr>
            <w:tcW w:w="1096" w:type="dxa"/>
            <w:shd w:val="clear" w:color="auto" w:fill="C6EFCE"/>
            <w:vAlign w:val="center"/>
          </w:tcPr>
          <w:p w14:paraId="5EB5DA9D" w14:textId="77777777" w:rsidR="00FA7C11" w:rsidRDefault="00D84965">
            <w:pPr>
              <w:pStyle w:val="P68B1DB1-Normal102"/>
              <w:spacing w:after="0" w:line="240" w:lineRule="auto"/>
              <w:jc w:val="center"/>
              <w:textAlignment w:val="baseline"/>
              <w:rPr>
                <w:noProof/>
              </w:rPr>
            </w:pPr>
            <w:r>
              <w:rPr>
                <w:noProof/>
              </w:rPr>
              <w:t>354</w:t>
            </w:r>
          </w:p>
        </w:tc>
        <w:tc>
          <w:tcPr>
            <w:tcW w:w="1639" w:type="dxa"/>
            <w:shd w:val="clear" w:color="auto" w:fill="C6EFCE"/>
            <w:vAlign w:val="center"/>
          </w:tcPr>
          <w:p w14:paraId="019098B9" w14:textId="77777777" w:rsidR="00FA7C11" w:rsidRDefault="00D84965">
            <w:pPr>
              <w:pStyle w:val="P68B1DB1-Normal102"/>
              <w:spacing w:after="0" w:line="240" w:lineRule="auto"/>
              <w:jc w:val="center"/>
              <w:textAlignment w:val="baseline"/>
              <w:rPr>
                <w:noProof/>
              </w:rPr>
            </w:pPr>
            <w:r>
              <w:rPr>
                <w:noProof/>
              </w:rPr>
              <w:t>C6.1. R1-I1</w:t>
            </w:r>
          </w:p>
        </w:tc>
        <w:tc>
          <w:tcPr>
            <w:tcW w:w="1274" w:type="dxa"/>
            <w:shd w:val="clear" w:color="auto" w:fill="C6EFCE"/>
            <w:vAlign w:val="center"/>
          </w:tcPr>
          <w:p w14:paraId="233FA2F6"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5B5B8238" w14:textId="77777777" w:rsidR="00FA7C11" w:rsidRDefault="00D84965">
            <w:pPr>
              <w:pStyle w:val="P68B1DB1-Normal102"/>
              <w:spacing w:after="0" w:line="240" w:lineRule="auto"/>
              <w:textAlignment w:val="baseline"/>
              <w:rPr>
                <w:noProof/>
              </w:rPr>
            </w:pPr>
            <w:r>
              <w:rPr>
                <w:noProof/>
              </w:rPr>
              <w:t>Renovarea energetică a imobilelor colective</w:t>
            </w:r>
          </w:p>
        </w:tc>
      </w:tr>
      <w:tr w:rsidR="00FA7C11" w14:paraId="6812D9FB" w14:textId="77777777">
        <w:trPr>
          <w:trHeight w:val="51"/>
        </w:trPr>
        <w:tc>
          <w:tcPr>
            <w:tcW w:w="1096" w:type="dxa"/>
            <w:shd w:val="clear" w:color="auto" w:fill="C6EFCE"/>
            <w:vAlign w:val="center"/>
          </w:tcPr>
          <w:p w14:paraId="652F3277" w14:textId="77777777" w:rsidR="00FA7C11" w:rsidRDefault="00D84965">
            <w:pPr>
              <w:pStyle w:val="P68B1DB1-Normal102"/>
              <w:spacing w:after="0" w:line="240" w:lineRule="auto"/>
              <w:jc w:val="center"/>
              <w:textAlignment w:val="baseline"/>
              <w:rPr>
                <w:noProof/>
              </w:rPr>
            </w:pPr>
            <w:r>
              <w:rPr>
                <w:noProof/>
              </w:rPr>
              <w:t>355</w:t>
            </w:r>
          </w:p>
        </w:tc>
        <w:tc>
          <w:tcPr>
            <w:tcW w:w="1639" w:type="dxa"/>
            <w:shd w:val="clear" w:color="auto" w:fill="C6EFCE"/>
            <w:vAlign w:val="center"/>
          </w:tcPr>
          <w:p w14:paraId="5EAFDF5D" w14:textId="77777777" w:rsidR="00FA7C11" w:rsidRDefault="00D84965">
            <w:pPr>
              <w:pStyle w:val="P68B1DB1-Normal102"/>
              <w:spacing w:after="0" w:line="240" w:lineRule="auto"/>
              <w:jc w:val="center"/>
              <w:textAlignment w:val="baseline"/>
              <w:rPr>
                <w:noProof/>
              </w:rPr>
            </w:pPr>
            <w:r>
              <w:rPr>
                <w:noProof/>
              </w:rPr>
              <w:t>C6.1. R1-I1</w:t>
            </w:r>
          </w:p>
        </w:tc>
        <w:tc>
          <w:tcPr>
            <w:tcW w:w="1274" w:type="dxa"/>
            <w:shd w:val="clear" w:color="auto" w:fill="C6EFCE"/>
            <w:vAlign w:val="center"/>
          </w:tcPr>
          <w:p w14:paraId="1C18CE5A"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7EB104D2" w14:textId="77777777" w:rsidR="00FA7C11" w:rsidRDefault="00D84965">
            <w:pPr>
              <w:pStyle w:val="P68B1DB1-Normal102"/>
              <w:spacing w:after="0" w:line="240" w:lineRule="auto"/>
              <w:textAlignment w:val="baseline"/>
              <w:rPr>
                <w:noProof/>
              </w:rPr>
            </w:pPr>
            <w:r>
              <w:rPr>
                <w:noProof/>
              </w:rPr>
              <w:t>Renovarea energetică a clădirilor publice</w:t>
            </w:r>
          </w:p>
        </w:tc>
      </w:tr>
      <w:tr w:rsidR="00FA7C11" w14:paraId="7D86DFC2" w14:textId="77777777">
        <w:trPr>
          <w:trHeight w:val="51"/>
        </w:trPr>
        <w:tc>
          <w:tcPr>
            <w:tcW w:w="1096" w:type="dxa"/>
            <w:shd w:val="clear" w:color="auto" w:fill="C6EFCE"/>
            <w:vAlign w:val="center"/>
          </w:tcPr>
          <w:p w14:paraId="36416F64" w14:textId="77777777" w:rsidR="00FA7C11" w:rsidRDefault="00D84965">
            <w:pPr>
              <w:pStyle w:val="P68B1DB1-Normal102"/>
              <w:spacing w:after="0" w:line="240" w:lineRule="auto"/>
              <w:jc w:val="center"/>
              <w:textAlignment w:val="baseline"/>
              <w:rPr>
                <w:noProof/>
              </w:rPr>
            </w:pPr>
            <w:r>
              <w:rPr>
                <w:noProof/>
              </w:rPr>
              <w:t>358</w:t>
            </w:r>
          </w:p>
        </w:tc>
        <w:tc>
          <w:tcPr>
            <w:tcW w:w="1639" w:type="dxa"/>
            <w:shd w:val="clear" w:color="auto" w:fill="C6EFCE"/>
            <w:vAlign w:val="center"/>
          </w:tcPr>
          <w:p w14:paraId="075B16D0" w14:textId="77777777" w:rsidR="00FA7C11" w:rsidRDefault="00D84965">
            <w:pPr>
              <w:pStyle w:val="P68B1DB1-Normal102"/>
              <w:spacing w:after="0" w:line="240" w:lineRule="auto"/>
              <w:jc w:val="center"/>
              <w:textAlignment w:val="baseline"/>
              <w:rPr>
                <w:noProof/>
              </w:rPr>
            </w:pPr>
            <w:r>
              <w:rPr>
                <w:noProof/>
              </w:rPr>
              <w:t>C6.1. R1-I3</w:t>
            </w:r>
          </w:p>
        </w:tc>
        <w:tc>
          <w:tcPr>
            <w:tcW w:w="1274" w:type="dxa"/>
            <w:shd w:val="clear" w:color="auto" w:fill="C6EFCE"/>
            <w:vAlign w:val="center"/>
          </w:tcPr>
          <w:p w14:paraId="4C86E7FA"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E7E476C" w14:textId="77777777" w:rsidR="00FA7C11" w:rsidRDefault="00D84965">
            <w:pPr>
              <w:pStyle w:val="P68B1DB1-Normal102"/>
              <w:spacing w:after="0" w:line="240" w:lineRule="auto"/>
              <w:textAlignment w:val="baseline"/>
              <w:rPr>
                <w:noProof/>
              </w:rPr>
            </w:pPr>
            <w:r>
              <w:rPr>
                <w:noProof/>
              </w:rPr>
              <w:t>Renovarea energetică a clădirilor cu statut de bun cultural</w:t>
            </w:r>
          </w:p>
        </w:tc>
      </w:tr>
      <w:tr w:rsidR="00FA7C11" w14:paraId="37142B92" w14:textId="77777777">
        <w:trPr>
          <w:trHeight w:val="51"/>
        </w:trPr>
        <w:tc>
          <w:tcPr>
            <w:tcW w:w="1096" w:type="dxa"/>
            <w:shd w:val="clear" w:color="auto" w:fill="C6EFCE"/>
            <w:vAlign w:val="center"/>
          </w:tcPr>
          <w:p w14:paraId="3A431A7A" w14:textId="77777777" w:rsidR="00FA7C11" w:rsidRDefault="00D84965">
            <w:pPr>
              <w:pStyle w:val="P68B1DB1-Normal102"/>
              <w:spacing w:after="0" w:line="240" w:lineRule="auto"/>
              <w:jc w:val="center"/>
              <w:textAlignment w:val="baseline"/>
              <w:rPr>
                <w:noProof/>
              </w:rPr>
            </w:pPr>
            <w:r>
              <w:rPr>
                <w:noProof/>
              </w:rPr>
              <w:t>360</w:t>
            </w:r>
          </w:p>
        </w:tc>
        <w:tc>
          <w:tcPr>
            <w:tcW w:w="1639" w:type="dxa"/>
            <w:shd w:val="clear" w:color="auto" w:fill="C6EFCE"/>
            <w:vAlign w:val="center"/>
          </w:tcPr>
          <w:p w14:paraId="3B5B7DAE" w14:textId="77777777" w:rsidR="00FA7C11" w:rsidRDefault="00D84965">
            <w:pPr>
              <w:pStyle w:val="P68B1DB1-Normal102"/>
              <w:spacing w:after="0" w:line="240" w:lineRule="auto"/>
              <w:jc w:val="center"/>
              <w:textAlignment w:val="baseline"/>
              <w:rPr>
                <w:noProof/>
              </w:rPr>
            </w:pPr>
            <w:r>
              <w:rPr>
                <w:noProof/>
              </w:rPr>
              <w:t>C6.1. R2</w:t>
            </w:r>
          </w:p>
        </w:tc>
        <w:tc>
          <w:tcPr>
            <w:tcW w:w="1274" w:type="dxa"/>
            <w:shd w:val="clear" w:color="auto" w:fill="C6EFCE"/>
            <w:vAlign w:val="center"/>
          </w:tcPr>
          <w:p w14:paraId="3FF1615D"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2A310EDE" w14:textId="77777777" w:rsidR="00FA7C11" w:rsidRDefault="00D84965">
            <w:pPr>
              <w:pStyle w:val="P68B1DB1-Normal102"/>
              <w:spacing w:after="0" w:line="240" w:lineRule="auto"/>
              <w:textAlignment w:val="baseline"/>
              <w:rPr>
                <w:noProof/>
              </w:rPr>
            </w:pPr>
            <w:r>
              <w:rPr>
                <w:noProof/>
              </w:rPr>
              <w:t>Certificarea formării</w:t>
            </w:r>
          </w:p>
        </w:tc>
      </w:tr>
      <w:tr w:rsidR="00FA7C11" w14:paraId="74093EDC" w14:textId="77777777">
        <w:trPr>
          <w:trHeight w:val="51"/>
        </w:trPr>
        <w:tc>
          <w:tcPr>
            <w:tcW w:w="1096" w:type="dxa"/>
            <w:shd w:val="clear" w:color="auto" w:fill="C6EFCE"/>
            <w:vAlign w:val="center"/>
          </w:tcPr>
          <w:p w14:paraId="1BD86079" w14:textId="77777777" w:rsidR="00FA7C11" w:rsidRDefault="00D84965">
            <w:pPr>
              <w:pStyle w:val="P68B1DB1-Normal102"/>
              <w:spacing w:after="0" w:line="240" w:lineRule="auto"/>
              <w:jc w:val="center"/>
              <w:textAlignment w:val="baseline"/>
              <w:rPr>
                <w:noProof/>
              </w:rPr>
            </w:pPr>
            <w:r>
              <w:rPr>
                <w:noProof/>
              </w:rPr>
              <w:t>364</w:t>
            </w:r>
          </w:p>
        </w:tc>
        <w:tc>
          <w:tcPr>
            <w:tcW w:w="1639" w:type="dxa"/>
            <w:shd w:val="clear" w:color="auto" w:fill="C6EFCE"/>
            <w:vAlign w:val="center"/>
          </w:tcPr>
          <w:p w14:paraId="56F9D307" w14:textId="77777777" w:rsidR="00FA7C11" w:rsidRDefault="00D84965">
            <w:pPr>
              <w:pStyle w:val="P68B1DB1-Normal102"/>
              <w:spacing w:after="0" w:line="240" w:lineRule="auto"/>
              <w:jc w:val="center"/>
              <w:textAlignment w:val="baseline"/>
              <w:rPr>
                <w:noProof/>
              </w:rPr>
            </w:pPr>
            <w:r>
              <w:rPr>
                <w:noProof/>
              </w:rPr>
              <w:t>C6.1. R3</w:t>
            </w:r>
          </w:p>
        </w:tc>
        <w:tc>
          <w:tcPr>
            <w:tcW w:w="1274" w:type="dxa"/>
            <w:shd w:val="clear" w:color="auto" w:fill="C6EFCE"/>
            <w:vAlign w:val="center"/>
          </w:tcPr>
          <w:p w14:paraId="4921A1E9"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2A4D56D7" w14:textId="77777777" w:rsidR="00FA7C11" w:rsidRDefault="00D84965">
            <w:pPr>
              <w:pStyle w:val="P68B1DB1-Normal102"/>
              <w:spacing w:after="0" w:line="240" w:lineRule="auto"/>
              <w:textAlignment w:val="baseline"/>
              <w:rPr>
                <w:noProof/>
              </w:rPr>
            </w:pPr>
            <w:r>
              <w:rPr>
                <w:noProof/>
              </w:rPr>
              <w:t xml:space="preserve">Finalizarea formării angajaților din sectorul public pentru furnizarea de servicii de tip ghișeu unic </w:t>
            </w:r>
          </w:p>
        </w:tc>
      </w:tr>
      <w:tr w:rsidR="00FA7C11" w14:paraId="74B77985" w14:textId="77777777">
        <w:trPr>
          <w:trHeight w:val="51"/>
        </w:trPr>
        <w:tc>
          <w:tcPr>
            <w:tcW w:w="1096" w:type="dxa"/>
            <w:shd w:val="clear" w:color="auto" w:fill="C6EFCE"/>
            <w:vAlign w:val="center"/>
          </w:tcPr>
          <w:p w14:paraId="21BD6613" w14:textId="77777777" w:rsidR="00FA7C11" w:rsidRDefault="00D84965">
            <w:pPr>
              <w:pStyle w:val="P68B1DB1-Normal102"/>
              <w:spacing w:after="0" w:line="240" w:lineRule="auto"/>
              <w:jc w:val="center"/>
              <w:textAlignment w:val="baseline"/>
              <w:rPr>
                <w:noProof/>
              </w:rPr>
            </w:pPr>
            <w:r>
              <w:rPr>
                <w:noProof/>
              </w:rPr>
              <w:t>367</w:t>
            </w:r>
          </w:p>
        </w:tc>
        <w:tc>
          <w:tcPr>
            <w:tcW w:w="1639" w:type="dxa"/>
            <w:shd w:val="clear" w:color="auto" w:fill="C6EFCE"/>
            <w:vAlign w:val="center"/>
          </w:tcPr>
          <w:p w14:paraId="7A01ACF5" w14:textId="77777777" w:rsidR="00FA7C11" w:rsidRDefault="00D84965">
            <w:pPr>
              <w:pStyle w:val="P68B1DB1-Normal102"/>
              <w:spacing w:after="0" w:line="240" w:lineRule="auto"/>
              <w:jc w:val="center"/>
              <w:textAlignment w:val="baseline"/>
              <w:rPr>
                <w:noProof/>
              </w:rPr>
            </w:pPr>
            <w:r>
              <w:rPr>
                <w:noProof/>
              </w:rPr>
              <w:t>C6.1. R4-I1</w:t>
            </w:r>
          </w:p>
        </w:tc>
        <w:tc>
          <w:tcPr>
            <w:tcW w:w="1274" w:type="dxa"/>
            <w:shd w:val="clear" w:color="auto" w:fill="C6EFCE"/>
            <w:vAlign w:val="center"/>
          </w:tcPr>
          <w:p w14:paraId="2D552CD7"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vAlign w:val="center"/>
          </w:tcPr>
          <w:p w14:paraId="37A5F512" w14:textId="77777777" w:rsidR="00FA7C11" w:rsidRDefault="00D84965">
            <w:pPr>
              <w:pStyle w:val="P68B1DB1-Normal102"/>
              <w:spacing w:after="0" w:line="240" w:lineRule="auto"/>
              <w:textAlignment w:val="baseline"/>
              <w:rPr>
                <w:noProof/>
              </w:rPr>
            </w:pPr>
            <w:r>
              <w:rPr>
                <w:noProof/>
              </w:rPr>
              <w:t>Formarea angajaților din cadrul anchetei seismologice</w:t>
            </w:r>
          </w:p>
        </w:tc>
      </w:tr>
      <w:tr w:rsidR="00FA7C11" w14:paraId="017C21CE" w14:textId="77777777">
        <w:trPr>
          <w:trHeight w:val="51"/>
        </w:trPr>
        <w:tc>
          <w:tcPr>
            <w:tcW w:w="1096" w:type="dxa"/>
            <w:shd w:val="clear" w:color="auto" w:fill="C6EFCE"/>
            <w:vAlign w:val="center"/>
          </w:tcPr>
          <w:p w14:paraId="3DBDD62F" w14:textId="77777777" w:rsidR="00FA7C11" w:rsidRDefault="00D84965">
            <w:pPr>
              <w:pStyle w:val="P68B1DB1-Normal102"/>
              <w:spacing w:after="0" w:line="240" w:lineRule="auto"/>
              <w:jc w:val="center"/>
              <w:textAlignment w:val="baseline"/>
              <w:rPr>
                <w:noProof/>
              </w:rPr>
            </w:pPr>
            <w:r>
              <w:rPr>
                <w:noProof/>
              </w:rPr>
              <w:t>370</w:t>
            </w:r>
          </w:p>
        </w:tc>
        <w:tc>
          <w:tcPr>
            <w:tcW w:w="1639" w:type="dxa"/>
            <w:shd w:val="clear" w:color="auto" w:fill="C6EFCE"/>
            <w:vAlign w:val="center"/>
          </w:tcPr>
          <w:p w14:paraId="36CE8E16" w14:textId="77777777" w:rsidR="00FA7C11" w:rsidRDefault="00D84965">
            <w:pPr>
              <w:pStyle w:val="P68B1DB1-Normal102"/>
              <w:spacing w:after="0" w:line="240" w:lineRule="auto"/>
              <w:jc w:val="center"/>
              <w:textAlignment w:val="baseline"/>
              <w:rPr>
                <w:noProof/>
              </w:rPr>
            </w:pPr>
            <w:r>
              <w:rPr>
                <w:noProof/>
              </w:rPr>
              <w:t>C6.1. R5</w:t>
            </w:r>
          </w:p>
        </w:tc>
        <w:tc>
          <w:tcPr>
            <w:tcW w:w="1274" w:type="dxa"/>
            <w:shd w:val="clear" w:color="auto" w:fill="C6EFCE"/>
            <w:vAlign w:val="center"/>
          </w:tcPr>
          <w:p w14:paraId="2D2DA0A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4A783AFF" w14:textId="6E05CA00" w:rsidR="00FA7C11" w:rsidRDefault="00D84965">
            <w:pPr>
              <w:pStyle w:val="P68B1DB1-Normal102"/>
              <w:spacing w:after="0" w:line="240" w:lineRule="auto"/>
              <w:textAlignment w:val="baseline"/>
              <w:rPr>
                <w:noProof/>
              </w:rPr>
            </w:pPr>
            <w:r>
              <w:rPr>
                <w:noProof/>
              </w:rPr>
              <w:t xml:space="preserve">Finalizarea unui proiect-pilot identificat prin strategii de reînnoire urbană ecologică </w:t>
            </w:r>
          </w:p>
        </w:tc>
      </w:tr>
      <w:tr w:rsidR="00FA7C11" w14:paraId="63270BF1" w14:textId="77777777">
        <w:trPr>
          <w:trHeight w:val="51"/>
        </w:trPr>
        <w:tc>
          <w:tcPr>
            <w:tcW w:w="1096" w:type="dxa"/>
            <w:shd w:val="clear" w:color="auto" w:fill="C6EFCE"/>
            <w:vAlign w:val="center"/>
          </w:tcPr>
          <w:p w14:paraId="12299529" w14:textId="77777777" w:rsidR="00FA7C11" w:rsidRDefault="00D84965">
            <w:pPr>
              <w:pStyle w:val="P68B1DB1-Normal102"/>
              <w:spacing w:after="0" w:line="240" w:lineRule="auto"/>
              <w:jc w:val="center"/>
              <w:textAlignment w:val="baseline"/>
              <w:rPr>
                <w:noProof/>
              </w:rPr>
            </w:pPr>
            <w:r>
              <w:rPr>
                <w:noProof/>
              </w:rPr>
              <w:t>376</w:t>
            </w:r>
          </w:p>
        </w:tc>
        <w:tc>
          <w:tcPr>
            <w:tcW w:w="1639" w:type="dxa"/>
            <w:shd w:val="clear" w:color="auto" w:fill="C6EFCE"/>
            <w:vAlign w:val="center"/>
          </w:tcPr>
          <w:p w14:paraId="604BF7A5" w14:textId="77777777" w:rsidR="00FA7C11" w:rsidRDefault="00D84965">
            <w:pPr>
              <w:pStyle w:val="P68B1DB1-Normal102"/>
              <w:spacing w:after="0" w:line="240" w:lineRule="auto"/>
              <w:jc w:val="center"/>
              <w:textAlignment w:val="baseline"/>
              <w:rPr>
                <w:noProof/>
                <w:u w:val="single"/>
              </w:rPr>
            </w:pPr>
            <w:r>
              <w:rPr>
                <w:noProof/>
              </w:rPr>
              <w:t>C1.2 R1-I1</w:t>
            </w:r>
          </w:p>
        </w:tc>
        <w:tc>
          <w:tcPr>
            <w:tcW w:w="1274" w:type="dxa"/>
            <w:shd w:val="clear" w:color="auto" w:fill="C6EFCE"/>
            <w:vAlign w:val="center"/>
          </w:tcPr>
          <w:p w14:paraId="5D6871A8" w14:textId="77777777" w:rsidR="00FA7C11" w:rsidRDefault="00D84965">
            <w:pPr>
              <w:pStyle w:val="P68B1DB1-Normal141"/>
              <w:spacing w:after="0" w:line="240" w:lineRule="auto"/>
              <w:jc w:val="center"/>
              <w:textAlignment w:val="baseline"/>
              <w:rPr>
                <w:noProof/>
              </w:rPr>
            </w:pPr>
            <w:r>
              <w:rPr>
                <w:noProof/>
              </w:rPr>
              <w:t>T</w:t>
            </w:r>
          </w:p>
        </w:tc>
        <w:tc>
          <w:tcPr>
            <w:tcW w:w="5347" w:type="dxa"/>
            <w:shd w:val="clear" w:color="auto" w:fill="C6EFCE"/>
            <w:vAlign w:val="center"/>
          </w:tcPr>
          <w:p w14:paraId="0ADD342B" w14:textId="77777777" w:rsidR="00FA7C11" w:rsidRDefault="00D84965">
            <w:pPr>
              <w:pStyle w:val="P68B1DB1-Normal102"/>
              <w:spacing w:after="0" w:line="240" w:lineRule="auto"/>
              <w:textAlignment w:val="baseline"/>
              <w:rPr>
                <w:noProof/>
                <w:u w:val="single"/>
              </w:rPr>
            </w:pPr>
            <w:r>
              <w:rPr>
                <w:noProof/>
              </w:rPr>
              <w:t>Numărul de contoare inteligente</w:t>
            </w:r>
            <w:r>
              <w:rPr>
                <w:noProof/>
                <w:u w:val="single"/>
              </w:rPr>
              <w:t xml:space="preserve"> instalate</w:t>
            </w:r>
          </w:p>
        </w:tc>
      </w:tr>
      <w:tr w:rsidR="00FA7C11" w14:paraId="08A015A3" w14:textId="77777777">
        <w:trPr>
          <w:trHeight w:val="51"/>
        </w:trPr>
        <w:tc>
          <w:tcPr>
            <w:tcW w:w="1096" w:type="dxa"/>
            <w:shd w:val="clear" w:color="auto" w:fill="C6EFCE"/>
            <w:vAlign w:val="center"/>
          </w:tcPr>
          <w:p w14:paraId="6C0210D6" w14:textId="77777777" w:rsidR="00FA7C11" w:rsidRDefault="00D84965">
            <w:pPr>
              <w:pStyle w:val="P68B1DB1-Normal102"/>
              <w:spacing w:after="0" w:line="240" w:lineRule="auto"/>
              <w:jc w:val="center"/>
              <w:textAlignment w:val="baseline"/>
              <w:rPr>
                <w:noProof/>
              </w:rPr>
            </w:pPr>
            <w:r>
              <w:rPr>
                <w:noProof/>
              </w:rPr>
              <w:t>377</w:t>
            </w:r>
          </w:p>
        </w:tc>
        <w:tc>
          <w:tcPr>
            <w:tcW w:w="1639" w:type="dxa"/>
            <w:shd w:val="clear" w:color="auto" w:fill="C6EFCE"/>
            <w:vAlign w:val="center"/>
          </w:tcPr>
          <w:p w14:paraId="264CDE5A" w14:textId="77777777" w:rsidR="00FA7C11" w:rsidRDefault="00D84965">
            <w:pPr>
              <w:pStyle w:val="P68B1DB1-Normal102"/>
              <w:spacing w:after="0" w:line="240" w:lineRule="auto"/>
              <w:jc w:val="center"/>
              <w:textAlignment w:val="baseline"/>
              <w:rPr>
                <w:noProof/>
                <w:u w:val="single"/>
              </w:rPr>
            </w:pPr>
            <w:r>
              <w:rPr>
                <w:noProof/>
              </w:rPr>
              <w:t>C1.2 R1-I1</w:t>
            </w:r>
          </w:p>
        </w:tc>
        <w:tc>
          <w:tcPr>
            <w:tcW w:w="1274" w:type="dxa"/>
            <w:shd w:val="clear" w:color="auto" w:fill="C6EFCE"/>
            <w:vAlign w:val="center"/>
          </w:tcPr>
          <w:p w14:paraId="6DFAD8DE" w14:textId="77777777" w:rsidR="00FA7C11" w:rsidRDefault="00D84965">
            <w:pPr>
              <w:pStyle w:val="P68B1DB1-Normal141"/>
              <w:spacing w:after="0" w:line="240" w:lineRule="auto"/>
              <w:jc w:val="center"/>
              <w:textAlignment w:val="baseline"/>
              <w:rPr>
                <w:noProof/>
              </w:rPr>
            </w:pPr>
            <w:r>
              <w:rPr>
                <w:noProof/>
              </w:rPr>
              <w:t>M</w:t>
            </w:r>
          </w:p>
        </w:tc>
        <w:tc>
          <w:tcPr>
            <w:tcW w:w="5347" w:type="dxa"/>
            <w:shd w:val="clear" w:color="auto" w:fill="C6EFCE"/>
            <w:vAlign w:val="center"/>
          </w:tcPr>
          <w:p w14:paraId="4B5EA300" w14:textId="77777777" w:rsidR="00FA7C11" w:rsidRDefault="00D84965">
            <w:pPr>
              <w:pStyle w:val="P68B1DB1-Normal102"/>
              <w:spacing w:after="0" w:line="240" w:lineRule="auto"/>
              <w:textAlignment w:val="baseline"/>
              <w:rPr>
                <w:noProof/>
                <w:u w:val="single"/>
              </w:rPr>
            </w:pPr>
            <w:r>
              <w:rPr>
                <w:noProof/>
              </w:rPr>
              <w:t>Noua capacitate de stocare a bateriilor energetice</w:t>
            </w:r>
          </w:p>
        </w:tc>
      </w:tr>
      <w:tr w:rsidR="00FA7C11" w14:paraId="0A556640" w14:textId="77777777">
        <w:trPr>
          <w:trHeight w:val="51"/>
        </w:trPr>
        <w:tc>
          <w:tcPr>
            <w:tcW w:w="1096" w:type="dxa"/>
            <w:shd w:val="clear" w:color="auto" w:fill="C6EFCE"/>
            <w:vAlign w:val="center"/>
          </w:tcPr>
          <w:p w14:paraId="006AD181" w14:textId="77777777" w:rsidR="00FA7C11" w:rsidRDefault="00D84965">
            <w:pPr>
              <w:pStyle w:val="P68B1DB1-Normal102"/>
              <w:spacing w:after="0" w:line="240" w:lineRule="auto"/>
              <w:jc w:val="center"/>
              <w:textAlignment w:val="baseline"/>
              <w:rPr>
                <w:noProof/>
              </w:rPr>
            </w:pPr>
            <w:r>
              <w:rPr>
                <w:noProof/>
              </w:rPr>
              <w:t>380</w:t>
            </w:r>
          </w:p>
        </w:tc>
        <w:tc>
          <w:tcPr>
            <w:tcW w:w="1639" w:type="dxa"/>
            <w:shd w:val="clear" w:color="auto" w:fill="C6EFCE"/>
            <w:vAlign w:val="center"/>
          </w:tcPr>
          <w:p w14:paraId="1CF3F9B0" w14:textId="77777777" w:rsidR="00FA7C11" w:rsidRDefault="00D84965">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56BE94C7"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685E7257" w14:textId="77777777" w:rsidR="00FA7C11" w:rsidRDefault="00D84965">
            <w:pPr>
              <w:pStyle w:val="P68B1DB1-Normal102"/>
              <w:spacing w:after="0" w:line="240" w:lineRule="auto"/>
              <w:textAlignment w:val="baseline"/>
              <w:rPr>
                <w:noProof/>
              </w:rPr>
            </w:pPr>
            <w:r>
              <w:rPr>
                <w:noProof/>
              </w:rPr>
              <w:t>Echipamente pentru tratarea deșeurilor biologice</w:t>
            </w:r>
          </w:p>
        </w:tc>
      </w:tr>
      <w:tr w:rsidR="00FA7C11" w14:paraId="44E8E193" w14:textId="77777777">
        <w:trPr>
          <w:trHeight w:val="51"/>
        </w:trPr>
        <w:tc>
          <w:tcPr>
            <w:tcW w:w="1096" w:type="dxa"/>
            <w:shd w:val="clear" w:color="auto" w:fill="C6EFCE"/>
            <w:vAlign w:val="center"/>
          </w:tcPr>
          <w:p w14:paraId="09405548" w14:textId="77777777" w:rsidR="00FA7C11" w:rsidRDefault="00D84965">
            <w:pPr>
              <w:pStyle w:val="P68B1DB1-Normal102"/>
              <w:spacing w:after="0" w:line="240" w:lineRule="auto"/>
              <w:jc w:val="center"/>
              <w:textAlignment w:val="baseline"/>
              <w:rPr>
                <w:noProof/>
              </w:rPr>
            </w:pPr>
            <w:r>
              <w:rPr>
                <w:noProof/>
              </w:rPr>
              <w:t>381</w:t>
            </w:r>
          </w:p>
        </w:tc>
        <w:tc>
          <w:tcPr>
            <w:tcW w:w="1639" w:type="dxa"/>
            <w:shd w:val="clear" w:color="auto" w:fill="C6EFCE"/>
            <w:vAlign w:val="center"/>
          </w:tcPr>
          <w:p w14:paraId="04146F32" w14:textId="77777777" w:rsidR="00FA7C11" w:rsidRDefault="00D84965">
            <w:pPr>
              <w:pStyle w:val="P68B1DB1-Normal102"/>
              <w:spacing w:after="0" w:line="240" w:lineRule="auto"/>
              <w:jc w:val="center"/>
              <w:textAlignment w:val="baseline"/>
              <w:rPr>
                <w:noProof/>
              </w:rPr>
            </w:pPr>
            <w:r>
              <w:rPr>
                <w:noProof/>
              </w:rPr>
              <w:t>C1.3. R2-I1</w:t>
            </w:r>
          </w:p>
        </w:tc>
        <w:tc>
          <w:tcPr>
            <w:tcW w:w="1274" w:type="dxa"/>
            <w:shd w:val="clear" w:color="auto" w:fill="C6EFCE"/>
            <w:vAlign w:val="center"/>
          </w:tcPr>
          <w:p w14:paraId="1EFA81F2"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B57DDE9" w14:textId="3942103F" w:rsidR="00FA7C11" w:rsidRDefault="00D84965">
            <w:pPr>
              <w:pStyle w:val="P68B1DB1-Normal102"/>
              <w:spacing w:after="0" w:line="240" w:lineRule="auto"/>
              <w:textAlignment w:val="baseline"/>
              <w:rPr>
                <w:noProof/>
              </w:rPr>
            </w:pPr>
            <w:r>
              <w:rPr>
                <w:noProof/>
              </w:rPr>
              <w:t xml:space="preserve">Construcția stațiilor de transfer al deșeurilor </w:t>
            </w:r>
          </w:p>
        </w:tc>
      </w:tr>
      <w:tr w:rsidR="00FA7C11" w14:paraId="3B3759A1" w14:textId="77777777">
        <w:trPr>
          <w:trHeight w:val="51"/>
        </w:trPr>
        <w:tc>
          <w:tcPr>
            <w:tcW w:w="1096" w:type="dxa"/>
            <w:shd w:val="clear" w:color="auto" w:fill="C6EFCE"/>
            <w:vAlign w:val="center"/>
          </w:tcPr>
          <w:p w14:paraId="3522AB81" w14:textId="77777777" w:rsidR="00FA7C11" w:rsidRDefault="00D84965">
            <w:pPr>
              <w:pStyle w:val="P68B1DB1-Normal102"/>
              <w:spacing w:after="0" w:line="240" w:lineRule="auto"/>
              <w:jc w:val="center"/>
              <w:textAlignment w:val="baseline"/>
              <w:rPr>
                <w:noProof/>
              </w:rPr>
            </w:pPr>
            <w:r>
              <w:rPr>
                <w:noProof/>
              </w:rPr>
              <w:t>396</w:t>
            </w:r>
          </w:p>
        </w:tc>
        <w:tc>
          <w:tcPr>
            <w:tcW w:w="1639" w:type="dxa"/>
            <w:shd w:val="clear" w:color="auto" w:fill="C6EFCE"/>
            <w:vAlign w:val="center"/>
          </w:tcPr>
          <w:p w14:paraId="0E1A4B4F" w14:textId="77777777" w:rsidR="00FA7C11" w:rsidRDefault="00D84965">
            <w:pPr>
              <w:pStyle w:val="P68B1DB1-Normal102"/>
              <w:spacing w:after="0" w:line="240" w:lineRule="auto"/>
              <w:jc w:val="center"/>
              <w:textAlignment w:val="baseline"/>
              <w:rPr>
                <w:noProof/>
              </w:rPr>
            </w:pPr>
            <w:r>
              <w:rPr>
                <w:noProof/>
              </w:rPr>
              <w:t>C3.1. R1-I3</w:t>
            </w:r>
          </w:p>
        </w:tc>
        <w:tc>
          <w:tcPr>
            <w:tcW w:w="1274" w:type="dxa"/>
            <w:shd w:val="clear" w:color="auto" w:fill="C6EFCE"/>
            <w:vAlign w:val="center"/>
          </w:tcPr>
          <w:p w14:paraId="21C7C834"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vAlign w:val="center"/>
          </w:tcPr>
          <w:p w14:paraId="085836B4" w14:textId="77777777" w:rsidR="00FA7C11" w:rsidRDefault="00D84965">
            <w:pPr>
              <w:pStyle w:val="P68B1DB1-Normal102"/>
              <w:spacing w:after="0" w:line="240" w:lineRule="auto"/>
              <w:textAlignment w:val="baseline"/>
              <w:rPr>
                <w:noProof/>
              </w:rPr>
            </w:pPr>
            <w:r>
              <w:rPr>
                <w:noProof/>
              </w:rPr>
              <w:t>Numărul de săli de clasă din învățământul secundar renovate sau construite</w:t>
            </w:r>
          </w:p>
        </w:tc>
      </w:tr>
      <w:tr w:rsidR="00FA7C11" w14:paraId="421CC919" w14:textId="77777777">
        <w:trPr>
          <w:trHeight w:val="265"/>
        </w:trPr>
        <w:tc>
          <w:tcPr>
            <w:tcW w:w="1096" w:type="dxa"/>
            <w:shd w:val="clear" w:color="auto" w:fill="C6EFCE"/>
            <w:vAlign w:val="center"/>
          </w:tcPr>
          <w:p w14:paraId="55763ED8" w14:textId="77777777" w:rsidR="00FA7C11" w:rsidRDefault="00D84965">
            <w:pPr>
              <w:pStyle w:val="P68B1DB1-Normal102"/>
              <w:spacing w:after="0" w:line="240" w:lineRule="auto"/>
              <w:jc w:val="center"/>
              <w:textAlignment w:val="baseline"/>
              <w:rPr>
                <w:noProof/>
              </w:rPr>
            </w:pPr>
            <w:r>
              <w:rPr>
                <w:noProof/>
              </w:rPr>
              <w:t>401</w:t>
            </w:r>
          </w:p>
        </w:tc>
        <w:tc>
          <w:tcPr>
            <w:tcW w:w="1639" w:type="dxa"/>
            <w:shd w:val="clear" w:color="auto" w:fill="C6EFCE"/>
            <w:vAlign w:val="center"/>
          </w:tcPr>
          <w:p w14:paraId="3455B7A4" w14:textId="77777777" w:rsidR="00FA7C11" w:rsidRDefault="00D84965">
            <w:pPr>
              <w:pStyle w:val="P68B1DB1-Normal102"/>
              <w:spacing w:after="0" w:line="276" w:lineRule="auto"/>
              <w:jc w:val="center"/>
              <w:rPr>
                <w:noProof/>
              </w:rPr>
            </w:pPr>
            <w:r>
              <w:rPr>
                <w:noProof/>
              </w:rPr>
              <w:t xml:space="preserve">C6.1. R2 </w:t>
            </w:r>
          </w:p>
        </w:tc>
        <w:tc>
          <w:tcPr>
            <w:tcW w:w="1274" w:type="dxa"/>
            <w:shd w:val="clear" w:color="auto" w:fill="C6EFCE"/>
            <w:vAlign w:val="center"/>
          </w:tcPr>
          <w:p w14:paraId="5772D9E1"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tcPr>
          <w:p w14:paraId="6C1D7BA1" w14:textId="77777777" w:rsidR="00FA7C11" w:rsidRDefault="00D84965">
            <w:pPr>
              <w:pStyle w:val="P68B1DB1-Normal102"/>
              <w:spacing w:after="0" w:line="276" w:lineRule="auto"/>
              <w:rPr>
                <w:noProof/>
              </w:rPr>
            </w:pPr>
            <w:r>
              <w:rPr>
                <w:noProof/>
              </w:rPr>
              <w:t>Înscrierea în noul modul al programului de masterat oferit</w:t>
            </w:r>
          </w:p>
        </w:tc>
      </w:tr>
      <w:tr w:rsidR="00FA7C11" w14:paraId="79560F78" w14:textId="77777777">
        <w:trPr>
          <w:trHeight w:val="265"/>
        </w:trPr>
        <w:tc>
          <w:tcPr>
            <w:tcW w:w="1096" w:type="dxa"/>
            <w:shd w:val="clear" w:color="auto" w:fill="C6EFCE"/>
            <w:vAlign w:val="center"/>
          </w:tcPr>
          <w:p w14:paraId="655B966D" w14:textId="77777777" w:rsidR="00FA7C11" w:rsidRDefault="00D84965">
            <w:pPr>
              <w:pStyle w:val="P68B1DB1-Normal102"/>
              <w:spacing w:after="0" w:line="240" w:lineRule="auto"/>
              <w:jc w:val="center"/>
              <w:textAlignment w:val="baseline"/>
              <w:rPr>
                <w:noProof/>
              </w:rPr>
            </w:pPr>
            <w:r>
              <w:rPr>
                <w:noProof/>
              </w:rPr>
              <w:t>413</w:t>
            </w:r>
          </w:p>
        </w:tc>
        <w:tc>
          <w:tcPr>
            <w:tcW w:w="1639" w:type="dxa"/>
            <w:shd w:val="clear" w:color="auto" w:fill="C6EFCE"/>
            <w:vAlign w:val="center"/>
          </w:tcPr>
          <w:p w14:paraId="05A6C558" w14:textId="77777777" w:rsidR="00FA7C11" w:rsidRDefault="00D84965">
            <w:pPr>
              <w:pStyle w:val="P68B1DB1-Normal102"/>
              <w:spacing w:after="0" w:line="276" w:lineRule="auto"/>
              <w:jc w:val="center"/>
              <w:rPr>
                <w:noProof/>
              </w:rPr>
            </w:pPr>
            <w:r>
              <w:rPr>
                <w:noProof/>
              </w:rPr>
              <w:t>C7.1 R1-I3</w:t>
            </w:r>
          </w:p>
        </w:tc>
        <w:tc>
          <w:tcPr>
            <w:tcW w:w="1274" w:type="dxa"/>
            <w:shd w:val="clear" w:color="auto" w:fill="C6EFCE"/>
            <w:vAlign w:val="center"/>
          </w:tcPr>
          <w:p w14:paraId="69ED6A1A"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tcPr>
          <w:p w14:paraId="540C5CEF" w14:textId="77777777" w:rsidR="00FA7C11" w:rsidRDefault="00D84965">
            <w:pPr>
              <w:pStyle w:val="P68B1DB1-Normal102"/>
              <w:spacing w:after="0" w:line="276" w:lineRule="auto"/>
              <w:rPr>
                <w:noProof/>
              </w:rPr>
            </w:pPr>
            <w:r>
              <w:rPr>
                <w:noProof/>
              </w:rPr>
              <w:t>Lucrări de foraj geotermal efectuate</w:t>
            </w:r>
          </w:p>
        </w:tc>
      </w:tr>
      <w:tr w:rsidR="00FA7C11" w14:paraId="4AC5BBAA" w14:textId="77777777">
        <w:trPr>
          <w:trHeight w:val="265"/>
        </w:trPr>
        <w:tc>
          <w:tcPr>
            <w:tcW w:w="1096" w:type="dxa"/>
            <w:shd w:val="clear" w:color="auto" w:fill="C6EFCE"/>
            <w:vAlign w:val="center"/>
          </w:tcPr>
          <w:p w14:paraId="759C55D8" w14:textId="77777777" w:rsidR="00FA7C11" w:rsidRDefault="00D84965">
            <w:pPr>
              <w:pStyle w:val="P68B1DB1-Normal102"/>
              <w:spacing w:after="0" w:line="240" w:lineRule="auto"/>
              <w:jc w:val="center"/>
              <w:textAlignment w:val="baseline"/>
              <w:rPr>
                <w:noProof/>
              </w:rPr>
            </w:pPr>
            <w:r>
              <w:rPr>
                <w:noProof/>
              </w:rPr>
              <w:t>414</w:t>
            </w:r>
          </w:p>
        </w:tc>
        <w:tc>
          <w:tcPr>
            <w:tcW w:w="1639" w:type="dxa"/>
            <w:shd w:val="clear" w:color="auto" w:fill="C6EFCE"/>
            <w:vAlign w:val="center"/>
          </w:tcPr>
          <w:p w14:paraId="09962500" w14:textId="77777777" w:rsidR="00FA7C11" w:rsidRDefault="00D84965">
            <w:pPr>
              <w:pStyle w:val="P68B1DB1-Normal102"/>
              <w:spacing w:after="0" w:line="276" w:lineRule="auto"/>
              <w:jc w:val="center"/>
              <w:rPr>
                <w:noProof/>
              </w:rPr>
            </w:pPr>
            <w:r>
              <w:rPr>
                <w:noProof/>
              </w:rPr>
              <w:t>C7.1 I1</w:t>
            </w:r>
          </w:p>
        </w:tc>
        <w:tc>
          <w:tcPr>
            <w:tcW w:w="1274" w:type="dxa"/>
            <w:shd w:val="clear" w:color="auto" w:fill="C6EFCE"/>
            <w:vAlign w:val="center"/>
          </w:tcPr>
          <w:p w14:paraId="60162945"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tcPr>
          <w:p w14:paraId="4D3A25B7" w14:textId="77777777" w:rsidR="00FA7C11" w:rsidRDefault="00D84965">
            <w:pPr>
              <w:pStyle w:val="P68B1DB1-Normal102"/>
              <w:spacing w:after="0" w:line="276" w:lineRule="auto"/>
              <w:rPr>
                <w:noProof/>
              </w:rPr>
            </w:pPr>
            <w:r>
              <w:rPr>
                <w:noProof/>
              </w:rPr>
              <w:t xml:space="preserve">103 autobuze alimentate cu combustibili alternativi (electrice și/sau pe bază de hidrogen) </w:t>
            </w:r>
          </w:p>
        </w:tc>
      </w:tr>
      <w:tr w:rsidR="00FA7C11" w14:paraId="1BEE0C92" w14:textId="77777777">
        <w:trPr>
          <w:trHeight w:val="265"/>
        </w:trPr>
        <w:tc>
          <w:tcPr>
            <w:tcW w:w="1096" w:type="dxa"/>
            <w:shd w:val="clear" w:color="auto" w:fill="C6EFCE"/>
            <w:vAlign w:val="center"/>
          </w:tcPr>
          <w:p w14:paraId="1EBD4EF6" w14:textId="77777777" w:rsidR="00FA7C11" w:rsidRDefault="00D84965">
            <w:pPr>
              <w:pStyle w:val="P68B1DB1-Normal102"/>
              <w:spacing w:after="0" w:line="240" w:lineRule="auto"/>
              <w:jc w:val="center"/>
              <w:textAlignment w:val="baseline"/>
              <w:rPr>
                <w:noProof/>
              </w:rPr>
            </w:pPr>
            <w:r>
              <w:rPr>
                <w:noProof/>
              </w:rPr>
              <w:t>415</w:t>
            </w:r>
          </w:p>
        </w:tc>
        <w:tc>
          <w:tcPr>
            <w:tcW w:w="1639" w:type="dxa"/>
            <w:shd w:val="clear" w:color="auto" w:fill="C6EFCE"/>
            <w:vAlign w:val="center"/>
          </w:tcPr>
          <w:p w14:paraId="5F8B03EA" w14:textId="77777777" w:rsidR="00FA7C11" w:rsidRDefault="00D84965">
            <w:pPr>
              <w:pStyle w:val="P68B1DB1-Normal102"/>
              <w:spacing w:after="0" w:line="276" w:lineRule="auto"/>
              <w:jc w:val="center"/>
              <w:rPr>
                <w:noProof/>
              </w:rPr>
            </w:pPr>
            <w:r>
              <w:rPr>
                <w:noProof/>
              </w:rPr>
              <w:t>C7.1 I1</w:t>
            </w:r>
          </w:p>
        </w:tc>
        <w:tc>
          <w:tcPr>
            <w:tcW w:w="1274" w:type="dxa"/>
            <w:shd w:val="clear" w:color="auto" w:fill="C6EFCE"/>
            <w:vAlign w:val="center"/>
          </w:tcPr>
          <w:p w14:paraId="73220BF6"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tcPr>
          <w:p w14:paraId="7C31C20B" w14:textId="77777777" w:rsidR="00FA7C11" w:rsidRDefault="00D84965">
            <w:pPr>
              <w:pStyle w:val="P68B1DB1-Normal102"/>
              <w:spacing w:after="0" w:line="276" w:lineRule="auto"/>
              <w:rPr>
                <w:noProof/>
              </w:rPr>
            </w:pPr>
            <w:r>
              <w:rPr>
                <w:noProof/>
              </w:rPr>
              <w:t>O unitate de energie pe bază de hidrogen pentru alimentarea locomotivelor electrice situate într-un vagon separat (HERMES)</w:t>
            </w:r>
          </w:p>
        </w:tc>
      </w:tr>
      <w:tr w:rsidR="00FA7C11" w14:paraId="5C17961A" w14:textId="77777777">
        <w:trPr>
          <w:trHeight w:val="389"/>
        </w:trPr>
        <w:tc>
          <w:tcPr>
            <w:tcW w:w="1096" w:type="dxa"/>
            <w:shd w:val="clear" w:color="auto" w:fill="C6EFCE"/>
            <w:vAlign w:val="center"/>
          </w:tcPr>
          <w:p w14:paraId="1664F829" w14:textId="77777777" w:rsidR="00FA7C11" w:rsidRDefault="00D84965">
            <w:pPr>
              <w:pStyle w:val="P68B1DB1-Normal66"/>
              <w:spacing w:after="0" w:line="240" w:lineRule="auto"/>
              <w:jc w:val="center"/>
              <w:textAlignment w:val="baseline"/>
              <w:rPr>
                <w:noProof/>
              </w:rPr>
            </w:pPr>
            <w:r>
              <w:rPr>
                <w:noProof/>
              </w:rPr>
              <w:t>429</w:t>
            </w:r>
          </w:p>
        </w:tc>
        <w:tc>
          <w:tcPr>
            <w:tcW w:w="1639" w:type="dxa"/>
            <w:shd w:val="clear" w:color="auto" w:fill="C6EFCE"/>
            <w:vAlign w:val="center"/>
          </w:tcPr>
          <w:p w14:paraId="3A90FC6F" w14:textId="77777777" w:rsidR="00FA7C11" w:rsidRDefault="00D84965">
            <w:pPr>
              <w:pStyle w:val="P68B1DB1-Normal66"/>
              <w:spacing w:after="0" w:line="276" w:lineRule="auto"/>
              <w:jc w:val="center"/>
              <w:rPr>
                <w:noProof/>
              </w:rPr>
            </w:pPr>
            <w:r>
              <w:rPr>
                <w:noProof/>
              </w:rPr>
              <w:t>C7.2 R1</w:t>
            </w:r>
          </w:p>
        </w:tc>
        <w:tc>
          <w:tcPr>
            <w:tcW w:w="1274" w:type="dxa"/>
            <w:shd w:val="clear" w:color="auto" w:fill="C6EFCE"/>
            <w:vAlign w:val="center"/>
          </w:tcPr>
          <w:p w14:paraId="6731095C" w14:textId="77777777" w:rsidR="00FA7C11" w:rsidRDefault="00D84965">
            <w:pPr>
              <w:pStyle w:val="P68B1DB1-Normal66"/>
              <w:spacing w:after="0" w:line="240" w:lineRule="auto"/>
              <w:jc w:val="center"/>
              <w:textAlignment w:val="baseline"/>
              <w:rPr>
                <w:noProof/>
              </w:rPr>
            </w:pPr>
            <w:r>
              <w:rPr>
                <w:noProof/>
              </w:rPr>
              <w:t>T</w:t>
            </w:r>
          </w:p>
        </w:tc>
        <w:tc>
          <w:tcPr>
            <w:tcW w:w="5347" w:type="dxa"/>
            <w:shd w:val="clear" w:color="auto" w:fill="C6EFCE"/>
          </w:tcPr>
          <w:p w14:paraId="5F4102DC" w14:textId="77777777" w:rsidR="00FA7C11" w:rsidRDefault="00D84965">
            <w:pPr>
              <w:pStyle w:val="P68B1DB1-Normal66"/>
              <w:spacing w:after="0" w:line="276" w:lineRule="auto"/>
              <w:rPr>
                <w:noProof/>
              </w:rPr>
            </w:pPr>
            <w:r>
              <w:rPr>
                <w:noProof/>
              </w:rPr>
              <w:t xml:space="preserve">Ateliere participative desfășurate </w:t>
            </w:r>
          </w:p>
        </w:tc>
      </w:tr>
      <w:tr w:rsidR="00FA7C11" w14:paraId="72759D9E" w14:textId="77777777">
        <w:trPr>
          <w:trHeight w:val="254"/>
        </w:trPr>
        <w:tc>
          <w:tcPr>
            <w:tcW w:w="1096" w:type="dxa"/>
            <w:tcBorders>
              <w:top w:val="single" w:sz="4" w:space="0" w:color="auto"/>
              <w:left w:val="single" w:sz="4" w:space="0" w:color="auto"/>
              <w:bottom w:val="single" w:sz="4" w:space="0" w:color="auto"/>
              <w:right w:val="single" w:sz="4" w:space="0" w:color="auto"/>
            </w:tcBorders>
            <w:shd w:val="clear" w:color="auto" w:fill="C6EFCE"/>
          </w:tcPr>
          <w:p w14:paraId="0FE637AB" w14:textId="77777777" w:rsidR="00FA7C11" w:rsidRDefault="00D84965">
            <w:pPr>
              <w:pStyle w:val="P68B1DB1-Normal66"/>
              <w:spacing w:after="0" w:line="240" w:lineRule="auto"/>
              <w:jc w:val="center"/>
              <w:textAlignment w:val="baseline"/>
              <w:rPr>
                <w:noProof/>
              </w:rPr>
            </w:pPr>
            <w:r>
              <w:rPr>
                <w:noProof/>
              </w:rPr>
              <w:t>430</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0DF254E5" w14:textId="77777777" w:rsidR="00FA7C11" w:rsidRDefault="00D84965">
            <w:pPr>
              <w:pStyle w:val="P68B1DB1-Normal66"/>
              <w:spacing w:after="0" w:line="276" w:lineRule="auto"/>
              <w:jc w:val="center"/>
              <w:rPr>
                <w:noProof/>
              </w:rPr>
            </w:pPr>
            <w:r>
              <w:rPr>
                <w:noProof/>
              </w:rPr>
              <w:t>C7.2 R2</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4AF8A64" w14:textId="77777777" w:rsidR="00FA7C11" w:rsidRDefault="00D84965">
            <w:pPr>
              <w:pStyle w:val="P68B1DB1-Normal66"/>
              <w:spacing w:after="0" w:line="240" w:lineRule="auto"/>
              <w:jc w:val="center"/>
              <w:textAlignment w:val="baseline"/>
              <w:rPr>
                <w:noProof/>
              </w:rPr>
            </w:pPr>
            <w:r>
              <w:rPr>
                <w:noProof/>
              </w:rPr>
              <w:t>T</w:t>
            </w:r>
          </w:p>
        </w:tc>
        <w:tc>
          <w:tcPr>
            <w:tcW w:w="5347" w:type="dxa"/>
            <w:tcBorders>
              <w:top w:val="single" w:sz="4" w:space="0" w:color="auto"/>
              <w:left w:val="single" w:sz="4" w:space="0" w:color="auto"/>
              <w:bottom w:val="single" w:sz="4" w:space="0" w:color="auto"/>
              <w:right w:val="single" w:sz="4" w:space="0" w:color="auto"/>
            </w:tcBorders>
            <w:shd w:val="clear" w:color="auto" w:fill="C6EFCE"/>
          </w:tcPr>
          <w:p w14:paraId="7D5CF6D1" w14:textId="77777777" w:rsidR="00FA7C11" w:rsidRDefault="00D84965">
            <w:pPr>
              <w:pStyle w:val="P68B1DB1-Normal66"/>
              <w:spacing w:after="0" w:line="276" w:lineRule="auto"/>
              <w:rPr>
                <w:noProof/>
              </w:rPr>
            </w:pPr>
            <w:r>
              <w:rPr>
                <w:noProof/>
              </w:rPr>
              <w:t>Adoptarea strategiilor de reînnoire urbană verde</w:t>
            </w:r>
          </w:p>
        </w:tc>
      </w:tr>
      <w:tr w:rsidR="00FA7C11" w14:paraId="01B801DF" w14:textId="77777777">
        <w:trPr>
          <w:trHeight w:val="555"/>
        </w:trPr>
        <w:tc>
          <w:tcPr>
            <w:tcW w:w="1096" w:type="dxa"/>
            <w:shd w:val="clear" w:color="auto" w:fill="C6EFCE"/>
            <w:vAlign w:val="center"/>
          </w:tcPr>
          <w:p w14:paraId="252CB39B" w14:textId="77777777" w:rsidR="00FA7C11" w:rsidRDefault="00D84965">
            <w:pPr>
              <w:pStyle w:val="P68B1DB1-Normal102"/>
              <w:spacing w:after="0" w:line="240" w:lineRule="auto"/>
              <w:jc w:val="center"/>
              <w:textAlignment w:val="baseline"/>
              <w:rPr>
                <w:noProof/>
              </w:rPr>
            </w:pPr>
            <w:r>
              <w:rPr>
                <w:noProof/>
              </w:rPr>
              <w:t>431</w:t>
            </w:r>
          </w:p>
        </w:tc>
        <w:tc>
          <w:tcPr>
            <w:tcW w:w="1639" w:type="dxa"/>
            <w:shd w:val="clear" w:color="auto" w:fill="C6EFCE"/>
            <w:vAlign w:val="center"/>
          </w:tcPr>
          <w:p w14:paraId="3EF308DE" w14:textId="77777777" w:rsidR="00FA7C11" w:rsidRDefault="00D84965">
            <w:pPr>
              <w:pStyle w:val="P68B1DB1-Normal102"/>
              <w:spacing w:after="0" w:line="276" w:lineRule="auto"/>
              <w:jc w:val="center"/>
              <w:rPr>
                <w:noProof/>
              </w:rPr>
            </w:pPr>
            <w:r>
              <w:rPr>
                <w:noProof/>
              </w:rPr>
              <w:t>C7.2 R2</w:t>
            </w:r>
          </w:p>
        </w:tc>
        <w:tc>
          <w:tcPr>
            <w:tcW w:w="1274" w:type="dxa"/>
            <w:shd w:val="clear" w:color="auto" w:fill="C6EFCE"/>
            <w:vAlign w:val="center"/>
          </w:tcPr>
          <w:p w14:paraId="0CA7F209"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tcPr>
          <w:p w14:paraId="21FCFE64" w14:textId="77777777" w:rsidR="00FA7C11" w:rsidRDefault="00D84965">
            <w:pPr>
              <w:pStyle w:val="P68B1DB1-Normal102"/>
              <w:spacing w:after="0" w:line="276" w:lineRule="auto"/>
              <w:rPr>
                <w:noProof/>
              </w:rPr>
            </w:pPr>
            <w:r>
              <w:rPr>
                <w:noProof/>
              </w:rPr>
              <w:t xml:space="preserve">Finalizarea proiectelor-pilot identificate prin strategiile de reînnoire urbană verde </w:t>
            </w:r>
          </w:p>
        </w:tc>
      </w:tr>
      <w:tr w:rsidR="00FA7C11" w14:paraId="2628FBE6" w14:textId="77777777">
        <w:trPr>
          <w:trHeight w:val="421"/>
        </w:trPr>
        <w:tc>
          <w:tcPr>
            <w:tcW w:w="1096" w:type="dxa"/>
            <w:tcBorders>
              <w:top w:val="single" w:sz="4" w:space="0" w:color="auto"/>
              <w:left w:val="single" w:sz="4" w:space="0" w:color="auto"/>
              <w:bottom w:val="single" w:sz="4" w:space="0" w:color="auto"/>
              <w:right w:val="single" w:sz="4" w:space="0" w:color="auto"/>
            </w:tcBorders>
            <w:shd w:val="clear" w:color="auto" w:fill="C6EFCE"/>
            <w:vAlign w:val="center"/>
          </w:tcPr>
          <w:p w14:paraId="0B2C7CB1" w14:textId="77777777" w:rsidR="00FA7C11" w:rsidRDefault="00D84965">
            <w:pPr>
              <w:pStyle w:val="P68B1DB1-Normal102"/>
              <w:spacing w:after="0" w:line="240" w:lineRule="auto"/>
              <w:jc w:val="center"/>
              <w:textAlignment w:val="baseline"/>
              <w:rPr>
                <w:rFonts w:eastAsia="Calibri"/>
                <w:noProof/>
              </w:rPr>
            </w:pPr>
            <w:r>
              <w:rPr>
                <w:noProof/>
              </w:rPr>
              <w:t>442</w:t>
            </w:r>
          </w:p>
        </w:tc>
        <w:tc>
          <w:tcPr>
            <w:tcW w:w="1639" w:type="dxa"/>
            <w:tcBorders>
              <w:top w:val="single" w:sz="4" w:space="0" w:color="auto"/>
              <w:left w:val="single" w:sz="4" w:space="0" w:color="auto"/>
              <w:bottom w:val="single" w:sz="4" w:space="0" w:color="auto"/>
              <w:right w:val="single" w:sz="4" w:space="0" w:color="auto"/>
            </w:tcBorders>
            <w:shd w:val="clear" w:color="auto" w:fill="C6EFCE"/>
            <w:vAlign w:val="center"/>
          </w:tcPr>
          <w:p w14:paraId="44B83A04" w14:textId="77777777" w:rsidR="00FA7C11" w:rsidRDefault="00D84965">
            <w:pPr>
              <w:pStyle w:val="P68B1DB1-Normal102"/>
              <w:spacing w:after="0" w:line="276" w:lineRule="auto"/>
              <w:jc w:val="center"/>
              <w:rPr>
                <w:rFonts w:eastAsia="Calibri"/>
                <w:noProof/>
              </w:rPr>
            </w:pPr>
            <w:r>
              <w:rPr>
                <w:noProof/>
              </w:rPr>
              <w:t>C2.4 R2</w:t>
            </w:r>
          </w:p>
        </w:tc>
        <w:tc>
          <w:tcPr>
            <w:tcW w:w="1274" w:type="dxa"/>
            <w:tcBorders>
              <w:top w:val="single" w:sz="4" w:space="0" w:color="auto"/>
              <w:left w:val="single" w:sz="4" w:space="0" w:color="auto"/>
              <w:bottom w:val="single" w:sz="4" w:space="0" w:color="auto"/>
              <w:right w:val="single" w:sz="4" w:space="0" w:color="auto"/>
            </w:tcBorders>
            <w:shd w:val="clear" w:color="auto" w:fill="C6EFCE"/>
            <w:vAlign w:val="center"/>
          </w:tcPr>
          <w:p w14:paraId="6A968043" w14:textId="77777777" w:rsidR="00FA7C11" w:rsidRDefault="00D84965">
            <w:pPr>
              <w:pStyle w:val="P68B1DB1-Normal102"/>
              <w:spacing w:after="0" w:line="240" w:lineRule="auto"/>
              <w:jc w:val="center"/>
              <w:textAlignment w:val="baseline"/>
              <w:rPr>
                <w:rFonts w:eastAsia="Calibri"/>
                <w:noProof/>
              </w:rPr>
            </w:pPr>
            <w:r>
              <w:rPr>
                <w:noProof/>
              </w:rPr>
              <w:t>M</w:t>
            </w:r>
          </w:p>
        </w:tc>
        <w:tc>
          <w:tcPr>
            <w:tcW w:w="5347" w:type="dxa"/>
            <w:tcBorders>
              <w:top w:val="single" w:sz="4" w:space="0" w:color="auto"/>
              <w:left w:val="single" w:sz="4" w:space="0" w:color="auto"/>
              <w:bottom w:val="single" w:sz="4" w:space="0" w:color="auto"/>
              <w:right w:val="single" w:sz="4" w:space="0" w:color="auto"/>
            </w:tcBorders>
            <w:shd w:val="clear" w:color="auto" w:fill="C6EFCE"/>
            <w:vAlign w:val="center"/>
          </w:tcPr>
          <w:p w14:paraId="2AC36C93" w14:textId="77777777" w:rsidR="00FA7C11" w:rsidRDefault="00D84965">
            <w:pPr>
              <w:pStyle w:val="P68B1DB1-Normal102"/>
              <w:spacing w:after="0" w:line="276" w:lineRule="auto"/>
              <w:rPr>
                <w:rFonts w:eastAsia="Calibri"/>
                <w:noProof/>
              </w:rPr>
            </w:pPr>
            <w:r>
              <w:rPr>
                <w:noProof/>
              </w:rPr>
              <w:t>Politica de proprietate pentru întreprinderile de stat</w:t>
            </w:r>
          </w:p>
        </w:tc>
      </w:tr>
      <w:tr w:rsidR="00FA7C11" w14:paraId="274A21FC" w14:textId="77777777">
        <w:trPr>
          <w:trHeight w:val="555"/>
        </w:trPr>
        <w:tc>
          <w:tcPr>
            <w:tcW w:w="1096" w:type="dxa"/>
            <w:tcBorders>
              <w:top w:val="single" w:sz="4" w:space="0" w:color="auto"/>
              <w:left w:val="single" w:sz="4" w:space="0" w:color="auto"/>
              <w:bottom w:val="single" w:sz="4" w:space="0" w:color="auto"/>
              <w:right w:val="single" w:sz="4" w:space="0" w:color="auto"/>
            </w:tcBorders>
            <w:shd w:val="clear" w:color="auto" w:fill="C6EFCE"/>
          </w:tcPr>
          <w:p w14:paraId="0D547EC0" w14:textId="77777777" w:rsidR="00FA7C11" w:rsidRDefault="00D84965">
            <w:pPr>
              <w:pStyle w:val="P68B1DB1-Normal66"/>
              <w:spacing w:after="0" w:line="240" w:lineRule="auto"/>
              <w:jc w:val="center"/>
              <w:textAlignment w:val="baseline"/>
              <w:rPr>
                <w:noProof/>
              </w:rPr>
            </w:pPr>
            <w:r>
              <w:rPr>
                <w:noProof/>
              </w:rPr>
              <w:t>444</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7D8F3734" w14:textId="77777777" w:rsidR="00FA7C11" w:rsidRDefault="00D84965">
            <w:pPr>
              <w:pStyle w:val="P68B1DB1-Normal66"/>
              <w:spacing w:after="0" w:line="276" w:lineRule="auto"/>
              <w:jc w:val="center"/>
              <w:rPr>
                <w:noProof/>
              </w:rPr>
            </w:pPr>
            <w:r>
              <w:rPr>
                <w:noProof/>
              </w:rPr>
              <w:t>C1.1.1. R4-I5</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A45D394" w14:textId="77777777" w:rsidR="00FA7C11" w:rsidRDefault="00D84965">
            <w:pPr>
              <w:pStyle w:val="P68B1DB1-Normal66"/>
              <w:spacing w:after="0" w:line="240" w:lineRule="auto"/>
              <w:jc w:val="center"/>
              <w:textAlignment w:val="baseline"/>
              <w:rPr>
                <w:noProof/>
              </w:rPr>
            </w:pPr>
            <w:r>
              <w:rPr>
                <w:noProof/>
              </w:rPr>
              <w:t>M</w:t>
            </w:r>
          </w:p>
        </w:tc>
        <w:tc>
          <w:tcPr>
            <w:tcW w:w="5347" w:type="dxa"/>
            <w:tcBorders>
              <w:top w:val="single" w:sz="4" w:space="0" w:color="auto"/>
              <w:left w:val="single" w:sz="4" w:space="0" w:color="auto"/>
              <w:bottom w:val="single" w:sz="4" w:space="0" w:color="auto"/>
              <w:right w:val="single" w:sz="4" w:space="0" w:color="auto"/>
            </w:tcBorders>
            <w:shd w:val="clear" w:color="auto" w:fill="C6EFCE"/>
          </w:tcPr>
          <w:p w14:paraId="63D2C12F" w14:textId="77777777" w:rsidR="00FA7C11" w:rsidRDefault="00D84965">
            <w:pPr>
              <w:pStyle w:val="P68B1DB1-Normal66"/>
              <w:spacing w:after="0" w:line="276" w:lineRule="auto"/>
              <w:rPr>
                <w:noProof/>
              </w:rPr>
            </w:pPr>
            <w:r>
              <w:rPr>
                <w:noProof/>
              </w:rPr>
              <w:t>Politica de investiții pentru investiții digitale strategice și investiții verzi strategice</w:t>
            </w:r>
          </w:p>
        </w:tc>
      </w:tr>
      <w:tr w:rsidR="00FA7C11" w14:paraId="584B6EAB" w14:textId="77777777">
        <w:trPr>
          <w:trHeight w:val="549"/>
        </w:trPr>
        <w:tc>
          <w:tcPr>
            <w:tcW w:w="1096" w:type="dxa"/>
            <w:shd w:val="clear" w:color="auto" w:fill="C6EFCE"/>
            <w:vAlign w:val="center"/>
          </w:tcPr>
          <w:p w14:paraId="62068854" w14:textId="77777777" w:rsidR="00FA7C11" w:rsidRDefault="00D84965">
            <w:pPr>
              <w:pStyle w:val="P68B1DB1-Normal102"/>
              <w:spacing w:after="0" w:line="240" w:lineRule="auto"/>
              <w:jc w:val="center"/>
              <w:textAlignment w:val="baseline"/>
              <w:rPr>
                <w:noProof/>
              </w:rPr>
            </w:pPr>
            <w:r>
              <w:rPr>
                <w:noProof/>
              </w:rPr>
              <w:t>445</w:t>
            </w:r>
          </w:p>
        </w:tc>
        <w:tc>
          <w:tcPr>
            <w:tcW w:w="1639" w:type="dxa"/>
            <w:shd w:val="clear" w:color="auto" w:fill="C6EFCE"/>
            <w:vAlign w:val="center"/>
          </w:tcPr>
          <w:p w14:paraId="2FA8D8CE" w14:textId="77777777" w:rsidR="00FA7C11" w:rsidRDefault="00D84965">
            <w:pPr>
              <w:pStyle w:val="P68B1DB1-Normal102"/>
              <w:spacing w:after="0" w:line="276" w:lineRule="auto"/>
              <w:jc w:val="center"/>
              <w:rPr>
                <w:noProof/>
              </w:rPr>
            </w:pPr>
            <w:r>
              <w:rPr>
                <w:noProof/>
              </w:rPr>
              <w:t>C1.1.1. R4-I5</w:t>
            </w:r>
          </w:p>
        </w:tc>
        <w:tc>
          <w:tcPr>
            <w:tcW w:w="1274" w:type="dxa"/>
            <w:shd w:val="clear" w:color="auto" w:fill="C6EFCE"/>
            <w:vAlign w:val="center"/>
          </w:tcPr>
          <w:p w14:paraId="7B922BF3" w14:textId="77777777" w:rsidR="00FA7C11" w:rsidRDefault="00D84965">
            <w:pPr>
              <w:pStyle w:val="P68B1DB1-Normal102"/>
              <w:spacing w:after="0" w:line="240" w:lineRule="auto"/>
              <w:jc w:val="center"/>
              <w:textAlignment w:val="baseline"/>
              <w:rPr>
                <w:noProof/>
              </w:rPr>
            </w:pPr>
            <w:r>
              <w:rPr>
                <w:noProof/>
              </w:rPr>
              <w:t>M</w:t>
            </w:r>
          </w:p>
        </w:tc>
        <w:tc>
          <w:tcPr>
            <w:tcW w:w="5347" w:type="dxa"/>
            <w:shd w:val="clear" w:color="auto" w:fill="C6EFCE"/>
          </w:tcPr>
          <w:p w14:paraId="31AD16AB" w14:textId="77777777" w:rsidR="00FA7C11" w:rsidRDefault="00D84965">
            <w:pPr>
              <w:pStyle w:val="P68B1DB1-Normal102"/>
              <w:spacing w:after="0" w:line="276" w:lineRule="auto"/>
              <w:rPr>
                <w:noProof/>
              </w:rPr>
            </w:pPr>
            <w:r>
              <w:rPr>
                <w:noProof/>
              </w:rPr>
              <w:t>Injecție de capital pentru investiții digitale strategice și investiții verzi strategice</w:t>
            </w:r>
          </w:p>
        </w:tc>
      </w:tr>
      <w:tr w:rsidR="00FA7C11" w14:paraId="74FE4358" w14:textId="77777777">
        <w:trPr>
          <w:trHeight w:val="563"/>
        </w:trPr>
        <w:tc>
          <w:tcPr>
            <w:tcW w:w="1096" w:type="dxa"/>
            <w:shd w:val="clear" w:color="auto" w:fill="C6EFCE"/>
            <w:vAlign w:val="center"/>
          </w:tcPr>
          <w:p w14:paraId="60E17A13" w14:textId="77777777" w:rsidR="00FA7C11" w:rsidRDefault="00D84965">
            <w:pPr>
              <w:pStyle w:val="P68B1DB1-Normal102"/>
              <w:spacing w:after="0" w:line="240" w:lineRule="auto"/>
              <w:jc w:val="center"/>
              <w:textAlignment w:val="baseline"/>
              <w:rPr>
                <w:noProof/>
              </w:rPr>
            </w:pPr>
            <w:r>
              <w:rPr>
                <w:noProof/>
              </w:rPr>
              <w:t>448</w:t>
            </w:r>
          </w:p>
        </w:tc>
        <w:tc>
          <w:tcPr>
            <w:tcW w:w="1639" w:type="dxa"/>
            <w:shd w:val="clear" w:color="auto" w:fill="C6EFCE"/>
            <w:vAlign w:val="center"/>
          </w:tcPr>
          <w:p w14:paraId="45151094" w14:textId="77777777" w:rsidR="00FA7C11" w:rsidRDefault="00D84965">
            <w:pPr>
              <w:pStyle w:val="P68B1DB1-Normal102"/>
              <w:spacing w:after="0" w:line="276" w:lineRule="auto"/>
              <w:jc w:val="center"/>
              <w:rPr>
                <w:noProof/>
              </w:rPr>
            </w:pPr>
            <w:r>
              <w:rPr>
                <w:noProof/>
              </w:rPr>
              <w:t>C7.2 I3</w:t>
            </w:r>
          </w:p>
        </w:tc>
        <w:tc>
          <w:tcPr>
            <w:tcW w:w="1274" w:type="dxa"/>
            <w:shd w:val="clear" w:color="auto" w:fill="C6EFCE"/>
            <w:vAlign w:val="center"/>
          </w:tcPr>
          <w:p w14:paraId="5429EA43" w14:textId="77777777" w:rsidR="00FA7C11" w:rsidRDefault="00D84965">
            <w:pPr>
              <w:pStyle w:val="P68B1DB1-Normal102"/>
              <w:spacing w:after="0" w:line="240" w:lineRule="auto"/>
              <w:jc w:val="center"/>
              <w:textAlignment w:val="baseline"/>
              <w:rPr>
                <w:noProof/>
              </w:rPr>
            </w:pPr>
            <w:r>
              <w:rPr>
                <w:noProof/>
              </w:rPr>
              <w:t>T</w:t>
            </w:r>
          </w:p>
        </w:tc>
        <w:tc>
          <w:tcPr>
            <w:tcW w:w="5347" w:type="dxa"/>
            <w:shd w:val="clear" w:color="auto" w:fill="C6EFCE"/>
          </w:tcPr>
          <w:p w14:paraId="670CE6C7" w14:textId="77777777" w:rsidR="00FA7C11" w:rsidRDefault="00D84965">
            <w:pPr>
              <w:pStyle w:val="P68B1DB1-Normal102"/>
              <w:spacing w:after="0" w:line="276" w:lineRule="auto"/>
              <w:rPr>
                <w:noProof/>
              </w:rPr>
            </w:pPr>
            <w:r>
              <w:rPr>
                <w:noProof/>
              </w:rPr>
              <w:t>Renovarea energetică și post-cutremur a clădirilor publice afectate de cutremure</w:t>
            </w:r>
          </w:p>
        </w:tc>
      </w:tr>
      <w:tr w:rsidR="00FA7C11" w14:paraId="50F3342D" w14:textId="77777777">
        <w:trPr>
          <w:trHeight w:val="51"/>
        </w:trPr>
        <w:tc>
          <w:tcPr>
            <w:tcW w:w="1096" w:type="dxa"/>
            <w:shd w:val="clear" w:color="auto" w:fill="C6EFCE"/>
          </w:tcPr>
          <w:p w14:paraId="596A8C1D" w14:textId="77777777" w:rsidR="00FA7C11" w:rsidRDefault="00FA7C11">
            <w:pPr>
              <w:spacing w:after="0" w:line="240" w:lineRule="auto"/>
              <w:jc w:val="center"/>
              <w:textAlignment w:val="baseline"/>
              <w:rPr>
                <w:rFonts w:ascii="Times New Roman" w:hAnsi="Times New Roman" w:cs="Times New Roman"/>
                <w:noProof/>
                <w:color w:val="000000"/>
                <w:sz w:val="20"/>
                <w:szCs w:val="20"/>
              </w:rPr>
            </w:pPr>
          </w:p>
        </w:tc>
        <w:tc>
          <w:tcPr>
            <w:tcW w:w="1639" w:type="dxa"/>
            <w:shd w:val="clear" w:color="auto" w:fill="C6EFCE"/>
          </w:tcPr>
          <w:p w14:paraId="678E2C32" w14:textId="77777777" w:rsidR="00FA7C11" w:rsidRDefault="00FA7C11">
            <w:pPr>
              <w:spacing w:after="0" w:line="240" w:lineRule="auto"/>
              <w:jc w:val="both"/>
              <w:textAlignment w:val="baseline"/>
              <w:rPr>
                <w:rFonts w:ascii="Times New Roman" w:hAnsi="Times New Roman" w:cs="Times New Roman"/>
                <w:noProof/>
                <w:color w:val="000000"/>
                <w:sz w:val="20"/>
                <w:szCs w:val="20"/>
              </w:rPr>
            </w:pPr>
          </w:p>
        </w:tc>
        <w:tc>
          <w:tcPr>
            <w:tcW w:w="1274" w:type="dxa"/>
            <w:shd w:val="clear" w:color="auto" w:fill="C6EFCE"/>
          </w:tcPr>
          <w:p w14:paraId="54425713" w14:textId="77777777" w:rsidR="00FA7C11" w:rsidRDefault="00D84965">
            <w:pPr>
              <w:pStyle w:val="P68B1DB1-Normal102"/>
              <w:spacing w:after="0" w:line="240" w:lineRule="auto"/>
              <w:jc w:val="both"/>
              <w:textAlignment w:val="baseline"/>
              <w:rPr>
                <w:noProof/>
              </w:rPr>
            </w:pPr>
            <w:r>
              <w:rPr>
                <w:noProof/>
              </w:rPr>
              <w:t>Cuantumul tranșei</w:t>
            </w:r>
          </w:p>
        </w:tc>
        <w:tc>
          <w:tcPr>
            <w:tcW w:w="5347" w:type="dxa"/>
            <w:shd w:val="clear" w:color="auto" w:fill="C6EFCE"/>
            <w:vAlign w:val="center"/>
          </w:tcPr>
          <w:p w14:paraId="101356BC" w14:textId="3AD091DC" w:rsidR="00FA7C11" w:rsidRDefault="00D84965">
            <w:pPr>
              <w:pStyle w:val="P68B1DB1-Normal102"/>
              <w:spacing w:after="0" w:line="240" w:lineRule="auto"/>
              <w:jc w:val="both"/>
              <w:textAlignment w:val="baseline"/>
              <w:rPr>
                <w:noProof/>
              </w:rPr>
            </w:pPr>
            <w:r>
              <w:rPr>
                <w:noProof/>
              </w:rPr>
              <w:t>1 015 269 647 MIL.</w:t>
            </w:r>
          </w:p>
        </w:tc>
      </w:tr>
    </w:tbl>
    <w:p w14:paraId="1D257FEF" w14:textId="77777777" w:rsidR="00FA7C11" w:rsidRDefault="00FA7C11">
      <w:pPr>
        <w:spacing w:after="0" w:line="240" w:lineRule="auto"/>
        <w:jc w:val="both"/>
        <w:textAlignment w:val="baseline"/>
        <w:rPr>
          <w:rFonts w:ascii="Times New Roman" w:eastAsia="Times New Roman" w:hAnsi="Times New Roman" w:cs="Times New Roman"/>
          <w:noProof/>
          <w:szCs w:val="24"/>
        </w:rPr>
      </w:pPr>
    </w:p>
    <w:p w14:paraId="7165D2AC" w14:textId="00515CA4" w:rsidR="00FA7C11" w:rsidRDefault="00D84965">
      <w:pPr>
        <w:pStyle w:val="P68B1DB1-Normal142"/>
        <w:rPr>
          <w:noProof/>
        </w:rPr>
      </w:pPr>
      <w:r>
        <w:rPr>
          <w:noProof/>
        </w:rPr>
        <w:br w:type="page"/>
      </w:r>
    </w:p>
    <w:p w14:paraId="6A501255" w14:textId="3B69773E" w:rsidR="00FA7C11" w:rsidRDefault="00D84965">
      <w:pPr>
        <w:pStyle w:val="P68B1DB1-Normal143"/>
        <w:spacing w:after="0" w:line="240" w:lineRule="auto"/>
        <w:ind w:left="710"/>
        <w:jc w:val="both"/>
        <w:textAlignment w:val="baseline"/>
        <w:rPr>
          <w:noProof/>
        </w:rPr>
      </w:pPr>
      <w:r>
        <w:rPr>
          <w:noProof/>
        </w:rPr>
        <w:t xml:space="preserve">2. Împrumut </w:t>
      </w:r>
    </w:p>
    <w:p w14:paraId="1CDC3ED7" w14:textId="77777777" w:rsidR="00FA7C11" w:rsidRDefault="00FA7C11">
      <w:pPr>
        <w:spacing w:after="0" w:line="240" w:lineRule="auto"/>
        <w:jc w:val="both"/>
        <w:textAlignment w:val="baseline"/>
        <w:rPr>
          <w:rFonts w:ascii="Times New Roman" w:eastAsia="Times New Roman" w:hAnsi="Times New Roman" w:cs="Times New Roman"/>
          <w:noProof/>
          <w:szCs w:val="24"/>
        </w:rPr>
      </w:pPr>
    </w:p>
    <w:p w14:paraId="48639087" w14:textId="77777777" w:rsidR="00FA7C11" w:rsidRDefault="00D84965">
      <w:pPr>
        <w:pStyle w:val="P68B1DB1-Normal142"/>
        <w:spacing w:after="0" w:line="240" w:lineRule="auto"/>
        <w:ind w:firstLine="710"/>
        <w:jc w:val="both"/>
        <w:textAlignment w:val="baseline"/>
        <w:rPr>
          <w:noProof/>
          <w:sz w:val="18"/>
          <w:szCs w:val="18"/>
        </w:rPr>
      </w:pPr>
      <w:r>
        <w:rPr>
          <w:noProof/>
        </w:rPr>
        <w:t>Tranșele menționate la articolul 3 alineatul (2) se organizează după cum urmează: </w:t>
      </w:r>
    </w:p>
    <w:p w14:paraId="2EAC5D64" w14:textId="77777777" w:rsidR="00FA7C11" w:rsidRDefault="00D84965">
      <w:pPr>
        <w:pStyle w:val="P68B1DB1-Normal142"/>
        <w:spacing w:after="0" w:line="240" w:lineRule="auto"/>
        <w:jc w:val="both"/>
        <w:textAlignment w:val="baseline"/>
        <w:rPr>
          <w:noProof/>
          <w:sz w:val="18"/>
          <w:szCs w:val="18"/>
        </w:rPr>
      </w:pPr>
      <w:r>
        <w:rPr>
          <w:noProof/>
        </w:rPr>
        <w:t> </w:t>
      </w:r>
    </w:p>
    <w:p w14:paraId="258790B5" w14:textId="77777777" w:rsidR="00FA7C11" w:rsidRDefault="00D84965">
      <w:pPr>
        <w:pStyle w:val="P68B1DB1-Normal142"/>
        <w:numPr>
          <w:ilvl w:val="0"/>
          <w:numId w:val="81"/>
        </w:numPr>
        <w:spacing w:line="240" w:lineRule="auto"/>
        <w:jc w:val="both"/>
        <w:textAlignment w:val="baseline"/>
        <w:rPr>
          <w:noProof/>
        </w:rPr>
      </w:pPr>
      <w:r>
        <w:rPr>
          <w:noProof/>
        </w:rPr>
        <w:t>Prima tranșă (sprijin sub formă de împrumut): </w:t>
      </w:r>
    </w:p>
    <w:tbl>
      <w:tblPr>
        <w:tblW w:w="937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3"/>
        <w:gridCol w:w="1631"/>
        <w:gridCol w:w="1349"/>
        <w:gridCol w:w="5306"/>
      </w:tblGrid>
      <w:tr w:rsidR="00FA7C11" w14:paraId="39EF72DF" w14:textId="77777777">
        <w:trPr>
          <w:trHeight w:val="1029"/>
          <w:tblHeader/>
        </w:trPr>
        <w:tc>
          <w:tcPr>
            <w:tcW w:w="1096" w:type="dxa"/>
            <w:shd w:val="clear" w:color="auto" w:fill="BDD7EE"/>
            <w:vAlign w:val="center"/>
            <w:hideMark/>
          </w:tcPr>
          <w:p w14:paraId="5CC73F40"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42" w:type="dxa"/>
            <w:shd w:val="clear" w:color="auto" w:fill="BDD7EE"/>
            <w:vAlign w:val="center"/>
            <w:hideMark/>
          </w:tcPr>
          <w:p w14:paraId="62D26FBC"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6" w:type="dxa"/>
            <w:shd w:val="clear" w:color="auto" w:fill="BDD7EE"/>
            <w:vAlign w:val="center"/>
            <w:hideMark/>
          </w:tcPr>
          <w:p w14:paraId="3E15784E"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65" w:type="dxa"/>
            <w:shd w:val="clear" w:color="auto" w:fill="BDD7EE"/>
            <w:vAlign w:val="center"/>
            <w:hideMark/>
          </w:tcPr>
          <w:p w14:paraId="58B52F96"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2E2B4A4A" w14:textId="77777777">
        <w:trPr>
          <w:trHeight w:val="343"/>
        </w:trPr>
        <w:tc>
          <w:tcPr>
            <w:tcW w:w="1096" w:type="dxa"/>
            <w:shd w:val="clear" w:color="auto" w:fill="C6EFCE"/>
            <w:vAlign w:val="center"/>
          </w:tcPr>
          <w:p w14:paraId="3216A5A3" w14:textId="77777777" w:rsidR="00FA7C11" w:rsidRDefault="00D84965">
            <w:pPr>
              <w:pStyle w:val="P68B1DB1-Normal102"/>
              <w:spacing w:after="0" w:line="240" w:lineRule="auto"/>
              <w:jc w:val="center"/>
              <w:textAlignment w:val="baseline"/>
              <w:rPr>
                <w:noProof/>
              </w:rPr>
            </w:pPr>
            <w:r>
              <w:rPr>
                <w:noProof/>
              </w:rPr>
              <w:t>55</w:t>
            </w:r>
          </w:p>
        </w:tc>
        <w:tc>
          <w:tcPr>
            <w:tcW w:w="1642" w:type="dxa"/>
            <w:shd w:val="clear" w:color="auto" w:fill="C6EFCE"/>
            <w:vAlign w:val="center"/>
          </w:tcPr>
          <w:p w14:paraId="29DD22C7" w14:textId="77777777" w:rsidR="00FA7C11" w:rsidRDefault="00D84965">
            <w:pPr>
              <w:pStyle w:val="P68B1DB1-Normal102"/>
              <w:spacing w:after="0" w:line="240" w:lineRule="auto"/>
              <w:jc w:val="center"/>
              <w:textAlignment w:val="baseline"/>
              <w:rPr>
                <w:noProof/>
              </w:rPr>
            </w:pPr>
            <w:r>
              <w:rPr>
                <w:noProof/>
              </w:rPr>
              <w:t>C7.1 R1-I5</w:t>
            </w:r>
          </w:p>
        </w:tc>
        <w:tc>
          <w:tcPr>
            <w:tcW w:w="1276" w:type="dxa"/>
            <w:shd w:val="clear" w:color="auto" w:fill="C6EFCE"/>
            <w:vAlign w:val="center"/>
          </w:tcPr>
          <w:p w14:paraId="238BE77D" w14:textId="77777777" w:rsidR="00FA7C11" w:rsidRDefault="00D84965">
            <w:pPr>
              <w:pStyle w:val="P68B1DB1-Normal102"/>
              <w:spacing w:after="0" w:line="240" w:lineRule="auto"/>
              <w:jc w:val="center"/>
              <w:textAlignment w:val="baseline"/>
              <w:rPr>
                <w:noProof/>
              </w:rPr>
            </w:pPr>
            <w:r>
              <w:rPr>
                <w:noProof/>
              </w:rPr>
              <w:t>M</w:t>
            </w:r>
          </w:p>
        </w:tc>
        <w:tc>
          <w:tcPr>
            <w:tcW w:w="5365" w:type="dxa"/>
            <w:shd w:val="clear" w:color="auto" w:fill="C6EFCE"/>
          </w:tcPr>
          <w:p w14:paraId="493C6CEB" w14:textId="77777777" w:rsidR="00FA7C11" w:rsidRDefault="00D84965">
            <w:pPr>
              <w:pStyle w:val="P68B1DB1-Normal102"/>
              <w:spacing w:after="0" w:line="240" w:lineRule="auto"/>
              <w:jc w:val="both"/>
              <w:textAlignment w:val="baseline"/>
              <w:rPr>
                <w:noProof/>
              </w:rPr>
            </w:pPr>
            <w:r>
              <w:rPr>
                <w:noProof/>
              </w:rPr>
              <w:t>Adoptarea planului de producție și utilizare a biocarburanților în transporturi</w:t>
            </w:r>
          </w:p>
        </w:tc>
      </w:tr>
      <w:tr w:rsidR="00FA7C11" w14:paraId="1145E6A6" w14:textId="77777777">
        <w:trPr>
          <w:trHeight w:val="343"/>
        </w:trPr>
        <w:tc>
          <w:tcPr>
            <w:tcW w:w="1096" w:type="dxa"/>
            <w:shd w:val="clear" w:color="auto" w:fill="C6EFCE"/>
            <w:vAlign w:val="center"/>
            <w:hideMark/>
          </w:tcPr>
          <w:p w14:paraId="4DCDC755" w14:textId="77777777" w:rsidR="00FA7C11" w:rsidRDefault="00D84965">
            <w:pPr>
              <w:pStyle w:val="P68B1DB1-Normal102"/>
              <w:spacing w:after="0" w:line="240" w:lineRule="auto"/>
              <w:jc w:val="center"/>
              <w:textAlignment w:val="baseline"/>
              <w:rPr>
                <w:noProof/>
              </w:rPr>
            </w:pPr>
            <w:r>
              <w:rPr>
                <w:noProof/>
              </w:rPr>
              <w:t>405</w:t>
            </w:r>
          </w:p>
        </w:tc>
        <w:tc>
          <w:tcPr>
            <w:tcW w:w="1642" w:type="dxa"/>
            <w:shd w:val="clear" w:color="auto" w:fill="C6EFCE"/>
            <w:vAlign w:val="center"/>
            <w:hideMark/>
          </w:tcPr>
          <w:p w14:paraId="6A64E889" w14:textId="77777777" w:rsidR="00FA7C11" w:rsidRDefault="00D84965">
            <w:pPr>
              <w:pStyle w:val="P68B1DB1-Normal102"/>
              <w:spacing w:after="0" w:line="240" w:lineRule="auto"/>
              <w:jc w:val="center"/>
              <w:textAlignment w:val="baseline"/>
              <w:rPr>
                <w:noProof/>
              </w:rPr>
            </w:pPr>
            <w:r>
              <w:rPr>
                <w:noProof/>
              </w:rPr>
              <w:t>C6.1 R1 – I4</w:t>
            </w:r>
          </w:p>
        </w:tc>
        <w:tc>
          <w:tcPr>
            <w:tcW w:w="1276" w:type="dxa"/>
            <w:shd w:val="clear" w:color="auto" w:fill="C6EFCE"/>
            <w:vAlign w:val="center"/>
            <w:hideMark/>
          </w:tcPr>
          <w:p w14:paraId="3C39B5BF" w14:textId="77777777" w:rsidR="00FA7C11" w:rsidRDefault="00D84965">
            <w:pPr>
              <w:pStyle w:val="P68B1DB1-Normal102"/>
              <w:spacing w:after="0" w:line="240" w:lineRule="auto"/>
              <w:jc w:val="center"/>
              <w:textAlignment w:val="baseline"/>
              <w:rPr>
                <w:noProof/>
              </w:rPr>
            </w:pPr>
            <w:r>
              <w:rPr>
                <w:noProof/>
              </w:rPr>
              <w:t>M</w:t>
            </w:r>
          </w:p>
        </w:tc>
        <w:tc>
          <w:tcPr>
            <w:tcW w:w="5365" w:type="dxa"/>
            <w:shd w:val="clear" w:color="auto" w:fill="C6EFCE"/>
            <w:hideMark/>
          </w:tcPr>
          <w:p w14:paraId="0CFE4265" w14:textId="77777777" w:rsidR="00FA7C11" w:rsidRDefault="00D84965">
            <w:pPr>
              <w:pStyle w:val="P68B1DB1-Normal102"/>
              <w:spacing w:after="0" w:line="240" w:lineRule="auto"/>
              <w:jc w:val="both"/>
              <w:textAlignment w:val="baseline"/>
              <w:rPr>
                <w:noProof/>
              </w:rPr>
            </w:pPr>
            <w:r>
              <w:rPr>
                <w:noProof/>
              </w:rPr>
              <w:t>Orientări pentru renovarea energetică a clădirilor cu statut de bun cultural</w:t>
            </w:r>
          </w:p>
        </w:tc>
      </w:tr>
      <w:tr w:rsidR="00FA7C11" w14:paraId="5FEDA8BE" w14:textId="77777777">
        <w:trPr>
          <w:trHeight w:val="343"/>
        </w:trPr>
        <w:tc>
          <w:tcPr>
            <w:tcW w:w="1096" w:type="dxa"/>
            <w:shd w:val="clear" w:color="auto" w:fill="C6EFCE"/>
            <w:vAlign w:val="center"/>
          </w:tcPr>
          <w:p w14:paraId="41AE2C7F" w14:textId="77777777" w:rsidR="00FA7C11" w:rsidRDefault="00D84965">
            <w:pPr>
              <w:pStyle w:val="P68B1DB1-Normal102"/>
              <w:spacing w:after="0" w:line="240" w:lineRule="auto"/>
              <w:jc w:val="center"/>
              <w:textAlignment w:val="baseline"/>
              <w:rPr>
                <w:noProof/>
              </w:rPr>
            </w:pPr>
            <w:r>
              <w:rPr>
                <w:noProof/>
              </w:rPr>
              <w:t>421</w:t>
            </w:r>
          </w:p>
        </w:tc>
        <w:tc>
          <w:tcPr>
            <w:tcW w:w="1642" w:type="dxa"/>
            <w:shd w:val="clear" w:color="auto" w:fill="C6EFCE"/>
            <w:vAlign w:val="center"/>
          </w:tcPr>
          <w:p w14:paraId="51EDD4D5" w14:textId="77777777" w:rsidR="00FA7C11" w:rsidRDefault="00D84965">
            <w:pPr>
              <w:pStyle w:val="P68B1DB1-Normal102"/>
              <w:spacing w:after="0" w:line="240" w:lineRule="auto"/>
              <w:jc w:val="center"/>
              <w:textAlignment w:val="baseline"/>
              <w:rPr>
                <w:noProof/>
              </w:rPr>
            </w:pPr>
            <w:r>
              <w:rPr>
                <w:noProof/>
              </w:rPr>
              <w:t>C7.1 I3</w:t>
            </w:r>
          </w:p>
        </w:tc>
        <w:tc>
          <w:tcPr>
            <w:tcW w:w="1276" w:type="dxa"/>
            <w:shd w:val="clear" w:color="auto" w:fill="C6EFCE"/>
            <w:vAlign w:val="center"/>
          </w:tcPr>
          <w:p w14:paraId="2C0AE145" w14:textId="77777777" w:rsidR="00FA7C11" w:rsidRDefault="00D84965">
            <w:pPr>
              <w:pStyle w:val="P68B1DB1-Normal102"/>
              <w:spacing w:after="0" w:line="240" w:lineRule="auto"/>
              <w:jc w:val="center"/>
              <w:textAlignment w:val="baseline"/>
              <w:rPr>
                <w:noProof/>
              </w:rPr>
            </w:pPr>
            <w:r>
              <w:rPr>
                <w:noProof/>
              </w:rPr>
              <w:t>M</w:t>
            </w:r>
          </w:p>
        </w:tc>
        <w:tc>
          <w:tcPr>
            <w:tcW w:w="5365" w:type="dxa"/>
            <w:shd w:val="clear" w:color="auto" w:fill="C6EFCE"/>
          </w:tcPr>
          <w:p w14:paraId="3870F181" w14:textId="77777777" w:rsidR="00FA7C11" w:rsidRDefault="00D84965">
            <w:pPr>
              <w:pStyle w:val="P68B1DB1-Normal102"/>
              <w:spacing w:after="0" w:line="240" w:lineRule="auto"/>
              <w:jc w:val="both"/>
              <w:textAlignment w:val="baseline"/>
              <w:rPr>
                <w:noProof/>
              </w:rPr>
            </w:pPr>
            <w:r>
              <w:rPr>
                <w:noProof/>
              </w:rPr>
              <w:t>Contract pentru echipamente pentru extinderea terminalului GNL de pe insula Krk</w:t>
            </w:r>
          </w:p>
        </w:tc>
      </w:tr>
      <w:tr w:rsidR="00FA7C11" w14:paraId="7D92CB50" w14:textId="77777777">
        <w:trPr>
          <w:trHeight w:val="343"/>
        </w:trPr>
        <w:tc>
          <w:tcPr>
            <w:tcW w:w="1096" w:type="dxa"/>
            <w:shd w:val="clear" w:color="auto" w:fill="C6EFCE"/>
            <w:vAlign w:val="center"/>
          </w:tcPr>
          <w:p w14:paraId="3B6F7AC8" w14:textId="77777777" w:rsidR="00FA7C11" w:rsidRDefault="00D84965">
            <w:pPr>
              <w:pStyle w:val="P68B1DB1-Normal102"/>
              <w:spacing w:after="0" w:line="240" w:lineRule="auto"/>
              <w:jc w:val="center"/>
              <w:textAlignment w:val="baseline"/>
              <w:rPr>
                <w:noProof/>
              </w:rPr>
            </w:pPr>
            <w:r>
              <w:rPr>
                <w:noProof/>
              </w:rPr>
              <w:t>423</w:t>
            </w:r>
          </w:p>
        </w:tc>
        <w:tc>
          <w:tcPr>
            <w:tcW w:w="1642" w:type="dxa"/>
            <w:shd w:val="clear" w:color="auto" w:fill="C6EFCE"/>
            <w:vAlign w:val="center"/>
          </w:tcPr>
          <w:p w14:paraId="3EC62ADD" w14:textId="77777777" w:rsidR="00FA7C11" w:rsidRDefault="00D84965">
            <w:pPr>
              <w:pStyle w:val="P68B1DB1-Normal102"/>
              <w:spacing w:after="0" w:line="240" w:lineRule="auto"/>
              <w:jc w:val="center"/>
              <w:textAlignment w:val="baseline"/>
              <w:rPr>
                <w:noProof/>
              </w:rPr>
            </w:pPr>
            <w:r>
              <w:rPr>
                <w:noProof/>
              </w:rPr>
              <w:t>C7.1 I3</w:t>
            </w:r>
          </w:p>
        </w:tc>
        <w:tc>
          <w:tcPr>
            <w:tcW w:w="1276" w:type="dxa"/>
            <w:shd w:val="clear" w:color="auto" w:fill="C6EFCE"/>
            <w:vAlign w:val="center"/>
          </w:tcPr>
          <w:p w14:paraId="536742D1" w14:textId="77777777" w:rsidR="00FA7C11" w:rsidRDefault="00D84965">
            <w:pPr>
              <w:pStyle w:val="P68B1DB1-Normal102"/>
              <w:spacing w:after="0" w:line="240" w:lineRule="auto"/>
              <w:jc w:val="center"/>
              <w:textAlignment w:val="baseline"/>
              <w:rPr>
                <w:noProof/>
              </w:rPr>
            </w:pPr>
            <w:r>
              <w:rPr>
                <w:noProof/>
              </w:rPr>
              <w:t>M</w:t>
            </w:r>
          </w:p>
        </w:tc>
        <w:tc>
          <w:tcPr>
            <w:tcW w:w="5365" w:type="dxa"/>
            <w:shd w:val="clear" w:color="auto" w:fill="C6EFCE"/>
          </w:tcPr>
          <w:p w14:paraId="3B7B204C" w14:textId="77777777" w:rsidR="00FA7C11" w:rsidRDefault="00D84965">
            <w:pPr>
              <w:pStyle w:val="P68B1DB1-Normal102"/>
              <w:spacing w:after="0" w:line="240" w:lineRule="auto"/>
              <w:jc w:val="both"/>
              <w:textAlignment w:val="baseline"/>
              <w:rPr>
                <w:noProof/>
              </w:rPr>
            </w:pPr>
            <w:r>
              <w:rPr>
                <w:noProof/>
              </w:rPr>
              <w:t>Contract de lucrări de extindere a gazoductului Zlobin – Bosiljevo</w:t>
            </w:r>
          </w:p>
        </w:tc>
      </w:tr>
      <w:tr w:rsidR="00FA7C11" w14:paraId="3F722D1C" w14:textId="77777777">
        <w:trPr>
          <w:trHeight w:val="343"/>
        </w:trPr>
        <w:tc>
          <w:tcPr>
            <w:tcW w:w="1096" w:type="dxa"/>
            <w:shd w:val="clear" w:color="auto" w:fill="C6EFCE"/>
            <w:vAlign w:val="bottom"/>
            <w:hideMark/>
          </w:tcPr>
          <w:p w14:paraId="038EB5C0" w14:textId="77777777" w:rsidR="00FA7C11" w:rsidRDefault="00D84965">
            <w:pPr>
              <w:pStyle w:val="P68B1DB1-Normal135"/>
              <w:spacing w:after="0" w:line="240" w:lineRule="auto"/>
              <w:jc w:val="center"/>
              <w:textAlignment w:val="baseline"/>
              <w:rPr>
                <w:noProof/>
              </w:rPr>
            </w:pPr>
            <w:r>
              <w:rPr>
                <w:noProof/>
              </w:rPr>
              <w:t> </w:t>
            </w:r>
          </w:p>
        </w:tc>
        <w:tc>
          <w:tcPr>
            <w:tcW w:w="1642" w:type="dxa"/>
            <w:shd w:val="clear" w:color="auto" w:fill="C6EFCE"/>
            <w:vAlign w:val="bottom"/>
            <w:hideMark/>
          </w:tcPr>
          <w:p w14:paraId="14DF39A1" w14:textId="77777777" w:rsidR="00FA7C11" w:rsidRDefault="00D84965">
            <w:pPr>
              <w:pStyle w:val="P68B1DB1-Normal135"/>
              <w:spacing w:after="0" w:line="240" w:lineRule="auto"/>
              <w:jc w:val="both"/>
              <w:textAlignment w:val="baseline"/>
              <w:rPr>
                <w:noProof/>
              </w:rPr>
            </w:pPr>
            <w:r>
              <w:rPr>
                <w:noProof/>
              </w:rPr>
              <w:t> </w:t>
            </w:r>
          </w:p>
        </w:tc>
        <w:tc>
          <w:tcPr>
            <w:tcW w:w="1276" w:type="dxa"/>
            <w:shd w:val="clear" w:color="auto" w:fill="C6EFCE"/>
            <w:vAlign w:val="bottom"/>
            <w:hideMark/>
          </w:tcPr>
          <w:p w14:paraId="52B295C7" w14:textId="77777777" w:rsidR="00FA7C11" w:rsidRDefault="00D84965">
            <w:pPr>
              <w:pStyle w:val="P68B1DB1-Normal76"/>
              <w:spacing w:after="0" w:line="240" w:lineRule="auto"/>
              <w:jc w:val="both"/>
              <w:textAlignment w:val="baseline"/>
              <w:rPr>
                <w:noProof/>
              </w:rPr>
            </w:pPr>
            <w:r>
              <w:rPr>
                <w:noProof/>
              </w:rPr>
              <w:t>Cuantumul tranșei </w:t>
            </w:r>
          </w:p>
        </w:tc>
        <w:tc>
          <w:tcPr>
            <w:tcW w:w="5365" w:type="dxa"/>
            <w:shd w:val="clear" w:color="auto" w:fill="C6EFCE"/>
            <w:vAlign w:val="bottom"/>
            <w:hideMark/>
          </w:tcPr>
          <w:p w14:paraId="2828C74A" w14:textId="77777777" w:rsidR="00FA7C11" w:rsidRDefault="00D84965">
            <w:pPr>
              <w:pStyle w:val="P68B1DB1-Normal144"/>
              <w:spacing w:after="0" w:line="240" w:lineRule="auto"/>
              <w:jc w:val="both"/>
              <w:textAlignment w:val="baseline"/>
              <w:rPr>
                <w:noProof/>
                <w:sz w:val="20"/>
                <w:szCs w:val="20"/>
              </w:rPr>
            </w:pPr>
            <w:r>
              <w:rPr>
                <w:noProof/>
                <w:sz w:val="20"/>
                <w:szCs w:val="20"/>
              </w:rPr>
              <w:t>303</w:t>
            </w:r>
            <w:r>
              <w:rPr>
                <w:noProof/>
                <w:sz w:val="24"/>
                <w:szCs w:val="28"/>
              </w:rPr>
              <w:t xml:space="preserve"> </w:t>
            </w:r>
            <w:r>
              <w:rPr>
                <w:noProof/>
                <w:sz w:val="20"/>
                <w:szCs w:val="20"/>
              </w:rPr>
              <w:t>868</w:t>
            </w:r>
            <w:r>
              <w:rPr>
                <w:noProof/>
                <w:sz w:val="24"/>
                <w:szCs w:val="28"/>
              </w:rPr>
              <w:t xml:space="preserve"> </w:t>
            </w:r>
            <w:r>
              <w:rPr>
                <w:noProof/>
                <w:sz w:val="20"/>
                <w:szCs w:val="20"/>
              </w:rPr>
              <w:t>355 MIL.</w:t>
            </w:r>
          </w:p>
        </w:tc>
      </w:tr>
    </w:tbl>
    <w:p w14:paraId="1A39731A" w14:textId="77777777" w:rsidR="00FA7C11" w:rsidRDefault="00D84965">
      <w:pPr>
        <w:pStyle w:val="P68B1DB1-Normal142"/>
        <w:spacing w:line="240" w:lineRule="auto"/>
        <w:jc w:val="both"/>
        <w:textAlignment w:val="baseline"/>
        <w:rPr>
          <w:noProof/>
        </w:rPr>
      </w:pPr>
      <w:r>
        <w:rPr>
          <w:noProof/>
        </w:rPr>
        <w:t> </w:t>
      </w:r>
    </w:p>
    <w:p w14:paraId="29015D73" w14:textId="06808BF6" w:rsidR="00FA7C11" w:rsidRDefault="00D84965">
      <w:pPr>
        <w:pStyle w:val="P68B1DB1-Normal83"/>
        <w:numPr>
          <w:ilvl w:val="0"/>
          <w:numId w:val="81"/>
        </w:numPr>
        <w:spacing w:line="240" w:lineRule="auto"/>
        <w:contextualSpacing/>
        <w:jc w:val="both"/>
        <w:textAlignment w:val="baseline"/>
        <w:rPr>
          <w:noProof/>
        </w:rPr>
      </w:pPr>
      <w:r>
        <w:rPr>
          <w:noProof/>
        </w:rPr>
        <w:t xml:space="preserve">A doua tranșă (sprijin sub formă de împrumut): </w:t>
      </w:r>
    </w:p>
    <w:p w14:paraId="346AD6AD" w14:textId="77777777" w:rsidR="00FA7C11" w:rsidRDefault="00FA7C11">
      <w:pPr>
        <w:spacing w:after="0" w:line="240" w:lineRule="auto"/>
        <w:ind w:left="720"/>
        <w:jc w:val="both"/>
        <w:textAlignment w:val="baseline"/>
        <w:rPr>
          <w:rFonts w:ascii="Times New Roman" w:eastAsia="Times New Roman" w:hAnsi="Times New Roman" w:cs="Times New Roman"/>
          <w:noProof/>
          <w:szCs w:val="24"/>
        </w:rPr>
      </w:pPr>
    </w:p>
    <w:tbl>
      <w:tblPr>
        <w:tblW w:w="937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3"/>
        <w:gridCol w:w="1631"/>
        <w:gridCol w:w="1349"/>
        <w:gridCol w:w="5306"/>
      </w:tblGrid>
      <w:tr w:rsidR="00FA7C11" w14:paraId="5646D97E" w14:textId="77777777">
        <w:trPr>
          <w:trHeight w:val="1029"/>
        </w:trPr>
        <w:tc>
          <w:tcPr>
            <w:tcW w:w="1096" w:type="dxa"/>
            <w:shd w:val="clear" w:color="auto" w:fill="BDD7EE"/>
            <w:vAlign w:val="center"/>
            <w:hideMark/>
          </w:tcPr>
          <w:p w14:paraId="01BA72C8"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42" w:type="dxa"/>
            <w:shd w:val="clear" w:color="auto" w:fill="BDD7EE"/>
            <w:vAlign w:val="center"/>
            <w:hideMark/>
          </w:tcPr>
          <w:p w14:paraId="68D22484"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6" w:type="dxa"/>
            <w:shd w:val="clear" w:color="auto" w:fill="BDD7EE"/>
            <w:vAlign w:val="center"/>
            <w:hideMark/>
          </w:tcPr>
          <w:p w14:paraId="60CFCF32"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65" w:type="dxa"/>
            <w:shd w:val="clear" w:color="auto" w:fill="BDD7EE"/>
            <w:vAlign w:val="center"/>
            <w:hideMark/>
          </w:tcPr>
          <w:p w14:paraId="1F4C8995"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3A7E924D" w14:textId="77777777">
        <w:trPr>
          <w:trHeight w:val="343"/>
        </w:trPr>
        <w:tc>
          <w:tcPr>
            <w:tcW w:w="1096" w:type="dxa"/>
            <w:shd w:val="clear" w:color="auto" w:fill="C6EFCE"/>
            <w:vAlign w:val="center"/>
            <w:hideMark/>
          </w:tcPr>
          <w:p w14:paraId="771291BC" w14:textId="77777777" w:rsidR="00FA7C11" w:rsidRDefault="00D84965">
            <w:pPr>
              <w:pStyle w:val="P68B1DB1-Normal76"/>
              <w:spacing w:after="0" w:line="240" w:lineRule="auto"/>
              <w:jc w:val="center"/>
              <w:textAlignment w:val="baseline"/>
              <w:rPr>
                <w:noProof/>
              </w:rPr>
            </w:pPr>
            <w:r>
              <w:rPr>
                <w:noProof/>
              </w:rPr>
              <w:t>382</w:t>
            </w:r>
          </w:p>
        </w:tc>
        <w:tc>
          <w:tcPr>
            <w:tcW w:w="1642" w:type="dxa"/>
            <w:shd w:val="clear" w:color="auto" w:fill="C6EFCE"/>
            <w:vAlign w:val="center"/>
            <w:hideMark/>
          </w:tcPr>
          <w:p w14:paraId="1E6DC6C5" w14:textId="77777777" w:rsidR="00FA7C11" w:rsidRDefault="00D84965">
            <w:pPr>
              <w:pStyle w:val="P68B1DB1-Normal76"/>
              <w:spacing w:after="0" w:line="240" w:lineRule="auto"/>
              <w:jc w:val="center"/>
              <w:textAlignment w:val="baseline"/>
              <w:rPr>
                <w:noProof/>
              </w:rPr>
            </w:pPr>
            <w:r>
              <w:rPr>
                <w:noProof/>
              </w:rPr>
              <w:t>C1.3. R3</w:t>
            </w:r>
          </w:p>
        </w:tc>
        <w:tc>
          <w:tcPr>
            <w:tcW w:w="1276" w:type="dxa"/>
            <w:shd w:val="clear" w:color="auto" w:fill="C6EFCE"/>
            <w:vAlign w:val="center"/>
            <w:hideMark/>
          </w:tcPr>
          <w:p w14:paraId="746F3593" w14:textId="77777777" w:rsidR="00FA7C11" w:rsidRDefault="00D84965">
            <w:pPr>
              <w:pStyle w:val="P68B1DB1-Normal76"/>
              <w:spacing w:after="0" w:line="240" w:lineRule="auto"/>
              <w:jc w:val="center"/>
              <w:textAlignment w:val="baseline"/>
              <w:rPr>
                <w:noProof/>
              </w:rPr>
            </w:pPr>
            <w:r>
              <w:rPr>
                <w:noProof/>
              </w:rPr>
              <w:t>M</w:t>
            </w:r>
          </w:p>
        </w:tc>
        <w:tc>
          <w:tcPr>
            <w:tcW w:w="5365" w:type="dxa"/>
            <w:shd w:val="clear" w:color="auto" w:fill="C6EFCE"/>
            <w:vAlign w:val="bottom"/>
            <w:hideMark/>
          </w:tcPr>
          <w:p w14:paraId="69674994" w14:textId="77777777" w:rsidR="00FA7C11" w:rsidRDefault="00D84965">
            <w:pPr>
              <w:pStyle w:val="P68B1DB1-Normal76"/>
              <w:spacing w:after="0" w:line="240" w:lineRule="auto"/>
              <w:jc w:val="both"/>
              <w:textAlignment w:val="baseline"/>
              <w:rPr>
                <w:noProof/>
              </w:rPr>
            </w:pPr>
            <w:r>
              <w:rPr>
                <w:noProof/>
              </w:rPr>
              <w:t> Adoptarea Planului național de acțiune pentru reducerea pierderilor de apă</w:t>
            </w:r>
          </w:p>
        </w:tc>
      </w:tr>
      <w:tr w:rsidR="00FA7C11" w14:paraId="5E7BD177" w14:textId="77777777">
        <w:trPr>
          <w:trHeight w:val="343"/>
        </w:trPr>
        <w:tc>
          <w:tcPr>
            <w:tcW w:w="1096" w:type="dxa"/>
            <w:shd w:val="clear" w:color="auto" w:fill="C6EFCE"/>
            <w:vAlign w:val="center"/>
            <w:hideMark/>
          </w:tcPr>
          <w:p w14:paraId="24BF5E27" w14:textId="77777777" w:rsidR="00FA7C11" w:rsidRDefault="00D84965">
            <w:pPr>
              <w:pStyle w:val="P68B1DB1-Normal76"/>
              <w:spacing w:after="0" w:line="240" w:lineRule="auto"/>
              <w:jc w:val="center"/>
              <w:textAlignment w:val="baseline"/>
              <w:rPr>
                <w:noProof/>
              </w:rPr>
            </w:pPr>
            <w:r>
              <w:rPr>
                <w:noProof/>
              </w:rPr>
              <w:t>385</w:t>
            </w:r>
          </w:p>
        </w:tc>
        <w:tc>
          <w:tcPr>
            <w:tcW w:w="1642" w:type="dxa"/>
            <w:shd w:val="clear" w:color="auto" w:fill="C6EFCE"/>
            <w:vAlign w:val="center"/>
            <w:hideMark/>
          </w:tcPr>
          <w:p w14:paraId="5C8BD143" w14:textId="77777777" w:rsidR="00FA7C11" w:rsidRDefault="00D84965">
            <w:pPr>
              <w:pStyle w:val="P68B1DB1-Normal76"/>
              <w:spacing w:after="0" w:line="240" w:lineRule="auto"/>
              <w:jc w:val="center"/>
              <w:textAlignment w:val="baseline"/>
              <w:rPr>
                <w:noProof/>
              </w:rPr>
            </w:pPr>
            <w:r>
              <w:rPr>
                <w:noProof/>
              </w:rPr>
              <w:t>C1.3. R3</w:t>
            </w:r>
          </w:p>
        </w:tc>
        <w:tc>
          <w:tcPr>
            <w:tcW w:w="1276" w:type="dxa"/>
            <w:shd w:val="clear" w:color="auto" w:fill="C6EFCE"/>
            <w:vAlign w:val="center"/>
            <w:hideMark/>
          </w:tcPr>
          <w:p w14:paraId="7AE7E209" w14:textId="77777777" w:rsidR="00FA7C11" w:rsidRDefault="00D84965">
            <w:pPr>
              <w:pStyle w:val="P68B1DB1-Normal76"/>
              <w:spacing w:after="0" w:line="240" w:lineRule="auto"/>
              <w:jc w:val="center"/>
              <w:textAlignment w:val="baseline"/>
              <w:rPr>
                <w:noProof/>
              </w:rPr>
            </w:pPr>
            <w:r>
              <w:rPr>
                <w:noProof/>
              </w:rPr>
              <w:t>M</w:t>
            </w:r>
          </w:p>
        </w:tc>
        <w:tc>
          <w:tcPr>
            <w:tcW w:w="5365" w:type="dxa"/>
            <w:shd w:val="clear" w:color="auto" w:fill="C6EFCE"/>
            <w:vAlign w:val="bottom"/>
            <w:hideMark/>
          </w:tcPr>
          <w:p w14:paraId="2CD76649" w14:textId="77777777" w:rsidR="00FA7C11" w:rsidRDefault="00D84965">
            <w:pPr>
              <w:pStyle w:val="P68B1DB1-Normal76"/>
              <w:spacing w:after="0" w:line="240" w:lineRule="auto"/>
              <w:jc w:val="both"/>
              <w:textAlignment w:val="baseline"/>
              <w:rPr>
                <w:noProof/>
              </w:rPr>
            </w:pPr>
            <w:r>
              <w:rPr>
                <w:noProof/>
              </w:rPr>
              <w:t> Intrarea în vigoare a Regulamentului privind Consiliul pentru servicii în domeniul apei</w:t>
            </w:r>
          </w:p>
        </w:tc>
      </w:tr>
      <w:tr w:rsidR="00FA7C11" w14:paraId="2EAEC6C9" w14:textId="77777777">
        <w:trPr>
          <w:trHeight w:val="343"/>
        </w:trPr>
        <w:tc>
          <w:tcPr>
            <w:tcW w:w="1096" w:type="dxa"/>
            <w:shd w:val="clear" w:color="auto" w:fill="C6EFCE"/>
            <w:vAlign w:val="center"/>
          </w:tcPr>
          <w:p w14:paraId="4F1F9EFE" w14:textId="77777777" w:rsidR="00FA7C11" w:rsidRDefault="00D84965">
            <w:pPr>
              <w:pStyle w:val="P68B1DB1-Normal76"/>
              <w:spacing w:after="0" w:line="240" w:lineRule="auto"/>
              <w:jc w:val="center"/>
              <w:textAlignment w:val="baseline"/>
              <w:rPr>
                <w:noProof/>
              </w:rPr>
            </w:pPr>
            <w:r>
              <w:rPr>
                <w:noProof/>
              </w:rPr>
              <w:t>393</w:t>
            </w:r>
          </w:p>
        </w:tc>
        <w:tc>
          <w:tcPr>
            <w:tcW w:w="1642" w:type="dxa"/>
            <w:shd w:val="clear" w:color="auto" w:fill="C6EFCE"/>
            <w:vAlign w:val="center"/>
          </w:tcPr>
          <w:p w14:paraId="0B234B2C" w14:textId="77777777" w:rsidR="00FA7C11" w:rsidRDefault="00D84965">
            <w:pPr>
              <w:pStyle w:val="P68B1DB1-Normal76"/>
              <w:spacing w:after="0" w:line="240" w:lineRule="auto"/>
              <w:jc w:val="center"/>
              <w:textAlignment w:val="baseline"/>
              <w:rPr>
                <w:noProof/>
              </w:rPr>
            </w:pPr>
            <w:r>
              <w:rPr>
                <w:noProof/>
              </w:rPr>
              <w:t>C2.2 R5</w:t>
            </w:r>
          </w:p>
        </w:tc>
        <w:tc>
          <w:tcPr>
            <w:tcW w:w="1276" w:type="dxa"/>
            <w:shd w:val="clear" w:color="auto" w:fill="C6EFCE"/>
            <w:vAlign w:val="center"/>
          </w:tcPr>
          <w:p w14:paraId="640782BE" w14:textId="77777777" w:rsidR="00FA7C11" w:rsidRDefault="00D84965">
            <w:pPr>
              <w:pStyle w:val="P68B1DB1-Normal76"/>
              <w:spacing w:after="0" w:line="240" w:lineRule="auto"/>
              <w:jc w:val="center"/>
              <w:textAlignment w:val="baseline"/>
              <w:rPr>
                <w:noProof/>
              </w:rPr>
            </w:pPr>
            <w:r>
              <w:rPr>
                <w:noProof/>
              </w:rPr>
              <w:t>M</w:t>
            </w:r>
          </w:p>
        </w:tc>
        <w:tc>
          <w:tcPr>
            <w:tcW w:w="5365" w:type="dxa"/>
            <w:shd w:val="clear" w:color="auto" w:fill="C6EFCE"/>
            <w:vAlign w:val="bottom"/>
          </w:tcPr>
          <w:p w14:paraId="0F2F8FDD" w14:textId="77777777" w:rsidR="00FA7C11" w:rsidRDefault="00D84965">
            <w:pPr>
              <w:pStyle w:val="P68B1DB1-Normal76"/>
              <w:spacing w:after="0" w:line="240" w:lineRule="auto"/>
              <w:jc w:val="both"/>
              <w:textAlignment w:val="baseline"/>
              <w:rPr>
                <w:noProof/>
              </w:rPr>
            </w:pPr>
            <w:r>
              <w:rPr>
                <w:noProof/>
              </w:rPr>
              <w:t>Intrarea în vigoare a reglementărilor care reglementează noile modele salariale și sistemul centralizat de selecție în serviciile civile și publice</w:t>
            </w:r>
          </w:p>
        </w:tc>
      </w:tr>
      <w:tr w:rsidR="00FA7C11" w14:paraId="536CD860" w14:textId="77777777">
        <w:trPr>
          <w:trHeight w:val="343"/>
        </w:trPr>
        <w:tc>
          <w:tcPr>
            <w:tcW w:w="1096" w:type="dxa"/>
            <w:shd w:val="clear" w:color="auto" w:fill="C6EFCE"/>
            <w:vAlign w:val="center"/>
          </w:tcPr>
          <w:p w14:paraId="020CDB06" w14:textId="77777777" w:rsidR="00FA7C11" w:rsidRDefault="00D84965">
            <w:pPr>
              <w:pStyle w:val="P68B1DB1-Normal76"/>
              <w:spacing w:after="0" w:line="240" w:lineRule="auto"/>
              <w:jc w:val="center"/>
              <w:textAlignment w:val="baseline"/>
              <w:rPr>
                <w:noProof/>
              </w:rPr>
            </w:pPr>
            <w:r>
              <w:rPr>
                <w:noProof/>
              </w:rPr>
              <w:t>425</w:t>
            </w:r>
          </w:p>
        </w:tc>
        <w:tc>
          <w:tcPr>
            <w:tcW w:w="1642" w:type="dxa"/>
            <w:shd w:val="clear" w:color="auto" w:fill="C6EFCE"/>
            <w:vAlign w:val="center"/>
          </w:tcPr>
          <w:p w14:paraId="423B2C07" w14:textId="77777777" w:rsidR="00FA7C11" w:rsidRDefault="00D84965">
            <w:pPr>
              <w:pStyle w:val="P68B1DB1-Normal76"/>
              <w:spacing w:after="0" w:line="240" w:lineRule="auto"/>
              <w:jc w:val="center"/>
              <w:textAlignment w:val="baseline"/>
              <w:rPr>
                <w:noProof/>
              </w:rPr>
            </w:pPr>
            <w:r>
              <w:rPr>
                <w:noProof/>
              </w:rPr>
              <w:t>C7.1 I3</w:t>
            </w:r>
          </w:p>
        </w:tc>
        <w:tc>
          <w:tcPr>
            <w:tcW w:w="1276" w:type="dxa"/>
            <w:shd w:val="clear" w:color="auto" w:fill="C6EFCE"/>
            <w:vAlign w:val="center"/>
          </w:tcPr>
          <w:p w14:paraId="7314E0E2" w14:textId="77777777" w:rsidR="00FA7C11" w:rsidRDefault="00D84965">
            <w:pPr>
              <w:pStyle w:val="P68B1DB1-Normal76"/>
              <w:spacing w:after="0" w:line="240" w:lineRule="auto"/>
              <w:jc w:val="center"/>
              <w:textAlignment w:val="baseline"/>
              <w:rPr>
                <w:noProof/>
              </w:rPr>
            </w:pPr>
            <w:r>
              <w:rPr>
                <w:noProof/>
              </w:rPr>
              <w:t>M</w:t>
            </w:r>
          </w:p>
        </w:tc>
        <w:tc>
          <w:tcPr>
            <w:tcW w:w="5365" w:type="dxa"/>
            <w:shd w:val="clear" w:color="auto" w:fill="C6EFCE"/>
          </w:tcPr>
          <w:p w14:paraId="030434DE" w14:textId="77777777" w:rsidR="00FA7C11" w:rsidRDefault="00D84965">
            <w:pPr>
              <w:pStyle w:val="P68B1DB1-Normal76"/>
              <w:spacing w:after="0" w:line="240" w:lineRule="auto"/>
              <w:jc w:val="both"/>
              <w:textAlignment w:val="baseline"/>
              <w:rPr>
                <w:noProof/>
              </w:rPr>
            </w:pPr>
            <w:r>
              <w:rPr>
                <w:noProof/>
              </w:rPr>
              <w:t>Licitație pentru achiziționarea de conducte pentru extinderea gazoductului Bosiljevo – Sisak – Kozarac</w:t>
            </w:r>
          </w:p>
        </w:tc>
      </w:tr>
      <w:tr w:rsidR="00FA7C11" w14:paraId="19165B8F" w14:textId="77777777">
        <w:trPr>
          <w:trHeight w:val="343"/>
        </w:trPr>
        <w:tc>
          <w:tcPr>
            <w:tcW w:w="1096" w:type="dxa"/>
            <w:shd w:val="clear" w:color="auto" w:fill="C6EFCE"/>
            <w:vAlign w:val="center"/>
          </w:tcPr>
          <w:p w14:paraId="11B5CFC5" w14:textId="77777777" w:rsidR="00FA7C11" w:rsidRDefault="00D84965">
            <w:pPr>
              <w:pStyle w:val="P68B1DB1-Normal76"/>
              <w:spacing w:after="0" w:line="240" w:lineRule="auto"/>
              <w:jc w:val="center"/>
              <w:textAlignment w:val="baseline"/>
              <w:rPr>
                <w:noProof/>
              </w:rPr>
            </w:pPr>
            <w:r>
              <w:rPr>
                <w:noProof/>
              </w:rPr>
              <w:t>427</w:t>
            </w:r>
          </w:p>
        </w:tc>
        <w:tc>
          <w:tcPr>
            <w:tcW w:w="1642" w:type="dxa"/>
            <w:shd w:val="clear" w:color="auto" w:fill="C6EFCE"/>
            <w:vAlign w:val="center"/>
          </w:tcPr>
          <w:p w14:paraId="06F06A79" w14:textId="77777777" w:rsidR="00FA7C11" w:rsidRDefault="00D84965">
            <w:pPr>
              <w:pStyle w:val="P68B1DB1-Normal76"/>
              <w:spacing w:after="0" w:line="240" w:lineRule="auto"/>
              <w:jc w:val="center"/>
              <w:textAlignment w:val="baseline"/>
              <w:rPr>
                <w:noProof/>
              </w:rPr>
            </w:pPr>
            <w:r>
              <w:rPr>
                <w:noProof/>
              </w:rPr>
              <w:t>C7.1 I3</w:t>
            </w:r>
          </w:p>
        </w:tc>
        <w:tc>
          <w:tcPr>
            <w:tcW w:w="1276" w:type="dxa"/>
            <w:shd w:val="clear" w:color="auto" w:fill="C6EFCE"/>
            <w:vAlign w:val="center"/>
          </w:tcPr>
          <w:p w14:paraId="50315662" w14:textId="77777777" w:rsidR="00FA7C11" w:rsidRDefault="00D84965">
            <w:pPr>
              <w:pStyle w:val="P68B1DB1-Normal76"/>
              <w:spacing w:after="0" w:line="240" w:lineRule="auto"/>
              <w:jc w:val="center"/>
              <w:textAlignment w:val="baseline"/>
              <w:rPr>
                <w:noProof/>
              </w:rPr>
            </w:pPr>
            <w:r>
              <w:rPr>
                <w:noProof/>
              </w:rPr>
              <w:t>M</w:t>
            </w:r>
          </w:p>
        </w:tc>
        <w:tc>
          <w:tcPr>
            <w:tcW w:w="5365" w:type="dxa"/>
            <w:shd w:val="clear" w:color="auto" w:fill="C6EFCE"/>
          </w:tcPr>
          <w:p w14:paraId="0FCBD0CF" w14:textId="77777777" w:rsidR="00FA7C11" w:rsidRDefault="00D84965">
            <w:pPr>
              <w:pStyle w:val="P68B1DB1-Normal76"/>
              <w:spacing w:after="0" w:line="240" w:lineRule="auto"/>
              <w:jc w:val="both"/>
              <w:textAlignment w:val="baseline"/>
              <w:rPr>
                <w:noProof/>
              </w:rPr>
            </w:pPr>
            <w:r>
              <w:rPr>
                <w:noProof/>
              </w:rPr>
              <w:t>Licitație pentru achiziționarea de conducte pentru extinderea tronsonului Lučko – Zabok al conductei de interconectare Croația-Slovenia</w:t>
            </w:r>
          </w:p>
        </w:tc>
      </w:tr>
      <w:tr w:rsidR="00FA7C11" w14:paraId="0B9C25AB" w14:textId="77777777">
        <w:trPr>
          <w:trHeight w:val="343"/>
        </w:trPr>
        <w:tc>
          <w:tcPr>
            <w:tcW w:w="1096" w:type="dxa"/>
            <w:shd w:val="clear" w:color="auto" w:fill="C6EFCE"/>
            <w:vAlign w:val="center"/>
          </w:tcPr>
          <w:p w14:paraId="09C345EF" w14:textId="77777777" w:rsidR="00FA7C11" w:rsidRDefault="00D84965">
            <w:pPr>
              <w:pStyle w:val="P68B1DB1-Normal76"/>
              <w:spacing w:after="0" w:line="240" w:lineRule="auto"/>
              <w:jc w:val="center"/>
              <w:textAlignment w:val="baseline"/>
              <w:rPr>
                <w:noProof/>
              </w:rPr>
            </w:pPr>
            <w:r>
              <w:rPr>
                <w:noProof/>
              </w:rPr>
              <w:t>438</w:t>
            </w:r>
          </w:p>
        </w:tc>
        <w:tc>
          <w:tcPr>
            <w:tcW w:w="1642" w:type="dxa"/>
            <w:shd w:val="clear" w:color="auto" w:fill="C6EFCE"/>
            <w:vAlign w:val="center"/>
          </w:tcPr>
          <w:p w14:paraId="235E9228" w14:textId="77777777" w:rsidR="00FA7C11" w:rsidRDefault="00D84965">
            <w:pPr>
              <w:pStyle w:val="P68B1DB1-Normal76"/>
              <w:spacing w:after="0" w:line="240" w:lineRule="auto"/>
              <w:jc w:val="center"/>
              <w:textAlignment w:val="baseline"/>
              <w:rPr>
                <w:noProof/>
              </w:rPr>
            </w:pPr>
            <w:r>
              <w:rPr>
                <w:noProof/>
              </w:rPr>
              <w:t>C7.2 I2</w:t>
            </w:r>
          </w:p>
        </w:tc>
        <w:tc>
          <w:tcPr>
            <w:tcW w:w="1276" w:type="dxa"/>
            <w:shd w:val="clear" w:color="auto" w:fill="C6EFCE"/>
            <w:vAlign w:val="center"/>
          </w:tcPr>
          <w:p w14:paraId="7E19C213" w14:textId="77777777" w:rsidR="00FA7C11" w:rsidRDefault="00D84965">
            <w:pPr>
              <w:pStyle w:val="P68B1DB1-Normal76"/>
              <w:spacing w:after="0" w:line="240" w:lineRule="auto"/>
              <w:jc w:val="center"/>
              <w:textAlignment w:val="baseline"/>
              <w:rPr>
                <w:noProof/>
              </w:rPr>
            </w:pPr>
            <w:r>
              <w:rPr>
                <w:noProof/>
              </w:rPr>
              <w:t>T</w:t>
            </w:r>
          </w:p>
        </w:tc>
        <w:tc>
          <w:tcPr>
            <w:tcW w:w="5365" w:type="dxa"/>
            <w:shd w:val="clear" w:color="auto" w:fill="C6EFCE"/>
          </w:tcPr>
          <w:p w14:paraId="3D373FEC" w14:textId="77777777" w:rsidR="00FA7C11" w:rsidRDefault="00D84965">
            <w:pPr>
              <w:pStyle w:val="P68B1DB1-Normal76"/>
              <w:spacing w:after="0" w:line="240" w:lineRule="auto"/>
              <w:jc w:val="both"/>
              <w:textAlignment w:val="baseline"/>
              <w:rPr>
                <w:noProof/>
              </w:rPr>
            </w:pPr>
            <w:r>
              <w:rPr>
                <w:noProof/>
              </w:rPr>
              <w:t>Contracte semnate pentru renovarea energetică a imobilelor colective afectate de cutremure</w:t>
            </w:r>
          </w:p>
        </w:tc>
      </w:tr>
      <w:tr w:rsidR="00FA7C11" w14:paraId="0095186C" w14:textId="77777777">
        <w:trPr>
          <w:trHeight w:val="343"/>
        </w:trPr>
        <w:tc>
          <w:tcPr>
            <w:tcW w:w="1096" w:type="dxa"/>
            <w:shd w:val="clear" w:color="auto" w:fill="C6EFCE"/>
            <w:vAlign w:val="bottom"/>
            <w:hideMark/>
          </w:tcPr>
          <w:p w14:paraId="005DB7F0" w14:textId="77777777" w:rsidR="00FA7C11" w:rsidRDefault="00D84965">
            <w:pPr>
              <w:pStyle w:val="P68B1DB1-Normal135"/>
              <w:spacing w:after="0" w:line="240" w:lineRule="auto"/>
              <w:jc w:val="center"/>
              <w:textAlignment w:val="baseline"/>
              <w:rPr>
                <w:noProof/>
              </w:rPr>
            </w:pPr>
            <w:r>
              <w:rPr>
                <w:noProof/>
              </w:rPr>
              <w:t> </w:t>
            </w:r>
          </w:p>
        </w:tc>
        <w:tc>
          <w:tcPr>
            <w:tcW w:w="1642" w:type="dxa"/>
            <w:shd w:val="clear" w:color="auto" w:fill="C6EFCE"/>
            <w:vAlign w:val="bottom"/>
            <w:hideMark/>
          </w:tcPr>
          <w:p w14:paraId="2666291D" w14:textId="77777777" w:rsidR="00FA7C11" w:rsidRDefault="00D84965">
            <w:pPr>
              <w:pStyle w:val="P68B1DB1-Normal135"/>
              <w:spacing w:after="0" w:line="240" w:lineRule="auto"/>
              <w:jc w:val="both"/>
              <w:textAlignment w:val="baseline"/>
              <w:rPr>
                <w:noProof/>
              </w:rPr>
            </w:pPr>
            <w:r>
              <w:rPr>
                <w:noProof/>
              </w:rPr>
              <w:t> </w:t>
            </w:r>
          </w:p>
        </w:tc>
        <w:tc>
          <w:tcPr>
            <w:tcW w:w="1276" w:type="dxa"/>
            <w:shd w:val="clear" w:color="auto" w:fill="C6EFCE"/>
            <w:vAlign w:val="bottom"/>
            <w:hideMark/>
          </w:tcPr>
          <w:p w14:paraId="3843F67C" w14:textId="77777777" w:rsidR="00FA7C11" w:rsidRDefault="00D84965">
            <w:pPr>
              <w:pStyle w:val="P68B1DB1-Normal76"/>
              <w:spacing w:after="0" w:line="240" w:lineRule="auto"/>
              <w:jc w:val="both"/>
              <w:textAlignment w:val="baseline"/>
              <w:rPr>
                <w:noProof/>
              </w:rPr>
            </w:pPr>
            <w:r>
              <w:rPr>
                <w:noProof/>
              </w:rPr>
              <w:t>Cuantumul tranșei </w:t>
            </w:r>
          </w:p>
        </w:tc>
        <w:tc>
          <w:tcPr>
            <w:tcW w:w="5365" w:type="dxa"/>
            <w:shd w:val="clear" w:color="auto" w:fill="C6EFCE"/>
            <w:vAlign w:val="bottom"/>
            <w:hideMark/>
          </w:tcPr>
          <w:p w14:paraId="2253B6B6" w14:textId="77777777" w:rsidR="00FA7C11" w:rsidRDefault="00D84965">
            <w:pPr>
              <w:pStyle w:val="P68B1DB1-Normal144"/>
              <w:spacing w:after="0" w:line="240" w:lineRule="auto"/>
              <w:jc w:val="both"/>
              <w:textAlignment w:val="baseline"/>
              <w:rPr>
                <w:noProof/>
                <w:sz w:val="20"/>
                <w:szCs w:val="20"/>
              </w:rPr>
            </w:pPr>
            <w:r>
              <w:rPr>
                <w:noProof/>
                <w:sz w:val="20"/>
                <w:szCs w:val="20"/>
              </w:rPr>
              <w:t>455</w:t>
            </w:r>
            <w:r>
              <w:rPr>
                <w:noProof/>
                <w:sz w:val="24"/>
                <w:szCs w:val="28"/>
              </w:rPr>
              <w:t xml:space="preserve"> </w:t>
            </w:r>
            <w:r>
              <w:rPr>
                <w:noProof/>
                <w:sz w:val="20"/>
                <w:szCs w:val="20"/>
              </w:rPr>
              <w:t>802</w:t>
            </w:r>
            <w:r>
              <w:rPr>
                <w:noProof/>
                <w:sz w:val="24"/>
                <w:szCs w:val="28"/>
              </w:rPr>
              <w:t xml:space="preserve"> </w:t>
            </w:r>
            <w:r>
              <w:rPr>
                <w:noProof/>
                <w:sz w:val="20"/>
                <w:szCs w:val="20"/>
              </w:rPr>
              <w:t>533 MIL.</w:t>
            </w:r>
          </w:p>
        </w:tc>
      </w:tr>
    </w:tbl>
    <w:p w14:paraId="72D69277" w14:textId="77777777" w:rsidR="00FA7C11" w:rsidRDefault="00D84965">
      <w:pPr>
        <w:pStyle w:val="P68B1DB1-Normal142"/>
        <w:spacing w:after="0" w:line="240" w:lineRule="auto"/>
        <w:jc w:val="both"/>
        <w:textAlignment w:val="baseline"/>
        <w:rPr>
          <w:noProof/>
        </w:rPr>
      </w:pPr>
      <w:r>
        <w:rPr>
          <w:noProof/>
        </w:rPr>
        <w:t> </w:t>
      </w:r>
    </w:p>
    <w:p w14:paraId="2CBDD804" w14:textId="77777777" w:rsidR="00FA7C11" w:rsidRDefault="00FA7C11">
      <w:pPr>
        <w:spacing w:after="0" w:line="240" w:lineRule="auto"/>
        <w:jc w:val="both"/>
        <w:textAlignment w:val="baseline"/>
        <w:rPr>
          <w:rFonts w:ascii="Times New Roman" w:eastAsia="Times New Roman" w:hAnsi="Times New Roman" w:cs="Times New Roman"/>
          <w:noProof/>
          <w:szCs w:val="24"/>
        </w:rPr>
      </w:pPr>
    </w:p>
    <w:p w14:paraId="0A14EF58" w14:textId="0F5C94A9" w:rsidR="00FA7C11" w:rsidRDefault="00D84965">
      <w:pPr>
        <w:pStyle w:val="P68B1DB1-Normal83"/>
        <w:numPr>
          <w:ilvl w:val="0"/>
          <w:numId w:val="81"/>
        </w:numPr>
        <w:spacing w:line="240" w:lineRule="auto"/>
        <w:contextualSpacing/>
        <w:jc w:val="both"/>
        <w:textAlignment w:val="baseline"/>
        <w:rPr>
          <w:noProof/>
        </w:rPr>
      </w:pPr>
      <w:r>
        <w:rPr>
          <w:noProof/>
        </w:rPr>
        <w:t xml:space="preserve">A treia tranșă (sprijin sub formă de împrumut): </w:t>
      </w:r>
    </w:p>
    <w:p w14:paraId="602EA6EF" w14:textId="77777777" w:rsidR="00FA7C11" w:rsidRDefault="00FA7C11">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36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4"/>
        <w:gridCol w:w="1630"/>
        <w:gridCol w:w="1349"/>
        <w:gridCol w:w="5292"/>
      </w:tblGrid>
      <w:tr w:rsidR="00FA7C11" w14:paraId="7BEF4EB0" w14:textId="77777777">
        <w:trPr>
          <w:trHeight w:val="948"/>
          <w:tblHeader/>
        </w:trPr>
        <w:tc>
          <w:tcPr>
            <w:tcW w:w="1097" w:type="dxa"/>
            <w:shd w:val="clear" w:color="auto" w:fill="BDD7EE"/>
            <w:vAlign w:val="center"/>
            <w:hideMark/>
          </w:tcPr>
          <w:p w14:paraId="78C6FFDA"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41" w:type="dxa"/>
            <w:shd w:val="clear" w:color="auto" w:fill="BDD7EE"/>
            <w:vAlign w:val="center"/>
            <w:hideMark/>
          </w:tcPr>
          <w:p w14:paraId="05525705"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276" w:type="dxa"/>
            <w:shd w:val="clear" w:color="auto" w:fill="BDD7EE"/>
            <w:vAlign w:val="center"/>
            <w:hideMark/>
          </w:tcPr>
          <w:p w14:paraId="42E10201"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351" w:type="dxa"/>
            <w:shd w:val="clear" w:color="auto" w:fill="BDD7EE"/>
            <w:vAlign w:val="center"/>
            <w:hideMark/>
          </w:tcPr>
          <w:p w14:paraId="4D16BA20"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5C4A76FC" w14:textId="77777777">
        <w:trPr>
          <w:trHeight w:val="316"/>
        </w:trPr>
        <w:tc>
          <w:tcPr>
            <w:tcW w:w="1097" w:type="dxa"/>
            <w:shd w:val="clear" w:color="auto" w:fill="C6EFCE"/>
            <w:vAlign w:val="center"/>
          </w:tcPr>
          <w:p w14:paraId="26AAB9D0" w14:textId="77777777" w:rsidR="00FA7C11" w:rsidRDefault="00D84965">
            <w:pPr>
              <w:pStyle w:val="P68B1DB1-Normal76"/>
              <w:spacing w:after="0" w:line="240" w:lineRule="auto"/>
              <w:jc w:val="center"/>
              <w:textAlignment w:val="baseline"/>
              <w:rPr>
                <w:noProof/>
              </w:rPr>
            </w:pPr>
            <w:r>
              <w:rPr>
                <w:noProof/>
              </w:rPr>
              <w:t>154</w:t>
            </w:r>
          </w:p>
        </w:tc>
        <w:tc>
          <w:tcPr>
            <w:tcW w:w="1641" w:type="dxa"/>
            <w:shd w:val="clear" w:color="auto" w:fill="C6EFCE"/>
            <w:vAlign w:val="center"/>
          </w:tcPr>
          <w:p w14:paraId="7EA72E69" w14:textId="77777777" w:rsidR="00FA7C11" w:rsidRDefault="00D84965">
            <w:pPr>
              <w:pStyle w:val="P68B1DB1-Normal76"/>
              <w:spacing w:after="0" w:line="240" w:lineRule="auto"/>
              <w:jc w:val="center"/>
              <w:textAlignment w:val="baseline"/>
              <w:rPr>
                <w:noProof/>
              </w:rPr>
            </w:pPr>
            <w:r>
              <w:rPr>
                <w:noProof/>
              </w:rPr>
              <w:t>C2.1. R1-I2</w:t>
            </w:r>
          </w:p>
        </w:tc>
        <w:tc>
          <w:tcPr>
            <w:tcW w:w="1276" w:type="dxa"/>
            <w:shd w:val="clear" w:color="auto" w:fill="C6EFCE"/>
            <w:vAlign w:val="center"/>
          </w:tcPr>
          <w:p w14:paraId="6EAC67C8" w14:textId="77777777" w:rsidR="00FA7C11" w:rsidRDefault="00D84965">
            <w:pPr>
              <w:pStyle w:val="P68B1DB1-Normal76"/>
              <w:spacing w:after="0" w:line="240" w:lineRule="auto"/>
              <w:jc w:val="center"/>
              <w:textAlignment w:val="baseline"/>
              <w:rPr>
                <w:noProof/>
              </w:rPr>
            </w:pPr>
            <w:r>
              <w:rPr>
                <w:noProof/>
              </w:rPr>
              <w:t>T</w:t>
            </w:r>
          </w:p>
        </w:tc>
        <w:tc>
          <w:tcPr>
            <w:tcW w:w="5351" w:type="dxa"/>
            <w:shd w:val="clear" w:color="auto" w:fill="C6EFCE"/>
            <w:vAlign w:val="bottom"/>
          </w:tcPr>
          <w:p w14:paraId="67164463" w14:textId="77777777" w:rsidR="00FA7C11" w:rsidRDefault="00D84965">
            <w:pPr>
              <w:pStyle w:val="P68B1DB1-Normal76"/>
              <w:spacing w:after="0" w:line="240" w:lineRule="auto"/>
              <w:textAlignment w:val="baseline"/>
              <w:rPr>
                <w:noProof/>
              </w:rPr>
            </w:pPr>
            <w:r>
              <w:rPr>
                <w:noProof/>
              </w:rPr>
              <w:t>Module de formare pentru planificarea strategică și evaluarea impactului reglementărilor la nivel național, regional și local</w:t>
            </w:r>
          </w:p>
        </w:tc>
      </w:tr>
      <w:tr w:rsidR="00FA7C11" w14:paraId="79CC8AD6" w14:textId="77777777">
        <w:trPr>
          <w:trHeight w:val="316"/>
        </w:trPr>
        <w:tc>
          <w:tcPr>
            <w:tcW w:w="1097" w:type="dxa"/>
            <w:shd w:val="clear" w:color="auto" w:fill="C6EFCE"/>
            <w:vAlign w:val="center"/>
          </w:tcPr>
          <w:p w14:paraId="2FC38667" w14:textId="77777777" w:rsidR="00FA7C11" w:rsidRDefault="00D84965">
            <w:pPr>
              <w:pStyle w:val="P68B1DB1-Normal89"/>
              <w:spacing w:after="0" w:line="240" w:lineRule="auto"/>
              <w:jc w:val="center"/>
              <w:textAlignment w:val="baseline"/>
              <w:rPr>
                <w:rFonts w:eastAsia="Times New Roman"/>
                <w:noProof/>
              </w:rPr>
            </w:pPr>
            <w:r>
              <w:rPr>
                <w:noProof/>
              </w:rPr>
              <w:t>315</w:t>
            </w:r>
          </w:p>
        </w:tc>
        <w:tc>
          <w:tcPr>
            <w:tcW w:w="1641" w:type="dxa"/>
            <w:shd w:val="clear" w:color="auto" w:fill="C6EFCE"/>
            <w:vAlign w:val="center"/>
          </w:tcPr>
          <w:p w14:paraId="7B07E39F" w14:textId="77777777" w:rsidR="00FA7C11" w:rsidRDefault="00D84965">
            <w:pPr>
              <w:pStyle w:val="P68B1DB1-Normal89"/>
              <w:spacing w:after="0" w:line="240" w:lineRule="auto"/>
              <w:jc w:val="center"/>
              <w:textAlignment w:val="baseline"/>
              <w:rPr>
                <w:rFonts w:eastAsia="Times New Roman"/>
                <w:noProof/>
              </w:rPr>
            </w:pPr>
            <w:r>
              <w:rPr>
                <w:noProof/>
              </w:rPr>
              <w:t>C4.3. R3-I2</w:t>
            </w:r>
          </w:p>
        </w:tc>
        <w:tc>
          <w:tcPr>
            <w:tcW w:w="1276" w:type="dxa"/>
            <w:shd w:val="clear" w:color="auto" w:fill="C6EFCE"/>
            <w:vAlign w:val="center"/>
          </w:tcPr>
          <w:p w14:paraId="78B45287" w14:textId="77777777" w:rsidR="00FA7C11" w:rsidRDefault="00D84965">
            <w:pPr>
              <w:pStyle w:val="P68B1DB1-Normal89"/>
              <w:spacing w:after="0" w:line="240" w:lineRule="auto"/>
              <w:jc w:val="center"/>
              <w:textAlignment w:val="baseline"/>
              <w:rPr>
                <w:rFonts w:eastAsia="Times New Roman"/>
                <w:noProof/>
              </w:rPr>
            </w:pPr>
            <w:r>
              <w:rPr>
                <w:noProof/>
              </w:rPr>
              <w:t>T</w:t>
            </w:r>
          </w:p>
        </w:tc>
        <w:tc>
          <w:tcPr>
            <w:tcW w:w="5351" w:type="dxa"/>
            <w:shd w:val="clear" w:color="auto" w:fill="C6EFCE"/>
            <w:vAlign w:val="center"/>
          </w:tcPr>
          <w:p w14:paraId="38CF0A57" w14:textId="77777777" w:rsidR="00FA7C11" w:rsidRDefault="00D84965">
            <w:pPr>
              <w:pStyle w:val="P68B1DB1-Normal89"/>
              <w:spacing w:after="0" w:line="240" w:lineRule="auto"/>
              <w:textAlignment w:val="baseline"/>
              <w:rPr>
                <w:rFonts w:eastAsia="Times New Roman"/>
                <w:noProof/>
              </w:rPr>
            </w:pPr>
            <w:r>
              <w:rPr>
                <w:noProof/>
              </w:rPr>
              <w:t>Sistemul de informații unic (sistemul de informații SocSkrb)</w:t>
            </w:r>
          </w:p>
        </w:tc>
      </w:tr>
      <w:tr w:rsidR="00FA7C11" w14:paraId="5A8AA936" w14:textId="77777777">
        <w:trPr>
          <w:trHeight w:val="316"/>
        </w:trPr>
        <w:tc>
          <w:tcPr>
            <w:tcW w:w="1097" w:type="dxa"/>
            <w:shd w:val="clear" w:color="auto" w:fill="C6EFCE"/>
            <w:vAlign w:val="center"/>
            <w:hideMark/>
          </w:tcPr>
          <w:p w14:paraId="36F72EC6" w14:textId="77777777" w:rsidR="00FA7C11" w:rsidRDefault="00D84965">
            <w:pPr>
              <w:pStyle w:val="P68B1DB1-Normal76"/>
              <w:spacing w:after="0" w:line="240" w:lineRule="auto"/>
              <w:jc w:val="center"/>
              <w:textAlignment w:val="baseline"/>
              <w:rPr>
                <w:noProof/>
              </w:rPr>
            </w:pPr>
            <w:r>
              <w:rPr>
                <w:noProof/>
              </w:rPr>
              <w:t>373</w:t>
            </w:r>
          </w:p>
        </w:tc>
        <w:tc>
          <w:tcPr>
            <w:tcW w:w="1641" w:type="dxa"/>
            <w:shd w:val="clear" w:color="auto" w:fill="C6EFCE"/>
            <w:vAlign w:val="center"/>
            <w:hideMark/>
          </w:tcPr>
          <w:p w14:paraId="43CA45A9" w14:textId="77777777" w:rsidR="00FA7C11" w:rsidRDefault="00D84965">
            <w:pPr>
              <w:pStyle w:val="P68B1DB1-Normal76"/>
              <w:spacing w:after="0" w:line="240" w:lineRule="auto"/>
              <w:jc w:val="center"/>
              <w:textAlignment w:val="baseline"/>
              <w:rPr>
                <w:noProof/>
              </w:rPr>
            </w:pPr>
            <w:r>
              <w:rPr>
                <w:noProof/>
              </w:rPr>
              <w:t>C1.1.1.R5</w:t>
            </w:r>
          </w:p>
        </w:tc>
        <w:tc>
          <w:tcPr>
            <w:tcW w:w="1276" w:type="dxa"/>
            <w:shd w:val="clear" w:color="auto" w:fill="C6EFCE"/>
            <w:vAlign w:val="center"/>
            <w:hideMark/>
          </w:tcPr>
          <w:p w14:paraId="41DF352B" w14:textId="77777777" w:rsidR="00FA7C11" w:rsidRDefault="00D84965">
            <w:pPr>
              <w:pStyle w:val="P68B1DB1-Normal76"/>
              <w:spacing w:after="0" w:line="240" w:lineRule="auto"/>
              <w:jc w:val="center"/>
              <w:textAlignment w:val="baseline"/>
              <w:rPr>
                <w:noProof/>
              </w:rPr>
            </w:pPr>
            <w:r>
              <w:rPr>
                <w:noProof/>
              </w:rPr>
              <w:t>M</w:t>
            </w:r>
          </w:p>
        </w:tc>
        <w:tc>
          <w:tcPr>
            <w:tcW w:w="5351" w:type="dxa"/>
            <w:shd w:val="clear" w:color="auto" w:fill="C6EFCE"/>
            <w:vAlign w:val="bottom"/>
            <w:hideMark/>
          </w:tcPr>
          <w:p w14:paraId="2B07851E" w14:textId="77777777" w:rsidR="00FA7C11" w:rsidRDefault="00D84965">
            <w:pPr>
              <w:pStyle w:val="P68B1DB1-Normal76"/>
              <w:spacing w:after="0" w:line="240" w:lineRule="auto"/>
              <w:textAlignment w:val="baseline"/>
              <w:rPr>
                <w:noProof/>
              </w:rPr>
            </w:pPr>
            <w:r>
              <w:rPr>
                <w:noProof/>
              </w:rPr>
              <w:t>Adoptarea cadrului strategic pentru dezvoltarea pieței de capital în Croația și a planului de acțiune aferent</w:t>
            </w:r>
          </w:p>
        </w:tc>
      </w:tr>
      <w:tr w:rsidR="00FA7C11" w14:paraId="650C10A1" w14:textId="77777777">
        <w:trPr>
          <w:trHeight w:val="316"/>
        </w:trPr>
        <w:tc>
          <w:tcPr>
            <w:tcW w:w="1097" w:type="dxa"/>
            <w:shd w:val="clear" w:color="auto" w:fill="C6EFCE"/>
            <w:vAlign w:val="center"/>
            <w:hideMark/>
          </w:tcPr>
          <w:p w14:paraId="148A6A3E" w14:textId="77777777" w:rsidR="00FA7C11" w:rsidRDefault="00D84965">
            <w:pPr>
              <w:pStyle w:val="P68B1DB1-Normal76"/>
              <w:spacing w:after="0" w:line="240" w:lineRule="auto"/>
              <w:jc w:val="center"/>
              <w:textAlignment w:val="baseline"/>
              <w:rPr>
                <w:noProof/>
              </w:rPr>
            </w:pPr>
            <w:r>
              <w:rPr>
                <w:noProof/>
              </w:rPr>
              <w:t>383</w:t>
            </w:r>
          </w:p>
        </w:tc>
        <w:tc>
          <w:tcPr>
            <w:tcW w:w="1641" w:type="dxa"/>
            <w:shd w:val="clear" w:color="auto" w:fill="C6EFCE"/>
            <w:vAlign w:val="center"/>
            <w:hideMark/>
          </w:tcPr>
          <w:p w14:paraId="1D1A7609" w14:textId="77777777" w:rsidR="00FA7C11" w:rsidRDefault="00D84965">
            <w:pPr>
              <w:pStyle w:val="P68B1DB1-Normal76"/>
              <w:spacing w:after="0" w:line="240" w:lineRule="auto"/>
              <w:jc w:val="center"/>
              <w:textAlignment w:val="baseline"/>
              <w:rPr>
                <w:noProof/>
              </w:rPr>
            </w:pPr>
            <w:r>
              <w:rPr>
                <w:noProof/>
              </w:rPr>
              <w:t>C1.3. R3</w:t>
            </w:r>
          </w:p>
        </w:tc>
        <w:tc>
          <w:tcPr>
            <w:tcW w:w="1276" w:type="dxa"/>
            <w:shd w:val="clear" w:color="auto" w:fill="C6EFCE"/>
            <w:vAlign w:val="center"/>
            <w:hideMark/>
          </w:tcPr>
          <w:p w14:paraId="1B2F02E0" w14:textId="77777777" w:rsidR="00FA7C11" w:rsidRDefault="00D84965">
            <w:pPr>
              <w:pStyle w:val="P68B1DB1-Normal76"/>
              <w:spacing w:after="0" w:line="240" w:lineRule="auto"/>
              <w:jc w:val="center"/>
              <w:textAlignment w:val="baseline"/>
              <w:rPr>
                <w:noProof/>
              </w:rPr>
            </w:pPr>
            <w:r>
              <w:rPr>
                <w:noProof/>
              </w:rPr>
              <w:t>M</w:t>
            </w:r>
          </w:p>
        </w:tc>
        <w:tc>
          <w:tcPr>
            <w:tcW w:w="5351" w:type="dxa"/>
            <w:shd w:val="clear" w:color="auto" w:fill="C6EFCE"/>
            <w:vAlign w:val="bottom"/>
            <w:hideMark/>
          </w:tcPr>
          <w:p w14:paraId="758E096A" w14:textId="77777777" w:rsidR="00FA7C11" w:rsidRDefault="00D84965">
            <w:pPr>
              <w:pStyle w:val="P68B1DB1-Normal76"/>
              <w:spacing w:after="0" w:line="240" w:lineRule="auto"/>
              <w:textAlignment w:val="baseline"/>
              <w:rPr>
                <w:noProof/>
              </w:rPr>
            </w:pPr>
            <w:r>
              <w:rPr>
                <w:noProof/>
              </w:rPr>
              <w:t>Autoritatea Națională de Monitorizare a Pierderilor de Apă Înființată</w:t>
            </w:r>
          </w:p>
        </w:tc>
      </w:tr>
      <w:tr w:rsidR="00FA7C11" w14:paraId="7612B8AE" w14:textId="77777777">
        <w:trPr>
          <w:trHeight w:val="316"/>
        </w:trPr>
        <w:tc>
          <w:tcPr>
            <w:tcW w:w="1097" w:type="dxa"/>
            <w:shd w:val="clear" w:color="auto" w:fill="C6EFCE"/>
            <w:vAlign w:val="center"/>
          </w:tcPr>
          <w:p w14:paraId="1AE6EAB3" w14:textId="77777777" w:rsidR="00FA7C11" w:rsidRDefault="00D84965">
            <w:pPr>
              <w:pStyle w:val="P68B1DB1-Normal76"/>
              <w:spacing w:after="0" w:line="240" w:lineRule="auto"/>
              <w:jc w:val="center"/>
              <w:textAlignment w:val="baseline"/>
              <w:rPr>
                <w:noProof/>
              </w:rPr>
            </w:pPr>
            <w:r>
              <w:rPr>
                <w:noProof/>
              </w:rPr>
              <w:t>386</w:t>
            </w:r>
          </w:p>
        </w:tc>
        <w:tc>
          <w:tcPr>
            <w:tcW w:w="1641" w:type="dxa"/>
            <w:shd w:val="clear" w:color="auto" w:fill="C6EFCE"/>
            <w:vAlign w:val="center"/>
          </w:tcPr>
          <w:p w14:paraId="27C69252" w14:textId="77777777" w:rsidR="00FA7C11" w:rsidRDefault="00D84965">
            <w:pPr>
              <w:pStyle w:val="P68B1DB1-Normal76"/>
              <w:spacing w:after="0" w:line="240" w:lineRule="auto"/>
              <w:jc w:val="center"/>
              <w:textAlignment w:val="baseline"/>
              <w:rPr>
                <w:noProof/>
              </w:rPr>
            </w:pPr>
            <w:r>
              <w:rPr>
                <w:noProof/>
              </w:rPr>
              <w:t>C1.3. R3</w:t>
            </w:r>
          </w:p>
        </w:tc>
        <w:tc>
          <w:tcPr>
            <w:tcW w:w="1276" w:type="dxa"/>
            <w:shd w:val="clear" w:color="auto" w:fill="C6EFCE"/>
            <w:vAlign w:val="center"/>
          </w:tcPr>
          <w:p w14:paraId="07E81D99" w14:textId="77777777" w:rsidR="00FA7C11" w:rsidRDefault="00D84965">
            <w:pPr>
              <w:pStyle w:val="P68B1DB1-Normal76"/>
              <w:spacing w:after="0" w:line="240" w:lineRule="auto"/>
              <w:jc w:val="center"/>
              <w:textAlignment w:val="baseline"/>
              <w:rPr>
                <w:noProof/>
              </w:rPr>
            </w:pPr>
            <w:r>
              <w:rPr>
                <w:noProof/>
              </w:rPr>
              <w:t>T</w:t>
            </w:r>
          </w:p>
        </w:tc>
        <w:tc>
          <w:tcPr>
            <w:tcW w:w="5351" w:type="dxa"/>
            <w:shd w:val="clear" w:color="auto" w:fill="C6EFCE"/>
            <w:vAlign w:val="bottom"/>
          </w:tcPr>
          <w:p w14:paraId="6EC426D5" w14:textId="77777777" w:rsidR="00FA7C11" w:rsidRDefault="00D84965">
            <w:pPr>
              <w:pStyle w:val="P68B1DB1-Normal76"/>
              <w:spacing w:after="0" w:line="240" w:lineRule="auto"/>
              <w:textAlignment w:val="baseline"/>
              <w:rPr>
                <w:noProof/>
              </w:rPr>
            </w:pPr>
            <w:r>
              <w:rPr>
                <w:noProof/>
              </w:rPr>
              <w:t>Consolidarea capacităților Consiliului pentru servicii în domeniul apei</w:t>
            </w:r>
          </w:p>
        </w:tc>
      </w:tr>
      <w:tr w:rsidR="00FA7C11" w14:paraId="1AEA3017" w14:textId="77777777">
        <w:trPr>
          <w:trHeight w:val="316"/>
        </w:trPr>
        <w:tc>
          <w:tcPr>
            <w:tcW w:w="1097" w:type="dxa"/>
            <w:shd w:val="clear" w:color="auto" w:fill="C6EFCE"/>
            <w:vAlign w:val="center"/>
          </w:tcPr>
          <w:p w14:paraId="4743DC6D" w14:textId="77777777" w:rsidR="00FA7C11" w:rsidRDefault="00D84965">
            <w:pPr>
              <w:pStyle w:val="P68B1DB1-Normal89"/>
              <w:spacing w:after="0" w:line="240" w:lineRule="auto"/>
              <w:jc w:val="center"/>
              <w:textAlignment w:val="baseline"/>
              <w:rPr>
                <w:noProof/>
              </w:rPr>
            </w:pPr>
            <w:r>
              <w:rPr>
                <w:noProof/>
              </w:rPr>
              <w:t>402</w:t>
            </w:r>
          </w:p>
        </w:tc>
        <w:tc>
          <w:tcPr>
            <w:tcW w:w="1641" w:type="dxa"/>
            <w:shd w:val="clear" w:color="auto" w:fill="C6EFCE"/>
            <w:vAlign w:val="center"/>
          </w:tcPr>
          <w:p w14:paraId="116C2D1F" w14:textId="77777777" w:rsidR="00FA7C11" w:rsidRDefault="00D84965">
            <w:pPr>
              <w:pStyle w:val="P68B1DB1-Normal76"/>
              <w:spacing w:after="0" w:line="240" w:lineRule="auto"/>
              <w:jc w:val="center"/>
              <w:textAlignment w:val="baseline"/>
              <w:rPr>
                <w:noProof/>
              </w:rPr>
            </w:pPr>
            <w:r>
              <w:rPr>
                <w:noProof/>
              </w:rPr>
              <w:t>C6.1. R7</w:t>
            </w:r>
          </w:p>
          <w:p w14:paraId="7E0BCAD6" w14:textId="77777777" w:rsidR="00FA7C11" w:rsidRDefault="00FA7C11">
            <w:pPr>
              <w:spacing w:after="0" w:line="240" w:lineRule="auto"/>
              <w:jc w:val="center"/>
              <w:textAlignment w:val="baseline"/>
              <w:rPr>
                <w:rFonts w:ascii="Times New Roman" w:hAnsi="Times New Roman" w:cs="Times New Roman"/>
                <w:noProof/>
                <w:sz w:val="20"/>
                <w:szCs w:val="20"/>
              </w:rPr>
            </w:pPr>
          </w:p>
        </w:tc>
        <w:tc>
          <w:tcPr>
            <w:tcW w:w="1276" w:type="dxa"/>
            <w:shd w:val="clear" w:color="auto" w:fill="C6EFCE"/>
            <w:vAlign w:val="center"/>
          </w:tcPr>
          <w:p w14:paraId="25716603" w14:textId="77777777" w:rsidR="00FA7C11" w:rsidRDefault="00D84965">
            <w:pPr>
              <w:pStyle w:val="P68B1DB1-Normal76"/>
              <w:spacing w:after="0" w:line="240" w:lineRule="auto"/>
              <w:jc w:val="center"/>
              <w:textAlignment w:val="baseline"/>
              <w:rPr>
                <w:noProof/>
              </w:rPr>
            </w:pPr>
            <w:r>
              <w:rPr>
                <w:noProof/>
              </w:rPr>
              <w:t>M</w:t>
            </w:r>
          </w:p>
        </w:tc>
        <w:tc>
          <w:tcPr>
            <w:tcW w:w="5351" w:type="dxa"/>
            <w:shd w:val="clear" w:color="auto" w:fill="C6EFCE"/>
            <w:vAlign w:val="center"/>
          </w:tcPr>
          <w:p w14:paraId="0A6334B8" w14:textId="71976187" w:rsidR="00FA7C11" w:rsidRDefault="00D84965">
            <w:pPr>
              <w:pStyle w:val="P68B1DB1-Normal76"/>
              <w:spacing w:after="0" w:line="240" w:lineRule="auto"/>
              <w:textAlignment w:val="baseline"/>
              <w:rPr>
                <w:noProof/>
              </w:rPr>
            </w:pPr>
            <w:r>
              <w:rPr>
                <w:noProof/>
              </w:rPr>
              <w:t xml:space="preserve">Acorduri semnate privind punerea în aplicare a proiectelor-pilot </w:t>
            </w:r>
          </w:p>
        </w:tc>
      </w:tr>
      <w:tr w:rsidR="00FA7C11" w14:paraId="1BB77AB8" w14:textId="77777777">
        <w:trPr>
          <w:trHeight w:val="316"/>
        </w:trPr>
        <w:tc>
          <w:tcPr>
            <w:tcW w:w="1097" w:type="dxa"/>
            <w:shd w:val="clear" w:color="auto" w:fill="C6EFCE"/>
            <w:vAlign w:val="bottom"/>
            <w:hideMark/>
          </w:tcPr>
          <w:p w14:paraId="2543B381" w14:textId="77777777" w:rsidR="00FA7C11" w:rsidRDefault="00D84965">
            <w:pPr>
              <w:pStyle w:val="P68B1DB1-Normal76"/>
              <w:spacing w:after="0" w:line="240" w:lineRule="auto"/>
              <w:jc w:val="center"/>
              <w:textAlignment w:val="baseline"/>
              <w:rPr>
                <w:noProof/>
              </w:rPr>
            </w:pPr>
            <w:r>
              <w:rPr>
                <w:noProof/>
              </w:rPr>
              <w:t> </w:t>
            </w:r>
          </w:p>
        </w:tc>
        <w:tc>
          <w:tcPr>
            <w:tcW w:w="1641" w:type="dxa"/>
            <w:shd w:val="clear" w:color="auto" w:fill="C6EFCE"/>
            <w:vAlign w:val="bottom"/>
            <w:hideMark/>
          </w:tcPr>
          <w:p w14:paraId="314A2AD7" w14:textId="77777777" w:rsidR="00FA7C11" w:rsidRDefault="00D84965">
            <w:pPr>
              <w:pStyle w:val="P68B1DB1-Normal76"/>
              <w:spacing w:after="0" w:line="240" w:lineRule="auto"/>
              <w:jc w:val="both"/>
              <w:textAlignment w:val="baseline"/>
              <w:rPr>
                <w:noProof/>
              </w:rPr>
            </w:pPr>
            <w:r>
              <w:rPr>
                <w:noProof/>
              </w:rPr>
              <w:t> </w:t>
            </w:r>
          </w:p>
        </w:tc>
        <w:tc>
          <w:tcPr>
            <w:tcW w:w="1276" w:type="dxa"/>
            <w:shd w:val="clear" w:color="auto" w:fill="C6EFCE"/>
            <w:vAlign w:val="bottom"/>
            <w:hideMark/>
          </w:tcPr>
          <w:p w14:paraId="055A3ED2" w14:textId="77777777" w:rsidR="00FA7C11" w:rsidRDefault="00D84965">
            <w:pPr>
              <w:pStyle w:val="P68B1DB1-Normal76"/>
              <w:spacing w:after="0" w:line="240" w:lineRule="auto"/>
              <w:jc w:val="both"/>
              <w:textAlignment w:val="baseline"/>
              <w:rPr>
                <w:noProof/>
              </w:rPr>
            </w:pPr>
            <w:r>
              <w:rPr>
                <w:noProof/>
              </w:rPr>
              <w:t>Cuantumul tranșei </w:t>
            </w:r>
          </w:p>
        </w:tc>
        <w:tc>
          <w:tcPr>
            <w:tcW w:w="5351" w:type="dxa"/>
            <w:shd w:val="clear" w:color="auto" w:fill="C6EFCE"/>
            <w:vAlign w:val="bottom"/>
            <w:hideMark/>
          </w:tcPr>
          <w:p w14:paraId="7228A10E" w14:textId="77777777" w:rsidR="00FA7C11" w:rsidRDefault="00D84965">
            <w:pPr>
              <w:pStyle w:val="P68B1DB1-Normal144"/>
              <w:spacing w:after="0" w:line="240" w:lineRule="auto"/>
              <w:jc w:val="both"/>
              <w:textAlignment w:val="baseline"/>
              <w:rPr>
                <w:noProof/>
                <w:sz w:val="20"/>
                <w:szCs w:val="20"/>
              </w:rPr>
            </w:pPr>
            <w:r>
              <w:rPr>
                <w:noProof/>
                <w:sz w:val="20"/>
                <w:szCs w:val="20"/>
              </w:rPr>
              <w:t>531</w:t>
            </w:r>
            <w:r>
              <w:rPr>
                <w:noProof/>
                <w:sz w:val="24"/>
                <w:szCs w:val="28"/>
              </w:rPr>
              <w:t xml:space="preserve"> </w:t>
            </w:r>
            <w:r>
              <w:rPr>
                <w:noProof/>
                <w:sz w:val="20"/>
                <w:szCs w:val="20"/>
              </w:rPr>
              <w:t>769</w:t>
            </w:r>
            <w:r>
              <w:rPr>
                <w:noProof/>
                <w:sz w:val="24"/>
                <w:szCs w:val="28"/>
              </w:rPr>
              <w:t xml:space="preserve"> </w:t>
            </w:r>
            <w:r>
              <w:rPr>
                <w:noProof/>
                <w:sz w:val="20"/>
                <w:szCs w:val="20"/>
              </w:rPr>
              <w:t>622 MIL.</w:t>
            </w:r>
          </w:p>
        </w:tc>
      </w:tr>
    </w:tbl>
    <w:p w14:paraId="68EB9638" w14:textId="77777777" w:rsidR="00FA7C11" w:rsidRDefault="00D84965">
      <w:pPr>
        <w:pStyle w:val="P68B1DB1-Normal134"/>
        <w:spacing w:after="0" w:line="240" w:lineRule="auto"/>
        <w:jc w:val="both"/>
        <w:textAlignment w:val="baseline"/>
        <w:rPr>
          <w:rFonts w:ascii="Segoe UI" w:hAnsi="Segoe UI" w:cs="Segoe UI"/>
          <w:noProof/>
          <w:sz w:val="18"/>
          <w:szCs w:val="18"/>
        </w:rPr>
      </w:pPr>
      <w:r>
        <w:rPr>
          <w:noProof/>
        </w:rPr>
        <w:t> </w:t>
      </w:r>
    </w:p>
    <w:p w14:paraId="30EED715" w14:textId="32A88592" w:rsidR="00FA7C11" w:rsidRDefault="00D84965">
      <w:pPr>
        <w:pStyle w:val="P68B1DB1-Normal83"/>
        <w:numPr>
          <w:ilvl w:val="0"/>
          <w:numId w:val="81"/>
        </w:numPr>
        <w:spacing w:line="240" w:lineRule="auto"/>
        <w:contextualSpacing/>
        <w:jc w:val="both"/>
        <w:textAlignment w:val="baseline"/>
        <w:rPr>
          <w:noProof/>
        </w:rPr>
      </w:pPr>
      <w:r>
        <w:rPr>
          <w:noProof/>
        </w:rPr>
        <w:t xml:space="preserve">A patra tranșă (sprijin sub formă de împrumut): </w:t>
      </w:r>
    </w:p>
    <w:p w14:paraId="55BE1A51" w14:textId="77777777" w:rsidR="00FA7C11" w:rsidRDefault="00FA7C11">
      <w:pPr>
        <w:spacing w:line="240" w:lineRule="auto"/>
        <w:ind w:left="720"/>
        <w:contextualSpacing/>
        <w:jc w:val="both"/>
        <w:textAlignment w:val="baseline"/>
        <w:rPr>
          <w:rFonts w:ascii="Times New Roman" w:eastAsia="Times New Roman" w:hAnsi="Times New Roman" w:cs="Times New Roman"/>
          <w:noProof/>
          <w:sz w:val="24"/>
          <w:szCs w:val="24"/>
        </w:rPr>
      </w:pPr>
    </w:p>
    <w:tbl>
      <w:tblPr>
        <w:tblW w:w="940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8"/>
        <w:gridCol w:w="1611"/>
        <w:gridCol w:w="1349"/>
        <w:gridCol w:w="5353"/>
      </w:tblGrid>
      <w:tr w:rsidR="00FA7C11" w14:paraId="2CD47A54" w14:textId="77777777">
        <w:trPr>
          <w:trHeight w:val="1088"/>
        </w:trPr>
        <w:tc>
          <w:tcPr>
            <w:tcW w:w="1096" w:type="dxa"/>
            <w:shd w:val="clear" w:color="auto" w:fill="BDD7EE"/>
            <w:vAlign w:val="center"/>
            <w:hideMark/>
          </w:tcPr>
          <w:p w14:paraId="79047F85" w14:textId="77777777" w:rsidR="00FA7C11" w:rsidRDefault="00D84965">
            <w:pPr>
              <w:pStyle w:val="P68B1DB1-Normal76"/>
              <w:spacing w:after="0" w:line="240" w:lineRule="auto"/>
              <w:jc w:val="center"/>
              <w:textAlignment w:val="baseline"/>
              <w:rPr>
                <w:noProof/>
              </w:rPr>
            </w:pPr>
            <w:r>
              <w:rPr>
                <w:b/>
                <w:noProof/>
              </w:rPr>
              <w:t>Număr secvențial</w:t>
            </w:r>
            <w:r>
              <w:rPr>
                <w:noProof/>
              </w:rPr>
              <w:t> </w:t>
            </w:r>
          </w:p>
        </w:tc>
        <w:tc>
          <w:tcPr>
            <w:tcW w:w="1642" w:type="dxa"/>
            <w:shd w:val="clear" w:color="auto" w:fill="BDD7EE"/>
            <w:vAlign w:val="center"/>
            <w:hideMark/>
          </w:tcPr>
          <w:p w14:paraId="3C9D1950" w14:textId="77777777" w:rsidR="00FA7C11" w:rsidRDefault="00D84965">
            <w:pPr>
              <w:pStyle w:val="P68B1DB1-Normal76"/>
              <w:spacing w:after="0" w:line="240" w:lineRule="auto"/>
              <w:jc w:val="center"/>
              <w:textAlignment w:val="baseline"/>
              <w:rPr>
                <w:noProof/>
              </w:rPr>
            </w:pPr>
            <w:r>
              <w:rPr>
                <w:b/>
                <w:noProof/>
              </w:rPr>
              <w:t>Măsură conexă (reformă sau investiții)</w:t>
            </w:r>
            <w:r>
              <w:rPr>
                <w:noProof/>
              </w:rPr>
              <w:t> </w:t>
            </w:r>
          </w:p>
        </w:tc>
        <w:tc>
          <w:tcPr>
            <w:tcW w:w="1134" w:type="dxa"/>
            <w:shd w:val="clear" w:color="auto" w:fill="BDD7EE"/>
            <w:vAlign w:val="center"/>
            <w:hideMark/>
          </w:tcPr>
          <w:p w14:paraId="71E0DF9C" w14:textId="77777777" w:rsidR="00FA7C11" w:rsidRDefault="00D84965">
            <w:pPr>
              <w:pStyle w:val="P68B1DB1-Normal76"/>
              <w:spacing w:after="0" w:line="240" w:lineRule="auto"/>
              <w:jc w:val="center"/>
              <w:textAlignment w:val="baseline"/>
              <w:rPr>
                <w:noProof/>
              </w:rPr>
            </w:pPr>
            <w:r>
              <w:rPr>
                <w:b/>
                <w:noProof/>
              </w:rPr>
              <w:t>Etapă/Obiectiv</w:t>
            </w:r>
            <w:r>
              <w:rPr>
                <w:noProof/>
              </w:rPr>
              <w:t> </w:t>
            </w:r>
          </w:p>
        </w:tc>
        <w:tc>
          <w:tcPr>
            <w:tcW w:w="5529" w:type="dxa"/>
            <w:shd w:val="clear" w:color="auto" w:fill="BDD7EE"/>
            <w:vAlign w:val="center"/>
            <w:hideMark/>
          </w:tcPr>
          <w:p w14:paraId="5AEF63CC" w14:textId="77777777" w:rsidR="00FA7C11" w:rsidRDefault="00D84965">
            <w:pPr>
              <w:pStyle w:val="P68B1DB1-Normal76"/>
              <w:spacing w:after="0" w:line="240" w:lineRule="auto"/>
              <w:jc w:val="center"/>
              <w:textAlignment w:val="baseline"/>
              <w:rPr>
                <w:noProof/>
              </w:rPr>
            </w:pPr>
            <w:r>
              <w:rPr>
                <w:b/>
                <w:noProof/>
              </w:rPr>
              <w:t>Nume</w:t>
            </w:r>
            <w:r>
              <w:rPr>
                <w:noProof/>
              </w:rPr>
              <w:t> </w:t>
            </w:r>
          </w:p>
        </w:tc>
      </w:tr>
      <w:tr w:rsidR="00FA7C11" w14:paraId="75B7F8AB" w14:textId="77777777">
        <w:trPr>
          <w:trHeight w:val="362"/>
        </w:trPr>
        <w:tc>
          <w:tcPr>
            <w:tcW w:w="1096" w:type="dxa"/>
            <w:shd w:val="clear" w:color="auto" w:fill="C6EFCE"/>
            <w:vAlign w:val="center"/>
          </w:tcPr>
          <w:p w14:paraId="6E65AD99" w14:textId="77777777" w:rsidR="00FA7C11" w:rsidRDefault="00D84965">
            <w:pPr>
              <w:pStyle w:val="P68B1DB1-Normal76"/>
              <w:spacing w:after="0" w:line="240" w:lineRule="auto"/>
              <w:jc w:val="center"/>
              <w:textAlignment w:val="baseline"/>
              <w:rPr>
                <w:noProof/>
              </w:rPr>
            </w:pPr>
            <w:r>
              <w:rPr>
                <w:noProof/>
              </w:rPr>
              <w:t>320</w:t>
            </w:r>
          </w:p>
        </w:tc>
        <w:tc>
          <w:tcPr>
            <w:tcW w:w="1642" w:type="dxa"/>
            <w:shd w:val="clear" w:color="auto" w:fill="C6EFCE"/>
            <w:vAlign w:val="center"/>
          </w:tcPr>
          <w:p w14:paraId="4DC1B28E" w14:textId="77777777" w:rsidR="00FA7C11" w:rsidRDefault="00D84965">
            <w:pPr>
              <w:pStyle w:val="P68B1DB1-Normal76"/>
              <w:spacing w:after="0" w:line="240" w:lineRule="auto"/>
              <w:jc w:val="center"/>
              <w:textAlignment w:val="baseline"/>
              <w:rPr>
                <w:noProof/>
              </w:rPr>
            </w:pPr>
            <w:r>
              <w:rPr>
                <w:noProof/>
              </w:rPr>
              <w:t>C5.1. R1-I1</w:t>
            </w:r>
          </w:p>
        </w:tc>
        <w:tc>
          <w:tcPr>
            <w:tcW w:w="1134" w:type="dxa"/>
            <w:shd w:val="clear" w:color="auto" w:fill="C6EFCE"/>
            <w:vAlign w:val="center"/>
          </w:tcPr>
          <w:p w14:paraId="1AEBC1B0" w14:textId="77777777" w:rsidR="00FA7C11" w:rsidRDefault="00D84965">
            <w:pPr>
              <w:pStyle w:val="P68B1DB1-Normal145"/>
              <w:spacing w:after="0" w:line="240" w:lineRule="auto"/>
              <w:jc w:val="center"/>
              <w:textAlignment w:val="baseline"/>
              <w:rPr>
                <w:noProof/>
              </w:rPr>
            </w:pPr>
            <w:r>
              <w:rPr>
                <w:noProof/>
              </w:rPr>
              <w:t>T</w:t>
            </w:r>
          </w:p>
        </w:tc>
        <w:tc>
          <w:tcPr>
            <w:tcW w:w="5529" w:type="dxa"/>
            <w:shd w:val="clear" w:color="auto" w:fill="C6EFCE"/>
            <w:vAlign w:val="bottom"/>
          </w:tcPr>
          <w:p w14:paraId="61723715" w14:textId="77777777" w:rsidR="00FA7C11" w:rsidRDefault="00D84965">
            <w:pPr>
              <w:pStyle w:val="P68B1DB1-Normal76"/>
              <w:spacing w:line="240" w:lineRule="auto"/>
              <w:jc w:val="both"/>
              <w:textAlignment w:val="baseline"/>
              <w:rPr>
                <w:noProof/>
              </w:rPr>
            </w:pPr>
            <w:r>
              <w:rPr>
                <w:noProof/>
              </w:rPr>
              <w:t>Accesul la asistență medicală și medicamente</w:t>
            </w:r>
          </w:p>
        </w:tc>
      </w:tr>
      <w:tr w:rsidR="00FA7C11" w14:paraId="6737107D" w14:textId="77777777">
        <w:trPr>
          <w:trHeight w:val="362"/>
        </w:trPr>
        <w:tc>
          <w:tcPr>
            <w:tcW w:w="1096" w:type="dxa"/>
            <w:shd w:val="clear" w:color="auto" w:fill="C6EFCE"/>
            <w:vAlign w:val="center"/>
            <w:hideMark/>
          </w:tcPr>
          <w:p w14:paraId="2DCBA25F" w14:textId="77777777" w:rsidR="00FA7C11" w:rsidRDefault="00D84965">
            <w:pPr>
              <w:pStyle w:val="P68B1DB1-Normal76"/>
              <w:spacing w:after="0" w:line="240" w:lineRule="auto"/>
              <w:jc w:val="center"/>
              <w:textAlignment w:val="baseline"/>
              <w:rPr>
                <w:noProof/>
              </w:rPr>
            </w:pPr>
            <w:r>
              <w:rPr>
                <w:noProof/>
              </w:rPr>
              <w:t>375</w:t>
            </w:r>
          </w:p>
        </w:tc>
        <w:tc>
          <w:tcPr>
            <w:tcW w:w="1642" w:type="dxa"/>
            <w:shd w:val="clear" w:color="auto" w:fill="C6EFCE"/>
            <w:vAlign w:val="center"/>
            <w:hideMark/>
          </w:tcPr>
          <w:p w14:paraId="7820DFDD" w14:textId="77777777" w:rsidR="00FA7C11" w:rsidRDefault="00D84965">
            <w:pPr>
              <w:pStyle w:val="P68B1DB1-Normal76"/>
              <w:spacing w:after="0" w:line="240" w:lineRule="auto"/>
              <w:jc w:val="center"/>
              <w:textAlignment w:val="baseline"/>
              <w:rPr>
                <w:noProof/>
              </w:rPr>
            </w:pPr>
            <w:r>
              <w:rPr>
                <w:noProof/>
              </w:rPr>
              <w:t>C1.1.1. R7</w:t>
            </w:r>
          </w:p>
        </w:tc>
        <w:tc>
          <w:tcPr>
            <w:tcW w:w="1134" w:type="dxa"/>
            <w:shd w:val="clear" w:color="auto" w:fill="C6EFCE"/>
            <w:vAlign w:val="center"/>
            <w:hideMark/>
          </w:tcPr>
          <w:p w14:paraId="20391AD2" w14:textId="77777777" w:rsidR="00FA7C11" w:rsidRDefault="00D84965">
            <w:pPr>
              <w:pStyle w:val="P68B1DB1-Normal76"/>
              <w:spacing w:after="0" w:line="240" w:lineRule="auto"/>
              <w:jc w:val="center"/>
              <w:textAlignment w:val="baseline"/>
              <w:rPr>
                <w:noProof/>
              </w:rPr>
            </w:pPr>
            <w:r>
              <w:rPr>
                <w:noProof/>
              </w:rPr>
              <w:t>M</w:t>
            </w:r>
          </w:p>
        </w:tc>
        <w:tc>
          <w:tcPr>
            <w:tcW w:w="5529" w:type="dxa"/>
            <w:shd w:val="clear" w:color="auto" w:fill="C6EFCE"/>
            <w:vAlign w:val="bottom"/>
            <w:hideMark/>
          </w:tcPr>
          <w:p w14:paraId="49C6B5BE" w14:textId="08F53368" w:rsidR="00FA7C11" w:rsidRDefault="00D84965">
            <w:pPr>
              <w:pStyle w:val="P68B1DB1-Normal76"/>
              <w:spacing w:after="0" w:line="240" w:lineRule="auto"/>
              <w:jc w:val="both"/>
              <w:textAlignment w:val="baseline"/>
              <w:rPr>
                <w:noProof/>
              </w:rPr>
            </w:pPr>
            <w:r>
              <w:rPr>
                <w:noProof/>
              </w:rPr>
              <w:t xml:space="preserve"> Adoptarea primului plan de acțiune pentru sprijinirea obiectivelor privind finanțarea durabilă </w:t>
            </w:r>
          </w:p>
        </w:tc>
      </w:tr>
      <w:tr w:rsidR="00FA7C11" w14:paraId="412BE1D0" w14:textId="77777777">
        <w:trPr>
          <w:trHeight w:val="289"/>
        </w:trPr>
        <w:tc>
          <w:tcPr>
            <w:tcW w:w="1096" w:type="dxa"/>
            <w:shd w:val="clear" w:color="auto" w:fill="C6EFCE"/>
            <w:vAlign w:val="center"/>
          </w:tcPr>
          <w:p w14:paraId="46807CC7" w14:textId="77777777" w:rsidR="00FA7C11" w:rsidRDefault="00D84965">
            <w:pPr>
              <w:pStyle w:val="P68B1DB1-Normal76"/>
              <w:spacing w:after="0" w:line="240" w:lineRule="auto"/>
              <w:jc w:val="center"/>
              <w:textAlignment w:val="baseline"/>
              <w:rPr>
                <w:noProof/>
              </w:rPr>
            </w:pPr>
            <w:r>
              <w:rPr>
                <w:noProof/>
              </w:rPr>
              <w:t>424</w:t>
            </w:r>
          </w:p>
        </w:tc>
        <w:tc>
          <w:tcPr>
            <w:tcW w:w="1642" w:type="dxa"/>
            <w:shd w:val="clear" w:color="auto" w:fill="C6EFCE"/>
            <w:vAlign w:val="center"/>
          </w:tcPr>
          <w:p w14:paraId="4A3FB150" w14:textId="77777777" w:rsidR="00FA7C11" w:rsidRDefault="00D84965">
            <w:pPr>
              <w:pStyle w:val="P68B1DB1-Normal76"/>
              <w:spacing w:after="0" w:line="240" w:lineRule="auto"/>
              <w:jc w:val="center"/>
              <w:textAlignment w:val="baseline"/>
              <w:rPr>
                <w:noProof/>
              </w:rPr>
            </w:pPr>
            <w:r>
              <w:rPr>
                <w:noProof/>
              </w:rPr>
              <w:t>C7.1 I3</w:t>
            </w:r>
          </w:p>
        </w:tc>
        <w:tc>
          <w:tcPr>
            <w:tcW w:w="1134" w:type="dxa"/>
            <w:shd w:val="clear" w:color="auto" w:fill="C6EFCE"/>
            <w:vAlign w:val="center"/>
          </w:tcPr>
          <w:p w14:paraId="08822DCC" w14:textId="77777777" w:rsidR="00FA7C11" w:rsidRDefault="00D84965">
            <w:pPr>
              <w:pStyle w:val="P68B1DB1-Normal76"/>
              <w:spacing w:after="0" w:line="240" w:lineRule="auto"/>
              <w:jc w:val="center"/>
              <w:textAlignment w:val="baseline"/>
              <w:rPr>
                <w:noProof/>
              </w:rPr>
            </w:pPr>
            <w:r>
              <w:rPr>
                <w:noProof/>
              </w:rPr>
              <w:t>T</w:t>
            </w:r>
          </w:p>
        </w:tc>
        <w:tc>
          <w:tcPr>
            <w:tcW w:w="5529" w:type="dxa"/>
            <w:shd w:val="clear" w:color="auto" w:fill="C6EFCE"/>
          </w:tcPr>
          <w:p w14:paraId="05239586" w14:textId="77777777" w:rsidR="00FA7C11" w:rsidRDefault="00D84965">
            <w:pPr>
              <w:pStyle w:val="P68B1DB1-Normal76"/>
              <w:spacing w:after="0" w:line="240" w:lineRule="auto"/>
              <w:jc w:val="both"/>
              <w:textAlignment w:val="baseline"/>
              <w:rPr>
                <w:noProof/>
              </w:rPr>
            </w:pPr>
            <w:r>
              <w:rPr>
                <w:noProof/>
              </w:rPr>
              <w:t xml:space="preserve">Construcția gazoductului extins Zlobin – Bosiljevo </w:t>
            </w:r>
          </w:p>
        </w:tc>
      </w:tr>
      <w:tr w:rsidR="00FA7C11" w14:paraId="5C4C51F2" w14:textId="77777777">
        <w:trPr>
          <w:trHeight w:val="362"/>
        </w:trPr>
        <w:tc>
          <w:tcPr>
            <w:tcW w:w="1096" w:type="dxa"/>
            <w:shd w:val="clear" w:color="auto" w:fill="C6EFCE"/>
            <w:vAlign w:val="center"/>
          </w:tcPr>
          <w:p w14:paraId="4B82C1E0" w14:textId="77777777" w:rsidR="00FA7C11" w:rsidRDefault="00D84965">
            <w:pPr>
              <w:pStyle w:val="P68B1DB1-Normal76"/>
              <w:spacing w:after="0" w:line="240" w:lineRule="auto"/>
              <w:jc w:val="center"/>
              <w:textAlignment w:val="baseline"/>
              <w:rPr>
                <w:noProof/>
              </w:rPr>
            </w:pPr>
            <w:r>
              <w:rPr>
                <w:noProof/>
              </w:rPr>
              <w:t>433</w:t>
            </w:r>
          </w:p>
        </w:tc>
        <w:tc>
          <w:tcPr>
            <w:tcW w:w="1642" w:type="dxa"/>
            <w:shd w:val="clear" w:color="auto" w:fill="C6EFCE"/>
            <w:vAlign w:val="center"/>
          </w:tcPr>
          <w:p w14:paraId="72549BFE" w14:textId="77777777" w:rsidR="00FA7C11" w:rsidRDefault="00D84965">
            <w:pPr>
              <w:pStyle w:val="P68B1DB1-Normal76"/>
              <w:spacing w:after="0" w:line="240" w:lineRule="auto"/>
              <w:jc w:val="center"/>
              <w:textAlignment w:val="baseline"/>
              <w:rPr>
                <w:noProof/>
              </w:rPr>
            </w:pPr>
            <w:r>
              <w:rPr>
                <w:noProof/>
              </w:rPr>
              <w:t>C7.2 R4</w:t>
            </w:r>
          </w:p>
        </w:tc>
        <w:tc>
          <w:tcPr>
            <w:tcW w:w="1134" w:type="dxa"/>
            <w:shd w:val="clear" w:color="auto" w:fill="C6EFCE"/>
            <w:vAlign w:val="center"/>
          </w:tcPr>
          <w:p w14:paraId="32F15583" w14:textId="77777777" w:rsidR="00FA7C11" w:rsidRDefault="00D84965">
            <w:pPr>
              <w:pStyle w:val="P68B1DB1-Normal76"/>
              <w:spacing w:after="0" w:line="240" w:lineRule="auto"/>
              <w:jc w:val="center"/>
              <w:textAlignment w:val="baseline"/>
              <w:rPr>
                <w:noProof/>
              </w:rPr>
            </w:pPr>
            <w:r>
              <w:rPr>
                <w:noProof/>
              </w:rPr>
              <w:t>M</w:t>
            </w:r>
          </w:p>
        </w:tc>
        <w:tc>
          <w:tcPr>
            <w:tcW w:w="5529" w:type="dxa"/>
            <w:shd w:val="clear" w:color="auto" w:fill="C6EFCE"/>
          </w:tcPr>
          <w:p w14:paraId="6F6A4E57" w14:textId="77777777" w:rsidR="00FA7C11" w:rsidRDefault="00D84965">
            <w:pPr>
              <w:pStyle w:val="P68B1DB1-Normal76"/>
              <w:spacing w:after="0" w:line="240" w:lineRule="auto"/>
              <w:jc w:val="both"/>
              <w:textAlignment w:val="baseline"/>
              <w:rPr>
                <w:noProof/>
              </w:rPr>
            </w:pPr>
            <w:r>
              <w:rPr>
                <w:noProof/>
              </w:rPr>
              <w:t xml:space="preserve">Program educațional pentru lucrătorii din țări terțe </w:t>
            </w:r>
          </w:p>
        </w:tc>
      </w:tr>
      <w:tr w:rsidR="00FA7C11" w14:paraId="2C06D49F" w14:textId="77777777">
        <w:trPr>
          <w:trHeight w:val="362"/>
        </w:trPr>
        <w:tc>
          <w:tcPr>
            <w:tcW w:w="1096" w:type="dxa"/>
            <w:shd w:val="clear" w:color="auto" w:fill="C6EFCE"/>
            <w:vAlign w:val="bottom"/>
            <w:hideMark/>
          </w:tcPr>
          <w:p w14:paraId="76F091F1" w14:textId="77777777" w:rsidR="00FA7C11" w:rsidRDefault="00D84965">
            <w:pPr>
              <w:pStyle w:val="P68B1DB1-Normal135"/>
              <w:spacing w:after="0" w:line="240" w:lineRule="auto"/>
              <w:jc w:val="center"/>
              <w:textAlignment w:val="baseline"/>
              <w:rPr>
                <w:noProof/>
              </w:rPr>
            </w:pPr>
            <w:r>
              <w:rPr>
                <w:noProof/>
              </w:rPr>
              <w:t> </w:t>
            </w:r>
          </w:p>
        </w:tc>
        <w:tc>
          <w:tcPr>
            <w:tcW w:w="1642" w:type="dxa"/>
            <w:shd w:val="clear" w:color="auto" w:fill="C6EFCE"/>
            <w:vAlign w:val="bottom"/>
            <w:hideMark/>
          </w:tcPr>
          <w:p w14:paraId="061BD360" w14:textId="77777777" w:rsidR="00FA7C11" w:rsidRDefault="00D84965">
            <w:pPr>
              <w:pStyle w:val="P68B1DB1-Normal135"/>
              <w:spacing w:after="0" w:line="240" w:lineRule="auto"/>
              <w:jc w:val="both"/>
              <w:textAlignment w:val="baseline"/>
              <w:rPr>
                <w:noProof/>
              </w:rPr>
            </w:pPr>
            <w:r>
              <w:rPr>
                <w:noProof/>
              </w:rPr>
              <w:t> </w:t>
            </w:r>
          </w:p>
        </w:tc>
        <w:tc>
          <w:tcPr>
            <w:tcW w:w="1134" w:type="dxa"/>
            <w:shd w:val="clear" w:color="auto" w:fill="C6EFCE"/>
            <w:vAlign w:val="bottom"/>
            <w:hideMark/>
          </w:tcPr>
          <w:p w14:paraId="7488B10F" w14:textId="77777777" w:rsidR="00FA7C11" w:rsidRDefault="00D84965">
            <w:pPr>
              <w:pStyle w:val="P68B1DB1-Normal76"/>
              <w:spacing w:after="0" w:line="240" w:lineRule="auto"/>
              <w:jc w:val="both"/>
              <w:textAlignment w:val="baseline"/>
              <w:rPr>
                <w:noProof/>
              </w:rPr>
            </w:pPr>
            <w:r>
              <w:rPr>
                <w:noProof/>
              </w:rPr>
              <w:t>Cuantumul tranșei </w:t>
            </w:r>
          </w:p>
        </w:tc>
        <w:tc>
          <w:tcPr>
            <w:tcW w:w="5529" w:type="dxa"/>
            <w:shd w:val="clear" w:color="auto" w:fill="C6EFCE"/>
            <w:vAlign w:val="bottom"/>
            <w:hideMark/>
          </w:tcPr>
          <w:p w14:paraId="3AFD8C94" w14:textId="77777777" w:rsidR="00FA7C11" w:rsidRDefault="00D84965">
            <w:pPr>
              <w:pStyle w:val="P68B1DB1-Normal144"/>
              <w:spacing w:after="0" w:line="240" w:lineRule="auto"/>
              <w:jc w:val="both"/>
              <w:textAlignment w:val="baseline"/>
              <w:rPr>
                <w:noProof/>
                <w:sz w:val="20"/>
                <w:szCs w:val="20"/>
              </w:rPr>
            </w:pPr>
            <w:r>
              <w:rPr>
                <w:noProof/>
                <w:sz w:val="20"/>
                <w:szCs w:val="20"/>
              </w:rPr>
              <w:t>822</w:t>
            </w:r>
            <w:r>
              <w:rPr>
                <w:noProof/>
                <w:sz w:val="24"/>
                <w:szCs w:val="28"/>
              </w:rPr>
              <w:t xml:space="preserve"> </w:t>
            </w:r>
            <w:r>
              <w:rPr>
                <w:noProof/>
                <w:sz w:val="20"/>
                <w:szCs w:val="20"/>
              </w:rPr>
              <w:t>976</w:t>
            </w:r>
            <w:r>
              <w:rPr>
                <w:noProof/>
                <w:sz w:val="24"/>
                <w:szCs w:val="28"/>
              </w:rPr>
              <w:t xml:space="preserve"> </w:t>
            </w:r>
            <w:r>
              <w:rPr>
                <w:noProof/>
                <w:sz w:val="20"/>
                <w:szCs w:val="20"/>
              </w:rPr>
              <w:t>794 MIL.</w:t>
            </w:r>
          </w:p>
        </w:tc>
      </w:tr>
    </w:tbl>
    <w:p w14:paraId="330C229C" w14:textId="77777777" w:rsidR="00FA7C11" w:rsidRDefault="00FA7C11">
      <w:pPr>
        <w:pStyle w:val="ListParagraph"/>
        <w:spacing w:after="0" w:line="240" w:lineRule="auto"/>
        <w:jc w:val="both"/>
        <w:textAlignment w:val="baseline"/>
        <w:rPr>
          <w:rFonts w:ascii="Times New Roman" w:eastAsia="Times New Roman" w:hAnsi="Times New Roman" w:cs="Times New Roman"/>
          <w:noProof/>
          <w:sz w:val="24"/>
          <w:szCs w:val="24"/>
        </w:rPr>
      </w:pPr>
    </w:p>
    <w:p w14:paraId="57B01916" w14:textId="19C198B5" w:rsidR="00FA7C11" w:rsidRDefault="00D84965">
      <w:pPr>
        <w:pStyle w:val="P68B1DB1-ListParagraph146"/>
        <w:numPr>
          <w:ilvl w:val="0"/>
          <w:numId w:val="81"/>
        </w:numPr>
        <w:spacing w:after="0" w:line="240" w:lineRule="auto"/>
        <w:jc w:val="both"/>
        <w:textAlignment w:val="baseline"/>
        <w:rPr>
          <w:noProof/>
        </w:rPr>
      </w:pPr>
      <w:r>
        <w:rPr>
          <w:noProof/>
        </w:rPr>
        <w:t>A cincea tranșă (sprijin sub formă de împrumut):</w:t>
      </w:r>
    </w:p>
    <w:p w14:paraId="19BF47B9" w14:textId="77777777" w:rsidR="00FA7C11" w:rsidRDefault="00D84965">
      <w:pPr>
        <w:pStyle w:val="P68B1DB1-Normal147"/>
        <w:spacing w:after="0" w:line="240" w:lineRule="auto"/>
        <w:ind w:left="705"/>
        <w:jc w:val="both"/>
        <w:textAlignment w:val="baseline"/>
        <w:rPr>
          <w:rFonts w:ascii="Segoe UI" w:hAnsi="Segoe UI" w:cs="Segoe UI"/>
          <w:noProof/>
          <w:sz w:val="18"/>
          <w:szCs w:val="18"/>
        </w:rPr>
      </w:pPr>
      <w:r>
        <w:rPr>
          <w:noProof/>
        </w:rPr>
        <w:t xml:space="preserve"> </w:t>
      </w:r>
    </w:p>
    <w:tbl>
      <w:tblPr>
        <w:tblW w:w="940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8"/>
        <w:gridCol w:w="1608"/>
        <w:gridCol w:w="1349"/>
        <w:gridCol w:w="5356"/>
      </w:tblGrid>
      <w:tr w:rsidR="00FA7C11" w14:paraId="5914CC2D" w14:textId="77777777">
        <w:trPr>
          <w:trHeight w:val="1088"/>
          <w:tblHeader/>
        </w:trPr>
        <w:tc>
          <w:tcPr>
            <w:tcW w:w="1096" w:type="dxa"/>
            <w:vMerge w:val="restart"/>
            <w:shd w:val="clear" w:color="auto" w:fill="BDD7EE"/>
            <w:vAlign w:val="center"/>
            <w:hideMark/>
          </w:tcPr>
          <w:p w14:paraId="5A2F38CE" w14:textId="77777777" w:rsidR="00FA7C11" w:rsidRDefault="00D84965">
            <w:pPr>
              <w:pStyle w:val="P68B1DB1-Normal148"/>
              <w:spacing w:before="120" w:after="0" w:line="240" w:lineRule="auto"/>
              <w:jc w:val="center"/>
              <w:textAlignment w:val="baseline"/>
              <w:rPr>
                <w:noProof/>
              </w:rPr>
            </w:pPr>
            <w:r>
              <w:rPr>
                <w:b/>
                <w:noProof/>
              </w:rPr>
              <w:t>Număr secvențial</w:t>
            </w:r>
            <w:r>
              <w:rPr>
                <w:noProof/>
              </w:rPr>
              <w:t> </w:t>
            </w:r>
          </w:p>
        </w:tc>
        <w:tc>
          <w:tcPr>
            <w:tcW w:w="1642" w:type="dxa"/>
            <w:vMerge w:val="restart"/>
            <w:shd w:val="clear" w:color="auto" w:fill="BDD7EE"/>
            <w:vAlign w:val="center"/>
            <w:hideMark/>
          </w:tcPr>
          <w:p w14:paraId="60A3244E" w14:textId="77777777" w:rsidR="00FA7C11" w:rsidRDefault="00D84965">
            <w:pPr>
              <w:pStyle w:val="P68B1DB1-Normal148"/>
              <w:spacing w:before="120" w:after="0" w:line="240" w:lineRule="auto"/>
              <w:jc w:val="center"/>
              <w:textAlignment w:val="baseline"/>
              <w:rPr>
                <w:noProof/>
              </w:rPr>
            </w:pPr>
            <w:r>
              <w:rPr>
                <w:b/>
                <w:noProof/>
              </w:rPr>
              <w:t>Măsură conexă (reformă sau investiții)</w:t>
            </w:r>
            <w:r>
              <w:rPr>
                <w:noProof/>
              </w:rPr>
              <w:t> </w:t>
            </w:r>
          </w:p>
        </w:tc>
        <w:tc>
          <w:tcPr>
            <w:tcW w:w="1134" w:type="dxa"/>
            <w:vMerge w:val="restart"/>
            <w:shd w:val="clear" w:color="auto" w:fill="BDD7EE"/>
            <w:vAlign w:val="center"/>
            <w:hideMark/>
          </w:tcPr>
          <w:p w14:paraId="6DB4ACA2" w14:textId="77777777" w:rsidR="00FA7C11" w:rsidRDefault="00D84965">
            <w:pPr>
              <w:pStyle w:val="P68B1DB1-Normal148"/>
              <w:spacing w:before="120" w:after="0" w:line="240" w:lineRule="auto"/>
              <w:jc w:val="center"/>
              <w:textAlignment w:val="baseline"/>
              <w:rPr>
                <w:noProof/>
              </w:rPr>
            </w:pPr>
            <w:r>
              <w:rPr>
                <w:b/>
                <w:noProof/>
              </w:rPr>
              <w:t>Etapă/Obiectiv</w:t>
            </w:r>
            <w:r>
              <w:rPr>
                <w:noProof/>
              </w:rPr>
              <w:t> </w:t>
            </w:r>
          </w:p>
        </w:tc>
        <w:tc>
          <w:tcPr>
            <w:tcW w:w="5529" w:type="dxa"/>
            <w:vMerge w:val="restart"/>
            <w:shd w:val="clear" w:color="auto" w:fill="BDD7EE"/>
            <w:vAlign w:val="center"/>
            <w:hideMark/>
          </w:tcPr>
          <w:p w14:paraId="474FBD0F" w14:textId="77777777" w:rsidR="00FA7C11" w:rsidRDefault="00D84965">
            <w:pPr>
              <w:pStyle w:val="P68B1DB1-Normal148"/>
              <w:spacing w:before="120" w:after="0" w:line="240" w:lineRule="auto"/>
              <w:jc w:val="center"/>
              <w:textAlignment w:val="baseline"/>
              <w:rPr>
                <w:noProof/>
              </w:rPr>
            </w:pPr>
            <w:r>
              <w:rPr>
                <w:b/>
                <w:noProof/>
              </w:rPr>
              <w:t>Nume</w:t>
            </w:r>
            <w:r>
              <w:rPr>
                <w:noProof/>
              </w:rPr>
              <w:t> </w:t>
            </w:r>
          </w:p>
        </w:tc>
      </w:tr>
      <w:tr w:rsidR="00FA7C11" w14:paraId="4148AB2A" w14:textId="77777777">
        <w:trPr>
          <w:trHeight w:val="517"/>
        </w:trPr>
        <w:tc>
          <w:tcPr>
            <w:tcW w:w="1096" w:type="dxa"/>
            <w:vMerge/>
            <w:vAlign w:val="center"/>
            <w:hideMark/>
          </w:tcPr>
          <w:p w14:paraId="0DE9D17D" w14:textId="77777777" w:rsidR="00FA7C11" w:rsidRDefault="00FA7C11">
            <w:pPr>
              <w:spacing w:before="120" w:after="0" w:line="240" w:lineRule="auto"/>
              <w:rPr>
                <w:rFonts w:ascii="Times New Roman" w:eastAsia="Times New Roman" w:hAnsi="Times New Roman" w:cs="Times New Roman"/>
                <w:noProof/>
                <w:kern w:val="0"/>
                <w:sz w:val="20"/>
                <w:szCs w:val="20"/>
                <w14:ligatures w14:val="none"/>
              </w:rPr>
            </w:pPr>
          </w:p>
        </w:tc>
        <w:tc>
          <w:tcPr>
            <w:tcW w:w="1642" w:type="dxa"/>
            <w:vMerge/>
            <w:vAlign w:val="center"/>
            <w:hideMark/>
          </w:tcPr>
          <w:p w14:paraId="5E16548B" w14:textId="77777777" w:rsidR="00FA7C11" w:rsidRDefault="00FA7C11">
            <w:pPr>
              <w:spacing w:before="120" w:after="0" w:line="240" w:lineRule="auto"/>
              <w:rPr>
                <w:rFonts w:ascii="Times New Roman" w:eastAsia="Times New Roman" w:hAnsi="Times New Roman" w:cs="Times New Roman"/>
                <w:noProof/>
                <w:kern w:val="0"/>
                <w:sz w:val="20"/>
                <w:szCs w:val="20"/>
                <w14:ligatures w14:val="none"/>
              </w:rPr>
            </w:pPr>
          </w:p>
        </w:tc>
        <w:tc>
          <w:tcPr>
            <w:tcW w:w="1134" w:type="dxa"/>
            <w:vMerge/>
            <w:vAlign w:val="center"/>
            <w:hideMark/>
          </w:tcPr>
          <w:p w14:paraId="19B631D0" w14:textId="77777777" w:rsidR="00FA7C11" w:rsidRDefault="00FA7C11">
            <w:pPr>
              <w:spacing w:before="120" w:after="0" w:line="240" w:lineRule="auto"/>
              <w:rPr>
                <w:rFonts w:ascii="Times New Roman" w:eastAsia="Times New Roman" w:hAnsi="Times New Roman" w:cs="Times New Roman"/>
                <w:noProof/>
                <w:kern w:val="0"/>
                <w:sz w:val="20"/>
                <w:szCs w:val="20"/>
                <w14:ligatures w14:val="none"/>
              </w:rPr>
            </w:pPr>
          </w:p>
        </w:tc>
        <w:tc>
          <w:tcPr>
            <w:tcW w:w="5529" w:type="dxa"/>
            <w:vMerge/>
            <w:vAlign w:val="center"/>
            <w:hideMark/>
          </w:tcPr>
          <w:p w14:paraId="7DA1BFD1" w14:textId="77777777" w:rsidR="00FA7C11" w:rsidRDefault="00FA7C11">
            <w:pPr>
              <w:spacing w:before="120" w:after="0" w:line="240" w:lineRule="auto"/>
              <w:rPr>
                <w:rFonts w:ascii="Times New Roman" w:eastAsia="Times New Roman" w:hAnsi="Times New Roman" w:cs="Times New Roman"/>
                <w:noProof/>
                <w:kern w:val="0"/>
                <w:sz w:val="20"/>
                <w:szCs w:val="20"/>
                <w14:ligatures w14:val="none"/>
              </w:rPr>
            </w:pPr>
          </w:p>
        </w:tc>
      </w:tr>
      <w:tr w:rsidR="00FA7C11" w14:paraId="203ECCBD" w14:textId="77777777">
        <w:trPr>
          <w:trHeight w:val="362"/>
        </w:trPr>
        <w:tc>
          <w:tcPr>
            <w:tcW w:w="1096" w:type="dxa"/>
            <w:shd w:val="clear" w:color="auto" w:fill="C6EFCE"/>
            <w:vAlign w:val="center"/>
          </w:tcPr>
          <w:p w14:paraId="1BDB3603" w14:textId="77777777" w:rsidR="00FA7C11" w:rsidRDefault="00D84965">
            <w:pPr>
              <w:pStyle w:val="P68B1DB1-Normal148"/>
              <w:spacing w:before="120" w:after="0" w:line="240" w:lineRule="auto"/>
              <w:jc w:val="center"/>
              <w:textAlignment w:val="baseline"/>
              <w:rPr>
                <w:noProof/>
              </w:rPr>
            </w:pPr>
            <w:r>
              <w:rPr>
                <w:noProof/>
              </w:rPr>
              <w:t>93</w:t>
            </w:r>
          </w:p>
        </w:tc>
        <w:tc>
          <w:tcPr>
            <w:tcW w:w="1642" w:type="dxa"/>
            <w:shd w:val="clear" w:color="auto" w:fill="C6EFCE"/>
            <w:vAlign w:val="center"/>
          </w:tcPr>
          <w:p w14:paraId="43B3DD11" w14:textId="77777777" w:rsidR="00FA7C11" w:rsidRDefault="00D84965">
            <w:pPr>
              <w:pStyle w:val="P68B1DB1-Normal148"/>
              <w:spacing w:before="120" w:after="0" w:line="240" w:lineRule="auto"/>
              <w:jc w:val="center"/>
              <w:textAlignment w:val="baseline"/>
              <w:rPr>
                <w:noProof/>
              </w:rPr>
            </w:pPr>
            <w:r>
              <w:rPr>
                <w:noProof/>
              </w:rPr>
              <w:t>C1.4. R1-I1</w:t>
            </w:r>
          </w:p>
        </w:tc>
        <w:tc>
          <w:tcPr>
            <w:tcW w:w="1134" w:type="dxa"/>
            <w:shd w:val="clear" w:color="auto" w:fill="C6EFCE"/>
            <w:vAlign w:val="center"/>
          </w:tcPr>
          <w:p w14:paraId="6634B60E" w14:textId="77777777" w:rsidR="00FA7C11" w:rsidRDefault="00D84965">
            <w:pPr>
              <w:pStyle w:val="P68B1DB1-Normal148"/>
              <w:spacing w:before="120" w:after="0" w:line="240" w:lineRule="auto"/>
              <w:jc w:val="center"/>
              <w:textAlignment w:val="baseline"/>
              <w:rPr>
                <w:noProof/>
              </w:rPr>
            </w:pPr>
            <w:r>
              <w:rPr>
                <w:noProof/>
              </w:rPr>
              <w:t>M</w:t>
            </w:r>
          </w:p>
        </w:tc>
        <w:tc>
          <w:tcPr>
            <w:tcW w:w="5529" w:type="dxa"/>
            <w:shd w:val="clear" w:color="auto" w:fill="C6EFCE"/>
            <w:vAlign w:val="bottom"/>
          </w:tcPr>
          <w:p w14:paraId="0F3931F9" w14:textId="77777777" w:rsidR="00FA7C11" w:rsidRDefault="00D84965">
            <w:pPr>
              <w:pStyle w:val="P68B1DB1-Normal148"/>
              <w:spacing w:before="120" w:after="0" w:line="240" w:lineRule="auto"/>
              <w:jc w:val="both"/>
              <w:textAlignment w:val="baseline"/>
              <w:rPr>
                <w:noProof/>
              </w:rPr>
            </w:pPr>
            <w:r>
              <w:rPr>
                <w:noProof/>
              </w:rPr>
              <w:t>Noul sistem de taxare rutieră electronică</w:t>
            </w:r>
          </w:p>
        </w:tc>
      </w:tr>
      <w:tr w:rsidR="00FA7C11" w14:paraId="34064382" w14:textId="77777777">
        <w:trPr>
          <w:trHeight w:val="362"/>
        </w:trPr>
        <w:tc>
          <w:tcPr>
            <w:tcW w:w="1096" w:type="dxa"/>
            <w:shd w:val="clear" w:color="auto" w:fill="C6EFCE"/>
            <w:vAlign w:val="center"/>
          </w:tcPr>
          <w:p w14:paraId="244139BE" w14:textId="77777777" w:rsidR="00FA7C11" w:rsidRDefault="00D84965">
            <w:pPr>
              <w:pStyle w:val="P68B1DB1-Normal149"/>
              <w:spacing w:before="120" w:after="120" w:line="240" w:lineRule="auto"/>
              <w:jc w:val="center"/>
              <w:rPr>
                <w:rFonts w:eastAsia="Times New Roman"/>
                <w:noProof/>
              </w:rPr>
            </w:pPr>
            <w:r>
              <w:rPr>
                <w:noProof/>
              </w:rPr>
              <w:t>155</w:t>
            </w:r>
          </w:p>
        </w:tc>
        <w:tc>
          <w:tcPr>
            <w:tcW w:w="1642" w:type="dxa"/>
            <w:shd w:val="clear" w:color="auto" w:fill="C6EFCE"/>
            <w:vAlign w:val="center"/>
          </w:tcPr>
          <w:p w14:paraId="7550E1A5" w14:textId="77777777" w:rsidR="00FA7C11" w:rsidRDefault="00D84965">
            <w:pPr>
              <w:pStyle w:val="P68B1DB1-Normal149"/>
              <w:spacing w:before="120" w:after="120" w:line="240" w:lineRule="auto"/>
              <w:jc w:val="center"/>
              <w:rPr>
                <w:rFonts w:eastAsia="Times New Roman"/>
                <w:noProof/>
              </w:rPr>
            </w:pPr>
            <w:r>
              <w:rPr>
                <w:noProof/>
              </w:rPr>
              <w:t>C2.1. R1-I2</w:t>
            </w:r>
          </w:p>
        </w:tc>
        <w:tc>
          <w:tcPr>
            <w:tcW w:w="1134" w:type="dxa"/>
            <w:shd w:val="clear" w:color="auto" w:fill="C6EFCE"/>
            <w:vAlign w:val="center"/>
          </w:tcPr>
          <w:p w14:paraId="3AED7CEA" w14:textId="77777777" w:rsidR="00FA7C11" w:rsidRDefault="00D84965">
            <w:pPr>
              <w:pStyle w:val="P68B1DB1-Normal149"/>
              <w:spacing w:before="120" w:after="120" w:line="240" w:lineRule="auto"/>
              <w:jc w:val="center"/>
              <w:rPr>
                <w:rFonts w:eastAsia="Times New Roman"/>
                <w:noProof/>
              </w:rPr>
            </w:pPr>
            <w:r>
              <w:rPr>
                <w:noProof/>
              </w:rPr>
              <w:t>T</w:t>
            </w:r>
          </w:p>
        </w:tc>
        <w:tc>
          <w:tcPr>
            <w:tcW w:w="5529" w:type="dxa"/>
            <w:shd w:val="clear" w:color="auto" w:fill="C6EFCE"/>
            <w:vAlign w:val="center"/>
          </w:tcPr>
          <w:p w14:paraId="43DDEE28" w14:textId="77777777" w:rsidR="00FA7C11" w:rsidRDefault="00D84965">
            <w:pPr>
              <w:pStyle w:val="P68B1DB1-Normal149"/>
              <w:spacing w:before="120" w:after="120" w:line="240" w:lineRule="auto"/>
              <w:jc w:val="both"/>
              <w:rPr>
                <w:rFonts w:eastAsia="Times New Roman"/>
                <w:noProof/>
              </w:rPr>
            </w:pPr>
            <w:r>
              <w:rPr>
                <w:noProof/>
              </w:rPr>
              <w:t>Organizarea de zile de formare pentru ofițerii care au legătură cu sistemul de planificare strategică și de punere în aplicare a impacturilor în materie de reglementare la nivel național și regional</w:t>
            </w:r>
          </w:p>
        </w:tc>
      </w:tr>
      <w:tr w:rsidR="00FA7C11" w14:paraId="0A6661AC" w14:textId="77777777">
        <w:trPr>
          <w:trHeight w:val="362"/>
        </w:trPr>
        <w:tc>
          <w:tcPr>
            <w:tcW w:w="1096" w:type="dxa"/>
            <w:shd w:val="clear" w:color="auto" w:fill="C6EFCE"/>
            <w:vAlign w:val="center"/>
          </w:tcPr>
          <w:p w14:paraId="6F5896EF" w14:textId="77777777" w:rsidR="00FA7C11" w:rsidRDefault="00D84965">
            <w:pPr>
              <w:pStyle w:val="P68B1DB1-Normal149"/>
              <w:spacing w:before="120" w:after="120" w:line="240" w:lineRule="auto"/>
              <w:jc w:val="center"/>
              <w:rPr>
                <w:rFonts w:eastAsia="Times New Roman"/>
                <w:noProof/>
              </w:rPr>
            </w:pPr>
            <w:r>
              <w:rPr>
                <w:noProof/>
              </w:rPr>
              <w:t>321</w:t>
            </w:r>
          </w:p>
        </w:tc>
        <w:tc>
          <w:tcPr>
            <w:tcW w:w="1642" w:type="dxa"/>
            <w:shd w:val="clear" w:color="auto" w:fill="C6EFCE"/>
            <w:vAlign w:val="center"/>
          </w:tcPr>
          <w:p w14:paraId="34A33E52" w14:textId="77777777" w:rsidR="00FA7C11" w:rsidRDefault="00D84965">
            <w:pPr>
              <w:pStyle w:val="P68B1DB1-Normal149"/>
              <w:spacing w:before="120" w:after="120" w:line="240" w:lineRule="auto"/>
              <w:jc w:val="center"/>
              <w:rPr>
                <w:rFonts w:eastAsia="Times New Roman"/>
                <w:noProof/>
              </w:rPr>
            </w:pPr>
            <w:r>
              <w:rPr>
                <w:noProof/>
              </w:rPr>
              <w:t>C5.1. R1-I2</w:t>
            </w:r>
          </w:p>
        </w:tc>
        <w:tc>
          <w:tcPr>
            <w:tcW w:w="1134" w:type="dxa"/>
            <w:shd w:val="clear" w:color="auto" w:fill="C6EFCE"/>
            <w:vAlign w:val="center"/>
          </w:tcPr>
          <w:p w14:paraId="759A8E0D" w14:textId="77777777" w:rsidR="00FA7C11" w:rsidRDefault="00D84965">
            <w:pPr>
              <w:pStyle w:val="P68B1DB1-Normal149"/>
              <w:spacing w:before="120" w:after="120" w:line="240" w:lineRule="auto"/>
              <w:jc w:val="center"/>
              <w:rPr>
                <w:rFonts w:eastAsia="Times New Roman"/>
                <w:noProof/>
              </w:rPr>
            </w:pPr>
            <w:r>
              <w:rPr>
                <w:noProof/>
              </w:rPr>
              <w:t>T</w:t>
            </w:r>
          </w:p>
        </w:tc>
        <w:tc>
          <w:tcPr>
            <w:tcW w:w="5529" w:type="dxa"/>
            <w:shd w:val="clear" w:color="auto" w:fill="C6EFCE"/>
          </w:tcPr>
          <w:p w14:paraId="454886C1" w14:textId="77777777" w:rsidR="00FA7C11" w:rsidRDefault="00D84965">
            <w:pPr>
              <w:pStyle w:val="P68B1DB1-Normal149"/>
              <w:spacing w:before="120" w:after="120" w:line="240" w:lineRule="auto"/>
              <w:jc w:val="both"/>
              <w:rPr>
                <w:rFonts w:eastAsia="Times New Roman"/>
                <w:noProof/>
              </w:rPr>
            </w:pPr>
            <w:r>
              <w:rPr>
                <w:noProof/>
              </w:rPr>
              <w:t xml:space="preserve">Furnizarea de asistență medicală primară ambulatorie mobilă </w:t>
            </w:r>
          </w:p>
        </w:tc>
      </w:tr>
      <w:tr w:rsidR="00FA7C11" w14:paraId="17A783BB" w14:textId="77777777">
        <w:trPr>
          <w:trHeight w:val="362"/>
        </w:trPr>
        <w:tc>
          <w:tcPr>
            <w:tcW w:w="1096" w:type="dxa"/>
            <w:shd w:val="clear" w:color="auto" w:fill="C6EFCE"/>
            <w:vAlign w:val="center"/>
          </w:tcPr>
          <w:p w14:paraId="4C0A5542" w14:textId="77777777" w:rsidR="00FA7C11" w:rsidRDefault="00D84965">
            <w:pPr>
              <w:pStyle w:val="P68B1DB1-Normal148"/>
              <w:spacing w:before="120" w:after="0" w:line="240" w:lineRule="auto"/>
              <w:jc w:val="center"/>
              <w:textAlignment w:val="baseline"/>
              <w:rPr>
                <w:noProof/>
              </w:rPr>
            </w:pPr>
            <w:r>
              <w:rPr>
                <w:noProof/>
              </w:rPr>
              <w:t>384</w:t>
            </w:r>
          </w:p>
        </w:tc>
        <w:tc>
          <w:tcPr>
            <w:tcW w:w="1642" w:type="dxa"/>
            <w:shd w:val="clear" w:color="auto" w:fill="C6EFCE"/>
            <w:vAlign w:val="center"/>
          </w:tcPr>
          <w:p w14:paraId="4375953A" w14:textId="77777777" w:rsidR="00FA7C11" w:rsidRDefault="00D84965">
            <w:pPr>
              <w:pStyle w:val="P68B1DB1-Normal148"/>
              <w:spacing w:before="120" w:after="0" w:line="240" w:lineRule="auto"/>
              <w:jc w:val="center"/>
              <w:textAlignment w:val="baseline"/>
              <w:rPr>
                <w:noProof/>
              </w:rPr>
            </w:pPr>
            <w:r>
              <w:rPr>
                <w:noProof/>
              </w:rPr>
              <w:t>C1.3. R3</w:t>
            </w:r>
          </w:p>
        </w:tc>
        <w:tc>
          <w:tcPr>
            <w:tcW w:w="1134" w:type="dxa"/>
            <w:shd w:val="clear" w:color="auto" w:fill="C6EFCE"/>
            <w:vAlign w:val="center"/>
          </w:tcPr>
          <w:p w14:paraId="10EA9A28"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132899F8" w14:textId="0E6E3DE7" w:rsidR="00FA7C11" w:rsidRDefault="00D84965">
            <w:pPr>
              <w:pStyle w:val="P68B1DB1-Normal148"/>
              <w:spacing w:before="120" w:after="0" w:line="240" w:lineRule="auto"/>
              <w:jc w:val="both"/>
              <w:textAlignment w:val="baseline"/>
              <w:rPr>
                <w:noProof/>
              </w:rPr>
            </w:pPr>
            <w:r>
              <w:rPr>
                <w:noProof/>
              </w:rPr>
              <w:t>Adoptarea planurilor de acțiune pentru reducerea pierderilor de apă ale operatorilor din domeniul apei</w:t>
            </w:r>
          </w:p>
        </w:tc>
      </w:tr>
      <w:tr w:rsidR="00FA7C11" w14:paraId="703A2EBE" w14:textId="77777777">
        <w:trPr>
          <w:trHeight w:val="362"/>
        </w:trPr>
        <w:tc>
          <w:tcPr>
            <w:tcW w:w="1096" w:type="dxa"/>
            <w:shd w:val="clear" w:color="auto" w:fill="C6EFCE"/>
            <w:vAlign w:val="center"/>
          </w:tcPr>
          <w:p w14:paraId="10755F19" w14:textId="77777777" w:rsidR="00FA7C11" w:rsidRDefault="00D84965">
            <w:pPr>
              <w:pStyle w:val="P68B1DB1-Normal148"/>
              <w:spacing w:before="120" w:after="0" w:line="240" w:lineRule="auto"/>
              <w:jc w:val="center"/>
              <w:textAlignment w:val="baseline"/>
              <w:rPr>
                <w:noProof/>
              </w:rPr>
            </w:pPr>
            <w:r>
              <w:rPr>
                <w:noProof/>
              </w:rPr>
              <w:t>388</w:t>
            </w:r>
          </w:p>
        </w:tc>
        <w:tc>
          <w:tcPr>
            <w:tcW w:w="1642" w:type="dxa"/>
            <w:shd w:val="clear" w:color="auto" w:fill="C6EFCE"/>
            <w:vAlign w:val="center"/>
          </w:tcPr>
          <w:p w14:paraId="01CE0479" w14:textId="77777777" w:rsidR="00FA7C11" w:rsidRDefault="00D84965">
            <w:pPr>
              <w:pStyle w:val="P68B1DB1-Normal148"/>
              <w:spacing w:before="120" w:after="0" w:line="240" w:lineRule="auto"/>
              <w:jc w:val="center"/>
              <w:textAlignment w:val="baseline"/>
              <w:rPr>
                <w:noProof/>
              </w:rPr>
            </w:pPr>
            <w:r>
              <w:rPr>
                <w:noProof/>
              </w:rPr>
              <w:t>C1.3. R3</w:t>
            </w:r>
          </w:p>
        </w:tc>
        <w:tc>
          <w:tcPr>
            <w:tcW w:w="1134" w:type="dxa"/>
            <w:shd w:val="clear" w:color="auto" w:fill="C6EFCE"/>
            <w:vAlign w:val="center"/>
          </w:tcPr>
          <w:p w14:paraId="578E46E2"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08423D66" w14:textId="77777777" w:rsidR="00FA7C11" w:rsidRDefault="00D84965">
            <w:pPr>
              <w:pStyle w:val="P68B1DB1-Normal148"/>
              <w:spacing w:before="120" w:after="0" w:line="240" w:lineRule="auto"/>
              <w:jc w:val="both"/>
              <w:textAlignment w:val="baseline"/>
              <w:rPr>
                <w:noProof/>
              </w:rPr>
            </w:pPr>
            <w:r>
              <w:rPr>
                <w:noProof/>
              </w:rPr>
              <w:t>Stații de epurare a apelor uzate construite sau modernizate</w:t>
            </w:r>
          </w:p>
        </w:tc>
      </w:tr>
      <w:tr w:rsidR="00FA7C11" w14:paraId="511125E4" w14:textId="77777777">
        <w:trPr>
          <w:trHeight w:val="362"/>
        </w:trPr>
        <w:tc>
          <w:tcPr>
            <w:tcW w:w="1096" w:type="dxa"/>
            <w:shd w:val="clear" w:color="auto" w:fill="C6EFCE"/>
            <w:vAlign w:val="center"/>
          </w:tcPr>
          <w:p w14:paraId="0320342D" w14:textId="77777777" w:rsidR="00FA7C11" w:rsidRDefault="00D84965">
            <w:pPr>
              <w:pStyle w:val="P68B1DB1-Normal148"/>
              <w:spacing w:before="120" w:after="0" w:line="240" w:lineRule="auto"/>
              <w:jc w:val="center"/>
              <w:textAlignment w:val="baseline"/>
              <w:rPr>
                <w:noProof/>
              </w:rPr>
            </w:pPr>
            <w:r>
              <w:rPr>
                <w:noProof/>
              </w:rPr>
              <w:t>389</w:t>
            </w:r>
          </w:p>
        </w:tc>
        <w:tc>
          <w:tcPr>
            <w:tcW w:w="1642" w:type="dxa"/>
            <w:shd w:val="clear" w:color="auto" w:fill="C6EFCE"/>
            <w:vAlign w:val="center"/>
          </w:tcPr>
          <w:p w14:paraId="057E4D49" w14:textId="77777777" w:rsidR="00FA7C11" w:rsidRDefault="00D84965">
            <w:pPr>
              <w:pStyle w:val="P68B1DB1-Normal148"/>
              <w:spacing w:before="120" w:after="0" w:line="240" w:lineRule="auto"/>
              <w:jc w:val="center"/>
              <w:textAlignment w:val="baseline"/>
              <w:rPr>
                <w:noProof/>
              </w:rPr>
            </w:pPr>
            <w:r>
              <w:rPr>
                <w:noProof/>
              </w:rPr>
              <w:t>C1.3. R3</w:t>
            </w:r>
          </w:p>
        </w:tc>
        <w:tc>
          <w:tcPr>
            <w:tcW w:w="1134" w:type="dxa"/>
            <w:shd w:val="clear" w:color="auto" w:fill="C6EFCE"/>
            <w:vAlign w:val="center"/>
          </w:tcPr>
          <w:p w14:paraId="5967A012"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7774A5FF" w14:textId="36497646" w:rsidR="00FA7C11" w:rsidRDefault="00D84965">
            <w:pPr>
              <w:pStyle w:val="P68B1DB1-Normal148"/>
              <w:spacing w:before="120" w:after="0" w:line="240" w:lineRule="auto"/>
              <w:jc w:val="both"/>
              <w:textAlignment w:val="baseline"/>
              <w:rPr>
                <w:noProof/>
              </w:rPr>
            </w:pPr>
            <w:r>
              <w:rPr>
                <w:noProof/>
              </w:rPr>
              <w:t>Rețea publică de canalizare construită sau reconstruită</w:t>
            </w:r>
          </w:p>
        </w:tc>
      </w:tr>
      <w:tr w:rsidR="00FA7C11" w14:paraId="5ADFC6D9" w14:textId="77777777">
        <w:trPr>
          <w:trHeight w:val="362"/>
        </w:trPr>
        <w:tc>
          <w:tcPr>
            <w:tcW w:w="1096" w:type="dxa"/>
            <w:shd w:val="clear" w:color="auto" w:fill="C6EFCE"/>
            <w:vAlign w:val="center"/>
          </w:tcPr>
          <w:p w14:paraId="19E77838" w14:textId="77777777" w:rsidR="00FA7C11" w:rsidRDefault="00D84965">
            <w:pPr>
              <w:pStyle w:val="P68B1DB1-Normal148"/>
              <w:spacing w:before="120" w:after="0" w:line="240" w:lineRule="auto"/>
              <w:jc w:val="center"/>
              <w:textAlignment w:val="baseline"/>
              <w:rPr>
                <w:noProof/>
              </w:rPr>
            </w:pPr>
            <w:r>
              <w:rPr>
                <w:noProof/>
              </w:rPr>
              <w:t>391</w:t>
            </w:r>
          </w:p>
        </w:tc>
        <w:tc>
          <w:tcPr>
            <w:tcW w:w="1642" w:type="dxa"/>
            <w:shd w:val="clear" w:color="auto" w:fill="C6EFCE"/>
            <w:vAlign w:val="center"/>
          </w:tcPr>
          <w:p w14:paraId="5FFBAE65" w14:textId="77777777" w:rsidR="00FA7C11" w:rsidRDefault="00D84965">
            <w:pPr>
              <w:pStyle w:val="P68B1DB1-Normal148"/>
              <w:spacing w:before="120" w:after="0" w:line="240" w:lineRule="auto"/>
              <w:jc w:val="center"/>
              <w:textAlignment w:val="baseline"/>
              <w:rPr>
                <w:noProof/>
              </w:rPr>
            </w:pPr>
            <w:r>
              <w:rPr>
                <w:noProof/>
              </w:rPr>
              <w:t>C1.3. R3-I2</w:t>
            </w:r>
          </w:p>
        </w:tc>
        <w:tc>
          <w:tcPr>
            <w:tcW w:w="1134" w:type="dxa"/>
            <w:shd w:val="clear" w:color="auto" w:fill="C6EFCE"/>
            <w:vAlign w:val="center"/>
          </w:tcPr>
          <w:p w14:paraId="555E3F6B"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1BB3C6D6" w14:textId="77777777" w:rsidR="00FA7C11" w:rsidRDefault="00D84965">
            <w:pPr>
              <w:pStyle w:val="P68B1DB1-Normal148"/>
              <w:spacing w:before="120" w:after="0" w:line="240" w:lineRule="auto"/>
              <w:jc w:val="both"/>
              <w:textAlignment w:val="baseline"/>
              <w:rPr>
                <w:noProof/>
              </w:rPr>
            </w:pPr>
            <w:r>
              <w:rPr>
                <w:noProof/>
              </w:rPr>
              <w:t>Rețea publică de alimentare cu apă construită sau reconstruită</w:t>
            </w:r>
          </w:p>
        </w:tc>
      </w:tr>
      <w:tr w:rsidR="00FA7C11" w14:paraId="66CA84D6" w14:textId="77777777">
        <w:trPr>
          <w:trHeight w:val="362"/>
        </w:trPr>
        <w:tc>
          <w:tcPr>
            <w:tcW w:w="1096" w:type="dxa"/>
            <w:shd w:val="clear" w:color="auto" w:fill="C6EFCE"/>
            <w:vAlign w:val="center"/>
          </w:tcPr>
          <w:p w14:paraId="55DC5B22" w14:textId="77777777" w:rsidR="00FA7C11" w:rsidRDefault="00D84965">
            <w:pPr>
              <w:pStyle w:val="P68B1DB1-Normal149"/>
              <w:spacing w:before="120" w:after="0" w:line="240" w:lineRule="auto"/>
              <w:jc w:val="center"/>
              <w:textAlignment w:val="baseline"/>
              <w:rPr>
                <w:rFonts w:eastAsia="Times New Roman"/>
                <w:noProof/>
              </w:rPr>
            </w:pPr>
            <w:r>
              <w:rPr>
                <w:noProof/>
              </w:rPr>
              <w:t>394</w:t>
            </w:r>
          </w:p>
        </w:tc>
        <w:tc>
          <w:tcPr>
            <w:tcW w:w="1642" w:type="dxa"/>
            <w:shd w:val="clear" w:color="auto" w:fill="C6EFCE"/>
            <w:vAlign w:val="center"/>
          </w:tcPr>
          <w:p w14:paraId="01A0FB33" w14:textId="77777777" w:rsidR="00FA7C11" w:rsidRDefault="00D84965">
            <w:pPr>
              <w:pStyle w:val="P68B1DB1-Normal149"/>
              <w:spacing w:before="120" w:after="0" w:line="240" w:lineRule="auto"/>
              <w:jc w:val="center"/>
              <w:textAlignment w:val="baseline"/>
              <w:rPr>
                <w:rFonts w:eastAsia="Times New Roman"/>
                <w:noProof/>
              </w:rPr>
            </w:pPr>
            <w:r>
              <w:rPr>
                <w:noProof/>
              </w:rPr>
              <w:t>C2.3 R3- I17</w:t>
            </w:r>
          </w:p>
        </w:tc>
        <w:tc>
          <w:tcPr>
            <w:tcW w:w="1134" w:type="dxa"/>
            <w:shd w:val="clear" w:color="auto" w:fill="C6EFCE"/>
            <w:vAlign w:val="center"/>
          </w:tcPr>
          <w:p w14:paraId="17D190D2" w14:textId="77777777" w:rsidR="00FA7C11" w:rsidRDefault="00D84965">
            <w:pPr>
              <w:pStyle w:val="P68B1DB1-Normal149"/>
              <w:spacing w:before="120" w:after="0" w:line="240" w:lineRule="auto"/>
              <w:jc w:val="center"/>
              <w:textAlignment w:val="baseline"/>
              <w:rPr>
                <w:rFonts w:eastAsia="Times New Roman"/>
                <w:noProof/>
              </w:rPr>
            </w:pPr>
            <w:r>
              <w:rPr>
                <w:noProof/>
              </w:rPr>
              <w:t>M</w:t>
            </w:r>
          </w:p>
        </w:tc>
        <w:tc>
          <w:tcPr>
            <w:tcW w:w="5529" w:type="dxa"/>
            <w:shd w:val="clear" w:color="auto" w:fill="C6EFCE"/>
            <w:vAlign w:val="center"/>
          </w:tcPr>
          <w:p w14:paraId="5DAD9218" w14:textId="77777777" w:rsidR="00FA7C11" w:rsidRDefault="00D84965">
            <w:pPr>
              <w:pStyle w:val="P68B1DB1-Normal149"/>
              <w:spacing w:before="120" w:after="0" w:line="240" w:lineRule="auto"/>
              <w:jc w:val="both"/>
              <w:textAlignment w:val="baseline"/>
              <w:rPr>
                <w:rFonts w:eastAsia="Times New Roman"/>
                <w:noProof/>
              </w:rPr>
            </w:pPr>
            <w:r>
              <w:rPr>
                <w:noProof/>
              </w:rPr>
              <w:t>Legea privind înființarea Registrului populației, familiei și gospodăriilor (SOK)</w:t>
            </w:r>
          </w:p>
        </w:tc>
      </w:tr>
      <w:tr w:rsidR="00FA7C11" w14:paraId="72C2372A" w14:textId="77777777">
        <w:trPr>
          <w:trHeight w:val="362"/>
        </w:trPr>
        <w:tc>
          <w:tcPr>
            <w:tcW w:w="1096" w:type="dxa"/>
            <w:shd w:val="clear" w:color="auto" w:fill="C6EFCE"/>
            <w:vAlign w:val="center"/>
          </w:tcPr>
          <w:p w14:paraId="0256ED4C" w14:textId="77777777" w:rsidR="00FA7C11" w:rsidRDefault="00D84965">
            <w:pPr>
              <w:pStyle w:val="P68B1DB1-Normal148"/>
              <w:spacing w:before="120" w:after="0" w:line="240" w:lineRule="auto"/>
              <w:jc w:val="center"/>
              <w:textAlignment w:val="baseline"/>
              <w:rPr>
                <w:noProof/>
              </w:rPr>
            </w:pPr>
            <w:r>
              <w:rPr>
                <w:noProof/>
              </w:rPr>
              <w:t>397</w:t>
            </w:r>
          </w:p>
        </w:tc>
        <w:tc>
          <w:tcPr>
            <w:tcW w:w="1642" w:type="dxa"/>
            <w:shd w:val="clear" w:color="auto" w:fill="C6EFCE"/>
            <w:vAlign w:val="center"/>
          </w:tcPr>
          <w:p w14:paraId="5BDA3122" w14:textId="77777777" w:rsidR="00FA7C11" w:rsidRDefault="00D84965">
            <w:pPr>
              <w:pStyle w:val="P68B1DB1-Normal148"/>
              <w:spacing w:before="120" w:after="0" w:line="240" w:lineRule="auto"/>
              <w:jc w:val="center"/>
              <w:textAlignment w:val="baseline"/>
              <w:rPr>
                <w:noProof/>
              </w:rPr>
            </w:pPr>
            <w:r>
              <w:rPr>
                <w:noProof/>
              </w:rPr>
              <w:t>C3.1. R1-I4</w:t>
            </w:r>
          </w:p>
        </w:tc>
        <w:tc>
          <w:tcPr>
            <w:tcW w:w="1134" w:type="dxa"/>
            <w:shd w:val="clear" w:color="auto" w:fill="C6EFCE"/>
            <w:vAlign w:val="center"/>
          </w:tcPr>
          <w:p w14:paraId="5C9BCBDB"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vAlign w:val="bottom"/>
          </w:tcPr>
          <w:p w14:paraId="5FE86D9E" w14:textId="77777777" w:rsidR="00FA7C11" w:rsidRDefault="00D84965">
            <w:pPr>
              <w:pStyle w:val="P68B1DB1-Normal148"/>
              <w:spacing w:before="120" w:after="0" w:line="240" w:lineRule="auto"/>
              <w:jc w:val="both"/>
              <w:textAlignment w:val="baseline"/>
              <w:rPr>
                <w:noProof/>
              </w:rPr>
            </w:pPr>
            <w:r>
              <w:rPr>
                <w:noProof/>
              </w:rPr>
              <w:t>Numărul de săli de clasă ale școlilor primare construite sau reconstruite</w:t>
            </w:r>
          </w:p>
        </w:tc>
      </w:tr>
      <w:tr w:rsidR="00FA7C11" w14:paraId="1B7292DA" w14:textId="77777777">
        <w:trPr>
          <w:trHeight w:val="362"/>
        </w:trPr>
        <w:tc>
          <w:tcPr>
            <w:tcW w:w="1096" w:type="dxa"/>
            <w:shd w:val="clear" w:color="auto" w:fill="C6EFCE"/>
            <w:vAlign w:val="center"/>
          </w:tcPr>
          <w:p w14:paraId="1FCB2E43" w14:textId="77777777" w:rsidR="00FA7C11" w:rsidRDefault="00D84965">
            <w:pPr>
              <w:pStyle w:val="P68B1DB1-Normal150"/>
              <w:spacing w:before="120" w:after="0" w:line="240" w:lineRule="auto"/>
              <w:jc w:val="center"/>
              <w:textAlignment w:val="baseline"/>
              <w:rPr>
                <w:rFonts w:eastAsia="Times New Roman"/>
                <w:noProof/>
                <w:highlight w:val="yellow"/>
              </w:rPr>
            </w:pPr>
            <w:r>
              <w:rPr>
                <w:noProof/>
              </w:rPr>
              <w:t>322</w:t>
            </w:r>
          </w:p>
        </w:tc>
        <w:tc>
          <w:tcPr>
            <w:tcW w:w="1642" w:type="dxa"/>
            <w:shd w:val="clear" w:color="auto" w:fill="C6EFCE"/>
            <w:vAlign w:val="center"/>
          </w:tcPr>
          <w:p w14:paraId="50BA7850" w14:textId="77777777" w:rsidR="00FA7C11" w:rsidRDefault="00D84965">
            <w:pPr>
              <w:pStyle w:val="P68B1DB1-Normal150"/>
              <w:spacing w:before="120" w:after="0" w:line="240" w:lineRule="auto"/>
              <w:jc w:val="center"/>
              <w:textAlignment w:val="baseline"/>
              <w:rPr>
                <w:rFonts w:eastAsia="Times New Roman"/>
                <w:noProof/>
              </w:rPr>
            </w:pPr>
            <w:r>
              <w:rPr>
                <w:noProof/>
              </w:rPr>
              <w:t>C5.1. R1-I3</w:t>
            </w:r>
          </w:p>
        </w:tc>
        <w:tc>
          <w:tcPr>
            <w:tcW w:w="1134" w:type="dxa"/>
            <w:shd w:val="clear" w:color="auto" w:fill="C6EFCE"/>
            <w:vAlign w:val="center"/>
          </w:tcPr>
          <w:p w14:paraId="1CA662D7" w14:textId="77777777" w:rsidR="00FA7C11" w:rsidRDefault="00D84965">
            <w:pPr>
              <w:pStyle w:val="P68B1DB1-Normal150"/>
              <w:spacing w:before="120" w:after="0" w:line="240" w:lineRule="auto"/>
              <w:jc w:val="center"/>
              <w:textAlignment w:val="baseline"/>
              <w:rPr>
                <w:rFonts w:eastAsia="Times New Roman"/>
                <w:noProof/>
              </w:rPr>
            </w:pPr>
            <w:r>
              <w:rPr>
                <w:noProof/>
              </w:rPr>
              <w:t>T</w:t>
            </w:r>
          </w:p>
        </w:tc>
        <w:tc>
          <w:tcPr>
            <w:tcW w:w="5529" w:type="dxa"/>
            <w:shd w:val="clear" w:color="auto" w:fill="C6EFCE"/>
          </w:tcPr>
          <w:p w14:paraId="362A9A6A" w14:textId="77777777" w:rsidR="00FA7C11" w:rsidRDefault="00D84965">
            <w:pPr>
              <w:pStyle w:val="P68B1DB1-Normal150"/>
              <w:spacing w:before="120" w:after="0" w:line="240" w:lineRule="auto"/>
              <w:jc w:val="both"/>
              <w:textAlignment w:val="baseline"/>
              <w:rPr>
                <w:rFonts w:eastAsia="Times New Roman"/>
                <w:noProof/>
              </w:rPr>
            </w:pPr>
            <w:r>
              <w:rPr>
                <w:noProof/>
              </w:rPr>
              <w:t xml:space="preserve">Clădire nouă în complexul Clinic pentru boli infecțioase, dr. Fran Mihaljević </w:t>
            </w:r>
          </w:p>
        </w:tc>
      </w:tr>
      <w:tr w:rsidR="00FA7C11" w14:paraId="4D74CEBC" w14:textId="77777777">
        <w:trPr>
          <w:trHeight w:val="362"/>
        </w:trPr>
        <w:tc>
          <w:tcPr>
            <w:tcW w:w="1096" w:type="dxa"/>
            <w:shd w:val="clear" w:color="auto" w:fill="C6EFCE"/>
            <w:vAlign w:val="center"/>
          </w:tcPr>
          <w:p w14:paraId="15786D78" w14:textId="77777777" w:rsidR="00FA7C11" w:rsidRDefault="00D84965">
            <w:pPr>
              <w:pStyle w:val="P68B1DB1-Normal148"/>
              <w:spacing w:before="120" w:after="0" w:line="240" w:lineRule="auto"/>
              <w:jc w:val="center"/>
              <w:textAlignment w:val="baseline"/>
              <w:rPr>
                <w:rFonts w:eastAsia="Calibri"/>
                <w:noProof/>
              </w:rPr>
            </w:pPr>
            <w:r>
              <w:rPr>
                <w:noProof/>
              </w:rPr>
              <w:t>356</w:t>
            </w:r>
          </w:p>
        </w:tc>
        <w:tc>
          <w:tcPr>
            <w:tcW w:w="1642" w:type="dxa"/>
            <w:shd w:val="clear" w:color="auto" w:fill="C6EFCE"/>
            <w:vAlign w:val="center"/>
          </w:tcPr>
          <w:p w14:paraId="480C57E1" w14:textId="77777777" w:rsidR="00FA7C11" w:rsidRDefault="00D84965">
            <w:pPr>
              <w:pStyle w:val="P68B1DB1-Normal148"/>
              <w:spacing w:before="120" w:after="0" w:line="240" w:lineRule="auto"/>
              <w:jc w:val="center"/>
              <w:textAlignment w:val="baseline"/>
              <w:rPr>
                <w:rFonts w:eastAsia="Calibri"/>
                <w:noProof/>
              </w:rPr>
            </w:pPr>
            <w:r>
              <w:rPr>
                <w:noProof/>
              </w:rPr>
              <w:t>C7.2 I2</w:t>
            </w:r>
          </w:p>
        </w:tc>
        <w:tc>
          <w:tcPr>
            <w:tcW w:w="1134" w:type="dxa"/>
            <w:shd w:val="clear" w:color="auto" w:fill="C6EFCE"/>
            <w:vAlign w:val="center"/>
          </w:tcPr>
          <w:p w14:paraId="1C9430ED" w14:textId="77777777" w:rsidR="00FA7C11" w:rsidRDefault="00D84965">
            <w:pPr>
              <w:pStyle w:val="P68B1DB1-Normal148"/>
              <w:spacing w:before="120" w:after="0" w:line="240" w:lineRule="auto"/>
              <w:jc w:val="center"/>
              <w:textAlignment w:val="baseline"/>
              <w:rPr>
                <w:rFonts w:eastAsia="Calibri"/>
                <w:noProof/>
              </w:rPr>
            </w:pPr>
            <w:r>
              <w:rPr>
                <w:noProof/>
              </w:rPr>
              <w:t>T</w:t>
            </w:r>
          </w:p>
        </w:tc>
        <w:tc>
          <w:tcPr>
            <w:tcW w:w="5529" w:type="dxa"/>
            <w:shd w:val="clear" w:color="auto" w:fill="C6EFCE"/>
          </w:tcPr>
          <w:p w14:paraId="7C25B3EF" w14:textId="77777777" w:rsidR="00FA7C11" w:rsidRDefault="00D84965">
            <w:pPr>
              <w:pStyle w:val="P68B1DB1-Normal148"/>
              <w:spacing w:before="120" w:after="0" w:line="240" w:lineRule="auto"/>
              <w:jc w:val="both"/>
              <w:textAlignment w:val="baseline"/>
              <w:rPr>
                <w:rFonts w:eastAsia="Calibri"/>
                <w:noProof/>
              </w:rPr>
            </w:pPr>
            <w:r>
              <w:rPr>
                <w:noProof/>
              </w:rPr>
              <w:t>Renovarea energetică și post-cutremur a imobilelor colective afectate de cutremure</w:t>
            </w:r>
          </w:p>
        </w:tc>
      </w:tr>
      <w:tr w:rsidR="00FA7C11" w14:paraId="72078674" w14:textId="77777777">
        <w:trPr>
          <w:trHeight w:val="362"/>
        </w:trPr>
        <w:tc>
          <w:tcPr>
            <w:tcW w:w="1096" w:type="dxa"/>
            <w:shd w:val="clear" w:color="auto" w:fill="C6EFCE"/>
            <w:vAlign w:val="center"/>
          </w:tcPr>
          <w:p w14:paraId="152BE654" w14:textId="77777777" w:rsidR="00FA7C11" w:rsidRDefault="00D84965">
            <w:pPr>
              <w:pStyle w:val="P68B1DB1-Normal148"/>
              <w:spacing w:before="120" w:after="0" w:line="240" w:lineRule="auto"/>
              <w:jc w:val="center"/>
              <w:textAlignment w:val="baseline"/>
              <w:rPr>
                <w:rFonts w:eastAsia="Calibri"/>
                <w:noProof/>
              </w:rPr>
            </w:pPr>
            <w:r>
              <w:rPr>
                <w:noProof/>
              </w:rPr>
              <w:t>357</w:t>
            </w:r>
          </w:p>
        </w:tc>
        <w:tc>
          <w:tcPr>
            <w:tcW w:w="1642" w:type="dxa"/>
            <w:shd w:val="clear" w:color="auto" w:fill="C6EFCE"/>
            <w:vAlign w:val="center"/>
          </w:tcPr>
          <w:p w14:paraId="502FEACC" w14:textId="77777777" w:rsidR="00FA7C11" w:rsidRDefault="00D84965">
            <w:pPr>
              <w:pStyle w:val="P68B1DB1-Normal148"/>
              <w:spacing w:before="120" w:after="0" w:line="240" w:lineRule="auto"/>
              <w:jc w:val="center"/>
              <w:textAlignment w:val="baseline"/>
              <w:rPr>
                <w:rFonts w:eastAsia="Calibri"/>
                <w:noProof/>
              </w:rPr>
            </w:pPr>
            <w:r>
              <w:rPr>
                <w:noProof/>
              </w:rPr>
              <w:t>C7.2 I2</w:t>
            </w:r>
          </w:p>
        </w:tc>
        <w:tc>
          <w:tcPr>
            <w:tcW w:w="1134" w:type="dxa"/>
            <w:shd w:val="clear" w:color="auto" w:fill="C6EFCE"/>
            <w:vAlign w:val="center"/>
          </w:tcPr>
          <w:p w14:paraId="594F7C7C" w14:textId="77777777" w:rsidR="00FA7C11" w:rsidRDefault="00D84965">
            <w:pPr>
              <w:pStyle w:val="P68B1DB1-Normal148"/>
              <w:spacing w:before="120" w:after="0" w:line="240" w:lineRule="auto"/>
              <w:jc w:val="center"/>
              <w:textAlignment w:val="baseline"/>
              <w:rPr>
                <w:rFonts w:eastAsia="Calibri"/>
                <w:noProof/>
              </w:rPr>
            </w:pPr>
            <w:r>
              <w:rPr>
                <w:noProof/>
              </w:rPr>
              <w:t>T</w:t>
            </w:r>
          </w:p>
        </w:tc>
        <w:tc>
          <w:tcPr>
            <w:tcW w:w="5529" w:type="dxa"/>
            <w:shd w:val="clear" w:color="auto" w:fill="C6EFCE"/>
          </w:tcPr>
          <w:p w14:paraId="59677BDC" w14:textId="77777777" w:rsidR="00FA7C11" w:rsidRDefault="00D84965">
            <w:pPr>
              <w:pStyle w:val="P68B1DB1-Normal148"/>
              <w:spacing w:before="120" w:after="0" w:line="240" w:lineRule="auto"/>
              <w:jc w:val="both"/>
              <w:textAlignment w:val="baseline"/>
              <w:rPr>
                <w:rFonts w:eastAsia="Calibri"/>
                <w:noProof/>
              </w:rPr>
            </w:pPr>
            <w:r>
              <w:rPr>
                <w:noProof/>
              </w:rPr>
              <w:t>Renovarea energetică și post-cutremur a clădirilor publice afectate de cutremure</w:t>
            </w:r>
          </w:p>
        </w:tc>
      </w:tr>
      <w:tr w:rsidR="00FA7C11" w14:paraId="7D5BDAD3" w14:textId="77777777">
        <w:trPr>
          <w:trHeight w:val="362"/>
        </w:trPr>
        <w:tc>
          <w:tcPr>
            <w:tcW w:w="1096" w:type="dxa"/>
            <w:shd w:val="clear" w:color="auto" w:fill="C6EFCE"/>
            <w:vAlign w:val="center"/>
          </w:tcPr>
          <w:p w14:paraId="25BE00AF" w14:textId="77777777" w:rsidR="00FA7C11" w:rsidRDefault="00D84965">
            <w:pPr>
              <w:pStyle w:val="P68B1DB1-Normal149"/>
              <w:spacing w:before="120" w:after="0" w:line="240" w:lineRule="auto"/>
              <w:jc w:val="center"/>
              <w:textAlignment w:val="baseline"/>
              <w:rPr>
                <w:noProof/>
              </w:rPr>
            </w:pPr>
            <w:r>
              <w:rPr>
                <w:noProof/>
              </w:rPr>
              <w:t>403</w:t>
            </w:r>
          </w:p>
        </w:tc>
        <w:tc>
          <w:tcPr>
            <w:tcW w:w="1642" w:type="dxa"/>
            <w:shd w:val="clear" w:color="auto" w:fill="C6EFCE"/>
            <w:vAlign w:val="center"/>
          </w:tcPr>
          <w:p w14:paraId="052D0CD3" w14:textId="77777777" w:rsidR="00FA7C11" w:rsidRDefault="00D84965">
            <w:pPr>
              <w:pStyle w:val="P68B1DB1-Normal149"/>
              <w:spacing w:before="120" w:after="0" w:line="240" w:lineRule="auto"/>
              <w:jc w:val="center"/>
              <w:textAlignment w:val="baseline"/>
              <w:rPr>
                <w:noProof/>
              </w:rPr>
            </w:pPr>
            <w:r>
              <w:rPr>
                <w:noProof/>
              </w:rPr>
              <w:t>C6.1. R7</w:t>
            </w:r>
          </w:p>
        </w:tc>
        <w:tc>
          <w:tcPr>
            <w:tcW w:w="1134" w:type="dxa"/>
            <w:shd w:val="clear" w:color="auto" w:fill="C6EFCE"/>
            <w:vAlign w:val="center"/>
          </w:tcPr>
          <w:p w14:paraId="2C51A690" w14:textId="77777777" w:rsidR="00FA7C11" w:rsidRDefault="00D84965">
            <w:pPr>
              <w:pStyle w:val="P68B1DB1-Normal149"/>
              <w:spacing w:before="120" w:after="0" w:line="240" w:lineRule="auto"/>
              <w:jc w:val="center"/>
              <w:textAlignment w:val="baseline"/>
              <w:rPr>
                <w:noProof/>
              </w:rPr>
            </w:pPr>
            <w:r>
              <w:rPr>
                <w:noProof/>
              </w:rPr>
              <w:t>T</w:t>
            </w:r>
          </w:p>
        </w:tc>
        <w:tc>
          <w:tcPr>
            <w:tcW w:w="5529" w:type="dxa"/>
            <w:shd w:val="clear" w:color="auto" w:fill="C6EFCE"/>
            <w:vAlign w:val="center"/>
          </w:tcPr>
          <w:p w14:paraId="536FA6B9" w14:textId="77777777" w:rsidR="00FA7C11" w:rsidRDefault="00D84965">
            <w:pPr>
              <w:pStyle w:val="P68B1DB1-Normal149"/>
              <w:spacing w:before="120" w:after="0" w:line="240" w:lineRule="auto"/>
              <w:jc w:val="both"/>
              <w:textAlignment w:val="baseline"/>
              <w:rPr>
                <w:noProof/>
              </w:rPr>
            </w:pPr>
            <w:r>
              <w:rPr>
                <w:noProof/>
              </w:rPr>
              <w:t>Proiect-pilot finalizat</w:t>
            </w:r>
          </w:p>
        </w:tc>
      </w:tr>
      <w:tr w:rsidR="00FA7C11" w14:paraId="71027BD2" w14:textId="77777777">
        <w:trPr>
          <w:trHeight w:val="362"/>
        </w:trPr>
        <w:tc>
          <w:tcPr>
            <w:tcW w:w="1096" w:type="dxa"/>
            <w:shd w:val="clear" w:color="auto" w:fill="C6EFCE"/>
            <w:vAlign w:val="center"/>
          </w:tcPr>
          <w:p w14:paraId="47E6C5C4" w14:textId="77777777" w:rsidR="00FA7C11" w:rsidRDefault="00D84965">
            <w:pPr>
              <w:pStyle w:val="P68B1DB1-Normal149"/>
              <w:spacing w:before="120" w:after="0" w:line="240" w:lineRule="auto"/>
              <w:jc w:val="center"/>
              <w:textAlignment w:val="baseline"/>
              <w:rPr>
                <w:noProof/>
              </w:rPr>
            </w:pPr>
            <w:r>
              <w:rPr>
                <w:noProof/>
              </w:rPr>
              <w:t>404</w:t>
            </w:r>
          </w:p>
        </w:tc>
        <w:tc>
          <w:tcPr>
            <w:tcW w:w="1642" w:type="dxa"/>
            <w:shd w:val="clear" w:color="auto" w:fill="C6EFCE"/>
            <w:vAlign w:val="center"/>
          </w:tcPr>
          <w:p w14:paraId="7B3DC671" w14:textId="113EF943" w:rsidR="00FA7C11" w:rsidRDefault="00D84965">
            <w:pPr>
              <w:pStyle w:val="P68B1DB1-Normal149"/>
              <w:spacing w:before="120" w:after="0" w:line="240" w:lineRule="auto"/>
              <w:jc w:val="center"/>
              <w:textAlignment w:val="baseline"/>
              <w:rPr>
                <w:noProof/>
              </w:rPr>
            </w:pPr>
            <w:r>
              <w:rPr>
                <w:noProof/>
              </w:rPr>
              <w:t>   C6.1. R7</w:t>
            </w:r>
          </w:p>
        </w:tc>
        <w:tc>
          <w:tcPr>
            <w:tcW w:w="1134" w:type="dxa"/>
            <w:shd w:val="clear" w:color="auto" w:fill="C6EFCE"/>
            <w:vAlign w:val="center"/>
          </w:tcPr>
          <w:p w14:paraId="0BF2DFE1" w14:textId="77777777" w:rsidR="00FA7C11" w:rsidRDefault="00D84965">
            <w:pPr>
              <w:pStyle w:val="P68B1DB1-Normal149"/>
              <w:spacing w:before="120" w:after="0" w:line="240" w:lineRule="auto"/>
              <w:jc w:val="center"/>
              <w:textAlignment w:val="baseline"/>
              <w:rPr>
                <w:noProof/>
              </w:rPr>
            </w:pPr>
            <w:r>
              <w:rPr>
                <w:noProof/>
              </w:rPr>
              <w:t>  M</w:t>
            </w:r>
          </w:p>
        </w:tc>
        <w:tc>
          <w:tcPr>
            <w:tcW w:w="5529" w:type="dxa"/>
            <w:shd w:val="clear" w:color="auto" w:fill="C6EFCE"/>
            <w:vAlign w:val="center"/>
          </w:tcPr>
          <w:p w14:paraId="7F8373E8" w14:textId="77777777" w:rsidR="00FA7C11" w:rsidRDefault="00D84965">
            <w:pPr>
              <w:pStyle w:val="P68B1DB1-Normal149"/>
              <w:spacing w:before="120" w:after="0" w:line="240" w:lineRule="auto"/>
              <w:jc w:val="both"/>
              <w:textAlignment w:val="baseline"/>
              <w:rPr>
                <w:noProof/>
              </w:rPr>
            </w:pPr>
            <w:r>
              <w:rPr>
                <w:noProof/>
              </w:rPr>
              <w:t> Orientări naționale privind utilizarea circulară a deșeurilor din construcții provenite din clădiri cu statut de bun cultural</w:t>
            </w:r>
          </w:p>
        </w:tc>
      </w:tr>
      <w:tr w:rsidR="00FA7C11" w14:paraId="1A7F8660" w14:textId="77777777">
        <w:trPr>
          <w:trHeight w:val="362"/>
        </w:trPr>
        <w:tc>
          <w:tcPr>
            <w:tcW w:w="1096" w:type="dxa"/>
            <w:shd w:val="clear" w:color="auto" w:fill="C6EFCE"/>
            <w:vAlign w:val="center"/>
          </w:tcPr>
          <w:p w14:paraId="075520E7" w14:textId="77777777" w:rsidR="00FA7C11" w:rsidRDefault="00D84965">
            <w:pPr>
              <w:pStyle w:val="P68B1DB1-Normal148"/>
              <w:spacing w:before="120" w:after="0" w:line="240" w:lineRule="auto"/>
              <w:jc w:val="center"/>
              <w:textAlignment w:val="baseline"/>
              <w:rPr>
                <w:noProof/>
              </w:rPr>
            </w:pPr>
            <w:r>
              <w:rPr>
                <w:noProof/>
              </w:rPr>
              <w:t>418</w:t>
            </w:r>
          </w:p>
        </w:tc>
        <w:tc>
          <w:tcPr>
            <w:tcW w:w="1642" w:type="dxa"/>
            <w:shd w:val="clear" w:color="auto" w:fill="C6EFCE"/>
            <w:vAlign w:val="center"/>
          </w:tcPr>
          <w:p w14:paraId="67DBE9E6" w14:textId="77777777" w:rsidR="00FA7C11" w:rsidRDefault="00D84965">
            <w:pPr>
              <w:pStyle w:val="P68B1DB1-Normal148"/>
              <w:spacing w:before="120" w:after="0" w:line="240" w:lineRule="auto"/>
              <w:jc w:val="center"/>
              <w:textAlignment w:val="baseline"/>
              <w:rPr>
                <w:noProof/>
              </w:rPr>
            </w:pPr>
            <w:r>
              <w:rPr>
                <w:noProof/>
              </w:rPr>
              <w:t>C7.1 R1-I4</w:t>
            </w:r>
          </w:p>
        </w:tc>
        <w:tc>
          <w:tcPr>
            <w:tcW w:w="1134" w:type="dxa"/>
            <w:shd w:val="clear" w:color="auto" w:fill="C6EFCE"/>
            <w:vAlign w:val="center"/>
          </w:tcPr>
          <w:p w14:paraId="7AA90E4B" w14:textId="77777777" w:rsidR="00FA7C11" w:rsidRDefault="00D84965">
            <w:pPr>
              <w:pStyle w:val="P68B1DB1-Normal148"/>
              <w:spacing w:before="120" w:after="0" w:line="240" w:lineRule="auto"/>
              <w:jc w:val="center"/>
              <w:textAlignment w:val="baseline"/>
              <w:rPr>
                <w:noProof/>
              </w:rPr>
            </w:pPr>
            <w:r>
              <w:rPr>
                <w:noProof/>
              </w:rPr>
              <w:t>M</w:t>
            </w:r>
          </w:p>
        </w:tc>
        <w:tc>
          <w:tcPr>
            <w:tcW w:w="5529" w:type="dxa"/>
            <w:shd w:val="clear" w:color="auto" w:fill="C6EFCE"/>
          </w:tcPr>
          <w:p w14:paraId="4296491C" w14:textId="77777777" w:rsidR="00FA7C11" w:rsidRDefault="00D84965">
            <w:pPr>
              <w:pStyle w:val="P68B1DB1-Normal148"/>
              <w:spacing w:before="120" w:after="0" w:line="240" w:lineRule="auto"/>
              <w:jc w:val="both"/>
              <w:textAlignment w:val="baseline"/>
              <w:rPr>
                <w:noProof/>
              </w:rPr>
            </w:pPr>
            <w:r>
              <w:rPr>
                <w:noProof/>
              </w:rPr>
              <w:t>Infrastructura de încărcare pentru autobuze electrice</w:t>
            </w:r>
          </w:p>
        </w:tc>
      </w:tr>
      <w:tr w:rsidR="00FA7C11" w14:paraId="3E444C11" w14:textId="77777777">
        <w:trPr>
          <w:trHeight w:val="362"/>
        </w:trPr>
        <w:tc>
          <w:tcPr>
            <w:tcW w:w="1096" w:type="dxa"/>
            <w:shd w:val="clear" w:color="auto" w:fill="C6EFCE"/>
            <w:vAlign w:val="center"/>
          </w:tcPr>
          <w:p w14:paraId="2952C421" w14:textId="77777777" w:rsidR="00FA7C11" w:rsidRDefault="00D84965">
            <w:pPr>
              <w:pStyle w:val="P68B1DB1-Normal148"/>
              <w:spacing w:before="120" w:after="0" w:line="240" w:lineRule="auto"/>
              <w:jc w:val="center"/>
              <w:textAlignment w:val="baseline"/>
              <w:rPr>
                <w:noProof/>
              </w:rPr>
            </w:pPr>
            <w:r>
              <w:rPr>
                <w:noProof/>
              </w:rPr>
              <w:t>419</w:t>
            </w:r>
          </w:p>
        </w:tc>
        <w:tc>
          <w:tcPr>
            <w:tcW w:w="1642" w:type="dxa"/>
            <w:shd w:val="clear" w:color="auto" w:fill="C6EFCE"/>
            <w:vAlign w:val="center"/>
          </w:tcPr>
          <w:p w14:paraId="673AE2C1" w14:textId="77777777" w:rsidR="00FA7C11" w:rsidRDefault="00D84965">
            <w:pPr>
              <w:pStyle w:val="P68B1DB1-Normal148"/>
              <w:spacing w:before="120" w:after="0" w:line="240" w:lineRule="auto"/>
              <w:jc w:val="center"/>
              <w:textAlignment w:val="baseline"/>
              <w:rPr>
                <w:noProof/>
              </w:rPr>
            </w:pPr>
            <w:r>
              <w:rPr>
                <w:noProof/>
              </w:rPr>
              <w:t>C7.1 R1-I6</w:t>
            </w:r>
          </w:p>
        </w:tc>
        <w:tc>
          <w:tcPr>
            <w:tcW w:w="1134" w:type="dxa"/>
            <w:shd w:val="clear" w:color="auto" w:fill="C6EFCE"/>
            <w:vAlign w:val="center"/>
          </w:tcPr>
          <w:p w14:paraId="5919EBDD"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tcPr>
          <w:p w14:paraId="527A70C0" w14:textId="77777777" w:rsidR="00FA7C11" w:rsidRDefault="00D84965">
            <w:pPr>
              <w:pStyle w:val="P68B1DB1-Normal148"/>
              <w:spacing w:before="120" w:after="0" w:line="240" w:lineRule="auto"/>
              <w:jc w:val="both"/>
              <w:textAlignment w:val="baseline"/>
              <w:rPr>
                <w:noProof/>
              </w:rPr>
            </w:pPr>
            <w:r>
              <w:rPr>
                <w:noProof/>
              </w:rPr>
              <w:t>Înlocuirea transformatoarelor electrice</w:t>
            </w:r>
          </w:p>
        </w:tc>
      </w:tr>
      <w:tr w:rsidR="00FA7C11" w14:paraId="51E83F32" w14:textId="77777777">
        <w:trPr>
          <w:trHeight w:val="362"/>
        </w:trPr>
        <w:tc>
          <w:tcPr>
            <w:tcW w:w="1096" w:type="dxa"/>
            <w:shd w:val="clear" w:color="auto" w:fill="C6EFCE"/>
            <w:vAlign w:val="center"/>
          </w:tcPr>
          <w:p w14:paraId="5D270B9B" w14:textId="77777777" w:rsidR="00FA7C11" w:rsidRDefault="00D84965">
            <w:pPr>
              <w:pStyle w:val="P68B1DB1-Normal148"/>
              <w:spacing w:before="120" w:after="0" w:line="240" w:lineRule="auto"/>
              <w:jc w:val="center"/>
              <w:textAlignment w:val="baseline"/>
              <w:rPr>
                <w:noProof/>
              </w:rPr>
            </w:pPr>
            <w:r>
              <w:rPr>
                <w:noProof/>
              </w:rPr>
              <w:t>420</w:t>
            </w:r>
          </w:p>
        </w:tc>
        <w:tc>
          <w:tcPr>
            <w:tcW w:w="1642" w:type="dxa"/>
            <w:shd w:val="clear" w:color="auto" w:fill="C6EFCE"/>
            <w:vAlign w:val="center"/>
          </w:tcPr>
          <w:p w14:paraId="3DF51492" w14:textId="77777777" w:rsidR="00FA7C11" w:rsidRDefault="00D84965">
            <w:pPr>
              <w:pStyle w:val="P68B1DB1-Normal148"/>
              <w:spacing w:before="120" w:after="0" w:line="240" w:lineRule="auto"/>
              <w:jc w:val="center"/>
              <w:textAlignment w:val="baseline"/>
              <w:rPr>
                <w:noProof/>
                <w:u w:val="single"/>
              </w:rPr>
            </w:pPr>
            <w:r>
              <w:rPr>
                <w:noProof/>
              </w:rPr>
              <w:t>C7.1 R1-I6</w:t>
            </w:r>
          </w:p>
        </w:tc>
        <w:tc>
          <w:tcPr>
            <w:tcW w:w="1134" w:type="dxa"/>
            <w:shd w:val="clear" w:color="auto" w:fill="C6EFCE"/>
            <w:vAlign w:val="center"/>
          </w:tcPr>
          <w:p w14:paraId="7E230804" w14:textId="77777777" w:rsidR="00FA7C11" w:rsidRDefault="00D84965">
            <w:pPr>
              <w:pStyle w:val="P68B1DB1-Normal151"/>
              <w:spacing w:before="120" w:after="0" w:line="240" w:lineRule="auto"/>
              <w:jc w:val="center"/>
              <w:textAlignment w:val="baseline"/>
              <w:rPr>
                <w:noProof/>
              </w:rPr>
            </w:pPr>
            <w:r>
              <w:rPr>
                <w:noProof/>
              </w:rPr>
              <w:t>T</w:t>
            </w:r>
          </w:p>
        </w:tc>
        <w:tc>
          <w:tcPr>
            <w:tcW w:w="5529" w:type="dxa"/>
            <w:shd w:val="clear" w:color="auto" w:fill="C6EFCE"/>
          </w:tcPr>
          <w:p w14:paraId="20F77FA2" w14:textId="5E885E04" w:rsidR="00FA7C11" w:rsidRDefault="00D84965">
            <w:pPr>
              <w:pStyle w:val="P68B1DB1-Normal148"/>
              <w:spacing w:before="120" w:after="0" w:line="240" w:lineRule="auto"/>
              <w:jc w:val="both"/>
              <w:textAlignment w:val="baseline"/>
              <w:rPr>
                <w:noProof/>
              </w:rPr>
            </w:pPr>
            <w:r>
              <w:rPr>
                <w:noProof/>
              </w:rPr>
              <w:t xml:space="preserve">Reconstrucția substațiilor </w:t>
            </w:r>
          </w:p>
        </w:tc>
      </w:tr>
      <w:tr w:rsidR="00FA7C11" w14:paraId="3E6EED7B" w14:textId="77777777">
        <w:trPr>
          <w:trHeight w:val="362"/>
        </w:trPr>
        <w:tc>
          <w:tcPr>
            <w:tcW w:w="1096" w:type="dxa"/>
            <w:shd w:val="clear" w:color="auto" w:fill="C6EFCE"/>
            <w:vAlign w:val="center"/>
          </w:tcPr>
          <w:p w14:paraId="55CD36BB" w14:textId="77777777" w:rsidR="00FA7C11" w:rsidRDefault="00D84965">
            <w:pPr>
              <w:pStyle w:val="P68B1DB1-Normal149"/>
              <w:spacing w:before="120" w:after="0" w:line="240" w:lineRule="auto"/>
              <w:jc w:val="center"/>
              <w:textAlignment w:val="baseline"/>
              <w:rPr>
                <w:rFonts w:eastAsia="Times New Roman"/>
                <w:noProof/>
              </w:rPr>
            </w:pPr>
            <w:r>
              <w:rPr>
                <w:noProof/>
              </w:rPr>
              <w:t>422</w:t>
            </w:r>
          </w:p>
        </w:tc>
        <w:tc>
          <w:tcPr>
            <w:tcW w:w="1642" w:type="dxa"/>
            <w:shd w:val="clear" w:color="auto" w:fill="C6EFCE"/>
            <w:vAlign w:val="center"/>
          </w:tcPr>
          <w:p w14:paraId="3CB98E68" w14:textId="77777777" w:rsidR="00FA7C11" w:rsidRDefault="00D84965">
            <w:pPr>
              <w:pStyle w:val="P68B1DB1-Normal149"/>
              <w:spacing w:before="120" w:after="0" w:line="240" w:lineRule="auto"/>
              <w:jc w:val="center"/>
              <w:textAlignment w:val="baseline"/>
              <w:rPr>
                <w:rFonts w:eastAsia="Times New Roman"/>
                <w:noProof/>
              </w:rPr>
            </w:pPr>
            <w:r>
              <w:rPr>
                <w:noProof/>
              </w:rPr>
              <w:t>C7.1 I3</w:t>
            </w:r>
          </w:p>
        </w:tc>
        <w:tc>
          <w:tcPr>
            <w:tcW w:w="1134" w:type="dxa"/>
            <w:shd w:val="clear" w:color="auto" w:fill="C6EFCE"/>
            <w:vAlign w:val="center"/>
          </w:tcPr>
          <w:p w14:paraId="359909E4" w14:textId="77777777" w:rsidR="00FA7C11" w:rsidRDefault="00D84965">
            <w:pPr>
              <w:pStyle w:val="P68B1DB1-Normal149"/>
              <w:spacing w:before="120" w:after="0" w:line="240" w:lineRule="auto"/>
              <w:jc w:val="center"/>
              <w:textAlignment w:val="baseline"/>
              <w:rPr>
                <w:rFonts w:eastAsia="Times New Roman"/>
                <w:noProof/>
              </w:rPr>
            </w:pPr>
            <w:r>
              <w:rPr>
                <w:noProof/>
              </w:rPr>
              <w:t>T</w:t>
            </w:r>
          </w:p>
        </w:tc>
        <w:tc>
          <w:tcPr>
            <w:tcW w:w="5529" w:type="dxa"/>
            <w:shd w:val="clear" w:color="auto" w:fill="C6EFCE"/>
          </w:tcPr>
          <w:p w14:paraId="4B1D4F10" w14:textId="77777777" w:rsidR="00FA7C11" w:rsidRDefault="00D84965">
            <w:pPr>
              <w:pStyle w:val="P68B1DB1-Normal149"/>
              <w:spacing w:before="120" w:after="0" w:line="240" w:lineRule="auto"/>
              <w:jc w:val="both"/>
              <w:textAlignment w:val="baseline"/>
              <w:rPr>
                <w:rFonts w:eastAsia="Times New Roman"/>
                <w:noProof/>
              </w:rPr>
            </w:pPr>
            <w:r>
              <w:rPr>
                <w:noProof/>
              </w:rPr>
              <w:t>Extinderea terminalului GNL de pe insula Krk operațional</w:t>
            </w:r>
          </w:p>
        </w:tc>
      </w:tr>
      <w:tr w:rsidR="00FA7C11" w14:paraId="75373510" w14:textId="77777777">
        <w:trPr>
          <w:trHeight w:val="362"/>
        </w:trPr>
        <w:tc>
          <w:tcPr>
            <w:tcW w:w="1096" w:type="dxa"/>
            <w:shd w:val="clear" w:color="auto" w:fill="C6EFCE"/>
            <w:vAlign w:val="center"/>
          </w:tcPr>
          <w:p w14:paraId="40996B43" w14:textId="77777777" w:rsidR="00FA7C11" w:rsidRDefault="00D84965">
            <w:pPr>
              <w:pStyle w:val="P68B1DB1-Normal148"/>
              <w:spacing w:before="120" w:after="0" w:line="240" w:lineRule="auto"/>
              <w:jc w:val="center"/>
              <w:textAlignment w:val="baseline"/>
              <w:rPr>
                <w:noProof/>
              </w:rPr>
            </w:pPr>
            <w:r>
              <w:rPr>
                <w:noProof/>
              </w:rPr>
              <w:t>426</w:t>
            </w:r>
          </w:p>
        </w:tc>
        <w:tc>
          <w:tcPr>
            <w:tcW w:w="1642" w:type="dxa"/>
            <w:shd w:val="clear" w:color="auto" w:fill="C6EFCE"/>
            <w:vAlign w:val="center"/>
          </w:tcPr>
          <w:p w14:paraId="58B4D28A" w14:textId="77777777" w:rsidR="00FA7C11" w:rsidRDefault="00D84965">
            <w:pPr>
              <w:pStyle w:val="P68B1DB1-Normal148"/>
              <w:spacing w:before="120" w:after="0" w:line="240" w:lineRule="auto"/>
              <w:jc w:val="center"/>
              <w:textAlignment w:val="baseline"/>
              <w:rPr>
                <w:noProof/>
              </w:rPr>
            </w:pPr>
            <w:r>
              <w:rPr>
                <w:noProof/>
              </w:rPr>
              <w:t>C7.1 I3</w:t>
            </w:r>
          </w:p>
        </w:tc>
        <w:tc>
          <w:tcPr>
            <w:tcW w:w="1134" w:type="dxa"/>
            <w:shd w:val="clear" w:color="auto" w:fill="C6EFCE"/>
            <w:vAlign w:val="center"/>
          </w:tcPr>
          <w:p w14:paraId="2BFDD2DF"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tcPr>
          <w:p w14:paraId="438F8D94" w14:textId="308BBB76" w:rsidR="00FA7C11" w:rsidRDefault="00D84965">
            <w:pPr>
              <w:pStyle w:val="P68B1DB1-Normal148"/>
              <w:spacing w:before="120" w:after="0" w:line="240" w:lineRule="auto"/>
              <w:jc w:val="both"/>
              <w:textAlignment w:val="baseline"/>
              <w:rPr>
                <w:noProof/>
              </w:rPr>
            </w:pPr>
            <w:r>
              <w:rPr>
                <w:noProof/>
              </w:rPr>
              <w:t xml:space="preserve">Construirea gazoductului Bosiljevo – Sisak – Kozarac </w:t>
            </w:r>
          </w:p>
        </w:tc>
      </w:tr>
      <w:tr w:rsidR="00FA7C11" w14:paraId="2BCA58E9" w14:textId="77777777">
        <w:trPr>
          <w:trHeight w:val="362"/>
        </w:trPr>
        <w:tc>
          <w:tcPr>
            <w:tcW w:w="1096" w:type="dxa"/>
            <w:shd w:val="clear" w:color="auto" w:fill="C6EFCE"/>
            <w:vAlign w:val="center"/>
          </w:tcPr>
          <w:p w14:paraId="61FB9FE5" w14:textId="77777777" w:rsidR="00FA7C11" w:rsidRDefault="00D84965">
            <w:pPr>
              <w:pStyle w:val="P68B1DB1-Normal148"/>
              <w:spacing w:before="120" w:after="0" w:line="240" w:lineRule="auto"/>
              <w:jc w:val="center"/>
              <w:textAlignment w:val="baseline"/>
              <w:rPr>
                <w:noProof/>
              </w:rPr>
            </w:pPr>
            <w:r>
              <w:rPr>
                <w:noProof/>
              </w:rPr>
              <w:t>428</w:t>
            </w:r>
          </w:p>
        </w:tc>
        <w:tc>
          <w:tcPr>
            <w:tcW w:w="1642" w:type="dxa"/>
            <w:shd w:val="clear" w:color="auto" w:fill="C6EFCE"/>
            <w:vAlign w:val="center"/>
          </w:tcPr>
          <w:p w14:paraId="0D32026A" w14:textId="77777777" w:rsidR="00FA7C11" w:rsidRDefault="00D84965">
            <w:pPr>
              <w:pStyle w:val="P68B1DB1-Normal148"/>
              <w:spacing w:before="120" w:after="0" w:line="240" w:lineRule="auto"/>
              <w:jc w:val="center"/>
              <w:textAlignment w:val="baseline"/>
              <w:rPr>
                <w:noProof/>
              </w:rPr>
            </w:pPr>
            <w:r>
              <w:rPr>
                <w:noProof/>
              </w:rPr>
              <w:t>C7.1 I3</w:t>
            </w:r>
          </w:p>
        </w:tc>
        <w:tc>
          <w:tcPr>
            <w:tcW w:w="1134" w:type="dxa"/>
            <w:shd w:val="clear" w:color="auto" w:fill="C6EFCE"/>
            <w:vAlign w:val="center"/>
          </w:tcPr>
          <w:p w14:paraId="52935767"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tcPr>
          <w:p w14:paraId="798CDB6A" w14:textId="7BA368F1" w:rsidR="00FA7C11" w:rsidRDefault="00D84965">
            <w:pPr>
              <w:pStyle w:val="P68B1DB1-Normal148"/>
              <w:spacing w:before="120" w:after="0" w:line="240" w:lineRule="auto"/>
              <w:jc w:val="both"/>
              <w:textAlignment w:val="baseline"/>
              <w:rPr>
                <w:noProof/>
              </w:rPr>
            </w:pPr>
            <w:r>
              <w:rPr>
                <w:noProof/>
              </w:rPr>
              <w:t>Construirea tronsonului Lučko – Zabok al conductei de interconectare Croația-Slovenia</w:t>
            </w:r>
          </w:p>
        </w:tc>
      </w:tr>
      <w:tr w:rsidR="00FA7C11" w14:paraId="76C74055" w14:textId="77777777">
        <w:trPr>
          <w:trHeight w:val="362"/>
        </w:trPr>
        <w:tc>
          <w:tcPr>
            <w:tcW w:w="1096" w:type="dxa"/>
            <w:shd w:val="clear" w:color="auto" w:fill="C6EFCE"/>
            <w:vAlign w:val="center"/>
          </w:tcPr>
          <w:p w14:paraId="0CC1AF99" w14:textId="77777777" w:rsidR="00FA7C11" w:rsidRDefault="00D84965">
            <w:pPr>
              <w:pStyle w:val="P68B1DB1-Normal148"/>
              <w:spacing w:before="120" w:after="0" w:line="240" w:lineRule="auto"/>
              <w:jc w:val="center"/>
              <w:textAlignment w:val="baseline"/>
              <w:rPr>
                <w:noProof/>
              </w:rPr>
            </w:pPr>
            <w:r>
              <w:rPr>
                <w:noProof/>
              </w:rPr>
              <w:t>432</w:t>
            </w:r>
          </w:p>
        </w:tc>
        <w:tc>
          <w:tcPr>
            <w:tcW w:w="1642" w:type="dxa"/>
            <w:shd w:val="clear" w:color="auto" w:fill="C6EFCE"/>
            <w:vAlign w:val="center"/>
          </w:tcPr>
          <w:p w14:paraId="7D7A48F6" w14:textId="77777777" w:rsidR="00FA7C11" w:rsidRDefault="00D84965">
            <w:pPr>
              <w:pStyle w:val="P68B1DB1-Normal148"/>
              <w:spacing w:before="120" w:after="0" w:line="240" w:lineRule="auto"/>
              <w:jc w:val="center"/>
              <w:textAlignment w:val="baseline"/>
              <w:rPr>
                <w:noProof/>
              </w:rPr>
            </w:pPr>
            <w:r>
              <w:rPr>
                <w:noProof/>
              </w:rPr>
              <w:t>C7.2 R3</w:t>
            </w:r>
          </w:p>
        </w:tc>
        <w:tc>
          <w:tcPr>
            <w:tcW w:w="1134" w:type="dxa"/>
            <w:shd w:val="clear" w:color="auto" w:fill="C6EFCE"/>
            <w:vAlign w:val="center"/>
          </w:tcPr>
          <w:p w14:paraId="574DF10A"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tcPr>
          <w:p w14:paraId="6424E738" w14:textId="77777777" w:rsidR="00FA7C11" w:rsidRDefault="00D84965">
            <w:pPr>
              <w:pStyle w:val="P68B1DB1-Normal148"/>
              <w:spacing w:before="120" w:after="0" w:line="240" w:lineRule="auto"/>
              <w:jc w:val="both"/>
              <w:textAlignment w:val="baseline"/>
              <w:rPr>
                <w:noProof/>
              </w:rPr>
            </w:pPr>
            <w:r>
              <w:rPr>
                <w:noProof/>
              </w:rPr>
              <w:t xml:space="preserve">Finalizarea proiectelor-pilot identificate prin strategiile de reînnoire urbană verde </w:t>
            </w:r>
          </w:p>
        </w:tc>
      </w:tr>
      <w:tr w:rsidR="00FA7C11" w14:paraId="69A8ABCF" w14:textId="77777777">
        <w:trPr>
          <w:trHeight w:val="362"/>
        </w:trPr>
        <w:tc>
          <w:tcPr>
            <w:tcW w:w="1096" w:type="dxa"/>
            <w:shd w:val="clear" w:color="auto" w:fill="C6EFCE"/>
            <w:vAlign w:val="center"/>
          </w:tcPr>
          <w:p w14:paraId="54FBF9C9" w14:textId="77777777" w:rsidR="00FA7C11" w:rsidRDefault="00D84965">
            <w:pPr>
              <w:pStyle w:val="P68B1DB1-Normal148"/>
              <w:spacing w:before="120" w:after="0" w:line="240" w:lineRule="auto"/>
              <w:jc w:val="center"/>
              <w:textAlignment w:val="baseline"/>
              <w:rPr>
                <w:noProof/>
              </w:rPr>
            </w:pPr>
            <w:r>
              <w:rPr>
                <w:noProof/>
              </w:rPr>
              <w:t>435</w:t>
            </w:r>
          </w:p>
        </w:tc>
        <w:tc>
          <w:tcPr>
            <w:tcW w:w="1642" w:type="dxa"/>
            <w:shd w:val="clear" w:color="auto" w:fill="C6EFCE"/>
            <w:vAlign w:val="center"/>
          </w:tcPr>
          <w:p w14:paraId="61AA6610" w14:textId="77777777" w:rsidR="00FA7C11" w:rsidRDefault="00D84965">
            <w:pPr>
              <w:pStyle w:val="P68B1DB1-Normal148"/>
              <w:spacing w:before="120" w:after="0" w:line="240" w:lineRule="auto"/>
              <w:jc w:val="center"/>
              <w:textAlignment w:val="baseline"/>
              <w:rPr>
                <w:noProof/>
              </w:rPr>
            </w:pPr>
            <w:r>
              <w:rPr>
                <w:noProof/>
              </w:rPr>
              <w:t>C7.2 I1</w:t>
            </w:r>
          </w:p>
        </w:tc>
        <w:tc>
          <w:tcPr>
            <w:tcW w:w="1134" w:type="dxa"/>
            <w:shd w:val="clear" w:color="auto" w:fill="C6EFCE"/>
            <w:vAlign w:val="center"/>
          </w:tcPr>
          <w:p w14:paraId="611A700B"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tcPr>
          <w:p w14:paraId="4E4935FB" w14:textId="77777777" w:rsidR="00FA7C11" w:rsidRDefault="00D84965">
            <w:pPr>
              <w:pStyle w:val="P68B1DB1-Normal148"/>
              <w:spacing w:before="120" w:after="0" w:line="240" w:lineRule="auto"/>
              <w:jc w:val="both"/>
              <w:textAlignment w:val="baseline"/>
              <w:rPr>
                <w:noProof/>
              </w:rPr>
            </w:pPr>
            <w:r>
              <w:rPr>
                <w:noProof/>
              </w:rPr>
              <w:t>Renovarea energetică a imobilelor colective</w:t>
            </w:r>
          </w:p>
        </w:tc>
      </w:tr>
      <w:tr w:rsidR="00FA7C11" w14:paraId="16AA20D0" w14:textId="77777777">
        <w:trPr>
          <w:trHeight w:val="362"/>
        </w:trPr>
        <w:tc>
          <w:tcPr>
            <w:tcW w:w="1096" w:type="dxa"/>
            <w:shd w:val="clear" w:color="auto" w:fill="C6EFCE"/>
            <w:vAlign w:val="center"/>
          </w:tcPr>
          <w:p w14:paraId="06D404EF" w14:textId="77777777" w:rsidR="00FA7C11" w:rsidRDefault="00D84965">
            <w:pPr>
              <w:pStyle w:val="P68B1DB1-Normal148"/>
              <w:spacing w:before="120" w:after="0" w:line="240" w:lineRule="auto"/>
              <w:jc w:val="center"/>
              <w:textAlignment w:val="baseline"/>
              <w:rPr>
                <w:noProof/>
              </w:rPr>
            </w:pPr>
            <w:r>
              <w:rPr>
                <w:noProof/>
              </w:rPr>
              <w:t>436</w:t>
            </w:r>
          </w:p>
        </w:tc>
        <w:tc>
          <w:tcPr>
            <w:tcW w:w="1642" w:type="dxa"/>
            <w:shd w:val="clear" w:color="auto" w:fill="C6EFCE"/>
            <w:vAlign w:val="center"/>
          </w:tcPr>
          <w:p w14:paraId="0ECE0B69" w14:textId="77777777" w:rsidR="00FA7C11" w:rsidRDefault="00D84965">
            <w:pPr>
              <w:pStyle w:val="P68B1DB1-Normal148"/>
              <w:spacing w:before="120" w:after="0" w:line="240" w:lineRule="auto"/>
              <w:jc w:val="center"/>
              <w:textAlignment w:val="baseline"/>
              <w:rPr>
                <w:noProof/>
              </w:rPr>
            </w:pPr>
            <w:r>
              <w:rPr>
                <w:noProof/>
              </w:rPr>
              <w:t>C7.2 I1</w:t>
            </w:r>
          </w:p>
        </w:tc>
        <w:tc>
          <w:tcPr>
            <w:tcW w:w="1134" w:type="dxa"/>
            <w:shd w:val="clear" w:color="auto" w:fill="C6EFCE"/>
            <w:vAlign w:val="center"/>
          </w:tcPr>
          <w:p w14:paraId="119872AB"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tcPr>
          <w:p w14:paraId="2073D474" w14:textId="77777777" w:rsidR="00FA7C11" w:rsidRDefault="00D84965">
            <w:pPr>
              <w:pStyle w:val="P68B1DB1-Normal148"/>
              <w:spacing w:before="120" w:after="0" w:line="240" w:lineRule="auto"/>
              <w:jc w:val="both"/>
              <w:textAlignment w:val="baseline"/>
              <w:rPr>
                <w:noProof/>
              </w:rPr>
            </w:pPr>
            <w:r>
              <w:rPr>
                <w:noProof/>
              </w:rPr>
              <w:t>Renovarea energetică a clădirilor publice</w:t>
            </w:r>
          </w:p>
        </w:tc>
      </w:tr>
      <w:tr w:rsidR="00FA7C11" w14:paraId="7162CB5E" w14:textId="77777777">
        <w:trPr>
          <w:trHeight w:val="362"/>
        </w:trPr>
        <w:tc>
          <w:tcPr>
            <w:tcW w:w="1096" w:type="dxa"/>
            <w:shd w:val="clear" w:color="auto" w:fill="C6EFCE"/>
            <w:vAlign w:val="center"/>
          </w:tcPr>
          <w:p w14:paraId="17B987A8" w14:textId="77777777" w:rsidR="00FA7C11" w:rsidRDefault="00D84965">
            <w:pPr>
              <w:pStyle w:val="P68B1DB1-Normal148"/>
              <w:spacing w:before="120" w:after="0" w:line="240" w:lineRule="auto"/>
              <w:jc w:val="center"/>
              <w:textAlignment w:val="baseline"/>
              <w:rPr>
                <w:noProof/>
              </w:rPr>
            </w:pPr>
            <w:r>
              <w:rPr>
                <w:noProof/>
              </w:rPr>
              <w:t>437</w:t>
            </w:r>
          </w:p>
        </w:tc>
        <w:tc>
          <w:tcPr>
            <w:tcW w:w="1642" w:type="dxa"/>
            <w:shd w:val="clear" w:color="auto" w:fill="C6EFCE"/>
            <w:vAlign w:val="center"/>
          </w:tcPr>
          <w:p w14:paraId="4396056F" w14:textId="77777777" w:rsidR="00FA7C11" w:rsidRDefault="00D84965">
            <w:pPr>
              <w:pStyle w:val="P68B1DB1-Normal148"/>
              <w:spacing w:before="120" w:after="0" w:line="240" w:lineRule="auto"/>
              <w:jc w:val="center"/>
              <w:textAlignment w:val="baseline"/>
              <w:rPr>
                <w:noProof/>
              </w:rPr>
            </w:pPr>
            <w:r>
              <w:rPr>
                <w:noProof/>
              </w:rPr>
              <w:t>C7.2 I1</w:t>
            </w:r>
          </w:p>
        </w:tc>
        <w:tc>
          <w:tcPr>
            <w:tcW w:w="1134" w:type="dxa"/>
            <w:shd w:val="clear" w:color="auto" w:fill="C6EFCE"/>
            <w:vAlign w:val="center"/>
          </w:tcPr>
          <w:p w14:paraId="6D5B3F26"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tcPr>
          <w:p w14:paraId="60928E1D" w14:textId="77777777" w:rsidR="00FA7C11" w:rsidRDefault="00D84965">
            <w:pPr>
              <w:pStyle w:val="P68B1DB1-Normal148"/>
              <w:spacing w:before="120" w:after="0" w:line="240" w:lineRule="auto"/>
              <w:jc w:val="both"/>
              <w:textAlignment w:val="baseline"/>
              <w:rPr>
                <w:noProof/>
              </w:rPr>
            </w:pPr>
            <w:r>
              <w:rPr>
                <w:noProof/>
              </w:rPr>
              <w:t>Instalarea de sisteme de energie din surse regenerabile în clădirile publice</w:t>
            </w:r>
          </w:p>
        </w:tc>
      </w:tr>
      <w:tr w:rsidR="00FA7C11" w14:paraId="370F746F" w14:textId="77777777">
        <w:trPr>
          <w:trHeight w:val="362"/>
        </w:trPr>
        <w:tc>
          <w:tcPr>
            <w:tcW w:w="1096" w:type="dxa"/>
            <w:shd w:val="clear" w:color="auto" w:fill="C6EFCE"/>
            <w:vAlign w:val="center"/>
          </w:tcPr>
          <w:p w14:paraId="7620D75F" w14:textId="77777777" w:rsidR="00FA7C11" w:rsidRDefault="00D84965">
            <w:pPr>
              <w:pStyle w:val="P68B1DB1-Normal148"/>
              <w:spacing w:before="120" w:after="0" w:line="240" w:lineRule="auto"/>
              <w:jc w:val="center"/>
              <w:textAlignment w:val="baseline"/>
              <w:rPr>
                <w:noProof/>
              </w:rPr>
            </w:pPr>
            <w:r>
              <w:rPr>
                <w:noProof/>
              </w:rPr>
              <w:t>439</w:t>
            </w:r>
          </w:p>
        </w:tc>
        <w:tc>
          <w:tcPr>
            <w:tcW w:w="1642" w:type="dxa"/>
            <w:shd w:val="clear" w:color="auto" w:fill="C6EFCE"/>
            <w:vAlign w:val="center"/>
          </w:tcPr>
          <w:p w14:paraId="64F34C06" w14:textId="77777777" w:rsidR="00FA7C11" w:rsidRDefault="00D84965">
            <w:pPr>
              <w:pStyle w:val="P68B1DB1-Normal148"/>
              <w:spacing w:before="120" w:after="0" w:line="240" w:lineRule="auto"/>
              <w:jc w:val="center"/>
              <w:textAlignment w:val="baseline"/>
              <w:rPr>
                <w:noProof/>
              </w:rPr>
            </w:pPr>
            <w:r>
              <w:rPr>
                <w:noProof/>
              </w:rPr>
              <w:t>C7.2 I2</w:t>
            </w:r>
          </w:p>
        </w:tc>
        <w:tc>
          <w:tcPr>
            <w:tcW w:w="1134" w:type="dxa"/>
            <w:shd w:val="clear" w:color="auto" w:fill="C6EFCE"/>
            <w:vAlign w:val="center"/>
          </w:tcPr>
          <w:p w14:paraId="64B86D66" w14:textId="77777777" w:rsidR="00FA7C11" w:rsidRDefault="00D84965">
            <w:pPr>
              <w:pStyle w:val="P68B1DB1-Normal148"/>
              <w:spacing w:before="120" w:after="0" w:line="240" w:lineRule="auto"/>
              <w:jc w:val="center"/>
              <w:textAlignment w:val="baseline"/>
              <w:rPr>
                <w:noProof/>
              </w:rPr>
            </w:pPr>
            <w:r>
              <w:rPr>
                <w:noProof/>
              </w:rPr>
              <w:t>T</w:t>
            </w:r>
          </w:p>
        </w:tc>
        <w:tc>
          <w:tcPr>
            <w:tcW w:w="5529" w:type="dxa"/>
            <w:shd w:val="clear" w:color="auto" w:fill="C6EFCE"/>
          </w:tcPr>
          <w:p w14:paraId="1249DF7D" w14:textId="77777777" w:rsidR="00FA7C11" w:rsidRDefault="00D84965">
            <w:pPr>
              <w:pStyle w:val="P68B1DB1-Normal148"/>
              <w:spacing w:before="120" w:after="0" w:line="240" w:lineRule="auto"/>
              <w:jc w:val="both"/>
              <w:textAlignment w:val="baseline"/>
              <w:rPr>
                <w:noProof/>
              </w:rPr>
            </w:pPr>
            <w:r>
              <w:rPr>
                <w:noProof/>
              </w:rPr>
              <w:t>Instalarea de sisteme de energie din surse regenerabile în clădirile publice afectate de cutremure</w:t>
            </w:r>
          </w:p>
        </w:tc>
      </w:tr>
      <w:tr w:rsidR="00FA7C11" w14:paraId="5729FB0D" w14:textId="77777777">
        <w:trPr>
          <w:trHeight w:val="362"/>
        </w:trPr>
        <w:tc>
          <w:tcPr>
            <w:tcW w:w="1096" w:type="dxa"/>
            <w:shd w:val="clear" w:color="auto" w:fill="C6EFCE"/>
            <w:vAlign w:val="center"/>
          </w:tcPr>
          <w:p w14:paraId="66F29EBD" w14:textId="77777777" w:rsidR="00FA7C11" w:rsidRDefault="00D84965">
            <w:pPr>
              <w:pStyle w:val="P68B1DB1-Normal148"/>
              <w:spacing w:before="120" w:after="120" w:line="240" w:lineRule="auto"/>
              <w:jc w:val="center"/>
              <w:rPr>
                <w:noProof/>
              </w:rPr>
            </w:pPr>
            <w:r>
              <w:rPr>
                <w:noProof/>
              </w:rPr>
              <w:t>440</w:t>
            </w:r>
          </w:p>
        </w:tc>
        <w:tc>
          <w:tcPr>
            <w:tcW w:w="1642" w:type="dxa"/>
            <w:shd w:val="clear" w:color="auto" w:fill="C6EFCE"/>
            <w:vAlign w:val="center"/>
          </w:tcPr>
          <w:p w14:paraId="04C09F64" w14:textId="77777777" w:rsidR="00FA7C11" w:rsidRDefault="00D84965">
            <w:pPr>
              <w:pStyle w:val="P68B1DB1-Normal148"/>
              <w:spacing w:before="120" w:after="120" w:line="240" w:lineRule="auto"/>
              <w:jc w:val="center"/>
              <w:rPr>
                <w:noProof/>
              </w:rPr>
            </w:pPr>
            <w:r>
              <w:rPr>
                <w:noProof/>
              </w:rPr>
              <w:t>C1.3 R3-I3</w:t>
            </w:r>
          </w:p>
        </w:tc>
        <w:tc>
          <w:tcPr>
            <w:tcW w:w="1134" w:type="dxa"/>
            <w:shd w:val="clear" w:color="auto" w:fill="C6EFCE"/>
            <w:vAlign w:val="center"/>
          </w:tcPr>
          <w:p w14:paraId="6CAF73ED" w14:textId="77777777" w:rsidR="00FA7C11" w:rsidRDefault="00D84965">
            <w:pPr>
              <w:pStyle w:val="P68B1DB1-Normal148"/>
              <w:spacing w:before="120" w:after="120" w:line="240" w:lineRule="auto"/>
              <w:jc w:val="center"/>
              <w:rPr>
                <w:noProof/>
              </w:rPr>
            </w:pPr>
            <w:r>
              <w:rPr>
                <w:noProof/>
              </w:rPr>
              <w:t>T</w:t>
            </w:r>
          </w:p>
        </w:tc>
        <w:tc>
          <w:tcPr>
            <w:tcW w:w="5529" w:type="dxa"/>
            <w:shd w:val="clear" w:color="auto" w:fill="C6EFCE"/>
          </w:tcPr>
          <w:p w14:paraId="21FF3892" w14:textId="77777777" w:rsidR="00FA7C11" w:rsidRDefault="00D84965">
            <w:pPr>
              <w:pStyle w:val="P68B1DB1-Normal148"/>
              <w:spacing w:before="120" w:after="120" w:line="240" w:lineRule="auto"/>
              <w:jc w:val="both"/>
              <w:rPr>
                <w:noProof/>
              </w:rPr>
            </w:pPr>
            <w:r>
              <w:rPr>
                <w:noProof/>
              </w:rPr>
              <w:t>Structuri de protecție împotriva inundațiilor construite</w:t>
            </w:r>
          </w:p>
        </w:tc>
      </w:tr>
      <w:tr w:rsidR="00FA7C11" w14:paraId="7DCB5B6B" w14:textId="77777777">
        <w:trPr>
          <w:trHeight w:val="362"/>
        </w:trPr>
        <w:tc>
          <w:tcPr>
            <w:tcW w:w="1096" w:type="dxa"/>
            <w:shd w:val="clear" w:color="auto" w:fill="C6EFCE"/>
            <w:vAlign w:val="center"/>
          </w:tcPr>
          <w:p w14:paraId="0090FC8A" w14:textId="77777777" w:rsidR="00FA7C11" w:rsidRDefault="00D84965">
            <w:pPr>
              <w:pStyle w:val="P68B1DB1-Normal148"/>
              <w:spacing w:before="120" w:after="120" w:line="240" w:lineRule="auto"/>
              <w:jc w:val="center"/>
              <w:rPr>
                <w:noProof/>
              </w:rPr>
            </w:pPr>
            <w:r>
              <w:rPr>
                <w:noProof/>
              </w:rPr>
              <w:t>441</w:t>
            </w:r>
          </w:p>
        </w:tc>
        <w:tc>
          <w:tcPr>
            <w:tcW w:w="1642" w:type="dxa"/>
            <w:shd w:val="clear" w:color="auto" w:fill="C6EFCE"/>
            <w:vAlign w:val="center"/>
          </w:tcPr>
          <w:p w14:paraId="5534F34D" w14:textId="77777777" w:rsidR="00FA7C11" w:rsidRDefault="00D84965">
            <w:pPr>
              <w:pStyle w:val="P68B1DB1-Normal148"/>
              <w:spacing w:before="120" w:after="120" w:line="240" w:lineRule="auto"/>
              <w:jc w:val="center"/>
              <w:rPr>
                <w:noProof/>
              </w:rPr>
            </w:pPr>
            <w:r>
              <w:rPr>
                <w:noProof/>
              </w:rPr>
              <w:t>C1.3 R3-I3</w:t>
            </w:r>
          </w:p>
        </w:tc>
        <w:tc>
          <w:tcPr>
            <w:tcW w:w="1134" w:type="dxa"/>
            <w:shd w:val="clear" w:color="auto" w:fill="C6EFCE"/>
            <w:vAlign w:val="center"/>
          </w:tcPr>
          <w:p w14:paraId="6B66C184" w14:textId="77777777" w:rsidR="00FA7C11" w:rsidRDefault="00D84965">
            <w:pPr>
              <w:pStyle w:val="P68B1DB1-Normal148"/>
              <w:spacing w:before="120" w:after="120" w:line="240" w:lineRule="auto"/>
              <w:jc w:val="center"/>
              <w:rPr>
                <w:noProof/>
              </w:rPr>
            </w:pPr>
            <w:r>
              <w:rPr>
                <w:noProof/>
              </w:rPr>
              <w:t>T</w:t>
            </w:r>
          </w:p>
        </w:tc>
        <w:tc>
          <w:tcPr>
            <w:tcW w:w="5529" w:type="dxa"/>
            <w:shd w:val="clear" w:color="auto" w:fill="C6EFCE"/>
          </w:tcPr>
          <w:p w14:paraId="601AC383" w14:textId="77777777" w:rsidR="00FA7C11" w:rsidRDefault="00D84965">
            <w:pPr>
              <w:pStyle w:val="P68B1DB1-Normal148"/>
              <w:spacing w:before="120" w:after="120" w:line="240" w:lineRule="auto"/>
              <w:jc w:val="both"/>
              <w:rPr>
                <w:noProof/>
              </w:rPr>
            </w:pPr>
            <w:r>
              <w:rPr>
                <w:noProof/>
              </w:rPr>
              <w:t>Cursuri de apă revitalizate</w:t>
            </w:r>
          </w:p>
        </w:tc>
      </w:tr>
      <w:tr w:rsidR="00FA7C11" w14:paraId="7CB273E8" w14:textId="77777777">
        <w:trPr>
          <w:trHeight w:val="362"/>
        </w:trPr>
        <w:tc>
          <w:tcPr>
            <w:tcW w:w="1096" w:type="dxa"/>
            <w:shd w:val="clear" w:color="auto" w:fill="C6EFCE"/>
            <w:vAlign w:val="center"/>
          </w:tcPr>
          <w:p w14:paraId="7D7F081C" w14:textId="77777777" w:rsidR="00FA7C11" w:rsidRDefault="00D84965">
            <w:pPr>
              <w:pStyle w:val="P68B1DB1-Normal148"/>
              <w:spacing w:before="120" w:after="120" w:line="240" w:lineRule="auto"/>
              <w:jc w:val="center"/>
              <w:rPr>
                <w:noProof/>
              </w:rPr>
            </w:pPr>
            <w:r>
              <w:rPr>
                <w:noProof/>
              </w:rPr>
              <w:t>443</w:t>
            </w:r>
          </w:p>
        </w:tc>
        <w:tc>
          <w:tcPr>
            <w:tcW w:w="1642" w:type="dxa"/>
            <w:shd w:val="clear" w:color="auto" w:fill="C6EFCE"/>
            <w:vAlign w:val="center"/>
          </w:tcPr>
          <w:p w14:paraId="0D671E46" w14:textId="77777777" w:rsidR="00FA7C11" w:rsidRDefault="00D84965">
            <w:pPr>
              <w:pStyle w:val="P68B1DB1-Normal148"/>
              <w:spacing w:before="120" w:after="120" w:line="240" w:lineRule="auto"/>
              <w:jc w:val="center"/>
              <w:rPr>
                <w:noProof/>
              </w:rPr>
            </w:pPr>
            <w:r>
              <w:rPr>
                <w:noProof/>
              </w:rPr>
              <w:t>C2.5. R1-I7</w:t>
            </w:r>
          </w:p>
        </w:tc>
        <w:tc>
          <w:tcPr>
            <w:tcW w:w="1134" w:type="dxa"/>
            <w:shd w:val="clear" w:color="auto" w:fill="C6EFCE"/>
            <w:vAlign w:val="center"/>
          </w:tcPr>
          <w:p w14:paraId="48011FE6" w14:textId="77777777" w:rsidR="00FA7C11" w:rsidRDefault="00D84965">
            <w:pPr>
              <w:pStyle w:val="P68B1DB1-Normal148"/>
              <w:spacing w:before="120" w:after="120" w:line="240" w:lineRule="auto"/>
              <w:jc w:val="center"/>
              <w:rPr>
                <w:noProof/>
              </w:rPr>
            </w:pPr>
            <w:r>
              <w:rPr>
                <w:noProof/>
              </w:rPr>
              <w:t>T</w:t>
            </w:r>
          </w:p>
        </w:tc>
        <w:tc>
          <w:tcPr>
            <w:tcW w:w="5529" w:type="dxa"/>
            <w:shd w:val="clear" w:color="auto" w:fill="C6EFCE"/>
            <w:vAlign w:val="bottom"/>
          </w:tcPr>
          <w:p w14:paraId="6E31846E" w14:textId="77777777" w:rsidR="00FA7C11" w:rsidRDefault="00D84965">
            <w:pPr>
              <w:pStyle w:val="P68B1DB1-Normal148"/>
              <w:spacing w:before="120" w:after="120" w:line="240" w:lineRule="auto"/>
              <w:jc w:val="both"/>
              <w:rPr>
                <w:noProof/>
              </w:rPr>
            </w:pPr>
            <w:r>
              <w:rPr>
                <w:noProof/>
              </w:rPr>
              <w:t xml:space="preserve">Clădire nou construită în Piața Justiției din Zagreb </w:t>
            </w:r>
          </w:p>
        </w:tc>
      </w:tr>
      <w:tr w:rsidR="00FA7C11" w14:paraId="6D5EDCC7" w14:textId="77777777">
        <w:trPr>
          <w:trHeight w:val="362"/>
        </w:trPr>
        <w:tc>
          <w:tcPr>
            <w:tcW w:w="1096" w:type="dxa"/>
            <w:shd w:val="clear" w:color="auto" w:fill="C6EFCE"/>
            <w:vAlign w:val="bottom"/>
          </w:tcPr>
          <w:p w14:paraId="65158689" w14:textId="77777777" w:rsidR="00FA7C11" w:rsidRDefault="00D84965">
            <w:pPr>
              <w:pStyle w:val="P68B1DB1-Normal152"/>
              <w:spacing w:before="120" w:after="120" w:line="240" w:lineRule="auto"/>
              <w:jc w:val="center"/>
              <w:rPr>
                <w:noProof/>
              </w:rPr>
            </w:pPr>
            <w:r>
              <w:rPr>
                <w:noProof/>
              </w:rPr>
              <w:t>446</w:t>
            </w:r>
          </w:p>
        </w:tc>
        <w:tc>
          <w:tcPr>
            <w:tcW w:w="1642" w:type="dxa"/>
            <w:shd w:val="clear" w:color="auto" w:fill="C6EFCE"/>
            <w:vAlign w:val="bottom"/>
          </w:tcPr>
          <w:p w14:paraId="05D72E55" w14:textId="77777777" w:rsidR="00FA7C11" w:rsidRDefault="00D84965">
            <w:pPr>
              <w:pStyle w:val="P68B1DB1-Normal152"/>
              <w:spacing w:before="120" w:after="120" w:line="240" w:lineRule="auto"/>
              <w:jc w:val="center"/>
              <w:rPr>
                <w:noProof/>
              </w:rPr>
            </w:pPr>
            <w:r>
              <w:rPr>
                <w:noProof/>
              </w:rPr>
              <w:t>C1.1.1. R4-I6</w:t>
            </w:r>
          </w:p>
        </w:tc>
        <w:tc>
          <w:tcPr>
            <w:tcW w:w="1134" w:type="dxa"/>
            <w:shd w:val="clear" w:color="auto" w:fill="C6EFCE"/>
            <w:vAlign w:val="bottom"/>
          </w:tcPr>
          <w:p w14:paraId="2B193052" w14:textId="77777777" w:rsidR="00FA7C11" w:rsidRDefault="00D84965">
            <w:pPr>
              <w:pStyle w:val="P68B1DB1-Normal148"/>
              <w:spacing w:before="120" w:after="120" w:line="240" w:lineRule="auto"/>
              <w:jc w:val="center"/>
              <w:rPr>
                <w:noProof/>
              </w:rPr>
            </w:pPr>
            <w:r>
              <w:rPr>
                <w:noProof/>
              </w:rPr>
              <w:t>M</w:t>
            </w:r>
          </w:p>
        </w:tc>
        <w:tc>
          <w:tcPr>
            <w:tcW w:w="5529" w:type="dxa"/>
            <w:shd w:val="clear" w:color="auto" w:fill="C6EFCE"/>
            <w:vAlign w:val="bottom"/>
          </w:tcPr>
          <w:p w14:paraId="005F9189" w14:textId="77777777" w:rsidR="00FA7C11" w:rsidRDefault="00D84965">
            <w:pPr>
              <w:pStyle w:val="P68B1DB1-Normal148"/>
              <w:spacing w:before="120" w:after="120" w:line="240" w:lineRule="auto"/>
              <w:jc w:val="both"/>
              <w:rPr>
                <w:noProof/>
              </w:rPr>
            </w:pPr>
            <w:r>
              <w:rPr>
                <w:noProof/>
              </w:rPr>
              <w:t>Politica de investiții pentru investiții strategice în domeniul apărării și securității</w:t>
            </w:r>
          </w:p>
        </w:tc>
      </w:tr>
      <w:tr w:rsidR="00FA7C11" w14:paraId="504A1FAB" w14:textId="77777777">
        <w:trPr>
          <w:trHeight w:val="362"/>
        </w:trPr>
        <w:tc>
          <w:tcPr>
            <w:tcW w:w="1096" w:type="dxa"/>
            <w:shd w:val="clear" w:color="auto" w:fill="C6EFCE"/>
            <w:vAlign w:val="center"/>
          </w:tcPr>
          <w:p w14:paraId="6B48BE58" w14:textId="77777777" w:rsidR="00FA7C11" w:rsidRDefault="00D84965">
            <w:pPr>
              <w:pStyle w:val="P68B1DB1-Normal148"/>
              <w:spacing w:before="120" w:after="120" w:line="240" w:lineRule="auto"/>
              <w:jc w:val="center"/>
              <w:rPr>
                <w:noProof/>
              </w:rPr>
            </w:pPr>
            <w:r>
              <w:rPr>
                <w:noProof/>
              </w:rPr>
              <w:t>447</w:t>
            </w:r>
          </w:p>
        </w:tc>
        <w:tc>
          <w:tcPr>
            <w:tcW w:w="1642" w:type="dxa"/>
            <w:shd w:val="clear" w:color="auto" w:fill="C6EFCE"/>
            <w:vAlign w:val="center"/>
          </w:tcPr>
          <w:p w14:paraId="60BB2E87" w14:textId="77777777" w:rsidR="00FA7C11" w:rsidRDefault="00D84965">
            <w:pPr>
              <w:pStyle w:val="P68B1DB1-Normal148"/>
              <w:spacing w:before="120" w:after="120" w:line="240" w:lineRule="auto"/>
              <w:jc w:val="center"/>
              <w:rPr>
                <w:noProof/>
              </w:rPr>
            </w:pPr>
            <w:r>
              <w:rPr>
                <w:noProof/>
              </w:rPr>
              <w:t>C1.1.1. R4-I6</w:t>
            </w:r>
          </w:p>
        </w:tc>
        <w:tc>
          <w:tcPr>
            <w:tcW w:w="1134" w:type="dxa"/>
            <w:shd w:val="clear" w:color="auto" w:fill="C6EFCE"/>
            <w:vAlign w:val="center"/>
          </w:tcPr>
          <w:p w14:paraId="07F4D4ED" w14:textId="77777777" w:rsidR="00FA7C11" w:rsidRDefault="00D84965">
            <w:pPr>
              <w:pStyle w:val="P68B1DB1-Normal148"/>
              <w:spacing w:before="120" w:after="120" w:line="240" w:lineRule="auto"/>
              <w:jc w:val="center"/>
              <w:rPr>
                <w:noProof/>
              </w:rPr>
            </w:pPr>
            <w:r>
              <w:rPr>
                <w:noProof/>
              </w:rPr>
              <w:t>M</w:t>
            </w:r>
          </w:p>
        </w:tc>
        <w:tc>
          <w:tcPr>
            <w:tcW w:w="5529" w:type="dxa"/>
            <w:shd w:val="clear" w:color="auto" w:fill="C6EFCE"/>
          </w:tcPr>
          <w:p w14:paraId="56994071" w14:textId="77777777" w:rsidR="00FA7C11" w:rsidRDefault="00D84965">
            <w:pPr>
              <w:pStyle w:val="P68B1DB1-Normal148"/>
              <w:spacing w:before="120" w:after="120" w:line="240" w:lineRule="auto"/>
              <w:jc w:val="both"/>
              <w:rPr>
                <w:noProof/>
              </w:rPr>
            </w:pPr>
            <w:r>
              <w:rPr>
                <w:noProof/>
              </w:rPr>
              <w:t>Injecție de capital pentru investiții strategice în domeniul apărării și securității</w:t>
            </w:r>
          </w:p>
        </w:tc>
      </w:tr>
      <w:tr w:rsidR="00FA7C11" w14:paraId="78D513A3" w14:textId="77777777">
        <w:trPr>
          <w:trHeight w:val="362"/>
        </w:trPr>
        <w:tc>
          <w:tcPr>
            <w:tcW w:w="1096" w:type="dxa"/>
            <w:shd w:val="clear" w:color="auto" w:fill="C6EFCE"/>
            <w:vAlign w:val="bottom"/>
            <w:hideMark/>
          </w:tcPr>
          <w:p w14:paraId="46ADBD2F" w14:textId="77777777" w:rsidR="00FA7C11" w:rsidRDefault="00D84965">
            <w:pPr>
              <w:pStyle w:val="P68B1DB1-Normal148"/>
              <w:spacing w:before="120" w:after="0" w:line="240" w:lineRule="auto"/>
              <w:jc w:val="center"/>
              <w:textAlignment w:val="baseline"/>
              <w:rPr>
                <w:noProof/>
              </w:rPr>
            </w:pPr>
            <w:r>
              <w:rPr>
                <w:noProof/>
              </w:rPr>
              <w:t> </w:t>
            </w:r>
          </w:p>
        </w:tc>
        <w:tc>
          <w:tcPr>
            <w:tcW w:w="1642" w:type="dxa"/>
            <w:shd w:val="clear" w:color="auto" w:fill="C6EFCE"/>
            <w:vAlign w:val="bottom"/>
            <w:hideMark/>
          </w:tcPr>
          <w:p w14:paraId="123F9AA7" w14:textId="77777777" w:rsidR="00FA7C11" w:rsidRDefault="00D84965">
            <w:pPr>
              <w:pStyle w:val="P68B1DB1-Normal148"/>
              <w:spacing w:before="120" w:after="0" w:line="240" w:lineRule="auto"/>
              <w:jc w:val="both"/>
              <w:textAlignment w:val="baseline"/>
              <w:rPr>
                <w:noProof/>
              </w:rPr>
            </w:pPr>
            <w:r>
              <w:rPr>
                <w:noProof/>
              </w:rPr>
              <w:t> </w:t>
            </w:r>
          </w:p>
        </w:tc>
        <w:tc>
          <w:tcPr>
            <w:tcW w:w="1134" w:type="dxa"/>
            <w:shd w:val="clear" w:color="auto" w:fill="C6EFCE"/>
            <w:vAlign w:val="bottom"/>
            <w:hideMark/>
          </w:tcPr>
          <w:p w14:paraId="2D1CC5B2" w14:textId="77777777" w:rsidR="00FA7C11" w:rsidRDefault="00D84965">
            <w:pPr>
              <w:pStyle w:val="P68B1DB1-Normal148"/>
              <w:spacing w:before="120" w:after="0" w:line="240" w:lineRule="auto"/>
              <w:jc w:val="both"/>
              <w:textAlignment w:val="baseline"/>
              <w:rPr>
                <w:noProof/>
              </w:rPr>
            </w:pPr>
            <w:r>
              <w:rPr>
                <w:noProof/>
              </w:rPr>
              <w:t>Cuantumul tranșei </w:t>
            </w:r>
          </w:p>
        </w:tc>
        <w:tc>
          <w:tcPr>
            <w:tcW w:w="5529" w:type="dxa"/>
            <w:shd w:val="clear" w:color="auto" w:fill="C6EFCE"/>
            <w:vAlign w:val="bottom"/>
            <w:hideMark/>
          </w:tcPr>
          <w:p w14:paraId="43D90D03" w14:textId="1DAD9711" w:rsidR="00FA7C11" w:rsidRDefault="00D84965">
            <w:pPr>
              <w:pStyle w:val="P68B1DB1-Normal59"/>
              <w:spacing w:before="120" w:after="0" w:line="240" w:lineRule="auto"/>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2</w:t>
            </w:r>
            <w:r>
              <w:rPr>
                <w:rFonts w:ascii="Times New Roman" w:hAnsi="Times New Roman" w:cs="Times New Roman"/>
                <w:noProof/>
                <w:color w:val="000000"/>
              </w:rPr>
              <w:t xml:space="preserve">  </w:t>
            </w:r>
            <w:r>
              <w:rPr>
                <w:rFonts w:ascii="Times New Roman" w:eastAsia="Times New Roman" w:hAnsi="Times New Roman" w:cs="Times New Roman"/>
                <w:noProof/>
                <w:kern w:val="0"/>
                <w14:ligatures w14:val="none"/>
              </w:rPr>
              <w:t>060</w:t>
            </w:r>
            <w:r>
              <w:rPr>
                <w:rFonts w:ascii="Times New Roman" w:hAnsi="Times New Roman" w:cs="Times New Roman"/>
                <w:noProof/>
                <w:color w:val="000000"/>
              </w:rPr>
              <w:t xml:space="preserve"> </w:t>
            </w:r>
            <w:r>
              <w:rPr>
                <w:rFonts w:ascii="Times New Roman" w:eastAsia="Times New Roman" w:hAnsi="Times New Roman" w:cs="Times New Roman"/>
                <w:noProof/>
                <w:kern w:val="0"/>
                <w14:ligatures w14:val="none"/>
              </w:rPr>
              <w:t>436</w:t>
            </w:r>
            <w:r>
              <w:rPr>
                <w:rFonts w:ascii="Times New Roman" w:hAnsi="Times New Roman" w:cs="Times New Roman"/>
                <w:noProof/>
                <w:color w:val="000000"/>
              </w:rPr>
              <w:t xml:space="preserve"> </w:t>
            </w:r>
            <w:r>
              <w:rPr>
                <w:rFonts w:ascii="Times New Roman" w:eastAsia="Times New Roman" w:hAnsi="Times New Roman" w:cs="Times New Roman"/>
                <w:noProof/>
                <w:kern w:val="0"/>
                <w14:ligatures w14:val="none"/>
              </w:rPr>
              <w:t>258 MIL.</w:t>
            </w:r>
          </w:p>
        </w:tc>
      </w:tr>
    </w:tbl>
    <w:p w14:paraId="215F5578" w14:textId="77777777" w:rsidR="00FA7C11" w:rsidRDefault="00FA7C11">
      <w:pPr>
        <w:spacing w:after="0" w:line="240" w:lineRule="auto"/>
        <w:ind w:left="705"/>
        <w:jc w:val="both"/>
        <w:textAlignment w:val="baseline"/>
        <w:rPr>
          <w:rFonts w:ascii="Segoe UI" w:eastAsia="Times New Roman" w:hAnsi="Segoe UI" w:cs="Segoe UI"/>
          <w:noProof/>
          <w:sz w:val="18"/>
          <w:szCs w:val="18"/>
        </w:rPr>
      </w:pPr>
    </w:p>
    <w:p w14:paraId="615E9CCE" w14:textId="77777777" w:rsidR="00FA7C11" w:rsidRDefault="00D84965">
      <w:pPr>
        <w:pStyle w:val="P68B1DB1-Normal134"/>
        <w:spacing w:after="0" w:line="240" w:lineRule="auto"/>
        <w:jc w:val="both"/>
        <w:textAlignment w:val="baseline"/>
        <w:rPr>
          <w:rFonts w:ascii="Segoe UI" w:hAnsi="Segoe UI" w:cs="Segoe UI"/>
          <w:noProof/>
          <w:sz w:val="18"/>
          <w:szCs w:val="18"/>
        </w:rPr>
      </w:pPr>
      <w:r>
        <w:rPr>
          <w:noProof/>
        </w:rPr>
        <w:t> </w:t>
      </w:r>
    </w:p>
    <w:p w14:paraId="05B27E3B" w14:textId="77777777" w:rsidR="00FA7C11" w:rsidRDefault="00FA7C11">
      <w:pPr>
        <w:spacing w:after="0" w:line="240" w:lineRule="auto"/>
        <w:jc w:val="both"/>
        <w:textAlignment w:val="baseline"/>
        <w:rPr>
          <w:rFonts w:eastAsia="Times New Roman"/>
          <w:b/>
          <w:bCs/>
          <w:noProof/>
          <w:szCs w:val="24"/>
        </w:rPr>
        <w:sectPr w:rsidR="00FA7C11" w:rsidSect="00FA29B2">
          <w:headerReference w:type="even" r:id="rId458"/>
          <w:headerReference w:type="default" r:id="rId459"/>
          <w:footerReference w:type="even" r:id="rId460"/>
          <w:footerReference w:type="default" r:id="rId461"/>
          <w:headerReference w:type="first" r:id="rId462"/>
          <w:footerReference w:type="first" r:id="rId463"/>
          <w:pgSz w:w="11907" w:h="16839"/>
          <w:pgMar w:top="1134" w:right="1134" w:bottom="1134" w:left="1134" w:header="567" w:footer="567" w:gutter="0"/>
          <w:cols w:space="708"/>
          <w:docGrid w:linePitch="360"/>
        </w:sectPr>
      </w:pPr>
    </w:p>
    <w:p w14:paraId="2BA1466C" w14:textId="27232555" w:rsidR="00FA7C11" w:rsidRDefault="00D84965">
      <w:pPr>
        <w:pStyle w:val="P68B1DB1-Normal140"/>
        <w:spacing w:line="240" w:lineRule="auto"/>
        <w:jc w:val="both"/>
        <w:textAlignment w:val="baseline"/>
        <w:rPr>
          <w:bCs/>
          <w:noProof/>
          <w:szCs w:val="24"/>
        </w:rPr>
      </w:pPr>
      <w:r>
        <w:rPr>
          <w:noProof/>
        </w:rPr>
        <w:t xml:space="preserve">SECȚIUNEA 3: DISPOZIȚII SUPLIMENTARE </w:t>
      </w:r>
    </w:p>
    <w:p w14:paraId="65175E6C" w14:textId="77777777" w:rsidR="00FA7C11" w:rsidRDefault="00D84965">
      <w:pPr>
        <w:pStyle w:val="P68B1DB1-Normal83"/>
        <w:numPr>
          <w:ilvl w:val="0"/>
          <w:numId w:val="82"/>
        </w:numPr>
        <w:spacing w:line="240" w:lineRule="auto"/>
        <w:jc w:val="both"/>
        <w:textAlignment w:val="baseline"/>
        <w:rPr>
          <w:noProof/>
        </w:rPr>
      </w:pPr>
      <w:r>
        <w:rPr>
          <w:b/>
          <w:noProof/>
        </w:rPr>
        <w:t>Modalități de monitorizare și de punere în aplicare a planului de redresare și reziliență</w:t>
      </w:r>
      <w:r>
        <w:rPr>
          <w:noProof/>
        </w:rPr>
        <w:t> </w:t>
      </w:r>
    </w:p>
    <w:p w14:paraId="4C8E301F" w14:textId="77777777" w:rsidR="00FA7C11" w:rsidRDefault="00D84965">
      <w:pPr>
        <w:pStyle w:val="P68B1DB1-Normal83"/>
        <w:spacing w:line="240" w:lineRule="auto"/>
        <w:jc w:val="both"/>
        <w:textAlignment w:val="baseline"/>
        <w:rPr>
          <w:noProof/>
        </w:rPr>
      </w:pPr>
      <w:r>
        <w:rPr>
          <w:noProof/>
        </w:rPr>
        <w:t>Monitorizarea și implementarea planului de redresare și reziliență al Croației se desfășoară în conformitate cu următoarele dispoziții: </w:t>
      </w:r>
    </w:p>
    <w:p w14:paraId="05D8FBC4" w14:textId="77777777" w:rsidR="00FA7C11" w:rsidRDefault="00D84965">
      <w:pPr>
        <w:pStyle w:val="P68B1DB1-Normal83"/>
        <w:spacing w:line="240" w:lineRule="auto"/>
        <w:jc w:val="both"/>
        <w:textAlignment w:val="baseline"/>
        <w:rPr>
          <w:noProof/>
        </w:rPr>
      </w:pPr>
      <w:r>
        <w:rPr>
          <w:noProof/>
        </w:rPr>
        <w:t>Se instituie o structură de guvernanță, monitorizare și punere în aplicare pe mai multe niveluri, cu sarcini și responsabilități specifice aplicabile la fiecare nivel, astfel cum se prevede mai jos:</w:t>
      </w:r>
    </w:p>
    <w:p w14:paraId="703F5442" w14:textId="77777777" w:rsidR="00FA7C11" w:rsidRDefault="00D84965">
      <w:pPr>
        <w:pStyle w:val="P68B1DB1-Normal83"/>
        <w:spacing w:line="240" w:lineRule="auto"/>
        <w:ind w:left="567"/>
        <w:jc w:val="both"/>
        <w:textAlignment w:val="baseline"/>
        <w:rPr>
          <w:noProof/>
        </w:rPr>
      </w:pPr>
      <w:r>
        <w:rPr>
          <w:noProof/>
        </w:rPr>
        <w:t>a) Comitetul director, prezidat de prim-ministru, responsabil cu conducerea politică și monitorizarea punerii în aplicare a planului.</w:t>
      </w:r>
    </w:p>
    <w:p w14:paraId="489061CF" w14:textId="77777777" w:rsidR="00FA7C11" w:rsidRDefault="00D84965">
      <w:pPr>
        <w:pStyle w:val="P68B1DB1-Normal83"/>
        <w:spacing w:line="240" w:lineRule="auto"/>
        <w:ind w:left="567"/>
        <w:jc w:val="both"/>
        <w:textAlignment w:val="baseline"/>
        <w:rPr>
          <w:noProof/>
        </w:rPr>
      </w:pPr>
      <w:r>
        <w:rPr>
          <w:noProof/>
        </w:rPr>
        <w:t xml:space="preserve">(b) Comitetul de punere în aplicare, alcătuit din reprezentanți ai cabinetului prim-ministrului, ai organismului de coordonare, ai organismelor de punere în aplicare, ai autorității de audit, ai organismului responsabil cu transmiterea cererilor de plată și ai Ministerului Dezvoltării Regionale și Fondurilor UE, responsabil cu monitorizarea generală și punerea în aplicare a planului, precum și cu asigurarea coerenței cu alte fonduri ale UE. </w:t>
      </w:r>
    </w:p>
    <w:p w14:paraId="66052986" w14:textId="77777777" w:rsidR="00FA7C11" w:rsidRDefault="00D84965">
      <w:pPr>
        <w:pStyle w:val="P68B1DB1-Normal83"/>
        <w:spacing w:line="240" w:lineRule="auto"/>
        <w:ind w:left="567"/>
        <w:jc w:val="both"/>
        <w:textAlignment w:val="baseline"/>
        <w:rPr>
          <w:noProof/>
        </w:rPr>
      </w:pPr>
      <w:r>
        <w:rPr>
          <w:noProof/>
        </w:rPr>
        <w:t>c) Organismul central de coordonare, instituit în cadrul Ministerului Finanțelor (Direcția pentru analiză macroeconomică) și însărcinat cu coordonarea operațională și monitorizarea planului de redresare și reziliență, inclusiv cu monitorizarea activă a progreselor înregistrate în punerea în aplicare a măsurilor pe baza jaloanelor și a țintelor stabilite pentru fiecare componentă.</w:t>
      </w:r>
    </w:p>
    <w:p w14:paraId="6F16E606" w14:textId="77777777" w:rsidR="00FA7C11" w:rsidRDefault="00D84965">
      <w:pPr>
        <w:pStyle w:val="P68B1DB1-Normal83"/>
        <w:spacing w:line="240" w:lineRule="auto"/>
        <w:ind w:left="567"/>
        <w:jc w:val="both"/>
        <w:textAlignment w:val="baseline"/>
        <w:rPr>
          <w:noProof/>
        </w:rPr>
      </w:pPr>
      <w:r>
        <w:rPr>
          <w:noProof/>
        </w:rPr>
        <w:t>d) Autoritatea de audit, Agenția pentru Auditul Sistemului de Implementare a Programelor Uniunii Europene, mandatată să efectueze audituri în domeniul de aplicare al planului de redresare și reziliență al Croației.</w:t>
      </w:r>
    </w:p>
    <w:p w14:paraId="5C83670B" w14:textId="77777777" w:rsidR="00FA7C11" w:rsidRDefault="00D84965">
      <w:pPr>
        <w:pStyle w:val="P68B1DB1-Normal83"/>
        <w:spacing w:line="240" w:lineRule="auto"/>
        <w:ind w:left="567"/>
        <w:jc w:val="both"/>
        <w:textAlignment w:val="baseline"/>
        <w:rPr>
          <w:noProof/>
        </w:rPr>
      </w:pPr>
      <w:r>
        <w:rPr>
          <w:noProof/>
        </w:rPr>
        <w:t>e) Organismul responsabil cu transmiterea cererilor de plată, Fondul Național din cadrul Ministerului Finanțelor, responsabil cu întocmirea și depunerea cererilor de plată și a declarațiilor de gestiune.</w:t>
      </w:r>
    </w:p>
    <w:p w14:paraId="3814FC5F" w14:textId="77777777" w:rsidR="00FA7C11" w:rsidRDefault="00D84965">
      <w:pPr>
        <w:pStyle w:val="P68B1DB1-Normal83"/>
        <w:spacing w:line="240" w:lineRule="auto"/>
        <w:ind w:left="567"/>
        <w:jc w:val="both"/>
        <w:textAlignment w:val="baseline"/>
        <w:rPr>
          <w:noProof/>
        </w:rPr>
      </w:pPr>
      <w:r>
        <w:rPr>
          <w:noProof/>
        </w:rPr>
        <w:t xml:space="preserve">f) Organismele și agențiile de punere în aplicare responsabile cu punerea în aplicare a fiecărei măsuri specifice, precum și cu monitorizarea progreselor înregistrate de proiecte. </w:t>
      </w:r>
    </w:p>
    <w:p w14:paraId="5DF867DA" w14:textId="77777777" w:rsidR="00FA7C11" w:rsidRDefault="00D84965">
      <w:pPr>
        <w:pStyle w:val="P68B1DB1-Normal83"/>
        <w:spacing w:line="240" w:lineRule="auto"/>
        <w:jc w:val="both"/>
        <w:textAlignment w:val="baseline"/>
        <w:rPr>
          <w:noProof/>
        </w:rPr>
      </w:pPr>
      <w:r>
        <w:rPr>
          <w:noProof/>
        </w:rPr>
        <w:t>Planul de redresare și reziliență al Croației prevede că sunt instituite proceduri pentru a asigura conformitatea cu dreptul aplicabil al Uniunii și cu dreptul intern aplicabil, pe tot parcursul punerii în aplicare a măsurilor. În plus, aceste proceduri se aplică pentru a aborda toate neregulile grave (fraudă, corupție, conflict de interese) și dubla finanțare, permițând punerea în aplicare a controalelor și auditurilor la nivelul ministerului de resort. Pentru a asigura raportarea unor date fiabile, organismele de punere în aplicare responsabile pentru fiecare componentă efectuează controale administrative și controale la fața locului. Organismul de coordonare, în cooperare cu Fondul Național, efectuează verificări periodice ale veridicității și exactității datelor. În plus, autoritatea de audit va efectua controale de al doilea nivel, pe baza unui ciclu semestrial, inclusiv audituri de sistem și audituri privind atingerea jaloanelor și a țintelor.</w:t>
      </w:r>
    </w:p>
    <w:p w14:paraId="18228728" w14:textId="1DB5005F" w:rsidR="00FA7C11" w:rsidRDefault="00D84965">
      <w:pPr>
        <w:pStyle w:val="P68B1DB1-Normal83"/>
        <w:spacing w:line="240" w:lineRule="auto"/>
        <w:jc w:val="both"/>
        <w:textAlignment w:val="baseline"/>
        <w:rPr>
          <w:noProof/>
        </w:rPr>
      </w:pPr>
      <w:r>
        <w:rPr>
          <w:noProof/>
        </w:rPr>
        <w:t> </w:t>
      </w:r>
    </w:p>
    <w:p w14:paraId="7FA7B74F" w14:textId="77777777" w:rsidR="00FA7C11" w:rsidRDefault="00D84965">
      <w:pPr>
        <w:pStyle w:val="P68B1DB1-Normal83"/>
        <w:numPr>
          <w:ilvl w:val="0"/>
          <w:numId w:val="83"/>
        </w:numPr>
        <w:spacing w:line="240" w:lineRule="auto"/>
        <w:jc w:val="both"/>
        <w:textAlignment w:val="baseline"/>
        <w:rPr>
          <w:noProof/>
        </w:rPr>
      </w:pPr>
      <w:r>
        <w:rPr>
          <w:b/>
          <w:noProof/>
        </w:rPr>
        <w:t>Modalități de asigurare a accesului deplin al Comisiei la datele subiacente</w:t>
      </w:r>
      <w:r>
        <w:rPr>
          <w:noProof/>
        </w:rPr>
        <w:t> </w:t>
      </w:r>
    </w:p>
    <w:p w14:paraId="6030513A" w14:textId="77777777" w:rsidR="00FA7C11" w:rsidRDefault="00D84965">
      <w:pPr>
        <w:pStyle w:val="P68B1DB1-Normal83"/>
        <w:spacing w:line="240" w:lineRule="auto"/>
        <w:jc w:val="both"/>
        <w:textAlignment w:val="baseline"/>
        <w:rPr>
          <w:noProof/>
        </w:rPr>
      </w:pPr>
      <w:r>
        <w:rPr>
          <w:noProof/>
        </w:rPr>
        <w:t>Pentru a oferi Comisiei acces deplin la datele subiacente relevante, Croația instituie următoarele măsuri: </w:t>
      </w:r>
    </w:p>
    <w:p w14:paraId="38A8FDE8" w14:textId="77777777" w:rsidR="00FA7C11" w:rsidRDefault="00D84965">
      <w:pPr>
        <w:pStyle w:val="P68B1DB1-Normal83"/>
        <w:spacing w:line="240" w:lineRule="auto"/>
        <w:jc w:val="both"/>
        <w:textAlignment w:val="baseline"/>
        <w:rPr>
          <w:noProof/>
        </w:rPr>
      </w:pPr>
      <w:r>
        <w:rPr>
          <w:noProof/>
        </w:rPr>
        <w:t xml:space="preserve">Organismul central de coordonare este responsabil de punerea în aplicare globală a planurilor de redresare și reziliență, de asigurarea coordonării cu alte autorități relevante din țară (inclusiv de asigurarea coerenței în ceea ce privește utilizarea altor fonduri ale UE), de monitorizarea progreselor înregistrate în ceea ce privește jaloanele și țintele și de furnizarea tuturor rapoartelor necesare. </w:t>
      </w:r>
    </w:p>
    <w:p w14:paraId="46216CF8" w14:textId="77777777" w:rsidR="00FA7C11" w:rsidRDefault="00D84965">
      <w:pPr>
        <w:pStyle w:val="P68B1DB1-Normal83"/>
        <w:spacing w:line="240" w:lineRule="auto"/>
        <w:jc w:val="both"/>
        <w:textAlignment w:val="baseline"/>
        <w:rPr>
          <w:noProof/>
        </w:rPr>
      </w:pPr>
      <w:r>
        <w:rPr>
          <w:noProof/>
        </w:rPr>
        <w:t>În îndeplinirea sarcinilor sale, organismul de coordonare se bazează pe sistemul informatic eFondovi, utilizat pentru monitorizarea fondurilor structurale și de investiții europene, care este modernizat cu funcționalități dezvoltate pentru raportarea cu privire la indicatorii calitativi și cantitativi ai planului de redresare și reziliență. Sistemul informatic permite colectarea informațiilor de la beneficiarii proiectelor cu privire la progresele înregistrate în punerea în aplicare a acordurilor de grant. Organismele de punere în aplicare sunt responsabile pentru exactitatea și exhaustivitatea datelor colectate. Organismul de coordonare, în cooperare cu fondul național, efectuează verificări periodice ale veridicității și exactității datelor.</w:t>
      </w:r>
    </w:p>
    <w:p w14:paraId="0B5E4F12" w14:textId="77777777" w:rsidR="00FA7C11" w:rsidRDefault="00D84965">
      <w:pPr>
        <w:pStyle w:val="P68B1DB1-Normal83"/>
        <w:jc w:val="both"/>
        <w:rPr>
          <w:noProof/>
        </w:rPr>
      </w:pPr>
      <w:r>
        <w:rPr>
          <w:noProof/>
        </w:rPr>
        <w:t>În conformitate cu articolul 24 alineatul (2) din Regulamentul (UE) 2021/241, la îndeplinirea jaloanelor și a țintelor relevante convenite în secțiunea 2.1 din prezenta anexă, Croația prezintă Comisiei o cerere justificată în mod corespunzător de plată a contribuției financiare. Croația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bookmarkEnd w:id="0"/>
    </w:p>
    <w:sectPr w:rsidR="00FA7C11">
      <w:headerReference w:type="even" r:id="rId464"/>
      <w:headerReference w:type="default" r:id="rId465"/>
      <w:footerReference w:type="even" r:id="rId466"/>
      <w:footerReference w:type="default" r:id="rId467"/>
      <w:headerReference w:type="first" r:id="rId468"/>
      <w:footerReference w:type="first" r:id="rId469"/>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A250A" w14:textId="77777777" w:rsidR="00D84965" w:rsidRDefault="00D84965">
      <w:pPr>
        <w:spacing w:after="0" w:line="240" w:lineRule="auto"/>
      </w:pPr>
      <w:r>
        <w:separator/>
      </w:r>
    </w:p>
  </w:endnote>
  <w:endnote w:type="continuationSeparator" w:id="0">
    <w:p w14:paraId="1DF7ECDA" w14:textId="77777777" w:rsidR="00D84965" w:rsidRDefault="00D84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Display">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ew Roman">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EC Square Sans Pro">
    <w:altName w:val="Segoe UI"/>
    <w:charset w:val="00"/>
    <w:family w:val="swiss"/>
    <w:pitch w:val="variable"/>
    <w:sig w:usb0="20000287" w:usb1="00000001" w:usb2="00000000" w:usb3="00000000" w:csb0="0000019F" w:csb1="00000000"/>
  </w:font>
  <w:font w:name="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DBF8A" w14:textId="597AA822" w:rsidR="00E81876" w:rsidRPr="00E81876" w:rsidRDefault="00E81876" w:rsidP="00E81876">
    <w:pPr>
      <w:pStyle w:val="FooterCoverPage"/>
      <w:rPr>
        <w:rFonts w:ascii="Arial" w:hAnsi="Arial" w:cs="Arial"/>
        <w:b/>
        <w:sz w:val="48"/>
      </w:rPr>
    </w:pPr>
    <w:r w:rsidRPr="00E81876">
      <w:rPr>
        <w:rFonts w:ascii="Arial" w:hAnsi="Arial" w:cs="Arial"/>
        <w:b/>
        <w:sz w:val="48"/>
      </w:rPr>
      <w:t>RO</w:t>
    </w:r>
    <w:r w:rsidRPr="00E81876">
      <w:rPr>
        <w:rFonts w:ascii="Arial" w:hAnsi="Arial" w:cs="Arial"/>
        <w:b/>
        <w:sz w:val="48"/>
      </w:rPr>
      <w:tab/>
    </w:r>
    <w:r w:rsidRPr="00E81876">
      <w:rPr>
        <w:rFonts w:ascii="Arial" w:hAnsi="Arial" w:cs="Arial"/>
        <w:b/>
        <w:sz w:val="48"/>
      </w:rPr>
      <w:tab/>
    </w:r>
    <w:r w:rsidRPr="00E81876">
      <w:tab/>
    </w:r>
    <w:r w:rsidRPr="00E8187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F074D" w14:textId="6480F25A" w:rsidR="00E81876" w:rsidRPr="00E81876" w:rsidRDefault="00E81876" w:rsidP="00E81876">
    <w:pPr>
      <w:pStyle w:val="FooterCoverPage"/>
      <w:rPr>
        <w:rFonts w:ascii="Arial" w:hAnsi="Arial" w:cs="Arial"/>
        <w:b/>
        <w:sz w:val="48"/>
      </w:rPr>
    </w:pPr>
    <w:r w:rsidRPr="00E81876">
      <w:rPr>
        <w:rFonts w:ascii="Arial" w:hAnsi="Arial" w:cs="Arial"/>
        <w:b/>
        <w:sz w:val="48"/>
      </w:rPr>
      <w:t>RO</w:t>
    </w:r>
    <w:r w:rsidRPr="00E81876">
      <w:rPr>
        <w:rFonts w:ascii="Arial" w:hAnsi="Arial" w:cs="Arial"/>
        <w:b/>
        <w:sz w:val="48"/>
      </w:rPr>
      <w:tab/>
    </w:r>
    <w:r w:rsidRPr="00E81876">
      <w:rPr>
        <w:rFonts w:ascii="Arial" w:hAnsi="Arial" w:cs="Arial"/>
        <w:b/>
        <w:sz w:val="48"/>
      </w:rPr>
      <w:tab/>
    </w:r>
    <w:r w:rsidRPr="00E81876">
      <w:tab/>
    </w:r>
    <w:r w:rsidRPr="00E8187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86E91" w14:textId="77777777" w:rsidR="00E81876" w:rsidRPr="00E81876" w:rsidRDefault="00E81876" w:rsidP="00E818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7BBD1" w14:textId="77777777" w:rsidR="00FA7C11" w:rsidRDefault="00FA7C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2651314"/>
      <w:docPartObj>
        <w:docPartGallery w:val="Page Numbers (Bottom of Page)"/>
        <w:docPartUnique/>
      </w:docPartObj>
    </w:sdtPr>
    <w:sdtEndPr>
      <w:rPr>
        <w:noProof/>
      </w:rPr>
    </w:sdtEndPr>
    <w:sdtContent>
      <w:p w14:paraId="3C46B3CD" w14:textId="23D4CD53" w:rsidR="00FA7C11" w:rsidRDefault="00D84965">
        <w:pPr>
          <w:pStyle w:val="Footer"/>
          <w:jc w:val="center"/>
        </w:pPr>
        <w:r>
          <w:fldChar w:fldCharType="begin"/>
        </w:r>
        <w:r>
          <w:instrText xml:space="preserve"> PAGE   \* MERGEFORMAT </w:instrText>
        </w:r>
        <w:r>
          <w:fldChar w:fldCharType="separate"/>
        </w:r>
        <w:r w:rsidR="00E81876">
          <w:rPr>
            <w:noProof/>
          </w:rPr>
          <w:t>8</w:t>
        </w:r>
        <w:r>
          <w:fldChar w:fldCharType="end"/>
        </w:r>
      </w:p>
    </w:sdtContent>
  </w:sdt>
  <w:p w14:paraId="141AB4DB" w14:textId="77777777" w:rsidR="00FA7C11" w:rsidRDefault="00FA7C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CE703" w14:textId="77777777" w:rsidR="00FA7C11" w:rsidRDefault="00FA7C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AA3E8" w14:textId="77777777" w:rsidR="00FA7C11" w:rsidRDefault="00FA7C1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790053"/>
      <w:docPartObj>
        <w:docPartGallery w:val="Page Numbers (Bottom of Page)"/>
        <w:docPartUnique/>
      </w:docPartObj>
    </w:sdtPr>
    <w:sdtEndPr>
      <w:rPr>
        <w:noProof/>
      </w:rPr>
    </w:sdtEndPr>
    <w:sdtContent>
      <w:p w14:paraId="7978D470" w14:textId="2A293DC0" w:rsidR="00FA7C11" w:rsidRDefault="00D84965">
        <w:pPr>
          <w:pStyle w:val="Footer"/>
          <w:jc w:val="center"/>
        </w:pPr>
        <w:r>
          <w:fldChar w:fldCharType="begin"/>
        </w:r>
        <w:r>
          <w:instrText xml:space="preserve"> PAGE   \* MERGEFORMAT </w:instrText>
        </w:r>
        <w:r>
          <w:fldChar w:fldCharType="separate"/>
        </w:r>
        <w:r w:rsidR="00E81876">
          <w:rPr>
            <w:noProof/>
          </w:rPr>
          <w:t>9</w:t>
        </w:r>
        <w:r>
          <w:fldChar w:fldCharType="end"/>
        </w:r>
      </w:p>
    </w:sdtContent>
  </w:sdt>
  <w:p w14:paraId="53D4AA3E" w14:textId="77777777" w:rsidR="00FA7C11" w:rsidRDefault="00FA7C11">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85C19" w14:textId="77777777" w:rsidR="00FA7C11" w:rsidRDefault="00FA7C1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B7D9E" w14:textId="77777777" w:rsidR="00FA7C11" w:rsidRDefault="00FA7C1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89766"/>
      <w:docPartObj>
        <w:docPartGallery w:val="Page Numbers (Bottom of Page)"/>
        <w:docPartUnique/>
      </w:docPartObj>
    </w:sdtPr>
    <w:sdtEndPr>
      <w:rPr>
        <w:noProof/>
      </w:rPr>
    </w:sdtEndPr>
    <w:sdtContent>
      <w:p w14:paraId="54B3B3F8" w14:textId="6663BB1E" w:rsidR="00FA7C11" w:rsidRDefault="00D84965">
        <w:pPr>
          <w:pStyle w:val="Footer"/>
          <w:jc w:val="center"/>
        </w:pPr>
        <w:r>
          <w:fldChar w:fldCharType="begin"/>
        </w:r>
        <w:r>
          <w:instrText xml:space="preserve"> PAGE   \* MERGEFORMAT </w:instrText>
        </w:r>
        <w:r>
          <w:fldChar w:fldCharType="separate"/>
        </w:r>
        <w:r w:rsidR="00E647CB">
          <w:rPr>
            <w:noProof/>
          </w:rPr>
          <w:t>28</w:t>
        </w:r>
        <w:r>
          <w:fldChar w:fldCharType="end"/>
        </w:r>
      </w:p>
    </w:sdtContent>
  </w:sdt>
  <w:p w14:paraId="3C163137" w14:textId="77777777" w:rsidR="00FA7C11" w:rsidRDefault="00FA7C11">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C29B6" w14:textId="77777777" w:rsidR="00FA7C11" w:rsidRDefault="00FA7C1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0EFD" w14:textId="77777777" w:rsidR="00FA7C11" w:rsidRDefault="00FA7C1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195073"/>
      <w:docPartObj>
        <w:docPartGallery w:val="Page Numbers (Bottom of Page)"/>
        <w:docPartUnique/>
      </w:docPartObj>
    </w:sdtPr>
    <w:sdtEndPr>
      <w:rPr>
        <w:noProof/>
      </w:rPr>
    </w:sdtEndPr>
    <w:sdtContent>
      <w:p w14:paraId="2CCAB678" w14:textId="7E4B7591" w:rsidR="00FA7C11" w:rsidRDefault="00D84965">
        <w:pPr>
          <w:pStyle w:val="Footer"/>
          <w:jc w:val="center"/>
        </w:pPr>
        <w:r>
          <w:fldChar w:fldCharType="begin"/>
        </w:r>
        <w:r>
          <w:instrText xml:space="preserve"> PAGE   \* MERGEFORMAT </w:instrText>
        </w:r>
        <w:r>
          <w:fldChar w:fldCharType="separate"/>
        </w:r>
        <w:r w:rsidR="00E647CB">
          <w:rPr>
            <w:noProof/>
          </w:rPr>
          <w:t>31</w:t>
        </w:r>
        <w:r>
          <w:fldChar w:fldCharType="end"/>
        </w:r>
      </w:p>
    </w:sdtContent>
  </w:sdt>
  <w:p w14:paraId="3EB0A35F" w14:textId="77777777" w:rsidR="00FA7C11" w:rsidRDefault="00FA7C11">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DD735" w14:textId="77777777" w:rsidR="00FA7C11" w:rsidRDefault="00FA7C1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E484F" w14:textId="77777777" w:rsidR="00FA7C11" w:rsidRDefault="00FA7C1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759489"/>
      <w:docPartObj>
        <w:docPartGallery w:val="Page Numbers (Bottom of Page)"/>
        <w:docPartUnique/>
      </w:docPartObj>
    </w:sdtPr>
    <w:sdtEndPr>
      <w:rPr>
        <w:noProof/>
      </w:rPr>
    </w:sdtEndPr>
    <w:sdtContent>
      <w:p w14:paraId="51D74CC6" w14:textId="47DFBA4C" w:rsidR="00FA7C11" w:rsidRDefault="00D84965">
        <w:pPr>
          <w:pStyle w:val="Footer"/>
          <w:jc w:val="center"/>
        </w:pPr>
        <w:r>
          <w:fldChar w:fldCharType="begin"/>
        </w:r>
        <w:r>
          <w:instrText xml:space="preserve"> PAGE   \* MERGEFORMAT </w:instrText>
        </w:r>
        <w:r>
          <w:fldChar w:fldCharType="separate"/>
        </w:r>
        <w:r w:rsidR="00E647CB">
          <w:rPr>
            <w:noProof/>
          </w:rPr>
          <w:t>32</w:t>
        </w:r>
        <w:r>
          <w:fldChar w:fldCharType="end"/>
        </w:r>
      </w:p>
    </w:sdtContent>
  </w:sdt>
  <w:p w14:paraId="0FEFA911" w14:textId="77777777" w:rsidR="00FA7C11" w:rsidRDefault="00FA7C11">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D4FD6" w14:textId="77777777" w:rsidR="00FA7C11" w:rsidRDefault="00FA7C1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AA4AF" w14:textId="77777777" w:rsidR="00FA7C11" w:rsidRDefault="00FA7C1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617164"/>
      <w:docPartObj>
        <w:docPartGallery w:val="Page Numbers (Bottom of Page)"/>
        <w:docPartUnique/>
      </w:docPartObj>
    </w:sdtPr>
    <w:sdtEndPr>
      <w:rPr>
        <w:noProof/>
      </w:rPr>
    </w:sdtEndPr>
    <w:sdtContent>
      <w:p w14:paraId="4B33DE88" w14:textId="013973C5"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6D4FFB6" w14:textId="77777777" w:rsidR="00FA7C11" w:rsidRDefault="00FA7C11">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B006" w14:textId="77777777" w:rsidR="00FA7C11" w:rsidRDefault="00FA7C1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079FA" w14:textId="77777777" w:rsidR="00FA7C11" w:rsidRDefault="00FA7C1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262360"/>
      <w:docPartObj>
        <w:docPartGallery w:val="Page Numbers (Bottom of Page)"/>
        <w:docPartUnique/>
      </w:docPartObj>
    </w:sdtPr>
    <w:sdtEndPr>
      <w:rPr>
        <w:noProof/>
      </w:rPr>
    </w:sdtEndPr>
    <w:sdtContent>
      <w:p w14:paraId="5E5B8138" w14:textId="69352B89"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15D9BEFA" w14:textId="77777777" w:rsidR="00FA7C11" w:rsidRDefault="00FA7C11">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1E49B" w14:textId="77777777" w:rsidR="00FA7C11" w:rsidRDefault="00FA7C1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61AD3" w14:textId="77777777" w:rsidR="00FA7C11" w:rsidRDefault="00FA7C1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443756"/>
      <w:docPartObj>
        <w:docPartGallery w:val="Page Numbers (Bottom of Page)"/>
        <w:docPartUnique/>
      </w:docPartObj>
    </w:sdtPr>
    <w:sdtEndPr>
      <w:rPr>
        <w:noProof/>
      </w:rPr>
    </w:sdtEndPr>
    <w:sdtContent>
      <w:p w14:paraId="43C0AD88" w14:textId="0CD65E90"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B744260" w14:textId="77777777" w:rsidR="00FA7C11" w:rsidRDefault="00FA7C11">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4DAE6" w14:textId="77777777" w:rsidR="00FA7C11" w:rsidRDefault="00FA7C1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63395" w14:textId="77777777" w:rsidR="00FA7C11" w:rsidRDefault="00FA7C1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3338"/>
      <w:docPartObj>
        <w:docPartGallery w:val="Page Numbers (Bottom of Page)"/>
        <w:docPartUnique/>
      </w:docPartObj>
    </w:sdtPr>
    <w:sdtEndPr>
      <w:rPr>
        <w:noProof/>
      </w:rPr>
    </w:sdtEndPr>
    <w:sdtContent>
      <w:p w14:paraId="6D52910F" w14:textId="45A5ACE0"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5EC408E" w14:textId="77777777" w:rsidR="00FA7C11" w:rsidRDefault="00FA7C11">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9AE78" w14:textId="77777777" w:rsidR="00FA7C11" w:rsidRDefault="00FA7C1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C2C0B" w14:textId="77777777" w:rsidR="00FA7C11" w:rsidRDefault="00FA7C1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437232"/>
      <w:docPartObj>
        <w:docPartGallery w:val="Page Numbers (Bottom of Page)"/>
        <w:docPartUnique/>
      </w:docPartObj>
    </w:sdtPr>
    <w:sdtEndPr>
      <w:rPr>
        <w:noProof/>
      </w:rPr>
    </w:sdtEndPr>
    <w:sdtContent>
      <w:p w14:paraId="4F1A3EEE" w14:textId="4ED41C1A"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2E84236E" w14:textId="77777777" w:rsidR="00FA7C11" w:rsidRDefault="00FA7C11">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8B495" w14:textId="77777777" w:rsidR="00FA7C11" w:rsidRDefault="00FA7C1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01809" w14:textId="77777777" w:rsidR="00FA7C11" w:rsidRDefault="00FA7C1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954922"/>
      <w:docPartObj>
        <w:docPartGallery w:val="Page Numbers (Bottom of Page)"/>
        <w:docPartUnique/>
      </w:docPartObj>
    </w:sdtPr>
    <w:sdtEndPr>
      <w:rPr>
        <w:noProof/>
      </w:rPr>
    </w:sdtEndPr>
    <w:sdtContent>
      <w:p w14:paraId="580EB404" w14:textId="0A20879E"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5513A70" w14:textId="77777777" w:rsidR="00FA7C11" w:rsidRDefault="00FA7C11">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3ACB" w14:textId="77777777" w:rsidR="00FA7C11" w:rsidRDefault="00FA7C1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D1D5E" w14:textId="77777777" w:rsidR="00FA7C11" w:rsidRDefault="00FA7C1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751606"/>
      <w:docPartObj>
        <w:docPartGallery w:val="Page Numbers (Bottom of Page)"/>
        <w:docPartUnique/>
      </w:docPartObj>
    </w:sdtPr>
    <w:sdtEndPr>
      <w:rPr>
        <w:noProof/>
      </w:rPr>
    </w:sdtEndPr>
    <w:sdtContent>
      <w:p w14:paraId="090582A5" w14:textId="1A0576F1"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3635AC4" w14:textId="77777777" w:rsidR="00FA7C11" w:rsidRDefault="00FA7C11">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17272" w14:textId="77777777" w:rsidR="00FA7C11" w:rsidRDefault="00FA7C1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DF4C9" w14:textId="77777777" w:rsidR="00FA7C11" w:rsidRDefault="00FA7C1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201155"/>
      <w:docPartObj>
        <w:docPartGallery w:val="Page Numbers (Bottom of Page)"/>
        <w:docPartUnique/>
      </w:docPartObj>
    </w:sdtPr>
    <w:sdtEndPr>
      <w:rPr>
        <w:noProof/>
      </w:rPr>
    </w:sdtEndPr>
    <w:sdtContent>
      <w:p w14:paraId="3D65C29F" w14:textId="561CF8ED"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CDA3D8D" w14:textId="77777777" w:rsidR="00FA7C11" w:rsidRDefault="00FA7C11">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BFA96" w14:textId="77777777" w:rsidR="00FA7C11" w:rsidRDefault="00FA7C1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07FE4" w14:textId="77777777" w:rsidR="00FA7C11" w:rsidRDefault="00FA7C1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500331"/>
      <w:docPartObj>
        <w:docPartGallery w:val="Page Numbers (Bottom of Page)"/>
        <w:docPartUnique/>
      </w:docPartObj>
    </w:sdtPr>
    <w:sdtEndPr>
      <w:rPr>
        <w:noProof/>
      </w:rPr>
    </w:sdtEndPr>
    <w:sdtContent>
      <w:p w14:paraId="2F81B243" w14:textId="73CB2500"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1846555A" w14:textId="77777777" w:rsidR="00FA7C11" w:rsidRDefault="00FA7C11">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948FB" w14:textId="77777777" w:rsidR="00FA7C11" w:rsidRDefault="00FA7C1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F1EC9" w14:textId="77777777" w:rsidR="00FA7C11" w:rsidRDefault="00FA7C1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951687"/>
      <w:docPartObj>
        <w:docPartGallery w:val="Page Numbers (Bottom of Page)"/>
        <w:docPartUnique/>
      </w:docPartObj>
    </w:sdtPr>
    <w:sdtEndPr>
      <w:rPr>
        <w:noProof/>
      </w:rPr>
    </w:sdtEndPr>
    <w:sdtContent>
      <w:p w14:paraId="46815C88" w14:textId="7FDAA02E"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55BA9B37" w14:textId="77777777" w:rsidR="00FA7C11" w:rsidRDefault="00FA7C11">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28FA7" w14:textId="77777777" w:rsidR="00FA7C11" w:rsidRDefault="00FA7C1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306EF" w14:textId="77777777" w:rsidR="00FA7C11" w:rsidRDefault="00FA7C1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1379139"/>
      <w:docPartObj>
        <w:docPartGallery w:val="Page Numbers (Bottom of Page)"/>
        <w:docPartUnique/>
      </w:docPartObj>
    </w:sdtPr>
    <w:sdtEndPr>
      <w:rPr>
        <w:noProof/>
      </w:rPr>
    </w:sdtEndPr>
    <w:sdtContent>
      <w:p w14:paraId="0E277538" w14:textId="40C2316F"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247103FC" w14:textId="77777777" w:rsidR="00FA7C11" w:rsidRDefault="00FA7C11">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0E5A1" w14:textId="77777777" w:rsidR="00FA7C11" w:rsidRDefault="00FA7C1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857B9" w14:textId="77777777" w:rsidR="00FA7C11" w:rsidRDefault="00FA7C1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168364"/>
      <w:docPartObj>
        <w:docPartGallery w:val="Page Numbers (Bottom of Page)"/>
        <w:docPartUnique/>
      </w:docPartObj>
    </w:sdtPr>
    <w:sdtEndPr>
      <w:rPr>
        <w:noProof/>
      </w:rPr>
    </w:sdtEndPr>
    <w:sdtContent>
      <w:p w14:paraId="25748800" w14:textId="3875D017"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1B350F78" w14:textId="77777777" w:rsidR="00FA7C11" w:rsidRDefault="00FA7C11">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69F42" w14:textId="77777777" w:rsidR="00FA7C11" w:rsidRDefault="00FA7C1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EFA83" w14:textId="77777777" w:rsidR="00FA7C11" w:rsidRDefault="00FA7C1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58007"/>
      <w:docPartObj>
        <w:docPartGallery w:val="Page Numbers (Bottom of Page)"/>
        <w:docPartUnique/>
      </w:docPartObj>
    </w:sdtPr>
    <w:sdtEndPr>
      <w:rPr>
        <w:noProof/>
      </w:rPr>
    </w:sdtEndPr>
    <w:sdtContent>
      <w:p w14:paraId="60A249D9" w14:textId="59FE257A"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F019AAA" w14:textId="77777777" w:rsidR="00FA7C11" w:rsidRDefault="00FA7C11">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6E870" w14:textId="77777777" w:rsidR="00FA7C11" w:rsidRDefault="00FA7C1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0878D" w14:textId="77777777" w:rsidR="00FA7C11" w:rsidRDefault="00FA7C1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585879"/>
      <w:docPartObj>
        <w:docPartGallery w:val="Page Numbers (Bottom of Page)"/>
        <w:docPartUnique/>
      </w:docPartObj>
    </w:sdtPr>
    <w:sdtEndPr>
      <w:rPr>
        <w:noProof/>
      </w:rPr>
    </w:sdtEndPr>
    <w:sdtContent>
      <w:p w14:paraId="7D835F59" w14:textId="1D5463E3"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103336E0" w14:textId="77777777" w:rsidR="00FA7C11" w:rsidRDefault="00FA7C11">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2A73" w14:textId="77777777" w:rsidR="00FA7C11" w:rsidRDefault="00FA7C1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7E35C" w14:textId="77777777" w:rsidR="00FA7C11" w:rsidRDefault="00FA7C1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722001"/>
      <w:docPartObj>
        <w:docPartGallery w:val="Page Numbers (Bottom of Page)"/>
        <w:docPartUnique/>
      </w:docPartObj>
    </w:sdtPr>
    <w:sdtEndPr>
      <w:rPr>
        <w:noProof/>
      </w:rPr>
    </w:sdtEndPr>
    <w:sdtContent>
      <w:p w14:paraId="7A427DB8" w14:textId="03405F38"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5CB8F3F" w14:textId="77777777" w:rsidR="00FA7C11" w:rsidRDefault="00FA7C11">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C013D" w14:textId="77777777" w:rsidR="00FA7C11" w:rsidRDefault="00FA7C1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51291" w14:textId="77777777" w:rsidR="00FA7C11" w:rsidRDefault="00FA7C1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4538"/>
      <w:docPartObj>
        <w:docPartGallery w:val="Page Numbers (Bottom of Page)"/>
        <w:docPartUnique/>
      </w:docPartObj>
    </w:sdtPr>
    <w:sdtEndPr>
      <w:rPr>
        <w:noProof/>
      </w:rPr>
    </w:sdtEndPr>
    <w:sdtContent>
      <w:p w14:paraId="07FDF8BE" w14:textId="6EDBC0F7"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C83DCDB" w14:textId="77777777" w:rsidR="00FA7C11" w:rsidRDefault="00FA7C11">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0145B" w14:textId="77777777" w:rsidR="00FA7C11" w:rsidRDefault="00FA7C1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67EB9" w14:textId="77777777" w:rsidR="00FA7C11" w:rsidRDefault="00FA7C1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214177"/>
      <w:docPartObj>
        <w:docPartGallery w:val="Page Numbers (Bottom of Page)"/>
        <w:docPartUnique/>
      </w:docPartObj>
    </w:sdtPr>
    <w:sdtEndPr>
      <w:rPr>
        <w:noProof/>
      </w:rPr>
    </w:sdtEndPr>
    <w:sdtContent>
      <w:p w14:paraId="16E0865D" w14:textId="158880D7"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110177E1" w14:textId="77777777" w:rsidR="00FA7C11" w:rsidRDefault="00FA7C11">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7CE00" w14:textId="77777777" w:rsidR="00FA7C11" w:rsidRDefault="00FA7C1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12A3" w14:textId="77777777" w:rsidR="00FA7C11" w:rsidRDefault="00FA7C1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7249589"/>
      <w:docPartObj>
        <w:docPartGallery w:val="Page Numbers (Bottom of Page)"/>
        <w:docPartUnique/>
      </w:docPartObj>
    </w:sdtPr>
    <w:sdtEndPr>
      <w:rPr>
        <w:noProof/>
      </w:rPr>
    </w:sdtEndPr>
    <w:sdtContent>
      <w:p w14:paraId="3290F882" w14:textId="6335CE1D"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3A4BCBF" w14:textId="77777777" w:rsidR="00FA7C11" w:rsidRDefault="00FA7C11">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307B9" w14:textId="77777777" w:rsidR="00FA7C11" w:rsidRDefault="00FA7C1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70336" w14:textId="77777777" w:rsidR="00FA7C11" w:rsidRDefault="00FA7C1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901691"/>
      <w:docPartObj>
        <w:docPartGallery w:val="Page Numbers (Bottom of Page)"/>
        <w:docPartUnique/>
      </w:docPartObj>
    </w:sdtPr>
    <w:sdtEndPr>
      <w:rPr>
        <w:noProof/>
      </w:rPr>
    </w:sdtEndPr>
    <w:sdtContent>
      <w:p w14:paraId="610127BB" w14:textId="58859F7F"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54B02D6" w14:textId="77777777" w:rsidR="00FA7C11" w:rsidRDefault="00FA7C11">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0819" w14:textId="77777777" w:rsidR="00FA7C11" w:rsidRDefault="00FA7C11">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B1E71" w14:textId="77777777" w:rsidR="00FA7C11" w:rsidRDefault="00FA7C11">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424708"/>
      <w:docPartObj>
        <w:docPartGallery w:val="Page Numbers (Bottom of Page)"/>
        <w:docPartUnique/>
      </w:docPartObj>
    </w:sdtPr>
    <w:sdtEndPr>
      <w:rPr>
        <w:noProof/>
      </w:rPr>
    </w:sdtEndPr>
    <w:sdtContent>
      <w:p w14:paraId="23B3AE23" w14:textId="6CCE2A9E"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4AE1251" w14:textId="77777777" w:rsidR="00FA7C11" w:rsidRDefault="00FA7C11">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0031A" w14:textId="77777777" w:rsidR="00FA7C11" w:rsidRDefault="00FA7C11">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62256" w14:textId="77777777" w:rsidR="00FA7C11" w:rsidRDefault="00FA7C11">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8873533"/>
      <w:docPartObj>
        <w:docPartGallery w:val="Page Numbers (Bottom of Page)"/>
        <w:docPartUnique/>
      </w:docPartObj>
    </w:sdtPr>
    <w:sdtEndPr>
      <w:rPr>
        <w:noProof/>
      </w:rPr>
    </w:sdtEndPr>
    <w:sdtContent>
      <w:p w14:paraId="6F5F2DB1" w14:textId="182D1AE2"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1D314AE4" w14:textId="77777777" w:rsidR="00FA7C11" w:rsidRDefault="00FA7C11">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608D1" w14:textId="77777777" w:rsidR="00FA7C11" w:rsidRDefault="00FA7C11">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01EB0" w14:textId="77777777" w:rsidR="00FA7C11" w:rsidRDefault="00FA7C11">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3097832"/>
      <w:docPartObj>
        <w:docPartGallery w:val="Page Numbers (Bottom of Page)"/>
        <w:docPartUnique/>
      </w:docPartObj>
    </w:sdtPr>
    <w:sdtEndPr>
      <w:rPr>
        <w:noProof/>
      </w:rPr>
    </w:sdtEndPr>
    <w:sdtContent>
      <w:p w14:paraId="23C90B24" w14:textId="2CF8C816"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467F51B3" w14:textId="77777777" w:rsidR="00FA7C11" w:rsidRDefault="00FA7C11">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7D301" w14:textId="77777777" w:rsidR="00FA7C11" w:rsidRDefault="00FA7C11">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4A2C9" w14:textId="77777777" w:rsidR="00FA7C11" w:rsidRDefault="00FA7C11">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4319168"/>
      <w:docPartObj>
        <w:docPartGallery w:val="Page Numbers (Bottom of Page)"/>
        <w:docPartUnique/>
      </w:docPartObj>
    </w:sdtPr>
    <w:sdtEndPr>
      <w:rPr>
        <w:noProof/>
      </w:rPr>
    </w:sdtEndPr>
    <w:sdtContent>
      <w:p w14:paraId="61EA0AB4" w14:textId="11578762"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4A559E5" w14:textId="77777777" w:rsidR="00FA7C11" w:rsidRDefault="00FA7C11">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176D1" w14:textId="77777777" w:rsidR="00FA7C11" w:rsidRDefault="00FA7C11">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C06F2" w14:textId="77777777" w:rsidR="00FA7C11" w:rsidRDefault="00FA7C11">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8401"/>
      <w:docPartObj>
        <w:docPartGallery w:val="Page Numbers (Bottom of Page)"/>
        <w:docPartUnique/>
      </w:docPartObj>
    </w:sdtPr>
    <w:sdtEndPr>
      <w:rPr>
        <w:noProof/>
      </w:rPr>
    </w:sdtEndPr>
    <w:sdtContent>
      <w:p w14:paraId="2A2D4D17" w14:textId="5B845A1E"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1666CA2" w14:textId="77777777" w:rsidR="00FA7C11" w:rsidRDefault="00FA7C11">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294A7" w14:textId="77777777" w:rsidR="00FA7C11" w:rsidRDefault="00FA7C11">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77F06" w14:textId="77777777" w:rsidR="00FA7C11" w:rsidRDefault="00FA7C11">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030464"/>
      <w:docPartObj>
        <w:docPartGallery w:val="Page Numbers (Bottom of Page)"/>
        <w:docPartUnique/>
      </w:docPartObj>
    </w:sdtPr>
    <w:sdtEndPr>
      <w:rPr>
        <w:noProof/>
      </w:rPr>
    </w:sdtEndPr>
    <w:sdtContent>
      <w:p w14:paraId="5F579920" w14:textId="30E545C6"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5990BC7" w14:textId="77777777" w:rsidR="00FA7C11" w:rsidRDefault="00FA7C11">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B7A08" w14:textId="77777777" w:rsidR="00FA7C11" w:rsidRDefault="00FA7C11">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AD632" w14:textId="77777777" w:rsidR="00FA7C11" w:rsidRDefault="00FA7C11">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885601"/>
      <w:docPartObj>
        <w:docPartGallery w:val="Page Numbers (Bottom of Page)"/>
        <w:docPartUnique/>
      </w:docPartObj>
    </w:sdtPr>
    <w:sdtEndPr>
      <w:rPr>
        <w:noProof/>
      </w:rPr>
    </w:sdtEndPr>
    <w:sdtContent>
      <w:p w14:paraId="398D6916" w14:textId="1A705361"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B9A4D19" w14:textId="77777777" w:rsidR="00FA7C11" w:rsidRDefault="00FA7C11">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A5DA1" w14:textId="77777777" w:rsidR="00FA7C11" w:rsidRDefault="00FA7C11">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9035D" w14:textId="77777777" w:rsidR="00FA7C11" w:rsidRDefault="00FA7C11">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855117"/>
      <w:docPartObj>
        <w:docPartGallery w:val="Page Numbers (Bottom of Page)"/>
        <w:docPartUnique/>
      </w:docPartObj>
    </w:sdtPr>
    <w:sdtEndPr>
      <w:rPr>
        <w:noProof/>
      </w:rPr>
    </w:sdtEndPr>
    <w:sdtContent>
      <w:p w14:paraId="72E9E93E" w14:textId="4F98CEAD"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7DF3D97" w14:textId="77777777" w:rsidR="00FA7C11" w:rsidRDefault="00FA7C11">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6FA5B" w14:textId="77777777" w:rsidR="00FA7C11" w:rsidRDefault="00FA7C11">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F8BA1" w14:textId="77777777" w:rsidR="00FA7C11" w:rsidRDefault="00FA7C11">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725525"/>
      <w:docPartObj>
        <w:docPartGallery w:val="Page Numbers (Bottom of Page)"/>
        <w:docPartUnique/>
      </w:docPartObj>
    </w:sdtPr>
    <w:sdtEndPr>
      <w:rPr>
        <w:noProof/>
      </w:rPr>
    </w:sdtEndPr>
    <w:sdtContent>
      <w:p w14:paraId="2A83D80B" w14:textId="75098278"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5F5AAF08" w14:textId="77777777" w:rsidR="00FA7C11" w:rsidRDefault="00FA7C11">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9E6C1" w14:textId="77777777" w:rsidR="00FA7C11" w:rsidRDefault="00FA7C11">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0C2DD" w14:textId="77777777" w:rsidR="00FA7C11" w:rsidRDefault="00FA7C11">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445942"/>
      <w:docPartObj>
        <w:docPartGallery w:val="Page Numbers (Bottom of Page)"/>
        <w:docPartUnique/>
      </w:docPartObj>
    </w:sdtPr>
    <w:sdtEndPr>
      <w:rPr>
        <w:noProof/>
      </w:rPr>
    </w:sdtEndPr>
    <w:sdtContent>
      <w:p w14:paraId="4695DDE1" w14:textId="2EB09A7F"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41A530BD" w14:textId="77777777" w:rsidR="00FA7C11" w:rsidRDefault="00FA7C11">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EE855" w14:textId="77777777" w:rsidR="00FA7C11" w:rsidRDefault="00FA7C11">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C387F" w14:textId="77777777" w:rsidR="00FA7C11" w:rsidRDefault="00FA7C11">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059459"/>
      <w:docPartObj>
        <w:docPartGallery w:val="Page Numbers (Bottom of Page)"/>
        <w:docPartUnique/>
      </w:docPartObj>
    </w:sdtPr>
    <w:sdtEndPr>
      <w:rPr>
        <w:noProof/>
      </w:rPr>
    </w:sdtEndPr>
    <w:sdtContent>
      <w:p w14:paraId="525C2C85" w14:textId="449E54F6"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59BA835F" w14:textId="77777777" w:rsidR="00FA7C11" w:rsidRDefault="00FA7C11">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3ACB8" w14:textId="77777777" w:rsidR="00FA7C11" w:rsidRDefault="00FA7C11">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4328B" w14:textId="77777777" w:rsidR="00FA7C11" w:rsidRDefault="00FA7C11">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180481"/>
      <w:docPartObj>
        <w:docPartGallery w:val="Page Numbers (Bottom of Page)"/>
        <w:docPartUnique/>
      </w:docPartObj>
    </w:sdtPr>
    <w:sdtEndPr>
      <w:rPr>
        <w:noProof/>
      </w:rPr>
    </w:sdtEndPr>
    <w:sdtContent>
      <w:p w14:paraId="38DCFAC2" w14:textId="667D2461"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50BFC2D" w14:textId="77777777" w:rsidR="00FA7C11" w:rsidRDefault="00FA7C11">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B8DA9" w14:textId="77777777" w:rsidR="00FA7C11" w:rsidRDefault="00FA7C11">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5BEC0" w14:textId="77777777" w:rsidR="00FA7C11" w:rsidRDefault="00FA7C11">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466850"/>
      <w:docPartObj>
        <w:docPartGallery w:val="Page Numbers (Bottom of Page)"/>
        <w:docPartUnique/>
      </w:docPartObj>
    </w:sdtPr>
    <w:sdtEndPr>
      <w:rPr>
        <w:noProof/>
      </w:rPr>
    </w:sdtEndPr>
    <w:sdtContent>
      <w:p w14:paraId="59B40891" w14:textId="1A0FD3BD"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9298188" w14:textId="77777777" w:rsidR="00FA7C11" w:rsidRDefault="00FA7C11">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523EA" w14:textId="77777777" w:rsidR="00FA7C11" w:rsidRDefault="00FA7C11">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C6E97" w14:textId="77777777" w:rsidR="00FA7C11" w:rsidRDefault="00FA7C11">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621592"/>
      <w:docPartObj>
        <w:docPartGallery w:val="Page Numbers (Bottom of Page)"/>
        <w:docPartUnique/>
      </w:docPartObj>
    </w:sdtPr>
    <w:sdtEndPr>
      <w:rPr>
        <w:noProof/>
      </w:rPr>
    </w:sdtEndPr>
    <w:sdtContent>
      <w:p w14:paraId="51CEAF06" w14:textId="729324C1"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3ED818A" w14:textId="77777777" w:rsidR="00FA7C11" w:rsidRDefault="00FA7C11">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D8211" w14:textId="77777777" w:rsidR="00FA7C11" w:rsidRDefault="00FA7C11">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37158" w14:textId="77777777" w:rsidR="00FA7C11" w:rsidRDefault="00FA7C11">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0808024"/>
      <w:docPartObj>
        <w:docPartGallery w:val="Page Numbers (Bottom of Page)"/>
        <w:docPartUnique/>
      </w:docPartObj>
    </w:sdtPr>
    <w:sdtEndPr>
      <w:rPr>
        <w:noProof/>
      </w:rPr>
    </w:sdtEndPr>
    <w:sdtContent>
      <w:p w14:paraId="3C958451" w14:textId="3291EEA9"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1479AB4" w14:textId="77777777" w:rsidR="00FA7C11" w:rsidRDefault="00FA7C11">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CFF75" w14:textId="77777777" w:rsidR="00FA7C11" w:rsidRDefault="00FA7C11">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CC69A" w14:textId="77777777" w:rsidR="00FA7C11" w:rsidRDefault="00FA7C11">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938873"/>
      <w:docPartObj>
        <w:docPartGallery w:val="Page Numbers (Bottom of Page)"/>
        <w:docPartUnique/>
      </w:docPartObj>
    </w:sdtPr>
    <w:sdtEndPr>
      <w:rPr>
        <w:noProof/>
      </w:rPr>
    </w:sdtEndPr>
    <w:sdtContent>
      <w:p w14:paraId="144632B8" w14:textId="2AA8AEC1"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630AE40" w14:textId="77777777" w:rsidR="00FA7C11" w:rsidRDefault="00FA7C11">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DF3C6" w14:textId="77777777" w:rsidR="00FA7C11" w:rsidRDefault="00FA7C11">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857ED" w14:textId="77777777" w:rsidR="00FA7C11" w:rsidRDefault="00FA7C11">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2802112"/>
      <w:docPartObj>
        <w:docPartGallery w:val="Page Numbers (Bottom of Page)"/>
        <w:docPartUnique/>
      </w:docPartObj>
    </w:sdtPr>
    <w:sdtEndPr>
      <w:rPr>
        <w:noProof/>
      </w:rPr>
    </w:sdtEndPr>
    <w:sdtContent>
      <w:p w14:paraId="40A28830" w14:textId="5C4176FA"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6A319E0" w14:textId="77777777" w:rsidR="00FA7C11" w:rsidRDefault="00FA7C11">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1C824" w14:textId="77777777" w:rsidR="00FA7C11" w:rsidRDefault="00FA7C11">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A4F78" w14:textId="77777777" w:rsidR="00FA7C11" w:rsidRDefault="00FA7C11">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178803"/>
      <w:docPartObj>
        <w:docPartGallery w:val="Page Numbers (Bottom of Page)"/>
        <w:docPartUnique/>
      </w:docPartObj>
    </w:sdtPr>
    <w:sdtEndPr>
      <w:rPr>
        <w:noProof/>
      </w:rPr>
    </w:sdtEndPr>
    <w:sdtContent>
      <w:p w14:paraId="64AC735E" w14:textId="42B0E10E"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F06BBCF" w14:textId="77777777" w:rsidR="00FA7C11" w:rsidRDefault="00FA7C11">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699D6" w14:textId="77777777" w:rsidR="00FA7C11" w:rsidRDefault="00FA7C11">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AA74A" w14:textId="77777777" w:rsidR="00FA7C11" w:rsidRDefault="00FA7C11">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6499088"/>
      <w:docPartObj>
        <w:docPartGallery w:val="Page Numbers (Bottom of Page)"/>
        <w:docPartUnique/>
      </w:docPartObj>
    </w:sdtPr>
    <w:sdtEndPr>
      <w:rPr>
        <w:noProof/>
      </w:rPr>
    </w:sdtEndPr>
    <w:sdtContent>
      <w:p w14:paraId="432924B2" w14:textId="25289178"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5F1A0CF" w14:textId="77777777" w:rsidR="00FA7C11" w:rsidRDefault="00FA7C11">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95070" w14:textId="77777777" w:rsidR="00FA7C11" w:rsidRDefault="00FA7C11">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C2CD" w14:textId="77777777" w:rsidR="00FA7C11" w:rsidRDefault="00FA7C11">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4905552"/>
      <w:docPartObj>
        <w:docPartGallery w:val="Page Numbers (Bottom of Page)"/>
        <w:docPartUnique/>
      </w:docPartObj>
    </w:sdtPr>
    <w:sdtEndPr>
      <w:rPr>
        <w:noProof/>
      </w:rPr>
    </w:sdtEndPr>
    <w:sdtContent>
      <w:p w14:paraId="16A34D2D" w14:textId="192B0EF0"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2935181D" w14:textId="77777777" w:rsidR="00FA7C11" w:rsidRDefault="00FA7C11">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9BDAC" w14:textId="77777777" w:rsidR="00FA7C11" w:rsidRDefault="00FA7C11">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CE89F" w14:textId="77777777" w:rsidR="00FA7C11" w:rsidRDefault="00FA7C11">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03779"/>
      <w:docPartObj>
        <w:docPartGallery w:val="Page Numbers (Bottom of Page)"/>
        <w:docPartUnique/>
      </w:docPartObj>
    </w:sdtPr>
    <w:sdtEndPr>
      <w:rPr>
        <w:noProof/>
      </w:rPr>
    </w:sdtEndPr>
    <w:sdtContent>
      <w:p w14:paraId="5D58B924" w14:textId="3401ED17"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BAD6541" w14:textId="77777777" w:rsidR="00FA7C11" w:rsidRDefault="00FA7C11">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D829B" w14:textId="77777777" w:rsidR="00FA7C11" w:rsidRDefault="00FA7C11">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4D150" w14:textId="77777777" w:rsidR="00FA7C11" w:rsidRDefault="00FA7C11">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01391"/>
      <w:docPartObj>
        <w:docPartGallery w:val="Page Numbers (Bottom of Page)"/>
        <w:docPartUnique/>
      </w:docPartObj>
    </w:sdtPr>
    <w:sdtEndPr>
      <w:rPr>
        <w:noProof/>
      </w:rPr>
    </w:sdtEndPr>
    <w:sdtContent>
      <w:p w14:paraId="49D15D38" w14:textId="41A22C87"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3A285716" w14:textId="77777777" w:rsidR="00FA7C11" w:rsidRDefault="00FA7C11">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AF3F3" w14:textId="77777777" w:rsidR="00FA7C11" w:rsidRDefault="00FA7C11">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6FAC3" w14:textId="77777777" w:rsidR="00FA7C11" w:rsidRDefault="00FA7C11">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77062"/>
      <w:docPartObj>
        <w:docPartGallery w:val="Page Numbers (Bottom of Page)"/>
        <w:docPartUnique/>
      </w:docPartObj>
    </w:sdtPr>
    <w:sdtEndPr>
      <w:rPr>
        <w:noProof/>
      </w:rPr>
    </w:sdtEndPr>
    <w:sdtContent>
      <w:p w14:paraId="57CB00B4" w14:textId="6DDE1F39"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286183C" w14:textId="77777777" w:rsidR="00FA7C11" w:rsidRDefault="00FA7C11">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59468" w14:textId="77777777" w:rsidR="00FA7C11" w:rsidRDefault="00FA7C11">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6609E" w14:textId="77777777" w:rsidR="00FA7C11" w:rsidRDefault="00FA7C11">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539983"/>
      <w:docPartObj>
        <w:docPartGallery w:val="Page Numbers (Bottom of Page)"/>
        <w:docPartUnique/>
      </w:docPartObj>
    </w:sdtPr>
    <w:sdtEndPr>
      <w:rPr>
        <w:noProof/>
      </w:rPr>
    </w:sdtEndPr>
    <w:sdtContent>
      <w:p w14:paraId="100C0CBF" w14:textId="4B4F33AA"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2903D3BB" w14:textId="77777777" w:rsidR="00FA7C11" w:rsidRDefault="00FA7C11">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5CD99" w14:textId="77777777" w:rsidR="00FA7C11" w:rsidRDefault="00FA7C11">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31A1B" w14:textId="77777777" w:rsidR="00FA7C11" w:rsidRDefault="00FA7C11">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182530"/>
      <w:docPartObj>
        <w:docPartGallery w:val="Page Numbers (Bottom of Page)"/>
        <w:docPartUnique/>
      </w:docPartObj>
    </w:sdtPr>
    <w:sdtEndPr>
      <w:rPr>
        <w:noProof/>
      </w:rPr>
    </w:sdtEndPr>
    <w:sdtContent>
      <w:p w14:paraId="435329C0" w14:textId="3B051BE5"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741735E" w14:textId="77777777" w:rsidR="00FA7C11" w:rsidRDefault="00FA7C11">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62B0D" w14:textId="77777777" w:rsidR="00FA7C11" w:rsidRDefault="00FA7C11">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30B3E" w14:textId="77777777" w:rsidR="00FA7C11" w:rsidRDefault="00FA7C11">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258320"/>
      <w:docPartObj>
        <w:docPartGallery w:val="Page Numbers (Bottom of Page)"/>
        <w:docPartUnique/>
      </w:docPartObj>
    </w:sdtPr>
    <w:sdtEndPr>
      <w:rPr>
        <w:noProof/>
      </w:rPr>
    </w:sdtEndPr>
    <w:sdtContent>
      <w:p w14:paraId="051A5EBA" w14:textId="62A13898"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1824277A" w14:textId="77777777" w:rsidR="00FA7C11" w:rsidRDefault="00FA7C11">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04E44" w14:textId="77777777" w:rsidR="00FA7C11" w:rsidRDefault="00FA7C11">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13217" w14:textId="77777777" w:rsidR="00FA7C11" w:rsidRDefault="00FA7C11">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502062"/>
      <w:docPartObj>
        <w:docPartGallery w:val="Page Numbers (Bottom of Page)"/>
        <w:docPartUnique/>
      </w:docPartObj>
    </w:sdtPr>
    <w:sdtEndPr>
      <w:rPr>
        <w:noProof/>
      </w:rPr>
    </w:sdtEndPr>
    <w:sdtContent>
      <w:p w14:paraId="3AC69E93" w14:textId="6D8FE4D5"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F08BAF9" w14:textId="77777777" w:rsidR="00FA7C11" w:rsidRDefault="00FA7C11">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8070F" w14:textId="77777777" w:rsidR="00FA7C11" w:rsidRDefault="00FA7C11">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74DB1" w14:textId="77777777" w:rsidR="00FA7C11" w:rsidRDefault="00FA7C11">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645128"/>
      <w:docPartObj>
        <w:docPartGallery w:val="Page Numbers (Bottom of Page)"/>
        <w:docPartUnique/>
      </w:docPartObj>
    </w:sdtPr>
    <w:sdtEndPr>
      <w:rPr>
        <w:noProof/>
      </w:rPr>
    </w:sdtEndPr>
    <w:sdtContent>
      <w:p w14:paraId="605E428F" w14:textId="06549254"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5FB8DA9B" w14:textId="77777777" w:rsidR="00FA7C11" w:rsidRDefault="00FA7C11">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43BC8" w14:textId="77777777" w:rsidR="00FA7C11" w:rsidRDefault="00FA7C11">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14001" w14:textId="77777777" w:rsidR="00FA7C11" w:rsidRDefault="00FA7C11">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273475"/>
      <w:docPartObj>
        <w:docPartGallery w:val="Page Numbers (Bottom of Page)"/>
        <w:docPartUnique/>
      </w:docPartObj>
    </w:sdtPr>
    <w:sdtEndPr>
      <w:rPr>
        <w:noProof/>
      </w:rPr>
    </w:sdtEndPr>
    <w:sdtContent>
      <w:p w14:paraId="6F1FAD11" w14:textId="1FF41EBE"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5F6117F" w14:textId="77777777" w:rsidR="00FA7C11" w:rsidRDefault="00FA7C11">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79CFE" w14:textId="77777777" w:rsidR="00FA7C11" w:rsidRDefault="00FA7C11">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7D485" w14:textId="77777777" w:rsidR="00FA7C11" w:rsidRDefault="00FA7C11">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2139395"/>
      <w:docPartObj>
        <w:docPartGallery w:val="Page Numbers (Bottom of Page)"/>
        <w:docPartUnique/>
      </w:docPartObj>
    </w:sdtPr>
    <w:sdtEndPr>
      <w:rPr>
        <w:noProof/>
      </w:rPr>
    </w:sdtEndPr>
    <w:sdtContent>
      <w:p w14:paraId="535A3C21" w14:textId="2334A747"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372EA23" w14:textId="77777777" w:rsidR="00FA7C11" w:rsidRDefault="00FA7C11">
    <w:pPr>
      <w:pStyle w:val="FooterCouncil"/>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A848A" w14:textId="77777777" w:rsidR="00FA7C11" w:rsidRDefault="00FA7C11">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C4C40" w14:textId="77777777" w:rsidR="00FA7C11" w:rsidRDefault="00FA7C11">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45525"/>
      <w:docPartObj>
        <w:docPartGallery w:val="Page Numbers (Bottom of Page)"/>
        <w:docPartUnique/>
      </w:docPartObj>
    </w:sdtPr>
    <w:sdtEndPr>
      <w:rPr>
        <w:noProof/>
      </w:rPr>
    </w:sdtEndPr>
    <w:sdtContent>
      <w:p w14:paraId="54B0521D" w14:textId="20EB3FFF"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4F66B25E" w14:textId="77777777" w:rsidR="00FA7C11" w:rsidRDefault="00FA7C11">
    <w:pPr>
      <w:pStyle w:val="FooterCouncil"/>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BD7BD" w14:textId="77777777" w:rsidR="00FA7C11" w:rsidRDefault="00FA7C11">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15354" w14:textId="77777777" w:rsidR="00FA7C11" w:rsidRDefault="00FA7C11">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4804708"/>
      <w:docPartObj>
        <w:docPartGallery w:val="Page Numbers (Bottom of Page)"/>
        <w:docPartUnique/>
      </w:docPartObj>
    </w:sdtPr>
    <w:sdtEndPr>
      <w:rPr>
        <w:noProof/>
      </w:rPr>
    </w:sdtEndPr>
    <w:sdtContent>
      <w:p w14:paraId="60E0C8AC" w14:textId="38624607"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40D79A47" w14:textId="77777777" w:rsidR="00FA7C11" w:rsidRDefault="00FA7C11">
    <w:pPr>
      <w:pStyle w:val="FooterCouncil"/>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AEC2E" w14:textId="77777777" w:rsidR="00FA7C11" w:rsidRDefault="00FA7C11">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6322B" w14:textId="77777777" w:rsidR="00FA7C11" w:rsidRDefault="00FA7C11">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7962683"/>
      <w:docPartObj>
        <w:docPartGallery w:val="Page Numbers (Bottom of Page)"/>
        <w:docPartUnique/>
      </w:docPartObj>
    </w:sdtPr>
    <w:sdtEndPr>
      <w:rPr>
        <w:noProof/>
      </w:rPr>
    </w:sdtEndPr>
    <w:sdtContent>
      <w:p w14:paraId="0D664F6A" w14:textId="0FFFE923"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EC41671" w14:textId="77777777" w:rsidR="00FA7C11" w:rsidRDefault="00FA7C11">
    <w:pPr>
      <w:pStyle w:val="FooterCouncil"/>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4C6D9" w14:textId="77777777" w:rsidR="00FA7C11" w:rsidRDefault="00FA7C11">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64406" w14:textId="77777777" w:rsidR="00FA7C11" w:rsidRDefault="00FA7C11">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747908"/>
      <w:docPartObj>
        <w:docPartGallery w:val="Page Numbers (Bottom of Page)"/>
        <w:docPartUnique/>
      </w:docPartObj>
    </w:sdtPr>
    <w:sdtEndPr>
      <w:rPr>
        <w:noProof/>
      </w:rPr>
    </w:sdtEndPr>
    <w:sdtContent>
      <w:p w14:paraId="3D70A3B5" w14:textId="2D22B122"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2C9B4FD1" w14:textId="77777777" w:rsidR="00FA7C11" w:rsidRDefault="00FA7C11">
    <w:pPr>
      <w:pStyle w:val="FooterCouncil"/>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52AD4" w14:textId="77777777" w:rsidR="00FA7C11" w:rsidRDefault="00FA7C11">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6A4FD" w14:textId="77777777" w:rsidR="00FA7C11" w:rsidRDefault="00FA7C11">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363287"/>
      <w:docPartObj>
        <w:docPartGallery w:val="Page Numbers (Bottom of Page)"/>
        <w:docPartUnique/>
      </w:docPartObj>
    </w:sdtPr>
    <w:sdtEndPr>
      <w:rPr>
        <w:noProof/>
      </w:rPr>
    </w:sdtEndPr>
    <w:sdtContent>
      <w:p w14:paraId="24DF5E6D" w14:textId="469D9FD4"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181344FE" w14:textId="77777777" w:rsidR="00FA7C11" w:rsidRDefault="00FA7C11">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E518A" w14:textId="77777777" w:rsidR="00FA7C11" w:rsidRDefault="00FA7C11">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59B87" w14:textId="77777777" w:rsidR="00FA7C11" w:rsidRDefault="00FA7C11">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938893"/>
      <w:docPartObj>
        <w:docPartGallery w:val="Page Numbers (Bottom of Page)"/>
        <w:docPartUnique/>
      </w:docPartObj>
    </w:sdtPr>
    <w:sdtEndPr>
      <w:rPr>
        <w:noProof/>
      </w:rPr>
    </w:sdtEndPr>
    <w:sdtContent>
      <w:p w14:paraId="1F0B02D5" w14:textId="3D1A7378"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7AF1CD6" w14:textId="77777777" w:rsidR="00FA7C11" w:rsidRDefault="00FA7C11">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12658" w14:textId="77777777" w:rsidR="00FA7C11" w:rsidRDefault="00FA7C11">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DA266" w14:textId="77777777" w:rsidR="00FA7C11" w:rsidRDefault="00FA7C11">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72208"/>
      <w:docPartObj>
        <w:docPartGallery w:val="Page Numbers (Bottom of Page)"/>
        <w:docPartUnique/>
      </w:docPartObj>
    </w:sdtPr>
    <w:sdtEndPr>
      <w:rPr>
        <w:noProof/>
      </w:rPr>
    </w:sdtEndPr>
    <w:sdtContent>
      <w:p w14:paraId="46DAB3A9" w14:textId="68905A61"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FBE8EAD" w14:textId="77777777" w:rsidR="00FA7C11" w:rsidRDefault="00FA7C11">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55FEB" w14:textId="77777777" w:rsidR="00FA7C11" w:rsidRDefault="00FA7C11">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A5133" w14:textId="77777777" w:rsidR="00FA7C11" w:rsidRDefault="00FA7C11">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170895"/>
      <w:docPartObj>
        <w:docPartGallery w:val="Page Numbers (Bottom of Page)"/>
        <w:docPartUnique/>
      </w:docPartObj>
    </w:sdtPr>
    <w:sdtEndPr>
      <w:rPr>
        <w:noProof/>
      </w:rPr>
    </w:sdtEndPr>
    <w:sdtContent>
      <w:p w14:paraId="250C6927" w14:textId="4C00B086"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A71F90F" w14:textId="77777777" w:rsidR="00FA7C11" w:rsidRDefault="00FA7C11">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50938" w14:textId="77777777" w:rsidR="00FA7C11" w:rsidRDefault="00FA7C11">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EE834" w14:textId="77777777" w:rsidR="00FA7C11" w:rsidRDefault="00FA7C11">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421637"/>
      <w:docPartObj>
        <w:docPartGallery w:val="Page Numbers (Bottom of Page)"/>
        <w:docPartUnique/>
      </w:docPartObj>
    </w:sdtPr>
    <w:sdtEndPr>
      <w:rPr>
        <w:noProof/>
      </w:rPr>
    </w:sdtEndPr>
    <w:sdtContent>
      <w:p w14:paraId="3E05A2DC" w14:textId="16C03275"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41DFD8E2" w14:textId="77777777" w:rsidR="00FA7C11" w:rsidRDefault="00FA7C11">
    <w:pPr>
      <w:pStyle w:val="FooterCouncil"/>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DB688" w14:textId="77777777" w:rsidR="00FA7C11" w:rsidRDefault="00FA7C11">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08367" w14:textId="77777777" w:rsidR="00FA7C11" w:rsidRDefault="00FA7C11">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982558"/>
      <w:docPartObj>
        <w:docPartGallery w:val="Page Numbers (Bottom of Page)"/>
        <w:docPartUnique/>
      </w:docPartObj>
    </w:sdtPr>
    <w:sdtEndPr>
      <w:rPr>
        <w:noProof/>
      </w:rPr>
    </w:sdtEndPr>
    <w:sdtContent>
      <w:p w14:paraId="1E3BCD63" w14:textId="1C36AAF3"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4EFB110" w14:textId="77777777" w:rsidR="00FA7C11" w:rsidRDefault="00FA7C11">
    <w:pPr>
      <w:pStyle w:val="FooterCouncil"/>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80BD6" w14:textId="77777777" w:rsidR="00FA7C11" w:rsidRDefault="00FA7C11">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DE1B4" w14:textId="77777777" w:rsidR="00FA7C11" w:rsidRDefault="00FA7C11">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561440"/>
      <w:docPartObj>
        <w:docPartGallery w:val="Page Numbers (Bottom of Page)"/>
        <w:docPartUnique/>
      </w:docPartObj>
    </w:sdtPr>
    <w:sdtEndPr>
      <w:rPr>
        <w:noProof/>
      </w:rPr>
    </w:sdtEndPr>
    <w:sdtContent>
      <w:p w14:paraId="11231100" w14:textId="227F219A"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7C68407" w14:textId="77777777" w:rsidR="00FA7C11" w:rsidRDefault="00FA7C11">
    <w:pPr>
      <w:pStyle w:val="FooterCouncil"/>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B695F" w14:textId="77777777" w:rsidR="00FA7C11" w:rsidRDefault="00FA7C11">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4C377" w14:textId="77777777" w:rsidR="00FA7C11" w:rsidRDefault="00FA7C11">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406098"/>
      <w:docPartObj>
        <w:docPartGallery w:val="Page Numbers (Bottom of Page)"/>
        <w:docPartUnique/>
      </w:docPartObj>
    </w:sdtPr>
    <w:sdtEndPr>
      <w:rPr>
        <w:noProof/>
      </w:rPr>
    </w:sdtEndPr>
    <w:sdtContent>
      <w:p w14:paraId="681E2920" w14:textId="10BD915E"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CB24A03" w14:textId="77777777" w:rsidR="00FA7C11" w:rsidRDefault="00FA7C11">
    <w:pPr>
      <w:pStyle w:val="FooterCouncil"/>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834E1" w14:textId="77777777" w:rsidR="00FA7C11" w:rsidRDefault="00FA7C11">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15B55" w14:textId="77777777" w:rsidR="00FA7C11" w:rsidRDefault="00FA7C11">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274020"/>
      <w:docPartObj>
        <w:docPartGallery w:val="Page Numbers (Bottom of Page)"/>
        <w:docPartUnique/>
      </w:docPartObj>
    </w:sdtPr>
    <w:sdtEndPr>
      <w:rPr>
        <w:noProof/>
      </w:rPr>
    </w:sdtEndPr>
    <w:sdtContent>
      <w:p w14:paraId="6AAF60C1" w14:textId="5D59D05E"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8008C76" w14:textId="77777777" w:rsidR="00FA7C11" w:rsidRDefault="00FA7C11">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BF4F2" w14:textId="77777777" w:rsidR="00FA7C11" w:rsidRDefault="00FA7C11">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F1D4C" w14:textId="77777777" w:rsidR="00FA7C11" w:rsidRDefault="00FA7C11">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899826"/>
      <w:docPartObj>
        <w:docPartGallery w:val="Page Numbers (Bottom of Page)"/>
        <w:docPartUnique/>
      </w:docPartObj>
    </w:sdtPr>
    <w:sdtEndPr>
      <w:rPr>
        <w:noProof/>
      </w:rPr>
    </w:sdtEndPr>
    <w:sdtContent>
      <w:p w14:paraId="70BC616E" w14:textId="1198339F"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243B6B9F" w14:textId="77777777" w:rsidR="00FA7C11" w:rsidRDefault="00FA7C11">
    <w:pPr>
      <w:pStyle w:val="FooterCouncil"/>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5C67F" w14:textId="77777777" w:rsidR="00FA7C11" w:rsidRDefault="00FA7C11">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025B0" w14:textId="77777777" w:rsidR="00FA7C11" w:rsidRDefault="00FA7C11">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11471"/>
      <w:docPartObj>
        <w:docPartGallery w:val="Page Numbers (Bottom of Page)"/>
        <w:docPartUnique/>
      </w:docPartObj>
    </w:sdtPr>
    <w:sdtEndPr>
      <w:rPr>
        <w:noProof/>
      </w:rPr>
    </w:sdtEndPr>
    <w:sdtContent>
      <w:p w14:paraId="4C118F5B" w14:textId="5AE0EB06"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7E661111" w14:textId="77777777" w:rsidR="00FA7C11" w:rsidRDefault="00FA7C11">
    <w:pPr>
      <w:pStyle w:val="FooterCouncil"/>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3D20F" w14:textId="77777777" w:rsidR="00FA7C11" w:rsidRDefault="00FA7C11">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8CE6D" w14:textId="77777777" w:rsidR="00FA7C11" w:rsidRDefault="00FA7C11">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851970"/>
      <w:docPartObj>
        <w:docPartGallery w:val="Page Numbers (Bottom of Page)"/>
        <w:docPartUnique/>
      </w:docPartObj>
    </w:sdtPr>
    <w:sdtEndPr>
      <w:rPr>
        <w:noProof/>
      </w:rPr>
    </w:sdtEndPr>
    <w:sdtContent>
      <w:p w14:paraId="76A0C740" w14:textId="479D0229"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12346C57" w14:textId="77777777" w:rsidR="00FA7C11" w:rsidRDefault="00FA7C11">
    <w:pPr>
      <w:pStyle w:val="FooterCouncil"/>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6A6F0" w14:textId="77777777" w:rsidR="00FA7C11" w:rsidRDefault="00FA7C11">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28D33" w14:textId="77777777" w:rsidR="00FA7C11" w:rsidRDefault="00FA7C11">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7821222"/>
      <w:docPartObj>
        <w:docPartGallery w:val="Page Numbers (Bottom of Page)"/>
        <w:docPartUnique/>
      </w:docPartObj>
    </w:sdtPr>
    <w:sdtEndPr>
      <w:rPr>
        <w:noProof/>
      </w:rPr>
    </w:sdtEndPr>
    <w:sdtContent>
      <w:p w14:paraId="392771D4" w14:textId="35BB1F9A"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901E05C" w14:textId="77777777" w:rsidR="00FA7C11" w:rsidRDefault="00FA7C11">
    <w:pPr>
      <w:pStyle w:val="FooterCouncil"/>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E2330" w14:textId="77777777" w:rsidR="00FA7C11" w:rsidRDefault="00FA7C11">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14530" w14:textId="77777777" w:rsidR="00FA7C11" w:rsidRDefault="00FA7C11">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957819"/>
      <w:docPartObj>
        <w:docPartGallery w:val="Page Numbers (Bottom of Page)"/>
        <w:docPartUnique/>
      </w:docPartObj>
    </w:sdtPr>
    <w:sdtEndPr>
      <w:rPr>
        <w:noProof/>
      </w:rPr>
    </w:sdtEndPr>
    <w:sdtContent>
      <w:p w14:paraId="22FD48FB" w14:textId="51CD99EE"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5BE0B503" w14:textId="77777777" w:rsidR="00FA7C11" w:rsidRDefault="00FA7C11">
    <w:pPr>
      <w:pStyle w:val="FooterCouncil"/>
    </w:pP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B9F6D" w14:textId="77777777" w:rsidR="00FA7C11" w:rsidRDefault="00FA7C11">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341C1" w14:textId="77777777" w:rsidR="00FA7C11" w:rsidRDefault="00FA7C11">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495690"/>
      <w:docPartObj>
        <w:docPartGallery w:val="Page Numbers (Bottom of Page)"/>
        <w:docPartUnique/>
      </w:docPartObj>
    </w:sdtPr>
    <w:sdtEndPr>
      <w:rPr>
        <w:noProof/>
      </w:rPr>
    </w:sdtEndPr>
    <w:sdtContent>
      <w:p w14:paraId="3B3ED99B" w14:textId="03A7F8AC"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454658D3" w14:textId="77777777" w:rsidR="00FA7C11" w:rsidRDefault="00FA7C11">
    <w:pPr>
      <w:pStyle w:val="FooterCouncil"/>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D1FB4" w14:textId="77777777" w:rsidR="00FA7C11" w:rsidRDefault="00FA7C11">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E8F90" w14:textId="77777777" w:rsidR="00FA7C11" w:rsidRDefault="00FA7C11">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398616"/>
      <w:docPartObj>
        <w:docPartGallery w:val="Page Numbers (Bottom of Page)"/>
        <w:docPartUnique/>
      </w:docPartObj>
    </w:sdtPr>
    <w:sdtEndPr>
      <w:rPr>
        <w:noProof/>
      </w:rPr>
    </w:sdtEndPr>
    <w:sdtContent>
      <w:p w14:paraId="493CE103" w14:textId="684758DD"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44F6F22A" w14:textId="77777777" w:rsidR="00FA7C11" w:rsidRDefault="00FA7C11">
    <w:pPr>
      <w:pStyle w:val="FooterCouncil"/>
    </w:pP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CFC74" w14:textId="77777777" w:rsidR="00FA7C11" w:rsidRDefault="00FA7C11">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729B4" w14:textId="77777777" w:rsidR="00FA7C11" w:rsidRDefault="00FA7C11">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810032"/>
      <w:docPartObj>
        <w:docPartGallery w:val="Page Numbers (Bottom of Page)"/>
        <w:docPartUnique/>
      </w:docPartObj>
    </w:sdtPr>
    <w:sdtEndPr>
      <w:rPr>
        <w:noProof/>
      </w:rPr>
    </w:sdtEndPr>
    <w:sdtContent>
      <w:p w14:paraId="076F4F92" w14:textId="6D5D2216"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06F7CBB7" w14:textId="77777777" w:rsidR="00FA7C11" w:rsidRDefault="00FA7C11">
    <w:pPr>
      <w:pStyle w:val="FooterCouncil"/>
    </w:pP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B2909" w14:textId="77777777" w:rsidR="00FA7C11" w:rsidRDefault="00FA7C11">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DA227" w14:textId="77777777" w:rsidR="00FA7C11" w:rsidRDefault="00FA7C11">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997233"/>
      <w:docPartObj>
        <w:docPartGallery w:val="Page Numbers (Bottom of Page)"/>
        <w:docPartUnique/>
      </w:docPartObj>
    </w:sdtPr>
    <w:sdtEndPr>
      <w:rPr>
        <w:noProof/>
      </w:rPr>
    </w:sdtEndPr>
    <w:sdtContent>
      <w:p w14:paraId="75F4501F" w14:textId="23DAFC42" w:rsidR="00FA7C11" w:rsidRDefault="00D84965">
        <w:pPr>
          <w:pStyle w:val="Footer"/>
          <w:jc w:val="center"/>
        </w:pPr>
        <w:r>
          <w:fldChar w:fldCharType="begin"/>
        </w:r>
        <w:r>
          <w:instrText xml:space="preserve"> PAGE   \* MERGEFORMAT </w:instrText>
        </w:r>
        <w:r>
          <w:fldChar w:fldCharType="separate"/>
        </w:r>
        <w:r>
          <w:t>2</w:t>
        </w:r>
        <w:r>
          <w:fldChar w:fldCharType="end"/>
        </w:r>
      </w:p>
    </w:sdtContent>
  </w:sdt>
  <w:p w14:paraId="6A317937" w14:textId="77777777" w:rsidR="00FA7C11" w:rsidRDefault="00FA7C11">
    <w:pPr>
      <w:pStyle w:val="FooterCouncil"/>
    </w:pP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85625" w14:textId="77777777" w:rsidR="00FA7C11" w:rsidRDefault="00FA7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4DBF5" w14:textId="77777777" w:rsidR="00D84965" w:rsidRDefault="00D84965">
      <w:pPr>
        <w:spacing w:after="0" w:line="240" w:lineRule="auto"/>
      </w:pPr>
      <w:r>
        <w:separator/>
      </w:r>
    </w:p>
  </w:footnote>
  <w:footnote w:type="continuationSeparator" w:id="0">
    <w:p w14:paraId="005F3D8D" w14:textId="77777777" w:rsidR="00D84965" w:rsidRDefault="00D84965">
      <w:pPr>
        <w:spacing w:after="0" w:line="240" w:lineRule="auto"/>
      </w:pPr>
      <w:r>
        <w:continuationSeparator/>
      </w:r>
    </w:p>
  </w:footnote>
  <w:footnote w:id="1">
    <w:p w14:paraId="5EB3745E" w14:textId="77777777" w:rsidR="00FA7C11" w:rsidRDefault="00D84965">
      <w:pPr>
        <w:pStyle w:val="FootnoteText"/>
        <w:ind w:left="142" w:hanging="142"/>
        <w:jc w:val="both"/>
        <w:rPr>
          <w:sz w:val="18"/>
          <w:szCs w:val="18"/>
        </w:rPr>
      </w:pPr>
      <w:r>
        <w:rPr>
          <w:rStyle w:val="FootnoteReference"/>
          <w:sz w:val="18"/>
          <w:szCs w:val="18"/>
        </w:rPr>
        <w:footnoteRef/>
      </w:r>
      <w:r>
        <w:rPr>
          <w:sz w:val="18"/>
          <w:szCs w:val="18"/>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
    <w:p w14:paraId="258415CA" w14:textId="77777777" w:rsidR="00FA7C11" w:rsidRDefault="00D84965">
      <w:pPr>
        <w:pStyle w:val="FootnoteText"/>
        <w:ind w:left="142" w:hanging="142"/>
        <w:jc w:val="both"/>
      </w:pPr>
      <w:r>
        <w:t xml:space="preserve">În </w:t>
      </w:r>
      <w:r>
        <w:rPr>
          <w:rStyle w:val="FootnoteReference"/>
          <w:sz w:val="18"/>
          <w:szCs w:val="18"/>
        </w:rPr>
        <w:footnoteRef/>
      </w:r>
      <w:r>
        <w:t xml:space="preserve"> </w:t>
      </w:r>
      <w:r>
        <w:rPr>
          <w:sz w:val="18"/>
          <w:szCs w:val="18"/>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r>
        <w:t> </w:t>
      </w:r>
    </w:p>
  </w:footnote>
  <w:footnote w:id="3">
    <w:p w14:paraId="57449F7A" w14:textId="77777777" w:rsidR="00FA7C11" w:rsidRDefault="00D84965">
      <w:pPr>
        <w:pStyle w:val="FootnoteText"/>
        <w:ind w:left="142" w:hanging="142"/>
        <w:jc w:val="both"/>
      </w:pPr>
      <w:r>
        <w:t xml:space="preserve">Această </w:t>
      </w:r>
      <w:r>
        <w:rPr>
          <w:rStyle w:val="FootnoteReference"/>
          <w:sz w:val="18"/>
          <w:szCs w:val="18"/>
        </w:rPr>
        <w:footnoteRef/>
      </w:r>
      <w:r>
        <w:t xml:space="preserve"> </w:t>
      </w:r>
      <w:r>
        <w:rPr>
          <w:sz w:val="18"/>
          <w:szCs w:val="18"/>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r>
        <w:t> </w:t>
      </w:r>
    </w:p>
  </w:footnote>
  <w:footnote w:id="4">
    <w:p w14:paraId="660DCC68" w14:textId="6D2D4199" w:rsidR="00FA7C11" w:rsidRDefault="00D84965">
      <w:pPr>
        <w:pStyle w:val="FootnoteText"/>
        <w:ind w:left="120" w:hanging="120"/>
        <w:jc w:val="both"/>
        <w:rPr>
          <w:sz w:val="18"/>
          <w:szCs w:val="18"/>
        </w:rPr>
      </w:pPr>
      <w:r>
        <w:rPr>
          <w:rStyle w:val="FootnoteReference"/>
          <w:sz w:val="18"/>
          <w:szCs w:val="18"/>
        </w:rPr>
        <w:footnoteRef/>
      </w:r>
      <w:r>
        <w:rPr>
          <w:sz w:val="18"/>
          <w:szCs w:val="18"/>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
    <w:p w14:paraId="3A679C1B" w14:textId="77777777" w:rsidR="00FA7C11" w:rsidRDefault="00D84965">
      <w:pPr>
        <w:pStyle w:val="FootnoteText"/>
        <w:ind w:left="142" w:hanging="142"/>
        <w:jc w:val="both"/>
      </w:pPr>
      <w:r>
        <w:rPr>
          <w:rStyle w:val="FootnoteReference"/>
          <w:sz w:val="18"/>
          <w:szCs w:val="18"/>
        </w:rPr>
        <w:footnoteRef/>
      </w:r>
      <w:r>
        <w:rPr>
          <w:sz w:val="18"/>
          <w:szCs w:val="18"/>
        </w:rP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6">
    <w:p w14:paraId="33DC87FC" w14:textId="77777777" w:rsidR="00FA7C11" w:rsidRDefault="00D84965">
      <w:pPr>
        <w:pStyle w:val="FootnoteText"/>
        <w:ind w:left="142" w:hanging="142"/>
        <w:jc w:val="both"/>
      </w:pPr>
      <w:r>
        <w:rPr>
          <w:sz w:val="18"/>
          <w:szCs w:val="18"/>
        </w:rPr>
        <w:t xml:space="preserve">Cu </w:t>
      </w:r>
      <w:r>
        <w:rPr>
          <w:rStyle w:val="FootnoteReference"/>
          <w:sz w:val="18"/>
          <w:szCs w:val="18"/>
        </w:rPr>
        <w:footnoteRef/>
      </w:r>
      <w:r>
        <w:rPr>
          <w:rStyle w:val="FootnoteReference"/>
          <w:sz w:val="18"/>
          <w:szCs w:val="18"/>
        </w:rPr>
        <w:t xml:space="preserve"> </w:t>
      </w:r>
      <w:r>
        <w:rPr>
          <w:sz w:val="18"/>
          <w:szCs w:val="18"/>
        </w:rPr>
        <w:t>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7">
    <w:p w14:paraId="2E598FA9" w14:textId="77777777" w:rsidR="00FA7C11" w:rsidRDefault="00D84965">
      <w:pPr>
        <w:pStyle w:val="FootnoteText"/>
        <w:ind w:left="142" w:hanging="142"/>
        <w:jc w:val="both"/>
      </w:pPr>
      <w:r>
        <w:rPr>
          <w:rStyle w:val="FootnoteReference"/>
          <w:sz w:val="18"/>
          <w:szCs w:val="18"/>
        </w:rPr>
        <w:footnoteRef/>
      </w:r>
      <w:r>
        <w:rPr>
          <w:rStyle w:val="FootnoteReference"/>
          <w:sz w:val="18"/>
          <w:szCs w:val="18"/>
        </w:rPr>
        <w:t xml:space="preserve"> </w:t>
      </w:r>
      <w:r>
        <w:rPr>
          <w:sz w:val="18"/>
          <w:szCs w:val="18"/>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8">
    <w:p w14:paraId="3CE91A51" w14:textId="77777777" w:rsidR="00FA7C11" w:rsidRDefault="00D84965">
      <w:pPr>
        <w:pStyle w:val="FootnoteText"/>
        <w:ind w:left="142" w:hanging="142"/>
        <w:jc w:val="both"/>
      </w:pPr>
      <w:r>
        <w:rPr>
          <w:rStyle w:val="FootnoteReference"/>
          <w:sz w:val="18"/>
          <w:szCs w:val="18"/>
        </w:rPr>
        <w:footnoteRef/>
      </w:r>
      <w:r>
        <w:rPr>
          <w:rStyle w:val="FootnoteReference"/>
          <w:sz w:val="18"/>
          <w:szCs w:val="18"/>
        </w:rPr>
        <w:t xml:space="preserve"> </w:t>
      </w:r>
      <w:r>
        <w:rPr>
          <w:rFonts w:eastAsia="EC Square Sans Pro"/>
          <w:sz w:val="18"/>
          <w:szCs w:val="18"/>
        </w:rPr>
        <w:t>Vehiculele poluante sunt definite ca vehicule fără emisii zero.</w:t>
      </w:r>
    </w:p>
  </w:footnote>
  <w:footnote w:id="9">
    <w:p w14:paraId="55A359AF" w14:textId="77777777" w:rsidR="00FA7C11" w:rsidRDefault="00D84965">
      <w:pPr>
        <w:pStyle w:val="FootnoteText"/>
        <w:ind w:left="142" w:hanging="142"/>
        <w:jc w:val="both"/>
      </w:pPr>
      <w:r>
        <w:rPr>
          <w:rStyle w:val="FootnoteReference"/>
          <w:sz w:val="18"/>
          <w:szCs w:val="18"/>
        </w:rPr>
        <w:t xml:space="preserve">Această </w:t>
      </w:r>
      <w:r>
        <w:rPr>
          <w:rStyle w:val="FootnoteReference"/>
          <w:sz w:val="18"/>
          <w:szCs w:val="18"/>
        </w:rPr>
        <w:footnoteRef/>
      </w:r>
      <w:r>
        <w:rPr>
          <w:rStyle w:val="FootnoteReference"/>
          <w:sz w:val="18"/>
          <w:szCs w:val="18"/>
        </w:rPr>
        <w:t xml:space="preserve"> </w:t>
      </w:r>
      <w:r>
        <w:rPr>
          <w:rFonts w:eastAsia="Times New Roman"/>
          <w:sz w:val="18"/>
          <w:szCs w:val="18"/>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0">
    <w:p w14:paraId="76B47A9E" w14:textId="77777777" w:rsidR="00FA7C11" w:rsidRDefault="00D84965">
      <w:pPr>
        <w:pStyle w:val="FootnoteText"/>
        <w:ind w:left="426" w:hanging="426"/>
        <w:jc w:val="both"/>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Cu 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 (b) activitățile și activele menționate la punctul (ii) pentru care utilizarea combustibililor fosili este temporară și inevitabilă din punct de vedere tehnic pentru tranziția în timp util către o operațiune fără combustibili fosili; (c) aeronavele utilizate de vehicule de protecție civilă sau de stingere a incendiilor și de vehicule cu destinație specială care se bazează pe cele mai bune niveluri disponibile de performanță de mediu în acest sector; și (d) construirea de noi conexiuni rutiere, poduri și/sau tuneluri cu o lungime individuală mai mică de 20 de kilometri și renovarea drumurilor, podurilor și/sau tunelurilor.</w:t>
      </w:r>
    </w:p>
  </w:footnote>
  <w:footnote w:id="11">
    <w:p w14:paraId="04D0FCC2" w14:textId="77777777" w:rsidR="00FA7C11" w:rsidRDefault="00D84965">
      <w:pPr>
        <w:pStyle w:val="FootnoteText"/>
        <w:ind w:left="426" w:hanging="426"/>
        <w:jc w:val="both"/>
        <w:rPr>
          <w:rFonts w:eastAsia="EC Square Sans Pro"/>
          <w:sz w:val="18"/>
          <w:szCs w:val="18"/>
        </w:rPr>
      </w:pPr>
      <w:r>
        <w:rPr>
          <w:rStyle w:val="FootnoteReference"/>
          <w:sz w:val="18"/>
          <w:szCs w:val="18"/>
        </w:rPr>
        <w:footnoteRef/>
      </w:r>
      <w:r>
        <w:rPr>
          <w:sz w:val="18"/>
          <w:szCs w:val="18"/>
        </w:rPr>
        <w:t xml:space="preserve"> </w:t>
      </w:r>
      <w:r>
        <w:rPr>
          <w:sz w:val="18"/>
          <w:szCs w:val="18"/>
        </w:rPr>
        <w:tab/>
        <w:t>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2">
    <w:p w14:paraId="607D4D9B" w14:textId="77777777" w:rsidR="00FA7C11" w:rsidRDefault="00D84965">
      <w:pPr>
        <w:pStyle w:val="FootnoteText"/>
        <w:ind w:left="426" w:hanging="426"/>
        <w:jc w:val="both"/>
        <w:rPr>
          <w:sz w:val="18"/>
          <w:szCs w:val="18"/>
        </w:rPr>
      </w:pPr>
      <w:r>
        <w:rPr>
          <w:rStyle w:val="FootnoteReference"/>
          <w:sz w:val="18"/>
          <w:szCs w:val="18"/>
        </w:rPr>
        <w:footnoteRef/>
      </w:r>
      <w:r>
        <w:rPr>
          <w:sz w:val="18"/>
          <w:szCs w:val="18"/>
        </w:rPr>
        <w:t xml:space="preserve"> </w:t>
      </w:r>
      <w:r>
        <w:rPr>
          <w:sz w:val="18"/>
          <w:szCs w:val="18"/>
        </w:rPr>
        <w:tab/>
        <w:t>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3">
    <w:p w14:paraId="421716D0" w14:textId="77777777" w:rsidR="00FA7C11" w:rsidRDefault="00D84965">
      <w:pPr>
        <w:pStyle w:val="FootnoteText"/>
        <w:ind w:left="426" w:hanging="426"/>
        <w:jc w:val="both"/>
        <w:rPr>
          <w:sz w:val="18"/>
          <w:szCs w:val="18"/>
        </w:rPr>
      </w:pPr>
      <w:r>
        <w:rPr>
          <w:rStyle w:val="FootnoteReference"/>
          <w:sz w:val="18"/>
          <w:szCs w:val="18"/>
        </w:rPr>
        <w:footnoteRef/>
      </w:r>
      <w:r>
        <w:rPr>
          <w:sz w:val="18"/>
          <w:szCs w:val="18"/>
        </w:rPr>
        <w:t xml:space="preserve"> </w:t>
      </w:r>
      <w:r>
        <w:rPr>
          <w:sz w:val="18"/>
          <w:szCs w:val="18"/>
        </w:rPr>
        <w:tab/>
        <w:t>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4">
    <w:p w14:paraId="0AD30BCC" w14:textId="77777777" w:rsidR="00FA7C11" w:rsidRDefault="00D84965">
      <w:pPr>
        <w:pStyle w:val="FootnoteText"/>
        <w:ind w:left="426" w:hanging="426"/>
        <w:jc w:val="both"/>
        <w:rPr>
          <w:sz w:val="18"/>
          <w:szCs w:val="18"/>
        </w:rPr>
      </w:pPr>
      <w:r>
        <w:rPr>
          <w:sz w:val="14"/>
          <w:szCs w:val="14"/>
        </w:rPr>
        <w:footnoteRef/>
      </w:r>
      <w:r>
        <w:rPr>
          <w:sz w:val="14"/>
          <w:szCs w:val="14"/>
        </w:rPr>
        <w:t xml:space="preserve"> </w:t>
      </w:r>
      <w:r>
        <w:rPr>
          <w:sz w:val="18"/>
          <w:szCs w:val="18"/>
        </w:rPr>
        <w:t xml:space="preserve"> </w:t>
      </w:r>
      <w:r>
        <w:rPr>
          <w:sz w:val="18"/>
          <w:szCs w:val="18"/>
        </w:rPr>
        <w:tab/>
        <w:t>Se consideră că un beneficiar final are un „accent substanțial” pe un sector sau o activitate comercială dacă venitul brut generat de sectorul sau activitatea restricționată depășește 50 % din venitul brut.</w:t>
      </w:r>
    </w:p>
  </w:footnote>
  <w:footnote w:id="15">
    <w:p w14:paraId="5D78499B" w14:textId="77777777" w:rsidR="00FA7C11" w:rsidRDefault="00D84965">
      <w:pPr>
        <w:pStyle w:val="FootnoteText"/>
        <w:ind w:left="426" w:hanging="426"/>
        <w:jc w:val="both"/>
        <w:rPr>
          <w:rFonts w:eastAsia="Times New Roman"/>
          <w:sz w:val="18"/>
          <w:szCs w:val="18"/>
        </w:rPr>
      </w:pPr>
      <w:r>
        <w:rPr>
          <w:sz w:val="14"/>
          <w:szCs w:val="14"/>
        </w:rPr>
        <w:footnoteRef/>
      </w:r>
      <w:r>
        <w:rPr>
          <w:sz w:val="14"/>
          <w:szCs w:val="14"/>
        </w:rPr>
        <w:t xml:space="preserve"> </w:t>
      </w:r>
      <w:r>
        <w:rPr>
          <w:sz w:val="18"/>
          <w:szCs w:val="18"/>
        </w:rPr>
        <w:t xml:space="preserve"> </w:t>
      </w:r>
      <w:r>
        <w:rPr>
          <w:sz w:val="18"/>
          <w:szCs w:val="18"/>
        </w:rPr>
        <w:tab/>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6">
    <w:p w14:paraId="6AAC977F" w14:textId="77777777" w:rsidR="00FA7C11" w:rsidRDefault="00D84965">
      <w:pPr>
        <w:pStyle w:val="FootnoteText"/>
        <w:ind w:left="426" w:hanging="426"/>
        <w:jc w:val="both"/>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7">
    <w:p w14:paraId="7A3CDB52" w14:textId="77777777" w:rsidR="00FA7C11" w:rsidRDefault="00D84965">
      <w:pPr>
        <w:pStyle w:val="FootnoteText"/>
        <w:ind w:left="426" w:hanging="426"/>
        <w:jc w:val="both"/>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Vehiculele poluante sunt definite ca vehicule fără emisii zero. Această excludere nu se aplică aeronavelor utilizate pentru protecția civilă sau pentru stingerea incendiilor și vehiculelor cu destinație specială care se bazează pe cele mai bune niveluri disponibile de performanță de mediu în acest sector.</w:t>
      </w:r>
    </w:p>
  </w:footnote>
  <w:footnote w:id="18">
    <w:p w14:paraId="0BB6C01E" w14:textId="77777777" w:rsidR="00FA7C11" w:rsidRDefault="00D84965">
      <w:pPr>
        <w:pStyle w:val="FootnoteText"/>
        <w:ind w:left="426" w:hanging="426"/>
        <w:jc w:val="both"/>
        <w:rPr>
          <w:rFonts w:eastAsia="Times New Roman"/>
          <w:sz w:val="18"/>
          <w:szCs w:val="18"/>
        </w:rPr>
      </w:pPr>
      <w:r>
        <w:rPr>
          <w:rStyle w:val="FootnoteReference"/>
          <w:sz w:val="18"/>
          <w:szCs w:val="18"/>
        </w:rPr>
        <w:footnoteRef/>
      </w:r>
      <w:r>
        <w:rPr>
          <w:sz w:val="18"/>
          <w:szCs w:val="18"/>
        </w:rPr>
        <w:t xml:space="preserve"> </w:t>
      </w:r>
      <w:r>
        <w:rPr>
          <w:sz w:val="18"/>
          <w:szCs w:val="18"/>
        </w:rPr>
        <w:tab/>
      </w:r>
      <w:r>
        <w:rPr>
          <w:rFonts w:eastAsia="Times New Roman"/>
          <w:sz w:val="18"/>
          <w:szCs w:val="18"/>
        </w:rPr>
        <w:t>Această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9">
    <w:p w14:paraId="7CF504F4" w14:textId="77777777" w:rsidR="00FA7C11" w:rsidRDefault="00D84965">
      <w:pPr>
        <w:pStyle w:val="FootnoteText"/>
        <w:rPr>
          <w:sz w:val="18"/>
          <w:szCs w:val="18"/>
        </w:rPr>
      </w:pPr>
      <w:r>
        <w:rPr>
          <w:rStyle w:val="FootnoteReference"/>
          <w:sz w:val="18"/>
          <w:szCs w:val="18"/>
        </w:rPr>
        <w:footnoteRef/>
      </w:r>
      <w:r>
        <w:rPr>
          <w:sz w:val="18"/>
          <w:szCs w:val="18"/>
        </w:rPr>
        <w:t xml:space="preserve"> </w:t>
      </w:r>
      <w:r>
        <w:rPr>
          <w:sz w:val="18"/>
          <w:szCs w:val="18"/>
        </w:rPr>
        <w:tab/>
        <w:t>În special copiii romi, copiii cu handicap, copiii care trăiesc în regiunile cel mai puțin dezvoltate ale Croației, copiii care provin din familii cu un statut socioeconomic inferior și alte grupuri vulnerabile de copii.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794C0" w14:textId="77777777" w:rsidR="00E81876" w:rsidRPr="00E81876" w:rsidRDefault="00E81876" w:rsidP="00E8187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9848B" w14:textId="77777777" w:rsidR="00E81876" w:rsidRPr="00E81876" w:rsidRDefault="00E81876" w:rsidP="00E818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CD7C4" w14:textId="77777777" w:rsidR="00E81876" w:rsidRPr="00E81876" w:rsidRDefault="00E81876" w:rsidP="00E818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85103" w14:textId="77777777" w:rsidR="00FA7C11" w:rsidRDefault="00FA7C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035FF" w14:textId="77777777" w:rsidR="00FA7C11" w:rsidRDefault="00D84965">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9B256" w14:textId="77777777" w:rsidR="00FA7C11" w:rsidRDefault="00FA7C1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C1CC" w14:textId="77777777" w:rsidR="00FA7C11" w:rsidRDefault="00FA7C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F4B5" w14:textId="77777777" w:rsidR="00FA7C11" w:rsidRDefault="00D84965">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BE54" w14:textId="77777777" w:rsidR="00FA7C11" w:rsidRDefault="00FA7C1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A76DC" w14:textId="77777777" w:rsidR="00FA7C11" w:rsidRDefault="00FA7C1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0F7C1" w14:textId="77777777" w:rsidR="00FA7C11" w:rsidRDefault="00D84965">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302F3" w14:textId="77777777" w:rsidR="00FA7C11" w:rsidRDefault="00FA7C1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9442D" w14:textId="77777777" w:rsidR="00FA7C11" w:rsidRDefault="00FA7C1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E90A0" w14:textId="77777777" w:rsidR="00FA7C11" w:rsidRDefault="00D84965">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E6A8B" w14:textId="77777777" w:rsidR="00FA7C11" w:rsidRDefault="00FA7C1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E92C6" w14:textId="77777777" w:rsidR="00FA7C11" w:rsidRDefault="00FA7C1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590B4" w14:textId="77777777" w:rsidR="00FA7C11" w:rsidRDefault="00D84965">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EFD69" w14:textId="77777777" w:rsidR="00FA7C11" w:rsidRDefault="00FA7C1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02872" w14:textId="77777777" w:rsidR="00FA7C11" w:rsidRDefault="00FA7C1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3FDF6" w14:textId="77777777" w:rsidR="00FA7C11" w:rsidRDefault="00D84965">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7DB5D" w14:textId="77777777" w:rsidR="00FA7C11" w:rsidRDefault="00FA7C1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BD173" w14:textId="77777777" w:rsidR="00FA7C11" w:rsidRDefault="00FA7C1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7892B" w14:textId="77777777" w:rsidR="00FA7C11" w:rsidRDefault="00D84965">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71648" w14:textId="77777777" w:rsidR="00FA7C11" w:rsidRDefault="00FA7C1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ECC82" w14:textId="77777777" w:rsidR="00FA7C11" w:rsidRDefault="00FA7C1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5F2CB" w14:textId="77777777" w:rsidR="00FA7C11" w:rsidRDefault="00D84965">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9EBDD" w14:textId="77777777" w:rsidR="00FA7C11" w:rsidRDefault="00FA7C1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C96CD" w14:textId="77777777" w:rsidR="00FA7C11" w:rsidRDefault="00FA7C1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184CF" w14:textId="77777777" w:rsidR="00FA7C11" w:rsidRDefault="00D84965">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A8EDB" w14:textId="77777777" w:rsidR="00FA7C11" w:rsidRDefault="00FA7C1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60324" w14:textId="77777777" w:rsidR="00FA7C11" w:rsidRDefault="00FA7C1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817DE" w14:textId="77777777" w:rsidR="00FA7C11" w:rsidRDefault="00D84965">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019EE" w14:textId="77777777" w:rsidR="00FA7C11" w:rsidRDefault="00FA7C1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65E1B" w14:textId="77777777" w:rsidR="00FA7C11" w:rsidRDefault="00FA7C1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623FC" w14:textId="77777777" w:rsidR="00FA7C11" w:rsidRDefault="00D84965">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4F033" w14:textId="77777777" w:rsidR="00FA7C11" w:rsidRDefault="00FA7C1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8E605" w14:textId="77777777" w:rsidR="00FA7C11" w:rsidRDefault="00FA7C1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EAB33" w14:textId="77777777" w:rsidR="00FA7C11" w:rsidRDefault="00D84965">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5531A" w14:textId="77777777" w:rsidR="00FA7C11" w:rsidRDefault="00FA7C1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AD1AA" w14:textId="77777777" w:rsidR="00FA7C11" w:rsidRDefault="00FA7C1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9DF11" w14:textId="77777777" w:rsidR="00FA7C11" w:rsidRDefault="00D84965">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75D3E" w14:textId="77777777" w:rsidR="00FA7C11" w:rsidRDefault="00FA7C1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D3636" w14:textId="77777777" w:rsidR="00FA7C11" w:rsidRDefault="00FA7C1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BD58" w14:textId="77777777" w:rsidR="00FA7C11" w:rsidRDefault="00D84965">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E07A8" w14:textId="77777777" w:rsidR="00FA7C11" w:rsidRDefault="00FA7C1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77BE4" w14:textId="77777777" w:rsidR="00FA7C11" w:rsidRDefault="00FA7C1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744D5" w14:textId="77777777" w:rsidR="00FA7C11" w:rsidRDefault="00D84965">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85804" w14:textId="77777777" w:rsidR="00FA7C11" w:rsidRDefault="00FA7C1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D3B96" w14:textId="77777777" w:rsidR="00FA7C11" w:rsidRDefault="00FA7C1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4EF71" w14:textId="77777777" w:rsidR="00FA7C11" w:rsidRDefault="00D84965">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F2CBE" w14:textId="77777777" w:rsidR="00FA7C11" w:rsidRDefault="00FA7C1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C09B" w14:textId="77777777" w:rsidR="00FA7C11" w:rsidRDefault="00FA7C1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C59F5" w14:textId="77777777" w:rsidR="00FA7C11" w:rsidRDefault="00D84965">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C027B" w14:textId="77777777" w:rsidR="00FA7C11" w:rsidRDefault="00FA7C1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17E8" w14:textId="77777777" w:rsidR="00FA7C11" w:rsidRDefault="00FA7C1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91034" w14:textId="77777777" w:rsidR="00FA7C11" w:rsidRDefault="00D84965">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7F36F" w14:textId="77777777" w:rsidR="00FA7C11" w:rsidRDefault="00FA7C1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AA919" w14:textId="77777777" w:rsidR="00FA7C11" w:rsidRDefault="00FA7C1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11E9C" w14:textId="77777777" w:rsidR="00FA7C11" w:rsidRDefault="00D84965">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D20B3" w14:textId="77777777" w:rsidR="00FA7C11" w:rsidRDefault="00FA7C1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233EF" w14:textId="77777777" w:rsidR="00FA7C11" w:rsidRDefault="00FA7C1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8B923" w14:textId="77777777" w:rsidR="00FA7C11" w:rsidRDefault="00D84965">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09E56" w14:textId="77777777" w:rsidR="00FA7C11" w:rsidRDefault="00FA7C1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3F77D" w14:textId="77777777" w:rsidR="00FA7C11" w:rsidRDefault="00FA7C1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C20DF" w14:textId="77777777" w:rsidR="00FA7C11" w:rsidRDefault="00D84965">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265B" w14:textId="77777777" w:rsidR="00FA7C11" w:rsidRDefault="00FA7C1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4C19D" w14:textId="77777777" w:rsidR="00FA7C11" w:rsidRDefault="00FA7C1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B17B0" w14:textId="77777777" w:rsidR="00FA7C11" w:rsidRDefault="00D84965">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A3F98" w14:textId="77777777" w:rsidR="00FA7C11" w:rsidRDefault="00FA7C1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8D6D3" w14:textId="77777777" w:rsidR="00FA7C11" w:rsidRDefault="00FA7C1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A0C34" w14:textId="77777777" w:rsidR="00FA7C11" w:rsidRDefault="00D84965">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6A6E3" w14:textId="77777777" w:rsidR="00FA7C11" w:rsidRDefault="00FA7C1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B759F" w14:textId="77777777" w:rsidR="00FA7C11" w:rsidRDefault="00FA7C1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3924F" w14:textId="77777777" w:rsidR="00FA7C11" w:rsidRDefault="00D84965">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A2881" w14:textId="77777777" w:rsidR="00FA7C11" w:rsidRDefault="00FA7C11">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3FC32" w14:textId="77777777" w:rsidR="00FA7C11" w:rsidRDefault="00FA7C11">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33081" w14:textId="77777777" w:rsidR="00FA7C11" w:rsidRDefault="00D84965">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0B42C" w14:textId="77777777" w:rsidR="00FA7C11" w:rsidRDefault="00FA7C11">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DB707" w14:textId="77777777" w:rsidR="00FA7C11" w:rsidRDefault="00FA7C11">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F9D0D" w14:textId="77777777" w:rsidR="00FA7C11" w:rsidRDefault="00D84965">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55BFC" w14:textId="77777777" w:rsidR="00FA7C11" w:rsidRDefault="00FA7C11">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C859A" w14:textId="77777777" w:rsidR="00FA7C11" w:rsidRDefault="00FA7C11">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37492" w14:textId="77777777" w:rsidR="00FA7C11" w:rsidRDefault="00D84965">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651A9" w14:textId="77777777" w:rsidR="00FA7C11" w:rsidRDefault="00FA7C11">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A211E" w14:textId="77777777" w:rsidR="00FA7C11" w:rsidRDefault="00FA7C11">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3B562" w14:textId="77777777" w:rsidR="00FA7C11" w:rsidRDefault="00D84965">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308C" w14:textId="77777777" w:rsidR="00FA7C11" w:rsidRDefault="00FA7C11">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5803A" w14:textId="77777777" w:rsidR="00FA7C11" w:rsidRDefault="00FA7C11">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97C35" w14:textId="77777777" w:rsidR="00FA7C11" w:rsidRDefault="00D84965">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3936C" w14:textId="77777777" w:rsidR="00FA7C11" w:rsidRDefault="00FA7C11">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655" w14:textId="77777777" w:rsidR="00FA7C11" w:rsidRDefault="00FA7C11">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7D9A0" w14:textId="77777777" w:rsidR="00FA7C11" w:rsidRDefault="00D84965">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E3BE3" w14:textId="77777777" w:rsidR="00FA7C11" w:rsidRDefault="00FA7C11">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D91D4" w14:textId="77777777" w:rsidR="00FA7C11" w:rsidRDefault="00FA7C11">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5735D" w14:textId="77777777" w:rsidR="00FA7C11" w:rsidRDefault="00D84965">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88BC8" w14:textId="77777777" w:rsidR="00FA7C11" w:rsidRDefault="00FA7C11">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4497A" w14:textId="77777777" w:rsidR="00FA7C11" w:rsidRDefault="00FA7C11">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A39F0" w14:textId="77777777" w:rsidR="00FA7C11" w:rsidRDefault="00D84965">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C3904" w14:textId="77777777" w:rsidR="00FA7C11" w:rsidRDefault="00FA7C11">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FC582" w14:textId="77777777" w:rsidR="00FA7C11" w:rsidRDefault="00FA7C11">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2BA13" w14:textId="77777777" w:rsidR="00FA7C11" w:rsidRDefault="00D84965">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DFE42" w14:textId="77777777" w:rsidR="00FA7C11" w:rsidRDefault="00FA7C11">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A3FCC" w14:textId="77777777" w:rsidR="00FA7C11" w:rsidRDefault="00FA7C11">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01074" w14:textId="77777777" w:rsidR="00FA7C11" w:rsidRDefault="00D84965">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5976C" w14:textId="77777777" w:rsidR="00FA7C11" w:rsidRDefault="00FA7C11">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56AD8" w14:textId="77777777" w:rsidR="00FA7C11" w:rsidRDefault="00FA7C11">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20294" w14:textId="77777777" w:rsidR="00FA7C11" w:rsidRDefault="00D84965">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3129E" w14:textId="77777777" w:rsidR="00FA7C11" w:rsidRDefault="00FA7C11">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BE378" w14:textId="77777777" w:rsidR="00FA7C11" w:rsidRDefault="00FA7C11">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063EA" w14:textId="77777777" w:rsidR="00FA7C11" w:rsidRDefault="00D84965">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8AD5A" w14:textId="77777777" w:rsidR="00FA7C11" w:rsidRDefault="00FA7C11">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9C189" w14:textId="77777777" w:rsidR="00FA7C11" w:rsidRDefault="00FA7C11">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98650" w14:textId="77777777" w:rsidR="00FA7C11" w:rsidRDefault="00D84965">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F8040" w14:textId="77777777" w:rsidR="00FA7C11" w:rsidRDefault="00FA7C11">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E2B73" w14:textId="77777777" w:rsidR="00FA7C11" w:rsidRDefault="00FA7C11">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2E2F4" w14:textId="77777777" w:rsidR="00FA7C11" w:rsidRDefault="00D84965">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9B60" w14:textId="77777777" w:rsidR="00FA7C11" w:rsidRDefault="00FA7C11">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60678" w14:textId="77777777" w:rsidR="00FA7C11" w:rsidRDefault="00FA7C11">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C2FA" w14:textId="77777777" w:rsidR="00FA7C11" w:rsidRDefault="00D84965">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8F7F8" w14:textId="77777777" w:rsidR="00FA7C11" w:rsidRDefault="00FA7C11">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B67F6" w14:textId="77777777" w:rsidR="00FA7C11" w:rsidRDefault="00FA7C11">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6793B" w14:textId="77777777" w:rsidR="00FA7C11" w:rsidRDefault="00D84965">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7C588" w14:textId="77777777" w:rsidR="00FA7C11" w:rsidRDefault="00FA7C11">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10F94" w14:textId="77777777" w:rsidR="00FA7C11" w:rsidRDefault="00FA7C11">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72AC" w14:textId="77777777" w:rsidR="00FA7C11" w:rsidRDefault="00D84965">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B833C" w14:textId="77777777" w:rsidR="00FA7C11" w:rsidRDefault="00FA7C11">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A22F0" w14:textId="77777777" w:rsidR="00FA7C11" w:rsidRDefault="00FA7C11">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6435B" w14:textId="77777777" w:rsidR="00FA7C11" w:rsidRDefault="00D84965">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19781" w14:textId="77777777" w:rsidR="00FA7C11" w:rsidRDefault="00FA7C11">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DA9F" w14:textId="77777777" w:rsidR="00FA7C11" w:rsidRDefault="00FA7C11">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F95BB" w14:textId="77777777" w:rsidR="00FA7C11" w:rsidRDefault="00D84965">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9812E" w14:textId="77777777" w:rsidR="00FA7C11" w:rsidRDefault="00FA7C11">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F9899" w14:textId="77777777" w:rsidR="00FA7C11" w:rsidRDefault="00FA7C11">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0321E" w14:textId="77777777" w:rsidR="00FA7C11" w:rsidRDefault="00D84965">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165C" w14:textId="77777777" w:rsidR="00FA7C11" w:rsidRDefault="00FA7C11">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78ECA" w14:textId="77777777" w:rsidR="00FA7C11" w:rsidRDefault="00FA7C11">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9B391" w14:textId="77777777" w:rsidR="00FA7C11" w:rsidRDefault="00D84965">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1481A" w14:textId="77777777" w:rsidR="00FA7C11" w:rsidRDefault="00FA7C11">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371EC" w14:textId="77777777" w:rsidR="00FA7C11" w:rsidRDefault="00FA7C11">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A0754" w14:textId="77777777" w:rsidR="00FA7C11" w:rsidRDefault="00D84965">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F0B13" w14:textId="77777777" w:rsidR="00FA7C11" w:rsidRDefault="00FA7C11">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43A32" w14:textId="77777777" w:rsidR="00FA7C11" w:rsidRDefault="00FA7C11">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99E31" w14:textId="77777777" w:rsidR="00FA7C11" w:rsidRDefault="00D84965">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7342B" w14:textId="77777777" w:rsidR="00FA7C11" w:rsidRDefault="00FA7C11">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AB108" w14:textId="77777777" w:rsidR="00FA7C11" w:rsidRDefault="00FA7C11">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9CC78" w14:textId="77777777" w:rsidR="00FA7C11" w:rsidRDefault="00D84965">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215D1" w14:textId="77777777" w:rsidR="00FA7C11" w:rsidRDefault="00FA7C11">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A507C" w14:textId="77777777" w:rsidR="00FA7C11" w:rsidRDefault="00FA7C11">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3A777" w14:textId="77777777" w:rsidR="00FA7C11" w:rsidRDefault="00D84965">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AA11" w14:textId="77777777" w:rsidR="00FA7C11" w:rsidRDefault="00FA7C11">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52E2B" w14:textId="77777777" w:rsidR="00FA7C11" w:rsidRDefault="00FA7C11">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676E2" w14:textId="77777777" w:rsidR="00FA7C11" w:rsidRDefault="00D84965">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12887" w14:textId="77777777" w:rsidR="00FA7C11" w:rsidRDefault="00FA7C11">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20F04" w14:textId="77777777" w:rsidR="00FA7C11" w:rsidRDefault="00FA7C11">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BCA9B" w14:textId="77777777" w:rsidR="00FA7C11" w:rsidRDefault="00D84965">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27C50" w14:textId="77777777" w:rsidR="00FA7C11" w:rsidRDefault="00FA7C11">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5C840" w14:textId="77777777" w:rsidR="00FA7C11" w:rsidRDefault="00FA7C11">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470E1" w14:textId="77777777" w:rsidR="00FA7C11" w:rsidRDefault="00D84965">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2265B" w14:textId="77777777" w:rsidR="00FA7C11" w:rsidRDefault="00FA7C11">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A4823" w14:textId="77777777" w:rsidR="00FA7C11" w:rsidRDefault="00FA7C11">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2BFFD" w14:textId="77777777" w:rsidR="00FA7C11" w:rsidRDefault="00D84965">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C7024" w14:textId="77777777" w:rsidR="00FA7C11" w:rsidRDefault="00FA7C11">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E6D11" w14:textId="77777777" w:rsidR="00FA7C11" w:rsidRDefault="00FA7C11">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E8861" w14:textId="77777777" w:rsidR="00FA7C11" w:rsidRDefault="00D84965">
    <w:r>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D7BA0" w14:textId="77777777" w:rsidR="00FA7C11" w:rsidRDefault="00FA7C11">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C1374" w14:textId="77777777" w:rsidR="00FA7C11" w:rsidRDefault="00FA7C11">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8BE3" w14:textId="77777777" w:rsidR="00FA7C11" w:rsidRDefault="00D84965">
    <w:r>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AC397" w14:textId="77777777" w:rsidR="00FA7C11" w:rsidRDefault="00FA7C11">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EE4FB" w14:textId="77777777" w:rsidR="00FA7C11" w:rsidRDefault="00FA7C11">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A9677" w14:textId="77777777" w:rsidR="00FA7C11" w:rsidRDefault="00D84965">
    <w:r>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B35AA" w14:textId="77777777" w:rsidR="00FA7C11" w:rsidRDefault="00FA7C11">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4519" w14:textId="77777777" w:rsidR="00FA7C11" w:rsidRDefault="00FA7C11">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1FE38" w14:textId="77777777" w:rsidR="00FA7C11" w:rsidRDefault="00D84965">
    <w:r>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CCC54" w14:textId="77777777" w:rsidR="00FA7C11" w:rsidRDefault="00FA7C11">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17EB5" w14:textId="77777777" w:rsidR="00FA7C11" w:rsidRDefault="00FA7C11">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7083F" w14:textId="77777777" w:rsidR="00FA7C11" w:rsidRDefault="00D84965">
    <w:r>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D1C41" w14:textId="77777777" w:rsidR="00FA7C11" w:rsidRDefault="00FA7C11">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5987F" w14:textId="77777777" w:rsidR="00FA7C11" w:rsidRDefault="00FA7C11">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3B8B5" w14:textId="77777777" w:rsidR="00FA7C11" w:rsidRDefault="00D84965">
    <w:r>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552F0" w14:textId="77777777" w:rsidR="00FA7C11" w:rsidRDefault="00FA7C11">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621" w14:textId="77777777" w:rsidR="00FA7C11" w:rsidRDefault="00FA7C11">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18C77" w14:textId="77777777" w:rsidR="00FA7C11" w:rsidRDefault="00D84965">
    <w:r>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ECA42" w14:textId="77777777" w:rsidR="00FA7C11" w:rsidRDefault="00FA7C11">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EC316" w14:textId="77777777" w:rsidR="00FA7C11" w:rsidRDefault="00FA7C11">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B6B4E" w14:textId="77777777" w:rsidR="00FA7C11" w:rsidRDefault="00D84965">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60245" w14:textId="77777777" w:rsidR="00FA7C11" w:rsidRDefault="00FA7C11">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7437A" w14:textId="77777777" w:rsidR="00FA7C11" w:rsidRDefault="00FA7C11">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60BB2" w14:textId="77777777" w:rsidR="00FA7C11" w:rsidRDefault="00D84965">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217D9" w14:textId="77777777" w:rsidR="00FA7C11" w:rsidRDefault="00FA7C11">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03FF6" w14:textId="77777777" w:rsidR="00FA7C11" w:rsidRDefault="00FA7C11">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0728B" w14:textId="77777777" w:rsidR="00FA7C11" w:rsidRDefault="00D84965">
    <w:r>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6EA60" w14:textId="77777777" w:rsidR="00FA7C11" w:rsidRDefault="00FA7C11">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0DC03" w14:textId="77777777" w:rsidR="00FA7C11" w:rsidRDefault="00FA7C11">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3ED04" w14:textId="77777777" w:rsidR="00FA7C11" w:rsidRDefault="00D84965">
    <w:r>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9C1FB" w14:textId="77777777" w:rsidR="00FA7C11" w:rsidRDefault="00FA7C11">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D947E" w14:textId="77777777" w:rsidR="00FA7C11" w:rsidRDefault="00FA7C11">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5023" w14:textId="77777777" w:rsidR="00FA7C11" w:rsidRDefault="00D84965">
    <w:r>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E35CE" w14:textId="77777777" w:rsidR="00FA7C11" w:rsidRDefault="00FA7C11">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151B6" w14:textId="77777777" w:rsidR="00FA7C11" w:rsidRDefault="00FA7C11">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BFAFA" w14:textId="77777777" w:rsidR="00FA7C11" w:rsidRDefault="00D84965">
    <w:r>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144A5" w14:textId="77777777" w:rsidR="00FA7C11" w:rsidRDefault="00FA7C11">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D711C" w14:textId="77777777" w:rsidR="00FA7C11" w:rsidRDefault="00FA7C11">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DCDC1" w14:textId="77777777" w:rsidR="00FA7C11" w:rsidRDefault="00D84965">
    <w:r>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B31DB" w14:textId="77777777" w:rsidR="00FA7C11" w:rsidRDefault="00FA7C11">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A9D84" w14:textId="77777777" w:rsidR="00FA7C11" w:rsidRDefault="00FA7C11">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67BFD" w14:textId="77777777" w:rsidR="00FA7C11" w:rsidRDefault="00D84965">
    <w:r>
      <w:t> </w: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802DB" w14:textId="77777777" w:rsidR="00FA7C11" w:rsidRDefault="00FA7C11">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E0C9F" w14:textId="77777777" w:rsidR="00FA7C11" w:rsidRDefault="00FA7C11">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A2CE" w14:textId="77777777" w:rsidR="00FA7C11" w:rsidRDefault="00D84965">
    <w:r>
      <w:t> </w:t>
    </w: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A0C5E" w14:textId="77777777" w:rsidR="00FA7C11" w:rsidRDefault="00FA7C11">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0D87F" w14:textId="77777777" w:rsidR="00FA7C11" w:rsidRDefault="00FA7C11">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FB575" w14:textId="77777777" w:rsidR="00FA7C11" w:rsidRDefault="00D84965">
    <w:r>
      <w:t> </w: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CF315" w14:textId="77777777" w:rsidR="00FA7C11" w:rsidRDefault="00FA7C11">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73B15" w14:textId="77777777" w:rsidR="00FA7C11" w:rsidRDefault="00FA7C11">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CA62F" w14:textId="77777777" w:rsidR="00FA7C11" w:rsidRDefault="00D84965">
    <w:r>
      <w:t> </w:t>
    </w: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2E072" w14:textId="77777777" w:rsidR="00FA7C11" w:rsidRDefault="00FA7C11">
    <w:pPr>
      <w:pStyle w:val="Header"/>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63E52" w14:textId="77777777" w:rsidR="00FA7C11" w:rsidRDefault="00FA7C11">
    <w:pPr>
      <w:pStyle w:val="Header"/>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C8C0A" w14:textId="77777777" w:rsidR="00FA7C11" w:rsidRDefault="00D84965">
    <w:r>
      <w:t> </w: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2564B" w14:textId="77777777" w:rsidR="00FA7C11" w:rsidRDefault="00FA7C11">
    <w:pPr>
      <w:pStyle w:val="Header"/>
    </w:pP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8482E" w14:textId="77777777" w:rsidR="00FA7C11" w:rsidRDefault="00FA7C11">
    <w:pPr>
      <w:pStyle w:val="Header"/>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1AF9E" w14:textId="77777777" w:rsidR="00FA7C11" w:rsidRDefault="00D84965">
    <w:r>
      <w:t> </w: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47832" w14:textId="77777777" w:rsidR="00FA7C11" w:rsidRDefault="00FA7C11">
    <w:pPr>
      <w:pStyle w:val="Header"/>
    </w:pP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75E83" w14:textId="77777777" w:rsidR="00FA7C11" w:rsidRDefault="00FA7C11">
    <w:pPr>
      <w:pStyle w:val="Header"/>
    </w:pP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60E0D" w14:textId="77777777" w:rsidR="00FA7C11" w:rsidRDefault="00D84965">
    <w:r>
      <w:t> </w:t>
    </w: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A56F" w14:textId="77777777" w:rsidR="00FA7C11" w:rsidRDefault="00FA7C11">
    <w:pPr>
      <w:pStyle w:val="Header"/>
    </w:pPr>
  </w:p>
</w:hdr>
</file>

<file path=word/header2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DE55D" w14:textId="77777777" w:rsidR="00FA7C11" w:rsidRDefault="00FA7C11">
    <w:pPr>
      <w:pStyle w:val="Header"/>
    </w:pPr>
  </w:p>
</w:hdr>
</file>

<file path=word/header2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75976" w14:textId="77777777" w:rsidR="00FA7C11" w:rsidRDefault="00D84965">
    <w:r>
      <w:t> </w:t>
    </w:r>
  </w:p>
</w:hdr>
</file>

<file path=word/header2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13C20" w14:textId="77777777" w:rsidR="00FA7C11" w:rsidRDefault="00FA7C11">
    <w:pPr>
      <w:pStyle w:val="Header"/>
    </w:pPr>
  </w:p>
</w:hdr>
</file>

<file path=word/header2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FBC07" w14:textId="77777777" w:rsidR="00FA7C11" w:rsidRDefault="00FA7C11">
    <w:pPr>
      <w:pStyle w:val="Header"/>
    </w:pPr>
  </w:p>
</w:hdr>
</file>

<file path=word/header2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D853C" w14:textId="77777777" w:rsidR="00FA7C11" w:rsidRDefault="00D84965">
    <w:r>
      <w:t> </w:t>
    </w:r>
  </w:p>
</w:hdr>
</file>

<file path=word/header2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1842C" w14:textId="77777777" w:rsidR="00FA7C11" w:rsidRDefault="00FA7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82DC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D2C5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9445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456D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DCBF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DEF5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B8A3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90A8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CAF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F48B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161EA"/>
    <w:multiLevelType w:val="hybridMultilevel"/>
    <w:tmpl w:val="6DCE0BCC"/>
    <w:lvl w:ilvl="0" w:tplc="E7B24D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7C77FD"/>
    <w:multiLevelType w:val="hybridMultilevel"/>
    <w:tmpl w:val="0DA84EE4"/>
    <w:lvl w:ilvl="0" w:tplc="4D866DF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7D09E6"/>
    <w:multiLevelType w:val="hybridMultilevel"/>
    <w:tmpl w:val="C1FA3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15" w15:restartNumberingAfterBreak="0">
    <w:nsid w:val="08A307DD"/>
    <w:multiLevelType w:val="hybridMultilevel"/>
    <w:tmpl w:val="13A60900"/>
    <w:lvl w:ilvl="0" w:tplc="760E763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7" w15:restartNumberingAfterBreak="0">
    <w:nsid w:val="0A7EA0E4"/>
    <w:multiLevelType w:val="hybridMultilevel"/>
    <w:tmpl w:val="4796B168"/>
    <w:lvl w:ilvl="0" w:tplc="679AD682">
      <w:start w:val="1"/>
      <w:numFmt w:val="decimal"/>
      <w:lvlText w:val="%1)"/>
      <w:lvlJc w:val="left"/>
      <w:pPr>
        <w:ind w:left="720" w:hanging="360"/>
      </w:pPr>
    </w:lvl>
    <w:lvl w:ilvl="1" w:tplc="EA8C9E96">
      <w:start w:val="1"/>
      <w:numFmt w:val="lowerLetter"/>
      <w:lvlText w:val="%2."/>
      <w:lvlJc w:val="left"/>
      <w:pPr>
        <w:ind w:left="1440" w:hanging="360"/>
      </w:pPr>
    </w:lvl>
    <w:lvl w:ilvl="2" w:tplc="8376E3BA">
      <w:start w:val="1"/>
      <w:numFmt w:val="lowerRoman"/>
      <w:lvlText w:val="%3."/>
      <w:lvlJc w:val="right"/>
      <w:pPr>
        <w:ind w:left="2160" w:hanging="180"/>
      </w:pPr>
    </w:lvl>
    <w:lvl w:ilvl="3" w:tplc="025A9E68">
      <w:start w:val="1"/>
      <w:numFmt w:val="decimal"/>
      <w:lvlText w:val="%4."/>
      <w:lvlJc w:val="left"/>
      <w:pPr>
        <w:ind w:left="2880" w:hanging="360"/>
      </w:pPr>
    </w:lvl>
    <w:lvl w:ilvl="4" w:tplc="AB100CBC">
      <w:start w:val="1"/>
      <w:numFmt w:val="lowerLetter"/>
      <w:lvlText w:val="%5."/>
      <w:lvlJc w:val="left"/>
      <w:pPr>
        <w:ind w:left="3600" w:hanging="360"/>
      </w:pPr>
    </w:lvl>
    <w:lvl w:ilvl="5" w:tplc="FA205D72">
      <w:start w:val="1"/>
      <w:numFmt w:val="lowerRoman"/>
      <w:lvlText w:val="%6."/>
      <w:lvlJc w:val="right"/>
      <w:pPr>
        <w:ind w:left="4320" w:hanging="180"/>
      </w:pPr>
    </w:lvl>
    <w:lvl w:ilvl="6" w:tplc="76C0349E">
      <w:start w:val="1"/>
      <w:numFmt w:val="decimal"/>
      <w:lvlText w:val="%7."/>
      <w:lvlJc w:val="left"/>
      <w:pPr>
        <w:ind w:left="5040" w:hanging="360"/>
      </w:pPr>
    </w:lvl>
    <w:lvl w:ilvl="7" w:tplc="E6A2782E">
      <w:start w:val="1"/>
      <w:numFmt w:val="lowerLetter"/>
      <w:lvlText w:val="%8."/>
      <w:lvlJc w:val="left"/>
      <w:pPr>
        <w:ind w:left="5760" w:hanging="360"/>
      </w:pPr>
    </w:lvl>
    <w:lvl w:ilvl="8" w:tplc="17A47776">
      <w:start w:val="1"/>
      <w:numFmt w:val="lowerRoman"/>
      <w:lvlText w:val="%9."/>
      <w:lvlJc w:val="right"/>
      <w:pPr>
        <w:ind w:left="6480" w:hanging="180"/>
      </w:pPr>
    </w:lvl>
  </w:abstractNum>
  <w:abstractNum w:abstractNumId="18"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9" w15:restartNumberingAfterBreak="0">
    <w:nsid w:val="0DFA579A"/>
    <w:multiLevelType w:val="hybridMultilevel"/>
    <w:tmpl w:val="6128DAD0"/>
    <w:lvl w:ilvl="0" w:tplc="CF86C3D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0F6F4DA8"/>
    <w:multiLevelType w:val="multilevel"/>
    <w:tmpl w:val="FB62A0B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16976477"/>
    <w:multiLevelType w:val="hybridMultilevel"/>
    <w:tmpl w:val="6A048E4C"/>
    <w:lvl w:ilvl="0" w:tplc="0CEACD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D06282"/>
    <w:multiLevelType w:val="hybridMultilevel"/>
    <w:tmpl w:val="8A960314"/>
    <w:lvl w:ilvl="0" w:tplc="7FCC472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75428C7"/>
    <w:multiLevelType w:val="hybridMultilevel"/>
    <w:tmpl w:val="81E0E950"/>
    <w:lvl w:ilvl="0" w:tplc="B83EB5E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7" w15:restartNumberingAfterBreak="0">
    <w:nsid w:val="21F74AD3"/>
    <w:multiLevelType w:val="hybridMultilevel"/>
    <w:tmpl w:val="67E087B2"/>
    <w:lvl w:ilvl="0" w:tplc="128016B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32B688E"/>
    <w:multiLevelType w:val="hybridMultilevel"/>
    <w:tmpl w:val="2EA61348"/>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40A5AC8"/>
    <w:multiLevelType w:val="hybridMultilevel"/>
    <w:tmpl w:val="FBFCB438"/>
    <w:lvl w:ilvl="0" w:tplc="0CEACD3E">
      <w:numFmt w:val="bullet"/>
      <w:lvlText w:val="-"/>
      <w:lvlJc w:val="left"/>
      <w:pPr>
        <w:ind w:left="1080" w:hanging="72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84069E4"/>
    <w:multiLevelType w:val="hybridMultilevel"/>
    <w:tmpl w:val="70D4FB68"/>
    <w:lvl w:ilvl="0" w:tplc="9FB695E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3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38" w15:restartNumberingAfterBreak="0">
    <w:nsid w:val="30450841"/>
    <w:multiLevelType w:val="hybridMultilevel"/>
    <w:tmpl w:val="1D86DF28"/>
    <w:lvl w:ilvl="0" w:tplc="16BA58D4">
      <w:start w:val="1"/>
      <w:numFmt w:val="lowerRoman"/>
      <w:lvlText w:val="%1)"/>
      <w:lvlJc w:val="left"/>
      <w:pPr>
        <w:ind w:left="770" w:hanging="720"/>
      </w:pPr>
      <w:rPr>
        <w:rFonts w:hint="default"/>
      </w:rPr>
    </w:lvl>
    <w:lvl w:ilvl="1" w:tplc="18090019" w:tentative="1">
      <w:start w:val="1"/>
      <w:numFmt w:val="lowerLetter"/>
      <w:lvlText w:val="%2."/>
      <w:lvlJc w:val="left"/>
      <w:pPr>
        <w:ind w:left="1130" w:hanging="360"/>
      </w:pPr>
    </w:lvl>
    <w:lvl w:ilvl="2" w:tplc="1809001B" w:tentative="1">
      <w:start w:val="1"/>
      <w:numFmt w:val="lowerRoman"/>
      <w:lvlText w:val="%3."/>
      <w:lvlJc w:val="right"/>
      <w:pPr>
        <w:ind w:left="1850" w:hanging="180"/>
      </w:pPr>
    </w:lvl>
    <w:lvl w:ilvl="3" w:tplc="1809000F" w:tentative="1">
      <w:start w:val="1"/>
      <w:numFmt w:val="decimal"/>
      <w:lvlText w:val="%4."/>
      <w:lvlJc w:val="left"/>
      <w:pPr>
        <w:ind w:left="2570" w:hanging="360"/>
      </w:pPr>
    </w:lvl>
    <w:lvl w:ilvl="4" w:tplc="18090019" w:tentative="1">
      <w:start w:val="1"/>
      <w:numFmt w:val="lowerLetter"/>
      <w:lvlText w:val="%5."/>
      <w:lvlJc w:val="left"/>
      <w:pPr>
        <w:ind w:left="3290" w:hanging="360"/>
      </w:pPr>
    </w:lvl>
    <w:lvl w:ilvl="5" w:tplc="1809001B" w:tentative="1">
      <w:start w:val="1"/>
      <w:numFmt w:val="lowerRoman"/>
      <w:lvlText w:val="%6."/>
      <w:lvlJc w:val="right"/>
      <w:pPr>
        <w:ind w:left="4010" w:hanging="180"/>
      </w:pPr>
    </w:lvl>
    <w:lvl w:ilvl="6" w:tplc="1809000F" w:tentative="1">
      <w:start w:val="1"/>
      <w:numFmt w:val="decimal"/>
      <w:lvlText w:val="%7."/>
      <w:lvlJc w:val="left"/>
      <w:pPr>
        <w:ind w:left="4730" w:hanging="360"/>
      </w:pPr>
    </w:lvl>
    <w:lvl w:ilvl="7" w:tplc="18090019" w:tentative="1">
      <w:start w:val="1"/>
      <w:numFmt w:val="lowerLetter"/>
      <w:lvlText w:val="%8."/>
      <w:lvlJc w:val="left"/>
      <w:pPr>
        <w:ind w:left="5450" w:hanging="360"/>
      </w:pPr>
    </w:lvl>
    <w:lvl w:ilvl="8" w:tplc="1809001B" w:tentative="1">
      <w:start w:val="1"/>
      <w:numFmt w:val="lowerRoman"/>
      <w:lvlText w:val="%9."/>
      <w:lvlJc w:val="right"/>
      <w:pPr>
        <w:ind w:left="6170" w:hanging="180"/>
      </w:pPr>
    </w:lvl>
  </w:abstractNum>
  <w:abstractNum w:abstractNumId="39" w15:restartNumberingAfterBreak="0">
    <w:nsid w:val="321C0C3B"/>
    <w:multiLevelType w:val="hybridMultilevel"/>
    <w:tmpl w:val="1C72A07A"/>
    <w:lvl w:ilvl="0" w:tplc="B83EB5E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7F87260"/>
    <w:multiLevelType w:val="hybridMultilevel"/>
    <w:tmpl w:val="682AAEE2"/>
    <w:lvl w:ilvl="0" w:tplc="C2CCAE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87FB44B"/>
    <w:multiLevelType w:val="hybridMultilevel"/>
    <w:tmpl w:val="DEA05708"/>
    <w:lvl w:ilvl="0" w:tplc="567A1E18">
      <w:start w:val="1"/>
      <w:numFmt w:val="bullet"/>
      <w:lvlText w:val=""/>
      <w:lvlJc w:val="left"/>
      <w:pPr>
        <w:ind w:left="720" w:hanging="360"/>
      </w:pPr>
      <w:rPr>
        <w:rFonts w:ascii="Symbol" w:hAnsi="Symbol" w:hint="default"/>
      </w:rPr>
    </w:lvl>
    <w:lvl w:ilvl="1" w:tplc="CC88F1B8">
      <w:start w:val="1"/>
      <w:numFmt w:val="bullet"/>
      <w:lvlText w:val="o"/>
      <w:lvlJc w:val="left"/>
      <w:pPr>
        <w:ind w:left="1440" w:hanging="360"/>
      </w:pPr>
      <w:rPr>
        <w:rFonts w:ascii="Courier New" w:hAnsi="Courier New" w:hint="default"/>
      </w:rPr>
    </w:lvl>
    <w:lvl w:ilvl="2" w:tplc="A7D6695C">
      <w:start w:val="1"/>
      <w:numFmt w:val="bullet"/>
      <w:lvlText w:val=""/>
      <w:lvlJc w:val="left"/>
      <w:pPr>
        <w:ind w:left="2160" w:hanging="360"/>
      </w:pPr>
      <w:rPr>
        <w:rFonts w:ascii="Wingdings" w:hAnsi="Wingdings" w:hint="default"/>
      </w:rPr>
    </w:lvl>
    <w:lvl w:ilvl="3" w:tplc="762859C8">
      <w:start w:val="1"/>
      <w:numFmt w:val="bullet"/>
      <w:lvlText w:val=""/>
      <w:lvlJc w:val="left"/>
      <w:pPr>
        <w:ind w:left="2880" w:hanging="360"/>
      </w:pPr>
      <w:rPr>
        <w:rFonts w:ascii="Symbol" w:hAnsi="Symbol" w:hint="default"/>
      </w:rPr>
    </w:lvl>
    <w:lvl w:ilvl="4" w:tplc="E0C0B2A8">
      <w:start w:val="1"/>
      <w:numFmt w:val="bullet"/>
      <w:lvlText w:val="o"/>
      <w:lvlJc w:val="left"/>
      <w:pPr>
        <w:ind w:left="3600" w:hanging="360"/>
      </w:pPr>
      <w:rPr>
        <w:rFonts w:ascii="Courier New" w:hAnsi="Courier New" w:hint="default"/>
      </w:rPr>
    </w:lvl>
    <w:lvl w:ilvl="5" w:tplc="5AD41340">
      <w:start w:val="1"/>
      <w:numFmt w:val="bullet"/>
      <w:lvlText w:val=""/>
      <w:lvlJc w:val="left"/>
      <w:pPr>
        <w:ind w:left="4320" w:hanging="360"/>
      </w:pPr>
      <w:rPr>
        <w:rFonts w:ascii="Wingdings" w:hAnsi="Wingdings" w:hint="default"/>
      </w:rPr>
    </w:lvl>
    <w:lvl w:ilvl="6" w:tplc="F118C9DE">
      <w:start w:val="1"/>
      <w:numFmt w:val="bullet"/>
      <w:lvlText w:val=""/>
      <w:lvlJc w:val="left"/>
      <w:pPr>
        <w:ind w:left="5040" w:hanging="360"/>
      </w:pPr>
      <w:rPr>
        <w:rFonts w:ascii="Symbol" w:hAnsi="Symbol" w:hint="default"/>
      </w:rPr>
    </w:lvl>
    <w:lvl w:ilvl="7" w:tplc="07D23DC0">
      <w:start w:val="1"/>
      <w:numFmt w:val="bullet"/>
      <w:lvlText w:val="o"/>
      <w:lvlJc w:val="left"/>
      <w:pPr>
        <w:ind w:left="5760" w:hanging="360"/>
      </w:pPr>
      <w:rPr>
        <w:rFonts w:ascii="Courier New" w:hAnsi="Courier New" w:hint="default"/>
      </w:rPr>
    </w:lvl>
    <w:lvl w:ilvl="8" w:tplc="666472EA">
      <w:start w:val="1"/>
      <w:numFmt w:val="bullet"/>
      <w:lvlText w:val=""/>
      <w:lvlJc w:val="left"/>
      <w:pPr>
        <w:ind w:left="6480" w:hanging="360"/>
      </w:pPr>
      <w:rPr>
        <w:rFonts w:ascii="Wingdings" w:hAnsi="Wingdings" w:hint="default"/>
      </w:rPr>
    </w:lvl>
  </w:abstractNum>
  <w:abstractNum w:abstractNumId="42"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43" w15:restartNumberingAfterBreak="0">
    <w:nsid w:val="39D9733B"/>
    <w:multiLevelType w:val="hybridMultilevel"/>
    <w:tmpl w:val="E1ECA474"/>
    <w:lvl w:ilvl="0" w:tplc="8AB60638">
      <w:start w:val="1"/>
      <w:numFmt w:val="lowerRoman"/>
      <w:lvlText w:val="%1)"/>
      <w:lvlJc w:val="left"/>
      <w:pPr>
        <w:ind w:left="1080" w:hanging="720"/>
      </w:pPr>
      <w:rPr>
        <w:rFonts w:asciiTheme="minorHAnsi" w:eastAsiaTheme="minorEastAsia" w:hAnsiTheme="minorHAnsi" w:cstheme="min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45" w15:restartNumberingAfterBreak="0">
    <w:nsid w:val="3E447E24"/>
    <w:multiLevelType w:val="hybridMultilevel"/>
    <w:tmpl w:val="A15E2E82"/>
    <w:lvl w:ilvl="0" w:tplc="60C01E8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48" w15:restartNumberingAfterBreak="0">
    <w:nsid w:val="401D58D2"/>
    <w:multiLevelType w:val="hybridMultilevel"/>
    <w:tmpl w:val="8124E400"/>
    <w:lvl w:ilvl="0" w:tplc="0CEACD3E">
      <w:numFmt w:val="bullet"/>
      <w:lvlText w:val="-"/>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26605BC"/>
    <w:multiLevelType w:val="multilevel"/>
    <w:tmpl w:val="543E3B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51" w15:restartNumberingAfterBreak="0">
    <w:nsid w:val="46213169"/>
    <w:multiLevelType w:val="multilevel"/>
    <w:tmpl w:val="7668FC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63D5655"/>
    <w:multiLevelType w:val="multilevel"/>
    <w:tmpl w:val="7884D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86F11FC"/>
    <w:multiLevelType w:val="hybridMultilevel"/>
    <w:tmpl w:val="3E2A29B2"/>
    <w:lvl w:ilvl="0" w:tplc="237EDD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AC242EF"/>
    <w:multiLevelType w:val="hybridMultilevel"/>
    <w:tmpl w:val="BF141016"/>
    <w:lvl w:ilvl="0" w:tplc="8594059A">
      <w:start w:val="1"/>
      <w:numFmt w:val="lowerRoman"/>
      <w:lvlText w:val="%1)"/>
      <w:lvlJc w:val="left"/>
      <w:pPr>
        <w:ind w:left="720" w:hanging="360"/>
      </w:pPr>
      <w:rPr>
        <w:rFonts w:ascii="Times New Roman" w:eastAsia="Calibr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F1814D5"/>
    <w:multiLevelType w:val="multilevel"/>
    <w:tmpl w:val="A5683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5944CF3"/>
    <w:multiLevelType w:val="multilevel"/>
    <w:tmpl w:val="9FAAE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58" w15:restartNumberingAfterBreak="0">
    <w:nsid w:val="57B75B56"/>
    <w:multiLevelType w:val="hybridMultilevel"/>
    <w:tmpl w:val="333873DE"/>
    <w:lvl w:ilvl="0" w:tplc="9AE6D7CA">
      <w:start w:val="1"/>
      <w:numFmt w:val="lowerRoman"/>
      <w:lvlText w:val="%1)"/>
      <w:lvlJc w:val="left"/>
      <w:pPr>
        <w:ind w:left="720" w:hanging="360"/>
      </w:pPr>
      <w:rPr>
        <w:rFonts w:ascii="Times New Roman" w:eastAsia="Calibri" w:hAnsi="Times New Roman" w:cs="Times New Roman"/>
      </w:rPr>
    </w:lvl>
    <w:lvl w:ilvl="1" w:tplc="66DEE652">
      <w:start w:val="1"/>
      <w:numFmt w:val="lowerLetter"/>
      <w:lvlText w:val="%2."/>
      <w:lvlJc w:val="left"/>
      <w:pPr>
        <w:ind w:left="1440" w:hanging="360"/>
      </w:pPr>
    </w:lvl>
    <w:lvl w:ilvl="2" w:tplc="5C50CD66">
      <w:start w:val="1"/>
      <w:numFmt w:val="lowerRoman"/>
      <w:lvlText w:val="%3."/>
      <w:lvlJc w:val="right"/>
      <w:pPr>
        <w:ind w:left="2160" w:hanging="180"/>
      </w:pPr>
    </w:lvl>
    <w:lvl w:ilvl="3" w:tplc="774C130A">
      <w:start w:val="1"/>
      <w:numFmt w:val="decimal"/>
      <w:lvlText w:val="%4."/>
      <w:lvlJc w:val="left"/>
      <w:pPr>
        <w:ind w:left="2880" w:hanging="360"/>
      </w:pPr>
    </w:lvl>
    <w:lvl w:ilvl="4" w:tplc="C22A4A64">
      <w:start w:val="1"/>
      <w:numFmt w:val="lowerLetter"/>
      <w:lvlText w:val="%5."/>
      <w:lvlJc w:val="left"/>
      <w:pPr>
        <w:ind w:left="3600" w:hanging="360"/>
      </w:pPr>
    </w:lvl>
    <w:lvl w:ilvl="5" w:tplc="3836D6C2">
      <w:start w:val="1"/>
      <w:numFmt w:val="lowerRoman"/>
      <w:lvlText w:val="%6."/>
      <w:lvlJc w:val="right"/>
      <w:pPr>
        <w:ind w:left="4320" w:hanging="180"/>
      </w:pPr>
    </w:lvl>
    <w:lvl w:ilvl="6" w:tplc="5922C4AC">
      <w:start w:val="1"/>
      <w:numFmt w:val="decimal"/>
      <w:lvlText w:val="%7."/>
      <w:lvlJc w:val="left"/>
      <w:pPr>
        <w:ind w:left="5040" w:hanging="360"/>
      </w:pPr>
    </w:lvl>
    <w:lvl w:ilvl="7" w:tplc="AF027C60">
      <w:start w:val="1"/>
      <w:numFmt w:val="lowerLetter"/>
      <w:lvlText w:val="%8."/>
      <w:lvlJc w:val="left"/>
      <w:pPr>
        <w:ind w:left="5760" w:hanging="360"/>
      </w:pPr>
    </w:lvl>
    <w:lvl w:ilvl="8" w:tplc="0E726754">
      <w:start w:val="1"/>
      <w:numFmt w:val="lowerRoman"/>
      <w:lvlText w:val="%9."/>
      <w:lvlJc w:val="right"/>
      <w:pPr>
        <w:ind w:left="6480" w:hanging="180"/>
      </w:pPr>
    </w:lvl>
  </w:abstractNum>
  <w:abstractNum w:abstractNumId="5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62" w15:restartNumberingAfterBreak="0">
    <w:nsid w:val="66E8322C"/>
    <w:multiLevelType w:val="hybridMultilevel"/>
    <w:tmpl w:val="2B48F81C"/>
    <w:lvl w:ilvl="0" w:tplc="FC5027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64" w15:restartNumberingAfterBreak="0">
    <w:nsid w:val="681A7049"/>
    <w:multiLevelType w:val="hybridMultilevel"/>
    <w:tmpl w:val="C1627BDE"/>
    <w:lvl w:ilvl="0" w:tplc="63DC6B9E">
      <w:start w:val="1"/>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66" w15:restartNumberingAfterBreak="0">
    <w:nsid w:val="69DC7287"/>
    <w:multiLevelType w:val="multilevel"/>
    <w:tmpl w:val="FD7ABD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6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6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70" w15:restartNumberingAfterBreak="0">
    <w:nsid w:val="6F847AB0"/>
    <w:multiLevelType w:val="hybridMultilevel"/>
    <w:tmpl w:val="C4FA45C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1" w15:restartNumberingAfterBreak="0">
    <w:nsid w:val="71192BC1"/>
    <w:multiLevelType w:val="hybridMultilevel"/>
    <w:tmpl w:val="68EE1420"/>
    <w:lvl w:ilvl="0" w:tplc="56B86514">
      <w:start w:val="1"/>
      <w:numFmt w:val="lowerRoman"/>
      <w:lvlText w:val="%1)"/>
      <w:lvlJc w:val="left"/>
      <w:pPr>
        <w:ind w:left="1080" w:hanging="720"/>
      </w:pPr>
      <w:rPr>
        <w:rFonts w:ascii="Times New Roman" w:eastAsia="Calibri" w:hAnsi="Times New Roman"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7407730D"/>
    <w:multiLevelType w:val="multilevel"/>
    <w:tmpl w:val="110097BC"/>
    <w:lvl w:ilvl="0">
      <w:start w:val="1"/>
      <w:numFmt w:val="low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4175447"/>
    <w:multiLevelType w:val="hybridMultilevel"/>
    <w:tmpl w:val="01080B98"/>
    <w:lvl w:ilvl="0" w:tplc="D2FEE684">
      <w:start w:val="1"/>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46E03D0"/>
    <w:multiLevelType w:val="hybridMultilevel"/>
    <w:tmpl w:val="EA509B9E"/>
    <w:lvl w:ilvl="0" w:tplc="AFB405E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76" w15:restartNumberingAfterBreak="0">
    <w:nsid w:val="75D3659A"/>
    <w:multiLevelType w:val="hybridMultilevel"/>
    <w:tmpl w:val="FA9CDD92"/>
    <w:lvl w:ilvl="0" w:tplc="22DEEC9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7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7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8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81" w15:restartNumberingAfterBreak="0">
    <w:nsid w:val="7B860B70"/>
    <w:multiLevelType w:val="hybridMultilevel"/>
    <w:tmpl w:val="67E087B2"/>
    <w:lvl w:ilvl="0" w:tplc="128016B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EC23D5C"/>
    <w:multiLevelType w:val="hybridMultilevel"/>
    <w:tmpl w:val="CA103F4A"/>
    <w:lvl w:ilvl="0" w:tplc="5BFC5B2A">
      <w:numFmt w:val="bullet"/>
      <w:lvlText w:val="-"/>
      <w:lvlJc w:val="left"/>
      <w:pPr>
        <w:ind w:left="720" w:hanging="360"/>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FEA7E28"/>
    <w:multiLevelType w:val="hybridMultilevel"/>
    <w:tmpl w:val="2102C9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32"/>
  </w:num>
  <w:num w:numId="3">
    <w:abstractNumId w:val="26"/>
  </w:num>
  <w:num w:numId="4">
    <w:abstractNumId w:val="25"/>
  </w:num>
  <w:num w:numId="5">
    <w:abstractNumId w:val="65"/>
  </w:num>
  <w:num w:numId="6">
    <w:abstractNumId w:val="78"/>
  </w:num>
  <w:num w:numId="7">
    <w:abstractNumId w:val="67"/>
  </w:num>
  <w:num w:numId="8">
    <w:abstractNumId w:val="14"/>
  </w:num>
  <w:num w:numId="9">
    <w:abstractNumId w:val="69"/>
  </w:num>
  <w:num w:numId="10">
    <w:abstractNumId w:val="61"/>
  </w:num>
  <w:num w:numId="11">
    <w:abstractNumId w:val="16"/>
  </w:num>
  <w:num w:numId="12">
    <w:abstractNumId w:val="77"/>
  </w:num>
  <w:num w:numId="13">
    <w:abstractNumId w:val="80"/>
  </w:num>
  <w:num w:numId="14">
    <w:abstractNumId w:val="57"/>
  </w:num>
  <w:num w:numId="15">
    <w:abstractNumId w:val="75"/>
  </w:num>
  <w:num w:numId="16">
    <w:abstractNumId w:val="63"/>
  </w:num>
  <w:num w:numId="17">
    <w:abstractNumId w:val="59"/>
  </w:num>
  <w:num w:numId="18">
    <w:abstractNumId w:val="33"/>
  </w:num>
  <w:num w:numId="19">
    <w:abstractNumId w:val="23"/>
  </w:num>
  <w:num w:numId="20">
    <w:abstractNumId w:val="47"/>
  </w:num>
  <w:num w:numId="21">
    <w:abstractNumId w:val="79"/>
  </w:num>
  <w:num w:numId="22">
    <w:abstractNumId w:val="50"/>
  </w:num>
  <w:num w:numId="23">
    <w:abstractNumId w:val="42"/>
  </w:num>
  <w:num w:numId="24">
    <w:abstractNumId w:val="68"/>
  </w:num>
  <w:num w:numId="25">
    <w:abstractNumId w:val="18"/>
  </w:num>
  <w:num w:numId="26">
    <w:abstractNumId w:val="28"/>
  </w:num>
  <w:num w:numId="27">
    <w:abstractNumId w:val="36"/>
  </w:num>
  <w:num w:numId="28">
    <w:abstractNumId w:val="37"/>
  </w:num>
  <w:num w:numId="29">
    <w:abstractNumId w:val="44"/>
  </w:num>
  <w:num w:numId="30">
    <w:abstractNumId w:val="60"/>
  </w:num>
  <w:num w:numId="31">
    <w:abstractNumId w:val="35"/>
  </w:num>
  <w:num w:numId="32">
    <w:abstractNumId w:val="46"/>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62"/>
  </w:num>
  <w:num w:numId="46">
    <w:abstractNumId w:val="72"/>
  </w:num>
  <w:num w:numId="47">
    <w:abstractNumId w:val="39"/>
  </w:num>
  <w:num w:numId="48">
    <w:abstractNumId w:val="21"/>
  </w:num>
  <w:num w:numId="49">
    <w:abstractNumId w:val="30"/>
  </w:num>
  <w:num w:numId="50">
    <w:abstractNumId w:val="12"/>
  </w:num>
  <w:num w:numId="51">
    <w:abstractNumId w:val="83"/>
  </w:num>
  <w:num w:numId="52">
    <w:abstractNumId w:val="24"/>
  </w:num>
  <w:num w:numId="53">
    <w:abstractNumId w:val="10"/>
  </w:num>
  <w:num w:numId="54">
    <w:abstractNumId w:val="40"/>
  </w:num>
  <w:num w:numId="55">
    <w:abstractNumId w:val="48"/>
  </w:num>
  <w:num w:numId="56">
    <w:abstractNumId w:val="73"/>
  </w:num>
  <w:num w:numId="57">
    <w:abstractNumId w:val="31"/>
  </w:num>
  <w:num w:numId="58">
    <w:abstractNumId w:val="41"/>
  </w:num>
  <w:num w:numId="59">
    <w:abstractNumId w:val="71"/>
  </w:num>
  <w:num w:numId="60">
    <w:abstractNumId w:val="38"/>
  </w:num>
  <w:num w:numId="61">
    <w:abstractNumId w:val="43"/>
  </w:num>
  <w:num w:numId="62">
    <w:abstractNumId w:val="45"/>
  </w:num>
  <w:num w:numId="63">
    <w:abstractNumId w:val="54"/>
  </w:num>
  <w:num w:numId="64">
    <w:abstractNumId w:val="58"/>
  </w:num>
  <w:num w:numId="65">
    <w:abstractNumId w:val="11"/>
  </w:num>
  <w:num w:numId="66">
    <w:abstractNumId w:val="76"/>
  </w:num>
  <w:num w:numId="67">
    <w:abstractNumId w:val="82"/>
  </w:num>
  <w:num w:numId="68">
    <w:abstractNumId w:val="64"/>
  </w:num>
  <w:num w:numId="69">
    <w:abstractNumId w:val="70"/>
  </w:num>
  <w:num w:numId="70">
    <w:abstractNumId w:val="22"/>
  </w:num>
  <w:num w:numId="71">
    <w:abstractNumId w:val="17"/>
  </w:num>
  <w:num w:numId="72">
    <w:abstractNumId w:val="27"/>
  </w:num>
  <w:num w:numId="73">
    <w:abstractNumId w:val="81"/>
  </w:num>
  <w:num w:numId="74">
    <w:abstractNumId w:val="74"/>
  </w:num>
  <w:num w:numId="75">
    <w:abstractNumId w:val="34"/>
  </w:num>
  <w:num w:numId="76">
    <w:abstractNumId w:val="53"/>
  </w:num>
  <w:num w:numId="77">
    <w:abstractNumId w:val="49"/>
  </w:num>
  <w:num w:numId="78">
    <w:abstractNumId w:val="55"/>
  </w:num>
  <w:num w:numId="79">
    <w:abstractNumId w:val="56"/>
  </w:num>
  <w:num w:numId="80">
    <w:abstractNumId w:val="51"/>
  </w:num>
  <w:num w:numId="81">
    <w:abstractNumId w:val="52"/>
  </w:num>
  <w:num w:numId="82">
    <w:abstractNumId w:val="66"/>
  </w:num>
  <w:num w:numId="83">
    <w:abstractNumId w:val="20"/>
  </w:num>
  <w:num w:numId="84">
    <w:abstractNumId w:val="1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AF294861-D532-4EA3-A5EE-DBAC8EFB92CC"/>
    <w:docVar w:name="LW_COVERPAGE_TYPE" w:val="1"/>
    <w:docVar w:name="LW_CROSSREFERENCE" w:val="{SWD(2026) 253 final}"/>
    <w:docVar w:name="LW_DocType" w:val="NORMAL"/>
    <w:docVar w:name="LW_EMISSION" w:val="27.7.2026"/>
    <w:docVar w:name="LW_EMISSION_ISODATE" w:val="2026-07-2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28 iulie 2021 de aprobare a evalu\u259?rii planului de redresare \u537?i rezilien\u539?\u259? al Croa\u539?iei"/>
    <w:docVar w:name="LW_PART_NBR" w:val="1"/>
    <w:docVar w:name="LW_PART_NBR_TOTAL" w:val="1"/>
    <w:docVar w:name="LW_REF.INST.NEW" w:val="COM"/>
    <w:docVar w:name="LW_REF.INST.NEW_ADOPTED" w:val="final"/>
    <w:docVar w:name="LW_REF.INST.NEW_TEXT" w:val="(2026) 4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FA29B2"/>
    <w:rsid w:val="00006B23"/>
    <w:rsid w:val="00007D99"/>
    <w:rsid w:val="000129EA"/>
    <w:rsid w:val="00013391"/>
    <w:rsid w:val="00014722"/>
    <w:rsid w:val="000615DD"/>
    <w:rsid w:val="00061779"/>
    <w:rsid w:val="000900A8"/>
    <w:rsid w:val="00090BD4"/>
    <w:rsid w:val="00093DF8"/>
    <w:rsid w:val="000953EC"/>
    <w:rsid w:val="000A0342"/>
    <w:rsid w:val="000E426B"/>
    <w:rsid w:val="000E6519"/>
    <w:rsid w:val="00106463"/>
    <w:rsid w:val="0014242A"/>
    <w:rsid w:val="001445B3"/>
    <w:rsid w:val="00185F25"/>
    <w:rsid w:val="001A44DD"/>
    <w:rsid w:val="001B260C"/>
    <w:rsid w:val="001B638C"/>
    <w:rsid w:val="001C31CB"/>
    <w:rsid w:val="001C3C75"/>
    <w:rsid w:val="001C7EC7"/>
    <w:rsid w:val="00201D34"/>
    <w:rsid w:val="002049CE"/>
    <w:rsid w:val="002060D2"/>
    <w:rsid w:val="00207661"/>
    <w:rsid w:val="00250C66"/>
    <w:rsid w:val="00253C43"/>
    <w:rsid w:val="002717B3"/>
    <w:rsid w:val="00287BB8"/>
    <w:rsid w:val="002A0774"/>
    <w:rsid w:val="002A171C"/>
    <w:rsid w:val="002D45FC"/>
    <w:rsid w:val="002E086C"/>
    <w:rsid w:val="002E54EE"/>
    <w:rsid w:val="002F25E3"/>
    <w:rsid w:val="002F2B60"/>
    <w:rsid w:val="003204EB"/>
    <w:rsid w:val="00340CA1"/>
    <w:rsid w:val="00387047"/>
    <w:rsid w:val="003937A3"/>
    <w:rsid w:val="00393B2F"/>
    <w:rsid w:val="00395C2D"/>
    <w:rsid w:val="00396BA3"/>
    <w:rsid w:val="003A2F8B"/>
    <w:rsid w:val="003A7B1F"/>
    <w:rsid w:val="003B74D9"/>
    <w:rsid w:val="003C152A"/>
    <w:rsid w:val="003C68DB"/>
    <w:rsid w:val="003E5AF3"/>
    <w:rsid w:val="003E68B3"/>
    <w:rsid w:val="003F39E6"/>
    <w:rsid w:val="00406948"/>
    <w:rsid w:val="0042102A"/>
    <w:rsid w:val="00421BD8"/>
    <w:rsid w:val="00424223"/>
    <w:rsid w:val="00442974"/>
    <w:rsid w:val="00443A4C"/>
    <w:rsid w:val="00447754"/>
    <w:rsid w:val="00451DD6"/>
    <w:rsid w:val="0045237F"/>
    <w:rsid w:val="004567FE"/>
    <w:rsid w:val="0046170D"/>
    <w:rsid w:val="004666EB"/>
    <w:rsid w:val="004A2D17"/>
    <w:rsid w:val="004A2DD9"/>
    <w:rsid w:val="004A7B6E"/>
    <w:rsid w:val="004B53BC"/>
    <w:rsid w:val="004C1E9A"/>
    <w:rsid w:val="004C6DA2"/>
    <w:rsid w:val="004D59BB"/>
    <w:rsid w:val="004E6848"/>
    <w:rsid w:val="00517855"/>
    <w:rsid w:val="00531A4F"/>
    <w:rsid w:val="00553201"/>
    <w:rsid w:val="0056178A"/>
    <w:rsid w:val="00563DBB"/>
    <w:rsid w:val="0057749A"/>
    <w:rsid w:val="005856DE"/>
    <w:rsid w:val="00593170"/>
    <w:rsid w:val="005B7AD0"/>
    <w:rsid w:val="005B7F33"/>
    <w:rsid w:val="005D05D9"/>
    <w:rsid w:val="005D2AFA"/>
    <w:rsid w:val="005E1FDB"/>
    <w:rsid w:val="005F60D1"/>
    <w:rsid w:val="00613CE6"/>
    <w:rsid w:val="00620596"/>
    <w:rsid w:val="006224D4"/>
    <w:rsid w:val="0062413D"/>
    <w:rsid w:val="006416F1"/>
    <w:rsid w:val="00647E36"/>
    <w:rsid w:val="00656401"/>
    <w:rsid w:val="0066521D"/>
    <w:rsid w:val="00697CF4"/>
    <w:rsid w:val="006A70EB"/>
    <w:rsid w:val="006A7A84"/>
    <w:rsid w:val="006D19C3"/>
    <w:rsid w:val="006D6FC1"/>
    <w:rsid w:val="006E09AA"/>
    <w:rsid w:val="00714CCE"/>
    <w:rsid w:val="00717ED2"/>
    <w:rsid w:val="007317B5"/>
    <w:rsid w:val="00741658"/>
    <w:rsid w:val="007425F7"/>
    <w:rsid w:val="00752088"/>
    <w:rsid w:val="00760E83"/>
    <w:rsid w:val="007616AD"/>
    <w:rsid w:val="00790103"/>
    <w:rsid w:val="00793AE6"/>
    <w:rsid w:val="007C1E0F"/>
    <w:rsid w:val="007E032F"/>
    <w:rsid w:val="007F750C"/>
    <w:rsid w:val="00823FCD"/>
    <w:rsid w:val="00842375"/>
    <w:rsid w:val="00850C67"/>
    <w:rsid w:val="00862991"/>
    <w:rsid w:val="00867DAB"/>
    <w:rsid w:val="00873C41"/>
    <w:rsid w:val="008A0E13"/>
    <w:rsid w:val="008B0153"/>
    <w:rsid w:val="008B44EC"/>
    <w:rsid w:val="008E5CB3"/>
    <w:rsid w:val="008F2225"/>
    <w:rsid w:val="009040A9"/>
    <w:rsid w:val="00916730"/>
    <w:rsid w:val="00933B4B"/>
    <w:rsid w:val="0098342C"/>
    <w:rsid w:val="0099625D"/>
    <w:rsid w:val="009C5170"/>
    <w:rsid w:val="009C56BD"/>
    <w:rsid w:val="009D6D1F"/>
    <w:rsid w:val="009E086D"/>
    <w:rsid w:val="00A0565F"/>
    <w:rsid w:val="00A10A7B"/>
    <w:rsid w:val="00A14012"/>
    <w:rsid w:val="00A155EA"/>
    <w:rsid w:val="00A20CF4"/>
    <w:rsid w:val="00A24E15"/>
    <w:rsid w:val="00A656A0"/>
    <w:rsid w:val="00A74D66"/>
    <w:rsid w:val="00A75190"/>
    <w:rsid w:val="00AB6A07"/>
    <w:rsid w:val="00AC0945"/>
    <w:rsid w:val="00AD07ED"/>
    <w:rsid w:val="00AE51A5"/>
    <w:rsid w:val="00AF409D"/>
    <w:rsid w:val="00B07452"/>
    <w:rsid w:val="00B12EC5"/>
    <w:rsid w:val="00B132FF"/>
    <w:rsid w:val="00B46254"/>
    <w:rsid w:val="00B559B7"/>
    <w:rsid w:val="00B65E60"/>
    <w:rsid w:val="00B93C66"/>
    <w:rsid w:val="00BD384E"/>
    <w:rsid w:val="00BE43F5"/>
    <w:rsid w:val="00C01A15"/>
    <w:rsid w:val="00C17A19"/>
    <w:rsid w:val="00C305BB"/>
    <w:rsid w:val="00C40599"/>
    <w:rsid w:val="00C5335E"/>
    <w:rsid w:val="00C631DD"/>
    <w:rsid w:val="00C930DA"/>
    <w:rsid w:val="00C93965"/>
    <w:rsid w:val="00C9490C"/>
    <w:rsid w:val="00CA591C"/>
    <w:rsid w:val="00CC689F"/>
    <w:rsid w:val="00CD6931"/>
    <w:rsid w:val="00CE0058"/>
    <w:rsid w:val="00CE3F99"/>
    <w:rsid w:val="00D1112A"/>
    <w:rsid w:val="00D12C4F"/>
    <w:rsid w:val="00D24101"/>
    <w:rsid w:val="00D33324"/>
    <w:rsid w:val="00D37A58"/>
    <w:rsid w:val="00D63937"/>
    <w:rsid w:val="00D7200C"/>
    <w:rsid w:val="00D73CFF"/>
    <w:rsid w:val="00D84965"/>
    <w:rsid w:val="00DB4078"/>
    <w:rsid w:val="00DB4FC9"/>
    <w:rsid w:val="00DB6F68"/>
    <w:rsid w:val="00DB7632"/>
    <w:rsid w:val="00DB7D09"/>
    <w:rsid w:val="00E41CAC"/>
    <w:rsid w:val="00E5675C"/>
    <w:rsid w:val="00E5756E"/>
    <w:rsid w:val="00E61C39"/>
    <w:rsid w:val="00E647CB"/>
    <w:rsid w:val="00E72815"/>
    <w:rsid w:val="00E73BCE"/>
    <w:rsid w:val="00E77841"/>
    <w:rsid w:val="00E81876"/>
    <w:rsid w:val="00E95591"/>
    <w:rsid w:val="00EB5E6D"/>
    <w:rsid w:val="00EC05C1"/>
    <w:rsid w:val="00EC3D63"/>
    <w:rsid w:val="00ED5E3D"/>
    <w:rsid w:val="00EE7DD1"/>
    <w:rsid w:val="00F00F9A"/>
    <w:rsid w:val="00F03125"/>
    <w:rsid w:val="00F03523"/>
    <w:rsid w:val="00F120F1"/>
    <w:rsid w:val="00F15EFF"/>
    <w:rsid w:val="00F2494E"/>
    <w:rsid w:val="00F32339"/>
    <w:rsid w:val="00F832EB"/>
    <w:rsid w:val="00FA29B2"/>
    <w:rsid w:val="00FA4A92"/>
    <w:rsid w:val="00FA7C11"/>
    <w:rsid w:val="00FD08C8"/>
    <w:rsid w:val="00FD640C"/>
    <w:rsid w:val="00FF1F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477E0B"/>
  <w15:chartTrackingRefBased/>
  <w15:docId w15:val="{B58D0F32-60B5-43BF-BEFC-C00B21845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9B2"/>
  </w:style>
  <w:style w:type="paragraph" w:styleId="Heading1">
    <w:name w:val="heading 1"/>
    <w:basedOn w:val="Normal"/>
    <w:next w:val="Normal"/>
    <w:link w:val="Heading1Char"/>
    <w:uiPriority w:val="9"/>
    <w:qFormat/>
    <w:rsid w:val="00FA2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9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A2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A2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A2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9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9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9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FA29B2"/>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FA2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FA29B2"/>
    <w:rPr>
      <w:rFonts w:eastAsiaTheme="majorEastAsia" w:cstheme="majorBidi"/>
      <w:color w:val="272727" w:themeColor="text1" w:themeTint="D8"/>
    </w:rPr>
  </w:style>
  <w:style w:type="paragraph" w:styleId="Title">
    <w:name w:val="Title"/>
    <w:basedOn w:val="Normal"/>
    <w:next w:val="Normal"/>
    <w:link w:val="TitleChar"/>
    <w:uiPriority w:val="10"/>
    <w:qFormat/>
    <w:rsid w:val="00FA29B2"/>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FA29B2"/>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FA29B2"/>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FA29B2"/>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FA29B2"/>
    <w:pPr>
      <w:spacing w:before="160"/>
      <w:jc w:val="center"/>
    </w:pPr>
    <w:rPr>
      <w:i/>
      <w:iCs/>
      <w:color w:val="404040" w:themeColor="text1" w:themeTint="BF"/>
    </w:rPr>
  </w:style>
  <w:style w:type="character" w:customStyle="1" w:styleId="QuoteChar">
    <w:name w:val="Quote Char"/>
    <w:basedOn w:val="DefaultParagraphFont"/>
    <w:link w:val="Quote"/>
    <w:uiPriority w:val="29"/>
    <w:rsid w:val="00FA29B2"/>
    <w:rPr>
      <w:i/>
      <w:iCs/>
      <w:color w:val="404040" w:themeColor="text1" w:themeTint="BF"/>
    </w:rPr>
  </w:style>
  <w:style w:type="paragraph" w:styleId="ListParagraph">
    <w:name w:val="List Paragraph"/>
    <w:basedOn w:val="Normal"/>
    <w:uiPriority w:val="34"/>
    <w:qFormat/>
    <w:rsid w:val="00FA29B2"/>
    <w:pPr>
      <w:ind w:left="720"/>
      <w:contextualSpacing/>
    </w:pPr>
  </w:style>
  <w:style w:type="character" w:styleId="IntenseEmphasis">
    <w:name w:val="Intense Emphasis"/>
    <w:basedOn w:val="DefaultParagraphFont"/>
    <w:uiPriority w:val="21"/>
    <w:qFormat/>
    <w:rsid w:val="00FA29B2"/>
    <w:rPr>
      <w:i/>
      <w:iCs/>
      <w:color w:val="0F4761" w:themeColor="accent1" w:themeShade="BF"/>
    </w:rPr>
  </w:style>
  <w:style w:type="paragraph" w:styleId="IntenseQuote">
    <w:name w:val="Intense Quote"/>
    <w:basedOn w:val="Normal"/>
    <w:next w:val="Normal"/>
    <w:link w:val="IntenseQuoteChar"/>
    <w:uiPriority w:val="30"/>
    <w:qFormat/>
    <w:rsid w:val="00FA2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9B2"/>
    <w:rPr>
      <w:i/>
      <w:iCs/>
      <w:color w:val="0F4761" w:themeColor="accent1" w:themeShade="BF"/>
    </w:rPr>
  </w:style>
  <w:style w:type="character" w:styleId="IntenseReference">
    <w:name w:val="Intense Reference"/>
    <w:basedOn w:val="DefaultParagraphFont"/>
    <w:uiPriority w:val="32"/>
    <w:qFormat/>
    <w:rsid w:val="00FA29B2"/>
    <w:rPr>
      <w:b/>
      <w:bCs/>
      <w:smallCaps/>
      <w:color w:val="0F4761" w:themeColor="accent1" w:themeShade="BF"/>
    </w:rPr>
  </w:style>
  <w:style w:type="paragraph" w:customStyle="1" w:styleId="FooterText">
    <w:name w:val="Footer Text"/>
    <w:basedOn w:val="Normal"/>
    <w:unhideWhenUsed/>
    <w:rsid w:val="00FA29B2"/>
    <w:pPr>
      <w:spacing w:after="0" w:line="240" w:lineRule="auto"/>
    </w:pPr>
    <w:rPr>
      <w:rFonts w:ascii="Times New Roman" w:hAnsi="Times New Roman" w:cs="Times New Roman"/>
      <w:kern w:val="0"/>
      <w:sz w:val="24"/>
    </w:rPr>
  </w:style>
  <w:style w:type="paragraph" w:styleId="Header">
    <w:name w:val="header"/>
    <w:basedOn w:val="Normal"/>
    <w:link w:val="HeaderChar"/>
    <w:uiPriority w:val="99"/>
    <w:unhideWhenUsed/>
    <w:rsid w:val="00FA29B2"/>
    <w:pPr>
      <w:tabs>
        <w:tab w:val="right" w:pos="9638"/>
      </w:tabs>
      <w:spacing w:before="120" w:after="120" w:line="360" w:lineRule="auto"/>
    </w:pPr>
    <w:rPr>
      <w:rFonts w:ascii="Times New Roman" w:hAnsi="Times New Roman" w:cs="Times New Roman"/>
      <w:kern w:val="0"/>
      <w:sz w:val="24"/>
    </w:rPr>
  </w:style>
  <w:style w:type="character" w:customStyle="1" w:styleId="HeaderChar">
    <w:name w:val="Header Char"/>
    <w:basedOn w:val="DefaultParagraphFont"/>
    <w:link w:val="Header"/>
    <w:uiPriority w:val="99"/>
    <w:rsid w:val="00FA29B2"/>
    <w:rPr>
      <w:rFonts w:ascii="Times New Roman" w:hAnsi="Times New Roman" w:cs="Times New Roman"/>
      <w:kern w:val="0"/>
      <w:sz w:val="24"/>
    </w:rPr>
  </w:style>
  <w:style w:type="paragraph" w:styleId="Footer">
    <w:name w:val="footer"/>
    <w:basedOn w:val="Normal"/>
    <w:link w:val="FooterChar"/>
    <w:uiPriority w:val="99"/>
    <w:unhideWhenUsed/>
    <w:rsid w:val="00FA29B2"/>
    <w:pPr>
      <w:tabs>
        <w:tab w:val="center" w:pos="4819"/>
        <w:tab w:val="center" w:pos="7370"/>
        <w:tab w:val="right" w:pos="9638"/>
      </w:tabs>
      <w:spacing w:after="0" w:line="240" w:lineRule="auto"/>
    </w:pPr>
    <w:rPr>
      <w:rFonts w:ascii="Times New Roman" w:hAnsi="Times New Roman" w:cs="Times New Roman"/>
      <w:kern w:val="0"/>
      <w:sz w:val="24"/>
    </w:rPr>
  </w:style>
  <w:style w:type="character" w:customStyle="1" w:styleId="FooterChar">
    <w:name w:val="Footer Char"/>
    <w:basedOn w:val="DefaultParagraphFont"/>
    <w:link w:val="Footer"/>
    <w:uiPriority w:val="99"/>
    <w:rsid w:val="00FA29B2"/>
    <w:rPr>
      <w:rFonts w:ascii="Times New Roman" w:hAnsi="Times New Roman" w:cs="Times New Roman"/>
      <w:kern w:val="0"/>
      <w:sz w:val="24"/>
    </w:rPr>
  </w:style>
  <w:style w:type="paragraph" w:customStyle="1" w:styleId="FooterCouncil">
    <w:name w:val="Footer Council"/>
    <w:basedOn w:val="Normal"/>
    <w:link w:val="FooterCouncilChar"/>
    <w:rsid w:val="00FA29B2"/>
    <w:pPr>
      <w:spacing w:after="0" w:line="240" w:lineRule="auto"/>
    </w:pPr>
    <w:rPr>
      <w:rFonts w:ascii="Times New Roman" w:hAnsi="Times New Roman" w:cs="Times New Roman"/>
      <w:kern w:val="0"/>
      <w:sz w:val="2"/>
    </w:rPr>
  </w:style>
  <w:style w:type="paragraph" w:customStyle="1" w:styleId="paragraph">
    <w:name w:val="paragraph"/>
    <w:basedOn w:val="Normal"/>
    <w:rsid w:val="00FA29B2"/>
    <w:pPr>
      <w:spacing w:before="100" w:beforeAutospacing="1" w:after="100" w:afterAutospacing="1" w:line="240" w:lineRule="auto"/>
    </w:pPr>
    <w:rPr>
      <w:rFonts w:ascii="Times New Roman" w:eastAsia="Times New Roman" w:hAnsi="Times New Roman" w:cs="Times New Roman"/>
      <w:kern w:val="0"/>
      <w:sz w:val="24"/>
      <w:szCs w:val="20"/>
    </w:rPr>
  </w:style>
  <w:style w:type="character" w:customStyle="1" w:styleId="eop">
    <w:name w:val="eop"/>
    <w:basedOn w:val="DefaultParagraphFont"/>
    <w:rsid w:val="00FA29B2"/>
  </w:style>
  <w:style w:type="character" w:customStyle="1" w:styleId="normaltextrun">
    <w:name w:val="normaltextrun"/>
    <w:basedOn w:val="DefaultParagraphFont"/>
    <w:rsid w:val="00FA29B2"/>
  </w:style>
  <w:style w:type="character" w:customStyle="1" w:styleId="FooterCouncilChar">
    <w:name w:val="Footer Council Char"/>
    <w:basedOn w:val="DefaultParagraphFont"/>
    <w:link w:val="FooterCouncil"/>
    <w:rsid w:val="00FA29B2"/>
    <w:rPr>
      <w:rFonts w:ascii="Times New Roman" w:hAnsi="Times New Roman" w:cs="Times New Roman"/>
      <w:kern w:val="0"/>
      <w:sz w:val="2"/>
    </w:rPr>
  </w:style>
  <w:style w:type="character" w:customStyle="1" w:styleId="tabchar">
    <w:name w:val="tabchar"/>
    <w:basedOn w:val="DefaultParagraphFont"/>
    <w:rsid w:val="00FA29B2"/>
  </w:style>
  <w:style w:type="paragraph" w:styleId="Revision">
    <w:name w:val="Revision"/>
    <w:hidden/>
    <w:uiPriority w:val="99"/>
    <w:semiHidden/>
    <w:rsid w:val="00FA29B2"/>
    <w:pPr>
      <w:spacing w:after="0" w:line="240" w:lineRule="auto"/>
    </w:pPr>
    <w:rPr>
      <w:rFonts w:ascii="Times New Roman" w:hAnsi="Times New Roman" w:cs="Times New Roman"/>
      <w:kern w:val="0"/>
      <w:sz w:val="24"/>
    </w:rPr>
  </w:style>
  <w:style w:type="character" w:styleId="CommentReference">
    <w:name w:val="annotation reference"/>
    <w:basedOn w:val="DefaultParagraphFont"/>
    <w:uiPriority w:val="99"/>
    <w:semiHidden/>
    <w:unhideWhenUsed/>
    <w:rsid w:val="00FA29B2"/>
    <w:rPr>
      <w:sz w:val="16"/>
      <w:szCs w:val="16"/>
    </w:rPr>
  </w:style>
  <w:style w:type="paragraph" w:styleId="CommentText">
    <w:name w:val="annotation text"/>
    <w:basedOn w:val="Normal"/>
    <w:link w:val="CommentTextChar"/>
    <w:uiPriority w:val="99"/>
    <w:unhideWhenUsed/>
    <w:rsid w:val="00FA29B2"/>
    <w:pPr>
      <w:spacing w:before="120" w:after="120" w:line="240" w:lineRule="auto"/>
    </w:pPr>
    <w:rPr>
      <w:rFonts w:ascii="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FA29B2"/>
    <w:rPr>
      <w:rFonts w:ascii="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FA29B2"/>
    <w:rPr>
      <w:b/>
      <w:bCs/>
    </w:rPr>
  </w:style>
  <w:style w:type="character" w:customStyle="1" w:styleId="CommentSubjectChar">
    <w:name w:val="Comment Subject Char"/>
    <w:basedOn w:val="CommentTextChar"/>
    <w:link w:val="CommentSubject"/>
    <w:uiPriority w:val="99"/>
    <w:semiHidden/>
    <w:rsid w:val="00FA29B2"/>
    <w:rPr>
      <w:rFonts w:ascii="Times New Roman" w:hAnsi="Times New Roman" w:cs="Times New Roman"/>
      <w:b/>
      <w:bCs/>
      <w:kern w:val="0"/>
      <w:sz w:val="20"/>
      <w:szCs w:val="20"/>
    </w:rPr>
  </w:style>
  <w:style w:type="character" w:customStyle="1" w:styleId="Mention1">
    <w:name w:val="Mention1"/>
    <w:basedOn w:val="DefaultParagraphFont"/>
    <w:uiPriority w:val="99"/>
    <w:unhideWhenUsed/>
    <w:rsid w:val="00FA29B2"/>
    <w:rPr>
      <w:color w:val="2B579A"/>
      <w:shd w:val="clear" w:color="auto" w:fill="E1DFDD"/>
    </w:rPr>
  </w:style>
  <w:style w:type="paragraph" w:styleId="FootnoteText">
    <w:name w:val="footnote text"/>
    <w:basedOn w:val="Normal"/>
    <w:link w:val="FootnoteTextChar"/>
    <w:uiPriority w:val="99"/>
    <w:unhideWhenUsed/>
    <w:rsid w:val="00FA29B2"/>
    <w:pPr>
      <w:spacing w:after="0" w:line="240" w:lineRule="auto"/>
      <w:ind w:left="720" w:hanging="720"/>
    </w:pPr>
    <w:rPr>
      <w:rFonts w:ascii="Times New Roman" w:hAnsi="Times New Roman" w:cs="Times New Roman"/>
      <w:kern w:val="0"/>
      <w:sz w:val="24"/>
      <w:szCs w:val="20"/>
    </w:rPr>
  </w:style>
  <w:style w:type="character" w:customStyle="1" w:styleId="FootnoteTextChar">
    <w:name w:val="Footnote Text Char"/>
    <w:basedOn w:val="DefaultParagraphFont"/>
    <w:link w:val="FootnoteText"/>
    <w:uiPriority w:val="99"/>
    <w:rsid w:val="00FA29B2"/>
    <w:rPr>
      <w:rFonts w:ascii="Times New Roman" w:hAnsi="Times New Roman" w:cs="Times New Roman"/>
      <w:kern w:val="0"/>
      <w:sz w:val="24"/>
      <w:szCs w:val="20"/>
    </w:rPr>
  </w:style>
  <w:style w:type="character" w:styleId="FootnoteReference">
    <w:name w:val="footnote reference"/>
    <w:basedOn w:val="DefaultParagraphFont"/>
    <w:uiPriority w:val="99"/>
    <w:unhideWhenUsed/>
    <w:rsid w:val="00FA29B2"/>
    <w:rPr>
      <w:b/>
      <w:shd w:val="clear" w:color="auto" w:fill="auto"/>
      <w:vertAlign w:val="superscript"/>
    </w:rPr>
  </w:style>
  <w:style w:type="paragraph" w:customStyle="1" w:styleId="Text1">
    <w:name w:val="Text 1"/>
    <w:basedOn w:val="Normal"/>
    <w:rsid w:val="00FA29B2"/>
    <w:pPr>
      <w:spacing w:before="120" w:after="120" w:line="360" w:lineRule="auto"/>
      <w:ind w:left="567"/>
    </w:pPr>
    <w:rPr>
      <w:rFonts w:ascii="Times New Roman" w:hAnsi="Times New Roman" w:cs="Times New Roman"/>
      <w:kern w:val="0"/>
      <w:sz w:val="24"/>
    </w:rPr>
  </w:style>
  <w:style w:type="character" w:customStyle="1" w:styleId="Bodytext2">
    <w:name w:val="Body text|2_"/>
    <w:basedOn w:val="DefaultParagraphFont"/>
    <w:link w:val="Bodytext20"/>
    <w:rsid w:val="00FA29B2"/>
    <w:rPr>
      <w:rFonts w:ascii="Cambria Math" w:eastAsia="Cambria Math" w:hAnsi="Cambria Math" w:cs="Cambria Math"/>
      <w:sz w:val="21"/>
      <w:shd w:val="clear" w:color="auto" w:fill="FFFFFF"/>
    </w:rPr>
  </w:style>
  <w:style w:type="paragraph" w:customStyle="1" w:styleId="Bodytext20">
    <w:name w:val="Body text|2"/>
    <w:basedOn w:val="Normal"/>
    <w:link w:val="Bodytext2"/>
    <w:qFormat/>
    <w:rsid w:val="00FA29B2"/>
    <w:pPr>
      <w:widowControl w:val="0"/>
      <w:shd w:val="clear" w:color="auto" w:fill="FFFFFF"/>
      <w:spacing w:before="200" w:after="60" w:line="293" w:lineRule="exact"/>
      <w:ind w:hanging="380"/>
      <w:jc w:val="both"/>
    </w:pPr>
    <w:rPr>
      <w:rFonts w:ascii="Cambria Math" w:eastAsia="Cambria Math" w:hAnsi="Cambria Math" w:cs="Cambria Math"/>
      <w:sz w:val="21"/>
    </w:rPr>
  </w:style>
  <w:style w:type="character" w:styleId="Hyperlink">
    <w:name w:val="Hyperlink"/>
    <w:basedOn w:val="DefaultParagraphFont"/>
    <w:uiPriority w:val="99"/>
    <w:unhideWhenUsed/>
    <w:rsid w:val="00FA29B2"/>
    <w:rPr>
      <w:color w:val="467886" w:themeColor="hyperlink"/>
      <w:u w:val="single"/>
    </w:rPr>
  </w:style>
  <w:style w:type="character" w:customStyle="1" w:styleId="UnresolvedMention1">
    <w:name w:val="Unresolved Mention1"/>
    <w:basedOn w:val="DefaultParagraphFont"/>
    <w:uiPriority w:val="99"/>
    <w:unhideWhenUsed/>
    <w:rsid w:val="00FA29B2"/>
    <w:rPr>
      <w:color w:val="605E5C"/>
      <w:shd w:val="clear" w:color="auto" w:fill="E1DFDD"/>
    </w:rPr>
  </w:style>
  <w:style w:type="paragraph" w:styleId="BalloonText">
    <w:name w:val="Balloon Text"/>
    <w:basedOn w:val="Normal"/>
    <w:link w:val="BalloonTextChar"/>
    <w:uiPriority w:val="99"/>
    <w:semiHidden/>
    <w:unhideWhenUsed/>
    <w:rsid w:val="00FA29B2"/>
    <w:pPr>
      <w:spacing w:after="0" w:line="240" w:lineRule="auto"/>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FA29B2"/>
    <w:rPr>
      <w:rFonts w:ascii="Segoe UI" w:hAnsi="Segoe UI" w:cs="Segoe UI"/>
      <w:kern w:val="0"/>
      <w:sz w:val="18"/>
      <w:szCs w:val="18"/>
    </w:rPr>
  </w:style>
  <w:style w:type="paragraph" w:styleId="NormalWeb">
    <w:name w:val="Normal (Web)"/>
    <w:basedOn w:val="Normal"/>
    <w:uiPriority w:val="99"/>
    <w:semiHidden/>
    <w:unhideWhenUsed/>
    <w:rsid w:val="00FA29B2"/>
    <w:pPr>
      <w:spacing w:before="120" w:after="120" w:line="360" w:lineRule="auto"/>
    </w:pPr>
    <w:rPr>
      <w:rFonts w:ascii="Times New Roman" w:hAnsi="Times New Roman" w:cs="Times New Roman"/>
      <w:kern w:val="0"/>
      <w:sz w:val="24"/>
      <w:szCs w:val="24"/>
    </w:rPr>
  </w:style>
  <w:style w:type="paragraph" w:customStyle="1" w:styleId="TechnicalBlock">
    <w:name w:val="Technical Block"/>
    <w:basedOn w:val="Normal"/>
    <w:next w:val="Normal"/>
    <w:link w:val="TechnicalBlockChar"/>
    <w:rsid w:val="00FA29B2"/>
    <w:pPr>
      <w:spacing w:after="240" w:line="240" w:lineRule="auto"/>
      <w:jc w:val="center"/>
    </w:pPr>
    <w:rPr>
      <w:rFonts w:ascii="Times New Roman" w:hAnsi="Times New Roman" w:cs="Times New Roman"/>
      <w:kern w:val="0"/>
      <w:sz w:val="24"/>
    </w:rPr>
  </w:style>
  <w:style w:type="character" w:customStyle="1" w:styleId="TechnicalBlockChar">
    <w:name w:val="Technical Block Char"/>
    <w:basedOn w:val="DefaultParagraphFont"/>
    <w:link w:val="TechnicalBlock"/>
    <w:rsid w:val="00FA29B2"/>
    <w:rPr>
      <w:rFonts w:ascii="Times New Roman" w:hAnsi="Times New Roman" w:cs="Times New Roman"/>
      <w:kern w:val="0"/>
      <w:sz w:val="24"/>
    </w:rPr>
  </w:style>
  <w:style w:type="paragraph" w:customStyle="1" w:styleId="TechnicalBlockBase">
    <w:name w:val="TechnicalBlockBase"/>
    <w:link w:val="TechnicalBlockBaseChar"/>
    <w:rsid w:val="00FA29B2"/>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FA29B2"/>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FA29B2"/>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FA29B2"/>
    <w:rPr>
      <w:rFonts w:ascii="Arial" w:eastAsia="Times New Roman" w:hAnsi="Arial" w:cs="Arial"/>
      <w:b/>
      <w:kern w:val="0"/>
      <w:sz w:val="23"/>
      <w:szCs w:val="20"/>
      <w:u w:color="606060"/>
    </w:rPr>
  </w:style>
  <w:style w:type="paragraph" w:customStyle="1" w:styleId="TBDistrbMarkers">
    <w:name w:val="TBDistrbMarkers"/>
    <w:basedOn w:val="TBEntRefer"/>
    <w:qFormat/>
    <w:rsid w:val="00FA29B2"/>
    <w:pPr>
      <w:tabs>
        <w:tab w:val="left" w:pos="2262"/>
      </w:tabs>
    </w:pPr>
    <w:rPr>
      <w:i/>
      <w:iCs/>
      <w:szCs w:val="23"/>
    </w:rPr>
  </w:style>
  <w:style w:type="paragraph" w:customStyle="1" w:styleId="TBEntACP">
    <w:name w:val="TBEntACP"/>
    <w:basedOn w:val="TechnicalBlockBase"/>
    <w:rsid w:val="00FA29B2"/>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FA29B2"/>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FA29B2"/>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FA29B2"/>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FA29B2"/>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FA29B2"/>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FA29B2"/>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FA29B2"/>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FA29B2"/>
    <w:rPr>
      <w:rFonts w:ascii="Arial" w:eastAsia="Times New Roman" w:hAnsi="Arial" w:cs="Arial"/>
      <w:b/>
      <w:kern w:val="0"/>
      <w:sz w:val="23"/>
      <w:szCs w:val="20"/>
      <w:u w:color="606060"/>
    </w:rPr>
  </w:style>
  <w:style w:type="paragraph" w:customStyle="1" w:styleId="TBSubjectTable">
    <w:name w:val="TBSubjectTable"/>
    <w:basedOn w:val="TechnicalBlockBase"/>
    <w:rsid w:val="00FA29B2"/>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FA29B2"/>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FA29B2"/>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FA29B2"/>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FA29B2"/>
    <w:pPr>
      <w:widowControl/>
      <w:spacing w:before="40" w:after="40" w:line="240" w:lineRule="auto"/>
      <w:ind w:left="0" w:right="0"/>
    </w:pPr>
    <w:rPr>
      <w:rFonts w:ascii="Arial" w:hAnsi="Arial"/>
      <w:b w:val="0"/>
      <w:i w:val="0"/>
      <w:dstrike w:val="0"/>
      <w:color w:val="auto"/>
      <w:sz w:val="23"/>
      <w:u w:val="none"/>
    </w:rPr>
  </w:style>
  <w:style w:type="paragraph" w:customStyle="1" w:styleId="HeaderCouncilLarge">
    <w:name w:val="Header Council Large"/>
    <w:basedOn w:val="Normal"/>
    <w:link w:val="HeaderCouncilLargeChar"/>
    <w:unhideWhenUsed/>
    <w:rsid w:val="00FA29B2"/>
    <w:pPr>
      <w:spacing w:after="440" w:line="360" w:lineRule="auto"/>
    </w:pPr>
    <w:rPr>
      <w:rFonts w:ascii="Times New Roman" w:hAnsi="Times New Roman" w:cs="Times New Roman"/>
      <w:kern w:val="0"/>
      <w:sz w:val="2"/>
    </w:rPr>
  </w:style>
  <w:style w:type="paragraph" w:customStyle="1" w:styleId="NormalCentered">
    <w:name w:val="Normal Centered"/>
    <w:basedOn w:val="Normal"/>
    <w:rsid w:val="00FA29B2"/>
    <w:pPr>
      <w:spacing w:before="200" w:after="120" w:line="360" w:lineRule="auto"/>
      <w:jc w:val="center"/>
    </w:pPr>
    <w:rPr>
      <w:rFonts w:ascii="Times New Roman" w:hAnsi="Times New Roman" w:cs="Times New Roman"/>
      <w:kern w:val="0"/>
      <w:sz w:val="24"/>
    </w:rPr>
  </w:style>
  <w:style w:type="paragraph" w:customStyle="1" w:styleId="NormalRight">
    <w:name w:val="Normal Right"/>
    <w:basedOn w:val="Normal"/>
    <w:rsid w:val="00FA29B2"/>
    <w:pPr>
      <w:spacing w:before="200" w:after="120" w:line="360" w:lineRule="auto"/>
      <w:jc w:val="right"/>
    </w:pPr>
    <w:rPr>
      <w:rFonts w:ascii="Times New Roman" w:hAnsi="Times New Roman" w:cs="Times New Roman"/>
      <w:kern w:val="0"/>
      <w:sz w:val="24"/>
    </w:rPr>
  </w:style>
  <w:style w:type="paragraph" w:customStyle="1" w:styleId="NormalJustified">
    <w:name w:val="Normal Justified"/>
    <w:basedOn w:val="Normal"/>
    <w:rsid w:val="00FA29B2"/>
    <w:pPr>
      <w:spacing w:before="200" w:after="120" w:line="360" w:lineRule="auto"/>
      <w:jc w:val="both"/>
    </w:pPr>
    <w:rPr>
      <w:rFonts w:ascii="Times New Roman" w:hAnsi="Times New Roman" w:cs="Times New Roman"/>
      <w:kern w:val="0"/>
      <w:sz w:val="24"/>
    </w:rPr>
  </w:style>
  <w:style w:type="paragraph" w:customStyle="1" w:styleId="HeaderLandscape">
    <w:name w:val="HeaderLandscape"/>
    <w:basedOn w:val="Normal"/>
    <w:rsid w:val="00FA29B2"/>
    <w:pPr>
      <w:tabs>
        <w:tab w:val="right" w:pos="14570"/>
      </w:tabs>
      <w:spacing w:before="120" w:after="120" w:line="360" w:lineRule="auto"/>
    </w:pPr>
    <w:rPr>
      <w:rFonts w:ascii="Times New Roman" w:hAnsi="Times New Roman" w:cs="Times New Roman"/>
      <w:kern w:val="0"/>
      <w:sz w:val="24"/>
    </w:rPr>
  </w:style>
  <w:style w:type="paragraph" w:customStyle="1" w:styleId="FooterLandscape">
    <w:name w:val="FooterLandscape"/>
    <w:basedOn w:val="Normal"/>
    <w:rsid w:val="00FA29B2"/>
    <w:pPr>
      <w:tabs>
        <w:tab w:val="center" w:pos="7285"/>
        <w:tab w:val="center" w:pos="10930"/>
        <w:tab w:val="right" w:pos="14570"/>
      </w:tabs>
      <w:spacing w:after="0" w:line="240" w:lineRule="auto"/>
    </w:pPr>
    <w:rPr>
      <w:rFonts w:ascii="Times New Roman" w:hAnsi="Times New Roman" w:cs="Times New Roman"/>
      <w:kern w:val="0"/>
      <w:sz w:val="24"/>
    </w:rPr>
  </w:style>
  <w:style w:type="paragraph" w:customStyle="1" w:styleId="HeaderCouncil">
    <w:name w:val="Header Council"/>
    <w:basedOn w:val="Normal"/>
    <w:link w:val="HeaderCouncilChar"/>
    <w:rsid w:val="00FA29B2"/>
    <w:pPr>
      <w:spacing w:after="0" w:line="240" w:lineRule="auto"/>
    </w:pPr>
    <w:rPr>
      <w:rFonts w:ascii="Times New Roman" w:hAnsi="Times New Roman" w:cs="Times New Roman"/>
      <w:kern w:val="0"/>
      <w:sz w:val="2"/>
    </w:rPr>
  </w:style>
  <w:style w:type="paragraph" w:customStyle="1" w:styleId="FinalLine">
    <w:name w:val="Final Line"/>
    <w:basedOn w:val="Normal"/>
    <w:next w:val="Normal"/>
    <w:rsid w:val="00FA29B2"/>
    <w:pPr>
      <w:pBdr>
        <w:bottom w:val="single" w:sz="4" w:space="0" w:color="000000"/>
      </w:pBdr>
      <w:spacing w:before="360" w:after="120" w:line="360" w:lineRule="auto"/>
      <w:ind w:left="3400" w:right="3400"/>
      <w:jc w:val="center"/>
    </w:pPr>
    <w:rPr>
      <w:rFonts w:ascii="Times New Roman" w:hAnsi="Times New Roman" w:cs="Times New Roman"/>
      <w:b/>
      <w:kern w:val="0"/>
      <w:sz w:val="24"/>
    </w:rPr>
  </w:style>
  <w:style w:type="paragraph" w:customStyle="1" w:styleId="FinalLineLandscape">
    <w:name w:val="Final Line (Landscape)"/>
    <w:basedOn w:val="Normal"/>
    <w:next w:val="Normal"/>
    <w:rsid w:val="00FA29B2"/>
    <w:pPr>
      <w:pBdr>
        <w:bottom w:val="single" w:sz="4" w:space="0" w:color="000000"/>
      </w:pBdr>
      <w:spacing w:before="360" w:after="120" w:line="360" w:lineRule="auto"/>
      <w:ind w:left="5868" w:right="5868"/>
      <w:jc w:val="center"/>
    </w:pPr>
    <w:rPr>
      <w:rFonts w:ascii="Times New Roman" w:hAnsi="Times New Roman" w:cs="Times New Roman"/>
      <w:b/>
      <w:kern w:val="0"/>
      <w:sz w:val="24"/>
    </w:rPr>
  </w:style>
  <w:style w:type="paragraph" w:customStyle="1" w:styleId="Text2">
    <w:name w:val="Text 2"/>
    <w:basedOn w:val="Normal"/>
    <w:rsid w:val="00FA29B2"/>
    <w:pPr>
      <w:spacing w:before="120" w:after="120" w:line="360" w:lineRule="auto"/>
      <w:ind w:left="1134"/>
    </w:pPr>
    <w:rPr>
      <w:rFonts w:ascii="Times New Roman" w:hAnsi="Times New Roman" w:cs="Times New Roman"/>
      <w:kern w:val="0"/>
      <w:sz w:val="24"/>
    </w:rPr>
  </w:style>
  <w:style w:type="paragraph" w:customStyle="1" w:styleId="Text3">
    <w:name w:val="Text 3"/>
    <w:basedOn w:val="Normal"/>
    <w:rsid w:val="00FA29B2"/>
    <w:pPr>
      <w:spacing w:before="120" w:after="120" w:line="360" w:lineRule="auto"/>
      <w:ind w:left="1701"/>
    </w:pPr>
    <w:rPr>
      <w:rFonts w:ascii="Times New Roman" w:hAnsi="Times New Roman" w:cs="Times New Roman"/>
      <w:kern w:val="0"/>
      <w:sz w:val="24"/>
    </w:rPr>
  </w:style>
  <w:style w:type="paragraph" w:customStyle="1" w:styleId="Text4">
    <w:name w:val="Text 4"/>
    <w:basedOn w:val="Normal"/>
    <w:rsid w:val="00FA29B2"/>
    <w:pPr>
      <w:spacing w:before="120" w:after="120" w:line="360" w:lineRule="auto"/>
      <w:ind w:left="2268"/>
    </w:pPr>
    <w:rPr>
      <w:rFonts w:ascii="Times New Roman" w:hAnsi="Times New Roman" w:cs="Times New Roman"/>
      <w:kern w:val="0"/>
      <w:sz w:val="24"/>
    </w:rPr>
  </w:style>
  <w:style w:type="paragraph" w:customStyle="1" w:styleId="Text5">
    <w:name w:val="Text 5"/>
    <w:basedOn w:val="Normal"/>
    <w:rsid w:val="00FA29B2"/>
    <w:pPr>
      <w:spacing w:before="120" w:after="120" w:line="360" w:lineRule="auto"/>
      <w:ind w:left="2835"/>
    </w:pPr>
    <w:rPr>
      <w:rFonts w:ascii="Times New Roman" w:hAnsi="Times New Roman" w:cs="Times New Roman"/>
      <w:kern w:val="0"/>
      <w:sz w:val="24"/>
    </w:rPr>
  </w:style>
  <w:style w:type="paragraph" w:customStyle="1" w:styleId="Text6">
    <w:name w:val="Text 6"/>
    <w:basedOn w:val="Normal"/>
    <w:rsid w:val="00FA29B2"/>
    <w:pPr>
      <w:spacing w:before="120" w:after="120" w:line="360" w:lineRule="auto"/>
      <w:ind w:left="3402"/>
    </w:pPr>
    <w:rPr>
      <w:rFonts w:ascii="Times New Roman" w:hAnsi="Times New Roman" w:cs="Times New Roman"/>
      <w:kern w:val="0"/>
      <w:sz w:val="24"/>
    </w:rPr>
  </w:style>
  <w:style w:type="paragraph" w:customStyle="1" w:styleId="PointManual">
    <w:name w:val="Point Manual"/>
    <w:basedOn w:val="Normal"/>
    <w:rsid w:val="00FA29B2"/>
    <w:pPr>
      <w:spacing w:before="120" w:after="120" w:line="360" w:lineRule="auto"/>
      <w:ind w:left="567" w:hanging="567"/>
    </w:pPr>
    <w:rPr>
      <w:rFonts w:ascii="Times New Roman" w:hAnsi="Times New Roman" w:cs="Times New Roman"/>
      <w:kern w:val="0"/>
      <w:sz w:val="24"/>
    </w:rPr>
  </w:style>
  <w:style w:type="paragraph" w:customStyle="1" w:styleId="PointManual1">
    <w:name w:val="Point Manual (1)"/>
    <w:basedOn w:val="Normal"/>
    <w:rsid w:val="00FA29B2"/>
    <w:pPr>
      <w:spacing w:before="120" w:after="120" w:line="360" w:lineRule="auto"/>
      <w:ind w:left="1134" w:hanging="567"/>
    </w:pPr>
    <w:rPr>
      <w:rFonts w:ascii="Times New Roman" w:hAnsi="Times New Roman" w:cs="Times New Roman"/>
      <w:kern w:val="0"/>
      <w:sz w:val="24"/>
    </w:rPr>
  </w:style>
  <w:style w:type="paragraph" w:customStyle="1" w:styleId="PointManual2">
    <w:name w:val="Point Manual (2)"/>
    <w:basedOn w:val="Normal"/>
    <w:rsid w:val="00FA29B2"/>
    <w:pPr>
      <w:spacing w:before="120" w:after="120" w:line="360" w:lineRule="auto"/>
      <w:ind w:left="1701" w:hanging="567"/>
    </w:pPr>
    <w:rPr>
      <w:rFonts w:ascii="Times New Roman" w:hAnsi="Times New Roman" w:cs="Times New Roman"/>
      <w:kern w:val="0"/>
      <w:sz w:val="24"/>
    </w:rPr>
  </w:style>
  <w:style w:type="paragraph" w:customStyle="1" w:styleId="PointManual3">
    <w:name w:val="Point Manual (3)"/>
    <w:basedOn w:val="Normal"/>
    <w:rsid w:val="00FA29B2"/>
    <w:pPr>
      <w:spacing w:before="120" w:after="120" w:line="360" w:lineRule="auto"/>
      <w:ind w:left="2268" w:hanging="567"/>
    </w:pPr>
    <w:rPr>
      <w:rFonts w:ascii="Times New Roman" w:hAnsi="Times New Roman" w:cs="Times New Roman"/>
      <w:kern w:val="0"/>
      <w:sz w:val="24"/>
    </w:rPr>
  </w:style>
  <w:style w:type="paragraph" w:customStyle="1" w:styleId="PointManual4">
    <w:name w:val="Point Manual (4)"/>
    <w:basedOn w:val="Normal"/>
    <w:rsid w:val="00FA29B2"/>
    <w:pPr>
      <w:spacing w:before="120" w:after="120" w:line="360" w:lineRule="auto"/>
      <w:ind w:left="2835" w:hanging="567"/>
    </w:pPr>
    <w:rPr>
      <w:rFonts w:ascii="Times New Roman" w:hAnsi="Times New Roman" w:cs="Times New Roman"/>
      <w:kern w:val="0"/>
      <w:sz w:val="24"/>
    </w:rPr>
  </w:style>
  <w:style w:type="paragraph" w:customStyle="1" w:styleId="PointDoubleManual">
    <w:name w:val="Point Double Manual"/>
    <w:basedOn w:val="Normal"/>
    <w:rsid w:val="00FA29B2"/>
    <w:pPr>
      <w:tabs>
        <w:tab w:val="left" w:pos="567"/>
      </w:tabs>
      <w:spacing w:before="120" w:after="120" w:line="360" w:lineRule="auto"/>
      <w:ind w:left="1134" w:hanging="1134"/>
    </w:pPr>
    <w:rPr>
      <w:rFonts w:ascii="Times New Roman" w:hAnsi="Times New Roman" w:cs="Times New Roman"/>
      <w:kern w:val="0"/>
      <w:sz w:val="24"/>
    </w:rPr>
  </w:style>
  <w:style w:type="paragraph" w:customStyle="1" w:styleId="PointDoubleManual1">
    <w:name w:val="Point Double Manual (1)"/>
    <w:basedOn w:val="Normal"/>
    <w:rsid w:val="00FA29B2"/>
    <w:pPr>
      <w:tabs>
        <w:tab w:val="left" w:pos="1134"/>
      </w:tabs>
      <w:spacing w:before="120" w:after="120" w:line="360" w:lineRule="auto"/>
      <w:ind w:left="1701" w:hanging="1134"/>
    </w:pPr>
    <w:rPr>
      <w:rFonts w:ascii="Times New Roman" w:hAnsi="Times New Roman" w:cs="Times New Roman"/>
      <w:kern w:val="0"/>
      <w:sz w:val="24"/>
    </w:rPr>
  </w:style>
  <w:style w:type="paragraph" w:customStyle="1" w:styleId="PointDoubleManual2">
    <w:name w:val="Point Double Manual (2)"/>
    <w:basedOn w:val="Normal"/>
    <w:rsid w:val="00FA29B2"/>
    <w:pPr>
      <w:tabs>
        <w:tab w:val="left" w:pos="1701"/>
      </w:tabs>
      <w:spacing w:before="120" w:after="120" w:line="360" w:lineRule="auto"/>
      <w:ind w:left="2268" w:hanging="1134"/>
    </w:pPr>
    <w:rPr>
      <w:rFonts w:ascii="Times New Roman" w:hAnsi="Times New Roman" w:cs="Times New Roman"/>
      <w:kern w:val="0"/>
      <w:sz w:val="24"/>
    </w:rPr>
  </w:style>
  <w:style w:type="paragraph" w:customStyle="1" w:styleId="PointDoubleManual3">
    <w:name w:val="Point Double Manual (3)"/>
    <w:basedOn w:val="Normal"/>
    <w:rsid w:val="00FA29B2"/>
    <w:pPr>
      <w:tabs>
        <w:tab w:val="left" w:pos="2268"/>
      </w:tabs>
      <w:spacing w:before="120" w:after="120" w:line="360" w:lineRule="auto"/>
      <w:ind w:left="2835" w:hanging="1134"/>
    </w:pPr>
    <w:rPr>
      <w:rFonts w:ascii="Times New Roman" w:hAnsi="Times New Roman" w:cs="Times New Roman"/>
      <w:kern w:val="0"/>
      <w:sz w:val="24"/>
    </w:rPr>
  </w:style>
  <w:style w:type="paragraph" w:customStyle="1" w:styleId="PointDoubleManual4">
    <w:name w:val="Point Double Manual (4)"/>
    <w:basedOn w:val="Normal"/>
    <w:rsid w:val="00FA29B2"/>
    <w:pPr>
      <w:tabs>
        <w:tab w:val="left" w:pos="2835"/>
      </w:tabs>
      <w:spacing w:before="120" w:after="120" w:line="360" w:lineRule="auto"/>
      <w:ind w:left="3402" w:hanging="1134"/>
    </w:pPr>
    <w:rPr>
      <w:rFonts w:ascii="Times New Roman" w:hAnsi="Times New Roman" w:cs="Times New Roman"/>
      <w:kern w:val="0"/>
      <w:sz w:val="24"/>
    </w:rPr>
  </w:style>
  <w:style w:type="paragraph" w:customStyle="1" w:styleId="Pointabc">
    <w:name w:val="Point abc"/>
    <w:basedOn w:val="Normal"/>
    <w:rsid w:val="00FA29B2"/>
    <w:pPr>
      <w:numPr>
        <w:ilvl w:val="1"/>
        <w:numId w:val="1"/>
      </w:numPr>
      <w:tabs>
        <w:tab w:val="clear" w:pos="567"/>
        <w:tab w:val="num" w:pos="360"/>
      </w:tabs>
      <w:spacing w:before="120" w:after="120" w:line="360" w:lineRule="auto"/>
      <w:ind w:left="0" w:firstLine="0"/>
    </w:pPr>
    <w:rPr>
      <w:rFonts w:ascii="Times New Roman" w:hAnsi="Times New Roman" w:cs="Times New Roman"/>
      <w:kern w:val="0"/>
      <w:sz w:val="24"/>
    </w:rPr>
  </w:style>
  <w:style w:type="paragraph" w:customStyle="1" w:styleId="Pointabc1">
    <w:name w:val="Point abc (1)"/>
    <w:basedOn w:val="Normal"/>
    <w:rsid w:val="00FA29B2"/>
    <w:pPr>
      <w:numPr>
        <w:ilvl w:val="3"/>
        <w:numId w:val="1"/>
      </w:numPr>
      <w:tabs>
        <w:tab w:val="clear" w:pos="1134"/>
        <w:tab w:val="num" w:pos="360"/>
      </w:tabs>
      <w:spacing w:before="120" w:after="120" w:line="360" w:lineRule="auto"/>
      <w:ind w:left="0" w:firstLine="0"/>
    </w:pPr>
    <w:rPr>
      <w:rFonts w:ascii="Times New Roman" w:hAnsi="Times New Roman" w:cs="Times New Roman"/>
      <w:kern w:val="0"/>
      <w:sz w:val="24"/>
    </w:rPr>
  </w:style>
  <w:style w:type="paragraph" w:customStyle="1" w:styleId="Pointabc2">
    <w:name w:val="Point abc (2)"/>
    <w:basedOn w:val="Normal"/>
    <w:rsid w:val="00FA29B2"/>
    <w:pPr>
      <w:numPr>
        <w:ilvl w:val="5"/>
        <w:numId w:val="1"/>
      </w:numPr>
      <w:tabs>
        <w:tab w:val="clear" w:pos="1701"/>
        <w:tab w:val="num" w:pos="360"/>
      </w:tabs>
      <w:spacing w:before="120" w:after="120" w:line="360" w:lineRule="auto"/>
      <w:ind w:left="0" w:firstLine="0"/>
    </w:pPr>
    <w:rPr>
      <w:rFonts w:ascii="Times New Roman" w:hAnsi="Times New Roman" w:cs="Times New Roman"/>
      <w:kern w:val="0"/>
      <w:sz w:val="24"/>
    </w:rPr>
  </w:style>
  <w:style w:type="paragraph" w:customStyle="1" w:styleId="Pointabc3">
    <w:name w:val="Point abc (3)"/>
    <w:basedOn w:val="Normal"/>
    <w:rsid w:val="00FA29B2"/>
    <w:pPr>
      <w:numPr>
        <w:ilvl w:val="7"/>
        <w:numId w:val="1"/>
      </w:numPr>
      <w:tabs>
        <w:tab w:val="clear" w:pos="2268"/>
        <w:tab w:val="num" w:pos="360"/>
      </w:tabs>
      <w:spacing w:before="120" w:after="120" w:line="360" w:lineRule="auto"/>
      <w:ind w:left="0" w:firstLine="0"/>
    </w:pPr>
    <w:rPr>
      <w:rFonts w:ascii="Times New Roman" w:hAnsi="Times New Roman" w:cs="Times New Roman"/>
      <w:kern w:val="0"/>
      <w:sz w:val="24"/>
    </w:rPr>
  </w:style>
  <w:style w:type="paragraph" w:customStyle="1" w:styleId="Pointabc4">
    <w:name w:val="Point abc (4)"/>
    <w:basedOn w:val="Normal"/>
    <w:rsid w:val="00FA29B2"/>
    <w:pPr>
      <w:numPr>
        <w:ilvl w:val="8"/>
        <w:numId w:val="1"/>
      </w:numPr>
      <w:tabs>
        <w:tab w:val="clear" w:pos="2835"/>
        <w:tab w:val="num" w:pos="360"/>
      </w:tabs>
      <w:spacing w:before="120" w:after="120" w:line="360" w:lineRule="auto"/>
      <w:ind w:left="0" w:firstLine="0"/>
    </w:pPr>
    <w:rPr>
      <w:rFonts w:ascii="Times New Roman" w:hAnsi="Times New Roman" w:cs="Times New Roman"/>
      <w:kern w:val="0"/>
      <w:sz w:val="24"/>
    </w:rPr>
  </w:style>
  <w:style w:type="paragraph" w:customStyle="1" w:styleId="Point123">
    <w:name w:val="Point 123"/>
    <w:basedOn w:val="Normal"/>
    <w:rsid w:val="00FA29B2"/>
    <w:pPr>
      <w:numPr>
        <w:numId w:val="1"/>
      </w:numPr>
      <w:tabs>
        <w:tab w:val="clear" w:pos="567"/>
        <w:tab w:val="num" w:pos="360"/>
      </w:tabs>
      <w:spacing w:before="120" w:after="120" w:line="360" w:lineRule="auto"/>
      <w:ind w:left="0" w:firstLine="0"/>
    </w:pPr>
    <w:rPr>
      <w:rFonts w:ascii="Times New Roman" w:hAnsi="Times New Roman" w:cs="Times New Roman"/>
      <w:kern w:val="0"/>
      <w:sz w:val="24"/>
    </w:rPr>
  </w:style>
  <w:style w:type="paragraph" w:customStyle="1" w:styleId="Point1231">
    <w:name w:val="Point 123 (1)"/>
    <w:basedOn w:val="Normal"/>
    <w:rsid w:val="00FA29B2"/>
    <w:pPr>
      <w:numPr>
        <w:ilvl w:val="2"/>
        <w:numId w:val="1"/>
      </w:numPr>
      <w:tabs>
        <w:tab w:val="clear" w:pos="1134"/>
        <w:tab w:val="num" w:pos="360"/>
      </w:tabs>
      <w:spacing w:before="120" w:after="120" w:line="360" w:lineRule="auto"/>
      <w:ind w:left="0" w:firstLine="0"/>
    </w:pPr>
    <w:rPr>
      <w:rFonts w:ascii="Times New Roman" w:hAnsi="Times New Roman" w:cs="Times New Roman"/>
      <w:kern w:val="0"/>
      <w:sz w:val="24"/>
    </w:rPr>
  </w:style>
  <w:style w:type="paragraph" w:customStyle="1" w:styleId="Point1232">
    <w:name w:val="Point 123 (2)"/>
    <w:basedOn w:val="Normal"/>
    <w:rsid w:val="00FA29B2"/>
    <w:pPr>
      <w:numPr>
        <w:ilvl w:val="4"/>
        <w:numId w:val="1"/>
      </w:numPr>
      <w:tabs>
        <w:tab w:val="clear" w:pos="1701"/>
        <w:tab w:val="num" w:pos="360"/>
      </w:tabs>
      <w:spacing w:before="120" w:after="120" w:line="360" w:lineRule="auto"/>
      <w:ind w:left="0" w:firstLine="0"/>
    </w:pPr>
    <w:rPr>
      <w:rFonts w:ascii="Times New Roman" w:hAnsi="Times New Roman" w:cs="Times New Roman"/>
      <w:kern w:val="0"/>
      <w:sz w:val="24"/>
    </w:rPr>
  </w:style>
  <w:style w:type="paragraph" w:customStyle="1" w:styleId="Point1233">
    <w:name w:val="Point 123 (3)"/>
    <w:basedOn w:val="Normal"/>
    <w:rsid w:val="00FA29B2"/>
    <w:pPr>
      <w:numPr>
        <w:ilvl w:val="6"/>
        <w:numId w:val="1"/>
      </w:numPr>
      <w:tabs>
        <w:tab w:val="clear" w:pos="2268"/>
        <w:tab w:val="num" w:pos="360"/>
      </w:tabs>
      <w:spacing w:before="120" w:after="120" w:line="360" w:lineRule="auto"/>
      <w:ind w:left="0" w:firstLine="0"/>
    </w:pPr>
    <w:rPr>
      <w:rFonts w:ascii="Times New Roman" w:hAnsi="Times New Roman" w:cs="Times New Roman"/>
      <w:kern w:val="0"/>
      <w:sz w:val="24"/>
    </w:rPr>
  </w:style>
  <w:style w:type="paragraph" w:customStyle="1" w:styleId="Pointivx">
    <w:name w:val="Point ivx"/>
    <w:basedOn w:val="Normal"/>
    <w:rsid w:val="00FA29B2"/>
    <w:pPr>
      <w:numPr>
        <w:numId w:val="2"/>
      </w:numPr>
      <w:tabs>
        <w:tab w:val="clear" w:pos="567"/>
        <w:tab w:val="num" w:pos="360"/>
      </w:tabs>
      <w:spacing w:before="120" w:after="120" w:line="360" w:lineRule="auto"/>
      <w:ind w:left="0" w:firstLine="0"/>
    </w:pPr>
    <w:rPr>
      <w:rFonts w:ascii="Times New Roman" w:hAnsi="Times New Roman" w:cs="Times New Roman"/>
      <w:kern w:val="0"/>
      <w:sz w:val="24"/>
    </w:rPr>
  </w:style>
  <w:style w:type="paragraph" w:customStyle="1" w:styleId="Pointivx1">
    <w:name w:val="Point ivx (1)"/>
    <w:basedOn w:val="Normal"/>
    <w:rsid w:val="00FA29B2"/>
    <w:pPr>
      <w:numPr>
        <w:ilvl w:val="1"/>
        <w:numId w:val="2"/>
      </w:numPr>
      <w:tabs>
        <w:tab w:val="clear" w:pos="1134"/>
        <w:tab w:val="num" w:pos="360"/>
      </w:tabs>
      <w:spacing w:before="120" w:after="120" w:line="360" w:lineRule="auto"/>
      <w:ind w:left="0" w:firstLine="0"/>
    </w:pPr>
    <w:rPr>
      <w:rFonts w:ascii="Times New Roman" w:hAnsi="Times New Roman" w:cs="Times New Roman"/>
      <w:kern w:val="0"/>
      <w:sz w:val="24"/>
    </w:rPr>
  </w:style>
  <w:style w:type="paragraph" w:customStyle="1" w:styleId="Pointivx2">
    <w:name w:val="Point ivx (2)"/>
    <w:basedOn w:val="Normal"/>
    <w:rsid w:val="00FA29B2"/>
    <w:pPr>
      <w:numPr>
        <w:ilvl w:val="2"/>
        <w:numId w:val="2"/>
      </w:numPr>
      <w:tabs>
        <w:tab w:val="clear" w:pos="1701"/>
        <w:tab w:val="num" w:pos="360"/>
      </w:tabs>
      <w:spacing w:before="120" w:after="120" w:line="360" w:lineRule="auto"/>
      <w:ind w:left="0" w:firstLine="0"/>
    </w:pPr>
    <w:rPr>
      <w:rFonts w:ascii="Times New Roman" w:hAnsi="Times New Roman" w:cs="Times New Roman"/>
      <w:kern w:val="0"/>
      <w:sz w:val="24"/>
    </w:rPr>
  </w:style>
  <w:style w:type="paragraph" w:customStyle="1" w:styleId="Pointivx3">
    <w:name w:val="Point ivx (3)"/>
    <w:basedOn w:val="Normal"/>
    <w:rsid w:val="00FA29B2"/>
    <w:pPr>
      <w:numPr>
        <w:ilvl w:val="3"/>
        <w:numId w:val="2"/>
      </w:numPr>
      <w:tabs>
        <w:tab w:val="clear" w:pos="2268"/>
        <w:tab w:val="num" w:pos="360"/>
      </w:tabs>
      <w:spacing w:before="120" w:after="120" w:line="360" w:lineRule="auto"/>
      <w:ind w:left="0" w:firstLine="0"/>
    </w:pPr>
    <w:rPr>
      <w:rFonts w:ascii="Times New Roman" w:hAnsi="Times New Roman" w:cs="Times New Roman"/>
      <w:kern w:val="0"/>
      <w:sz w:val="24"/>
    </w:rPr>
  </w:style>
  <w:style w:type="paragraph" w:customStyle="1" w:styleId="Pointivx4">
    <w:name w:val="Point ivx (4)"/>
    <w:basedOn w:val="Normal"/>
    <w:rsid w:val="00FA29B2"/>
    <w:pPr>
      <w:numPr>
        <w:ilvl w:val="4"/>
        <w:numId w:val="2"/>
      </w:numPr>
      <w:tabs>
        <w:tab w:val="clear" w:pos="2835"/>
        <w:tab w:val="num" w:pos="360"/>
      </w:tabs>
      <w:spacing w:before="120" w:after="120" w:line="360" w:lineRule="auto"/>
      <w:ind w:left="0" w:firstLine="0"/>
    </w:pPr>
    <w:rPr>
      <w:rFonts w:ascii="Times New Roman" w:hAnsi="Times New Roman" w:cs="Times New Roman"/>
      <w:kern w:val="0"/>
      <w:sz w:val="24"/>
    </w:rPr>
  </w:style>
  <w:style w:type="paragraph" w:customStyle="1" w:styleId="Bullet">
    <w:name w:val="Bullet"/>
    <w:basedOn w:val="Normal"/>
    <w:rsid w:val="00FA29B2"/>
    <w:pPr>
      <w:spacing w:before="120" w:after="120" w:line="360" w:lineRule="auto"/>
      <w:ind w:left="1570" w:hanging="360"/>
    </w:pPr>
    <w:rPr>
      <w:rFonts w:ascii="Times New Roman" w:hAnsi="Times New Roman" w:cs="Times New Roman"/>
      <w:kern w:val="0"/>
      <w:sz w:val="24"/>
    </w:rPr>
  </w:style>
  <w:style w:type="paragraph" w:customStyle="1" w:styleId="Bullet1">
    <w:name w:val="Bullet 1"/>
    <w:basedOn w:val="Normal"/>
    <w:rsid w:val="00FA29B2"/>
    <w:pPr>
      <w:numPr>
        <w:numId w:val="3"/>
      </w:numPr>
      <w:tabs>
        <w:tab w:val="clear" w:pos="1134"/>
        <w:tab w:val="num" w:pos="360"/>
      </w:tabs>
      <w:spacing w:before="120" w:after="120" w:line="360" w:lineRule="auto"/>
      <w:ind w:left="0" w:firstLine="0"/>
    </w:pPr>
    <w:rPr>
      <w:rFonts w:ascii="Times New Roman" w:hAnsi="Times New Roman" w:cs="Times New Roman"/>
      <w:kern w:val="0"/>
      <w:sz w:val="24"/>
    </w:rPr>
  </w:style>
  <w:style w:type="paragraph" w:customStyle="1" w:styleId="Bullet2">
    <w:name w:val="Bullet 2"/>
    <w:basedOn w:val="Normal"/>
    <w:rsid w:val="00FA29B2"/>
    <w:pPr>
      <w:numPr>
        <w:numId w:val="4"/>
      </w:numPr>
      <w:tabs>
        <w:tab w:val="clear" w:pos="1701"/>
        <w:tab w:val="num" w:pos="360"/>
      </w:tabs>
      <w:spacing w:before="120" w:after="120" w:line="360" w:lineRule="auto"/>
      <w:ind w:left="0" w:firstLine="0"/>
    </w:pPr>
    <w:rPr>
      <w:rFonts w:ascii="Times New Roman" w:hAnsi="Times New Roman" w:cs="Times New Roman"/>
      <w:kern w:val="0"/>
      <w:sz w:val="24"/>
    </w:rPr>
  </w:style>
  <w:style w:type="paragraph" w:customStyle="1" w:styleId="Bullet3">
    <w:name w:val="Bullet 3"/>
    <w:basedOn w:val="Normal"/>
    <w:rsid w:val="00FA29B2"/>
    <w:pPr>
      <w:numPr>
        <w:numId w:val="5"/>
      </w:numPr>
      <w:tabs>
        <w:tab w:val="clear" w:pos="2268"/>
        <w:tab w:val="num" w:pos="360"/>
      </w:tabs>
      <w:spacing w:before="120" w:after="120" w:line="360" w:lineRule="auto"/>
      <w:ind w:left="0" w:firstLine="0"/>
    </w:pPr>
    <w:rPr>
      <w:rFonts w:ascii="Times New Roman" w:hAnsi="Times New Roman" w:cs="Times New Roman"/>
      <w:kern w:val="0"/>
      <w:sz w:val="24"/>
    </w:rPr>
  </w:style>
  <w:style w:type="paragraph" w:customStyle="1" w:styleId="Bullet4">
    <w:name w:val="Bullet 4"/>
    <w:basedOn w:val="Normal"/>
    <w:rsid w:val="00FA29B2"/>
    <w:pPr>
      <w:numPr>
        <w:numId w:val="6"/>
      </w:numPr>
      <w:tabs>
        <w:tab w:val="clear" w:pos="2835"/>
        <w:tab w:val="num" w:pos="360"/>
      </w:tabs>
      <w:spacing w:before="120" w:after="120" w:line="360" w:lineRule="auto"/>
      <w:ind w:left="0" w:firstLine="0"/>
    </w:pPr>
    <w:rPr>
      <w:rFonts w:ascii="Times New Roman" w:hAnsi="Times New Roman" w:cs="Times New Roman"/>
      <w:kern w:val="0"/>
      <w:sz w:val="24"/>
    </w:rPr>
  </w:style>
  <w:style w:type="paragraph" w:customStyle="1" w:styleId="Dash">
    <w:name w:val="Dash"/>
    <w:basedOn w:val="Normal"/>
    <w:rsid w:val="00FA29B2"/>
    <w:pPr>
      <w:numPr>
        <w:numId w:val="7"/>
      </w:numPr>
      <w:tabs>
        <w:tab w:val="clear" w:pos="567"/>
      </w:tabs>
      <w:spacing w:before="120" w:after="120" w:line="360" w:lineRule="auto"/>
      <w:ind w:left="0" w:firstLine="0"/>
    </w:pPr>
    <w:rPr>
      <w:rFonts w:ascii="Times New Roman" w:hAnsi="Times New Roman" w:cs="Times New Roman"/>
      <w:kern w:val="0"/>
      <w:sz w:val="24"/>
    </w:rPr>
  </w:style>
  <w:style w:type="paragraph" w:customStyle="1" w:styleId="Dash1">
    <w:name w:val="Dash 1"/>
    <w:basedOn w:val="Normal"/>
    <w:rsid w:val="00FA29B2"/>
    <w:pPr>
      <w:numPr>
        <w:numId w:val="8"/>
      </w:numPr>
      <w:tabs>
        <w:tab w:val="clear" w:pos="1134"/>
      </w:tabs>
      <w:spacing w:before="120" w:after="120" w:line="360" w:lineRule="auto"/>
      <w:ind w:left="0" w:firstLine="0"/>
    </w:pPr>
    <w:rPr>
      <w:rFonts w:ascii="Times New Roman" w:hAnsi="Times New Roman" w:cs="Times New Roman"/>
      <w:kern w:val="0"/>
      <w:sz w:val="24"/>
    </w:rPr>
  </w:style>
  <w:style w:type="paragraph" w:customStyle="1" w:styleId="Dash2">
    <w:name w:val="Dash 2"/>
    <w:basedOn w:val="Normal"/>
    <w:rsid w:val="00FA29B2"/>
    <w:pPr>
      <w:numPr>
        <w:numId w:val="9"/>
      </w:numPr>
      <w:tabs>
        <w:tab w:val="clear" w:pos="1701"/>
      </w:tabs>
      <w:spacing w:before="120" w:after="120" w:line="360" w:lineRule="auto"/>
      <w:ind w:left="0" w:firstLine="0"/>
    </w:pPr>
    <w:rPr>
      <w:rFonts w:ascii="Times New Roman" w:hAnsi="Times New Roman" w:cs="Times New Roman"/>
      <w:kern w:val="0"/>
      <w:sz w:val="24"/>
    </w:rPr>
  </w:style>
  <w:style w:type="paragraph" w:customStyle="1" w:styleId="Dash3">
    <w:name w:val="Dash 3"/>
    <w:basedOn w:val="Normal"/>
    <w:rsid w:val="00FA29B2"/>
    <w:pPr>
      <w:numPr>
        <w:numId w:val="10"/>
      </w:numPr>
      <w:tabs>
        <w:tab w:val="clear" w:pos="2268"/>
      </w:tabs>
      <w:spacing w:before="120" w:after="120" w:line="360" w:lineRule="auto"/>
      <w:ind w:left="0" w:firstLine="0"/>
    </w:pPr>
    <w:rPr>
      <w:rFonts w:ascii="Times New Roman" w:hAnsi="Times New Roman" w:cs="Times New Roman"/>
      <w:kern w:val="0"/>
      <w:sz w:val="24"/>
    </w:rPr>
  </w:style>
  <w:style w:type="paragraph" w:customStyle="1" w:styleId="Dash4">
    <w:name w:val="Dash 4"/>
    <w:basedOn w:val="Normal"/>
    <w:rsid w:val="00FA29B2"/>
    <w:pPr>
      <w:numPr>
        <w:numId w:val="11"/>
      </w:numPr>
      <w:tabs>
        <w:tab w:val="clear" w:pos="2835"/>
      </w:tabs>
      <w:spacing w:before="120" w:after="120" w:line="360" w:lineRule="auto"/>
      <w:ind w:left="0" w:firstLine="0"/>
    </w:pPr>
    <w:rPr>
      <w:rFonts w:ascii="Times New Roman" w:hAnsi="Times New Roman" w:cs="Times New Roman"/>
      <w:kern w:val="0"/>
      <w:sz w:val="24"/>
    </w:rPr>
  </w:style>
  <w:style w:type="paragraph" w:customStyle="1" w:styleId="DashEqual">
    <w:name w:val="Dash Equal"/>
    <w:basedOn w:val="Dash"/>
    <w:rsid w:val="00FA29B2"/>
    <w:pPr>
      <w:numPr>
        <w:numId w:val="12"/>
      </w:numPr>
      <w:tabs>
        <w:tab w:val="clear" w:pos="567"/>
        <w:tab w:val="num" w:pos="360"/>
      </w:tabs>
      <w:ind w:left="0" w:firstLine="0"/>
    </w:pPr>
  </w:style>
  <w:style w:type="paragraph" w:customStyle="1" w:styleId="DashEqual1">
    <w:name w:val="Dash Equal 1"/>
    <w:basedOn w:val="Dash1"/>
    <w:rsid w:val="00FA29B2"/>
    <w:pPr>
      <w:numPr>
        <w:numId w:val="13"/>
      </w:numPr>
      <w:tabs>
        <w:tab w:val="clear" w:pos="1134"/>
        <w:tab w:val="num" w:pos="360"/>
      </w:tabs>
      <w:ind w:left="0" w:firstLine="0"/>
    </w:pPr>
  </w:style>
  <w:style w:type="paragraph" w:customStyle="1" w:styleId="DashEqual2">
    <w:name w:val="Dash Equal 2"/>
    <w:basedOn w:val="Dash2"/>
    <w:rsid w:val="00FA29B2"/>
    <w:pPr>
      <w:numPr>
        <w:numId w:val="14"/>
      </w:numPr>
      <w:tabs>
        <w:tab w:val="clear" w:pos="1701"/>
        <w:tab w:val="num" w:pos="360"/>
      </w:tabs>
      <w:ind w:left="0" w:firstLine="0"/>
    </w:pPr>
  </w:style>
  <w:style w:type="paragraph" w:customStyle="1" w:styleId="DashEqual3">
    <w:name w:val="Dash Equal 3"/>
    <w:basedOn w:val="Dash3"/>
    <w:rsid w:val="00FA29B2"/>
    <w:pPr>
      <w:numPr>
        <w:numId w:val="15"/>
      </w:numPr>
      <w:tabs>
        <w:tab w:val="clear" w:pos="2268"/>
        <w:tab w:val="num" w:pos="360"/>
      </w:tabs>
      <w:ind w:left="0" w:firstLine="0"/>
    </w:pPr>
  </w:style>
  <w:style w:type="paragraph" w:customStyle="1" w:styleId="DashEqual4">
    <w:name w:val="Dash Equal 4"/>
    <w:basedOn w:val="Dash4"/>
    <w:rsid w:val="00FA29B2"/>
    <w:pPr>
      <w:numPr>
        <w:numId w:val="16"/>
      </w:numPr>
      <w:tabs>
        <w:tab w:val="clear" w:pos="2835"/>
        <w:tab w:val="num" w:pos="360"/>
      </w:tabs>
      <w:ind w:left="0" w:firstLine="0"/>
    </w:pPr>
  </w:style>
  <w:style w:type="character" w:customStyle="1" w:styleId="Marker">
    <w:name w:val="Marker"/>
    <w:basedOn w:val="DefaultParagraphFont"/>
    <w:rsid w:val="00FA29B2"/>
    <w:rPr>
      <w:color w:val="0000FF"/>
      <w:shd w:val="clear" w:color="auto" w:fill="auto"/>
    </w:rPr>
  </w:style>
  <w:style w:type="character" w:customStyle="1" w:styleId="Marker1">
    <w:name w:val="Marker1"/>
    <w:basedOn w:val="DefaultParagraphFont"/>
    <w:rsid w:val="00FA29B2"/>
    <w:rPr>
      <w:color w:val="008000"/>
      <w:shd w:val="clear" w:color="auto" w:fill="auto"/>
    </w:rPr>
  </w:style>
  <w:style w:type="paragraph" w:customStyle="1" w:styleId="HeadingLeft">
    <w:name w:val="Heading Left"/>
    <w:basedOn w:val="Normal"/>
    <w:next w:val="Normal"/>
    <w:rsid w:val="00FA29B2"/>
    <w:pPr>
      <w:spacing w:before="360" w:after="120" w:line="360" w:lineRule="auto"/>
      <w:outlineLvl w:val="0"/>
    </w:pPr>
    <w:rPr>
      <w:rFonts w:ascii="Times New Roman" w:hAnsi="Times New Roman" w:cs="Times New Roman"/>
      <w:b/>
      <w:caps/>
      <w:kern w:val="0"/>
      <w:sz w:val="24"/>
      <w:u w:val="single"/>
    </w:rPr>
  </w:style>
  <w:style w:type="paragraph" w:customStyle="1" w:styleId="HeadingIVX">
    <w:name w:val="Heading IVX"/>
    <w:basedOn w:val="HeadingLeft"/>
    <w:next w:val="Normal"/>
    <w:rsid w:val="00FA29B2"/>
    <w:pPr>
      <w:numPr>
        <w:numId w:val="17"/>
      </w:numPr>
      <w:tabs>
        <w:tab w:val="clear" w:pos="567"/>
        <w:tab w:val="num" w:pos="360"/>
      </w:tabs>
      <w:ind w:left="0" w:firstLine="0"/>
    </w:pPr>
  </w:style>
  <w:style w:type="paragraph" w:customStyle="1" w:styleId="Heading123">
    <w:name w:val="Heading 123"/>
    <w:basedOn w:val="HeadingLeft"/>
    <w:next w:val="Normal"/>
    <w:rsid w:val="00FA29B2"/>
    <w:pPr>
      <w:numPr>
        <w:numId w:val="18"/>
      </w:numPr>
      <w:tabs>
        <w:tab w:val="clear" w:pos="567"/>
        <w:tab w:val="num" w:pos="360"/>
      </w:tabs>
      <w:ind w:left="0" w:firstLine="0"/>
    </w:pPr>
  </w:style>
  <w:style w:type="paragraph" w:customStyle="1" w:styleId="HeadingABC">
    <w:name w:val="Heading ABC"/>
    <w:basedOn w:val="HeadingLeft"/>
    <w:next w:val="Normal"/>
    <w:rsid w:val="00FA29B2"/>
    <w:pPr>
      <w:numPr>
        <w:numId w:val="19"/>
      </w:numPr>
      <w:tabs>
        <w:tab w:val="clear" w:pos="567"/>
        <w:tab w:val="num" w:pos="360"/>
      </w:tabs>
      <w:ind w:left="0" w:firstLine="0"/>
    </w:pPr>
  </w:style>
  <w:style w:type="paragraph" w:customStyle="1" w:styleId="HeadingCentered">
    <w:name w:val="Heading Centered"/>
    <w:basedOn w:val="HeadingLeft"/>
    <w:next w:val="Normal"/>
    <w:rsid w:val="00FA29B2"/>
    <w:pPr>
      <w:jc w:val="center"/>
    </w:pPr>
  </w:style>
  <w:style w:type="paragraph" w:customStyle="1" w:styleId="Jardin">
    <w:name w:val="Jardin"/>
    <w:basedOn w:val="Normal"/>
    <w:rsid w:val="00FA29B2"/>
    <w:pPr>
      <w:spacing w:before="200" w:after="0" w:line="240" w:lineRule="auto"/>
      <w:jc w:val="center"/>
    </w:pPr>
    <w:rPr>
      <w:rFonts w:ascii="Times New Roman" w:hAnsi="Times New Roman" w:cs="Times New Roman"/>
      <w:kern w:val="0"/>
      <w:sz w:val="24"/>
    </w:rPr>
  </w:style>
  <w:style w:type="paragraph" w:customStyle="1" w:styleId="Amendment">
    <w:name w:val="Amendment"/>
    <w:basedOn w:val="Normal"/>
    <w:next w:val="Normal"/>
    <w:rsid w:val="00FA29B2"/>
    <w:pPr>
      <w:spacing w:before="120" w:after="120" w:line="360" w:lineRule="auto"/>
    </w:pPr>
    <w:rPr>
      <w:rFonts w:ascii="Times New Roman" w:hAnsi="Times New Roman" w:cs="Times New Roman"/>
      <w:i/>
      <w:kern w:val="0"/>
      <w:sz w:val="24"/>
      <w:u w:val="single"/>
    </w:rPr>
  </w:style>
  <w:style w:type="paragraph" w:customStyle="1" w:styleId="AmendmentList">
    <w:name w:val="Amendment List"/>
    <w:basedOn w:val="Normal"/>
    <w:rsid w:val="00FA29B2"/>
    <w:pPr>
      <w:spacing w:before="120" w:after="120" w:line="360" w:lineRule="auto"/>
      <w:ind w:left="2268" w:hanging="2268"/>
    </w:pPr>
    <w:rPr>
      <w:rFonts w:ascii="Times New Roman" w:hAnsi="Times New Roman" w:cs="Times New Roman"/>
      <w:kern w:val="0"/>
      <w:sz w:val="24"/>
    </w:rPr>
  </w:style>
  <w:style w:type="paragraph" w:customStyle="1" w:styleId="ReplyRE">
    <w:name w:val="Reply RE"/>
    <w:basedOn w:val="Normal"/>
    <w:next w:val="Normal"/>
    <w:rsid w:val="00FA29B2"/>
    <w:pPr>
      <w:spacing w:before="120" w:after="480" w:line="240" w:lineRule="auto"/>
      <w:contextualSpacing/>
    </w:pPr>
    <w:rPr>
      <w:rFonts w:ascii="Times New Roman" w:hAnsi="Times New Roman" w:cs="Times New Roman"/>
      <w:kern w:val="0"/>
      <w:sz w:val="24"/>
    </w:rPr>
  </w:style>
  <w:style w:type="paragraph" w:customStyle="1" w:styleId="ReplyBold">
    <w:name w:val="Reply Bold"/>
    <w:basedOn w:val="ReplyRE"/>
    <w:next w:val="Normal"/>
    <w:rsid w:val="00FA29B2"/>
    <w:rPr>
      <w:b/>
    </w:rPr>
  </w:style>
  <w:style w:type="paragraph" w:customStyle="1" w:styleId="Annex">
    <w:name w:val="Annex"/>
    <w:basedOn w:val="Normal"/>
    <w:next w:val="Normal"/>
    <w:rsid w:val="00FA29B2"/>
    <w:pPr>
      <w:spacing w:before="120" w:after="120" w:line="360" w:lineRule="auto"/>
      <w:jc w:val="right"/>
    </w:pPr>
    <w:rPr>
      <w:rFonts w:ascii="Times New Roman" w:hAnsi="Times New Roman" w:cs="Times New Roman"/>
      <w:b/>
      <w:kern w:val="0"/>
      <w:sz w:val="24"/>
      <w:u w:val="single"/>
    </w:rPr>
  </w:style>
  <w:style w:type="paragraph" w:customStyle="1" w:styleId="Sign">
    <w:name w:val="Sign"/>
    <w:basedOn w:val="Normal"/>
    <w:rsid w:val="00FA29B2"/>
    <w:pPr>
      <w:tabs>
        <w:tab w:val="center" w:pos="7087"/>
      </w:tabs>
      <w:spacing w:before="120" w:after="120" w:line="360" w:lineRule="auto"/>
      <w:contextualSpacing/>
    </w:pPr>
    <w:rPr>
      <w:rFonts w:ascii="Times New Roman" w:hAnsi="Times New Roman" w:cs="Times New Roman"/>
      <w:kern w:val="0"/>
      <w:sz w:val="24"/>
    </w:rPr>
  </w:style>
  <w:style w:type="paragraph" w:customStyle="1" w:styleId="NotDeclassified">
    <w:name w:val="Not Declassified"/>
    <w:basedOn w:val="Normal"/>
    <w:next w:val="Normal"/>
    <w:rsid w:val="00FA29B2"/>
    <w:pPr>
      <w:spacing w:before="120" w:after="120" w:line="360" w:lineRule="auto"/>
    </w:pPr>
    <w:rPr>
      <w:rFonts w:ascii="Times New Roman" w:hAnsi="Times New Roman" w:cs="Times New Roman"/>
      <w:b/>
      <w:kern w:val="0"/>
      <w:sz w:val="24"/>
      <w:shd w:val="clear" w:color="auto" w:fill="CCCCCC"/>
    </w:rPr>
  </w:style>
  <w:style w:type="character" w:customStyle="1" w:styleId="NotDeclassifiedCharacter">
    <w:name w:val="Not Declassified Character"/>
    <w:basedOn w:val="DefaultParagraphFont"/>
    <w:rsid w:val="00FA29B2"/>
    <w:rPr>
      <w:rFonts w:ascii="Times New Roman" w:hAnsi="Times New Roman" w:cs="Times New Roman"/>
      <w:b/>
      <w:sz w:val="24"/>
      <w:shd w:val="clear" w:color="auto" w:fill="CCCCCC"/>
    </w:rPr>
  </w:style>
  <w:style w:type="paragraph" w:customStyle="1" w:styleId="NormalCompact">
    <w:name w:val="Normal Compact"/>
    <w:basedOn w:val="Normal"/>
    <w:next w:val="Normal"/>
    <w:rsid w:val="00FA29B2"/>
    <w:pPr>
      <w:spacing w:before="120" w:after="120" w:line="240" w:lineRule="auto"/>
    </w:pPr>
    <w:rPr>
      <w:rFonts w:ascii="Times New Roman" w:hAnsi="Times New Roman" w:cs="Times New Roman"/>
      <w:kern w:val="0"/>
      <w:sz w:val="24"/>
    </w:rPr>
  </w:style>
  <w:style w:type="paragraph" w:styleId="EndnoteText">
    <w:name w:val="endnote text"/>
    <w:basedOn w:val="Normal"/>
    <w:link w:val="EndnoteTextChar"/>
    <w:unhideWhenUsed/>
    <w:rsid w:val="00FA29B2"/>
    <w:pPr>
      <w:spacing w:after="0" w:line="240" w:lineRule="auto"/>
    </w:pPr>
    <w:rPr>
      <w:rFonts w:ascii="Times New Roman" w:hAnsi="Times New Roman" w:cs="Times New Roman"/>
      <w:kern w:val="0"/>
      <w:sz w:val="20"/>
      <w:szCs w:val="20"/>
    </w:rPr>
  </w:style>
  <w:style w:type="character" w:customStyle="1" w:styleId="EndnoteTextChar">
    <w:name w:val="Endnote Text Char"/>
    <w:basedOn w:val="DefaultParagraphFont"/>
    <w:link w:val="EndnoteText"/>
    <w:rsid w:val="00FA29B2"/>
    <w:rPr>
      <w:rFonts w:ascii="Times New Roman" w:hAnsi="Times New Roman" w:cs="Times New Roman"/>
      <w:kern w:val="0"/>
      <w:sz w:val="20"/>
      <w:szCs w:val="20"/>
    </w:rPr>
  </w:style>
  <w:style w:type="character" w:styleId="EndnoteReference">
    <w:name w:val="endnote reference"/>
    <w:basedOn w:val="DefaultParagraphFont"/>
    <w:unhideWhenUsed/>
    <w:rsid w:val="00FA29B2"/>
    <w:rPr>
      <w:vertAlign w:val="superscript"/>
    </w:rPr>
  </w:style>
  <w:style w:type="paragraph" w:customStyle="1" w:styleId="EntLogo">
    <w:name w:val="EntLogo"/>
    <w:basedOn w:val="Normal"/>
    <w:rsid w:val="00FA29B2"/>
    <w:pPr>
      <w:tabs>
        <w:tab w:val="right" w:pos="9639"/>
      </w:tabs>
      <w:spacing w:after="0" w:line="360" w:lineRule="auto"/>
    </w:pPr>
    <w:rPr>
      <w:rFonts w:ascii="Times New Roman" w:hAnsi="Times New Roman" w:cs="Times New Roman"/>
      <w:b/>
      <w:kern w:val="0"/>
      <w:sz w:val="24"/>
    </w:rPr>
  </w:style>
  <w:style w:type="paragraph" w:customStyle="1" w:styleId="EntEmet">
    <w:name w:val="EntEmet"/>
    <w:basedOn w:val="Normal"/>
    <w:rsid w:val="00FA29B2"/>
    <w:pPr>
      <w:spacing w:before="40" w:after="0" w:line="240" w:lineRule="auto"/>
    </w:pPr>
    <w:rPr>
      <w:rFonts w:ascii="Times New Roman" w:hAnsi="Times New Roman" w:cs="Times New Roman"/>
      <w:kern w:val="0"/>
      <w:sz w:val="24"/>
    </w:rPr>
  </w:style>
  <w:style w:type="paragraph" w:customStyle="1" w:styleId="EntInstit">
    <w:name w:val="EntInstit"/>
    <w:basedOn w:val="Normal"/>
    <w:rsid w:val="00FA29B2"/>
    <w:pPr>
      <w:spacing w:after="0" w:line="240" w:lineRule="auto"/>
      <w:jc w:val="right"/>
    </w:pPr>
    <w:rPr>
      <w:rFonts w:ascii="Times New Roman" w:hAnsi="Times New Roman" w:cs="Times New Roman"/>
      <w:b/>
      <w:kern w:val="0"/>
      <w:sz w:val="24"/>
    </w:rPr>
  </w:style>
  <w:style w:type="paragraph" w:customStyle="1" w:styleId="EntRefer">
    <w:name w:val="EntRefer"/>
    <w:basedOn w:val="Normal"/>
    <w:rsid w:val="00FA29B2"/>
    <w:pPr>
      <w:spacing w:after="0" w:line="240" w:lineRule="auto"/>
    </w:pPr>
    <w:rPr>
      <w:rFonts w:ascii="Times New Roman" w:hAnsi="Times New Roman" w:cs="Times New Roman"/>
      <w:b/>
      <w:kern w:val="0"/>
      <w:sz w:val="24"/>
    </w:rPr>
  </w:style>
  <w:style w:type="paragraph" w:customStyle="1" w:styleId="Genredudocument">
    <w:name w:val="Genre du document"/>
    <w:basedOn w:val="EntRefer"/>
    <w:next w:val="EntRefer"/>
    <w:rsid w:val="00FA29B2"/>
    <w:pPr>
      <w:spacing w:before="240"/>
    </w:pPr>
  </w:style>
  <w:style w:type="paragraph" w:customStyle="1" w:styleId="Languagesconcerned">
    <w:name w:val="Languages concerned"/>
    <w:basedOn w:val="Normal"/>
    <w:next w:val="Procedureapplicable"/>
    <w:rsid w:val="00FA29B2"/>
    <w:pPr>
      <w:spacing w:before="240" w:after="120" w:line="360" w:lineRule="auto"/>
    </w:pPr>
    <w:rPr>
      <w:rFonts w:ascii="Times New Roman" w:hAnsi="Times New Roman" w:cs="Times New Roman"/>
      <w:kern w:val="0"/>
      <w:sz w:val="24"/>
    </w:rPr>
  </w:style>
  <w:style w:type="paragraph" w:customStyle="1" w:styleId="Procedureapplicable">
    <w:name w:val="Procedure applicable"/>
    <w:basedOn w:val="Normal"/>
    <w:next w:val="Proceduretype"/>
    <w:rsid w:val="00FA29B2"/>
    <w:pPr>
      <w:spacing w:before="240" w:after="120" w:line="360" w:lineRule="auto"/>
    </w:pPr>
    <w:rPr>
      <w:rFonts w:ascii="Times New Roman" w:hAnsi="Times New Roman" w:cs="Times New Roman"/>
      <w:kern w:val="0"/>
      <w:sz w:val="24"/>
    </w:rPr>
  </w:style>
  <w:style w:type="paragraph" w:customStyle="1" w:styleId="Proceduretype">
    <w:name w:val="Procedure type"/>
    <w:basedOn w:val="Normal"/>
    <w:next w:val="Normal"/>
    <w:rsid w:val="00FA29B2"/>
    <w:pPr>
      <w:spacing w:before="240" w:after="0" w:line="360" w:lineRule="auto"/>
    </w:pPr>
    <w:rPr>
      <w:rFonts w:ascii="Times New Roman" w:hAnsi="Times New Roman" w:cs="Times New Roman"/>
      <w:kern w:val="0"/>
      <w:sz w:val="24"/>
    </w:rPr>
  </w:style>
  <w:style w:type="paragraph" w:customStyle="1" w:styleId="Agreement">
    <w:name w:val="Agreement"/>
    <w:basedOn w:val="Normal"/>
    <w:next w:val="Normal"/>
    <w:rsid w:val="00FA29B2"/>
    <w:pPr>
      <w:spacing w:after="120" w:line="360" w:lineRule="auto"/>
    </w:pPr>
    <w:rPr>
      <w:rFonts w:ascii="Times New Roman" w:hAnsi="Times New Roman" w:cs="Times New Roman"/>
      <w:kern w:val="0"/>
      <w:sz w:val="24"/>
    </w:rPr>
  </w:style>
  <w:style w:type="paragraph" w:customStyle="1" w:styleId="Timelimit">
    <w:name w:val="Time limit"/>
    <w:basedOn w:val="Normal"/>
    <w:next w:val="Normal"/>
    <w:rsid w:val="00FA29B2"/>
    <w:pPr>
      <w:spacing w:before="240" w:after="120" w:line="360" w:lineRule="auto"/>
    </w:pPr>
    <w:rPr>
      <w:rFonts w:ascii="Times New Roman" w:hAnsi="Times New Roman" w:cs="Times New Roman"/>
      <w:kern w:val="0"/>
      <w:sz w:val="24"/>
    </w:rPr>
  </w:style>
  <w:style w:type="paragraph" w:customStyle="1" w:styleId="Remarks">
    <w:name w:val="Remarks"/>
    <w:basedOn w:val="Normal"/>
    <w:rsid w:val="00FA29B2"/>
    <w:pPr>
      <w:spacing w:before="240" w:after="120" w:line="360" w:lineRule="auto"/>
    </w:pPr>
    <w:rPr>
      <w:rFonts w:ascii="Times New Roman" w:hAnsi="Times New Roman" w:cs="Times New Roman"/>
      <w:kern w:val="0"/>
      <w:sz w:val="24"/>
    </w:rPr>
  </w:style>
  <w:style w:type="paragraph" w:customStyle="1" w:styleId="Correctionnewlanguages">
    <w:name w:val="Correction new languages"/>
    <w:basedOn w:val="Normal"/>
    <w:next w:val="Normal"/>
    <w:rsid w:val="00FA29B2"/>
    <w:pPr>
      <w:spacing w:before="240" w:after="120" w:line="360" w:lineRule="auto"/>
    </w:pPr>
    <w:rPr>
      <w:rFonts w:ascii="Times New Roman" w:hAnsi="Times New Roman" w:cs="Times New Roman"/>
      <w:kern w:val="0"/>
      <w:sz w:val="24"/>
    </w:rPr>
  </w:style>
  <w:style w:type="paragraph" w:customStyle="1" w:styleId="Anyobservations">
    <w:name w:val="Any observations"/>
    <w:basedOn w:val="Normal"/>
    <w:next w:val="Normal"/>
    <w:rsid w:val="00FA29B2"/>
    <w:pPr>
      <w:spacing w:before="240" w:after="120" w:line="360" w:lineRule="auto"/>
    </w:pPr>
    <w:rPr>
      <w:rFonts w:ascii="Times New Roman" w:hAnsi="Times New Roman" w:cs="Times New Roman"/>
      <w:b/>
      <w:kern w:val="0"/>
      <w:sz w:val="24"/>
    </w:rPr>
  </w:style>
  <w:style w:type="paragraph" w:customStyle="1" w:styleId="Annextitle">
    <w:name w:val="Annex title"/>
    <w:basedOn w:val="Normal"/>
    <w:next w:val="Corrigendumtitle"/>
    <w:rsid w:val="00FA29B2"/>
    <w:pPr>
      <w:spacing w:after="0" w:line="360" w:lineRule="auto"/>
      <w:jc w:val="right"/>
    </w:pPr>
    <w:rPr>
      <w:rFonts w:ascii="Times New Roman" w:hAnsi="Times New Roman" w:cs="Times New Roman"/>
      <w:b/>
      <w:kern w:val="0"/>
      <w:sz w:val="24"/>
      <w:u w:val="single"/>
    </w:rPr>
  </w:style>
  <w:style w:type="paragraph" w:customStyle="1" w:styleId="Corrigendumtitle">
    <w:name w:val="Corrigendum title"/>
    <w:basedOn w:val="Normal"/>
    <w:next w:val="Corrigendumto"/>
    <w:rsid w:val="00FA29B2"/>
    <w:pPr>
      <w:spacing w:before="240" w:after="120" w:line="360" w:lineRule="auto"/>
      <w:jc w:val="center"/>
    </w:pPr>
    <w:rPr>
      <w:rFonts w:ascii="Times New Roman" w:hAnsi="Times New Roman" w:cs="Times New Roman"/>
      <w:b/>
      <w:kern w:val="0"/>
      <w:sz w:val="24"/>
    </w:rPr>
  </w:style>
  <w:style w:type="paragraph" w:customStyle="1" w:styleId="Corrigendumto">
    <w:name w:val="Corrigendum to"/>
    <w:basedOn w:val="Normal"/>
    <w:next w:val="Referencedocument"/>
    <w:rsid w:val="00FA29B2"/>
    <w:pPr>
      <w:spacing w:before="120" w:after="240" w:line="360" w:lineRule="auto"/>
      <w:jc w:val="center"/>
    </w:pPr>
    <w:rPr>
      <w:rFonts w:ascii="Times New Roman" w:hAnsi="Times New Roman" w:cs="Times New Roman"/>
      <w:b/>
      <w:kern w:val="0"/>
      <w:sz w:val="24"/>
    </w:rPr>
  </w:style>
  <w:style w:type="paragraph" w:customStyle="1" w:styleId="Referencedocument">
    <w:name w:val="Reference document"/>
    <w:basedOn w:val="Normal"/>
    <w:rsid w:val="00FA29B2"/>
    <w:pPr>
      <w:spacing w:after="0" w:line="360" w:lineRule="auto"/>
      <w:jc w:val="center"/>
    </w:pPr>
    <w:rPr>
      <w:rFonts w:ascii="Times New Roman" w:hAnsi="Times New Roman" w:cs="Times New Roman"/>
      <w:kern w:val="0"/>
      <w:sz w:val="24"/>
    </w:rPr>
  </w:style>
  <w:style w:type="paragraph" w:customStyle="1" w:styleId="Correctionpage">
    <w:name w:val="Correction page"/>
    <w:basedOn w:val="Normal"/>
    <w:next w:val="Correctionfortitle"/>
    <w:rsid w:val="00FA29B2"/>
    <w:pPr>
      <w:keepNext/>
      <w:spacing w:before="240" w:after="120" w:line="360" w:lineRule="auto"/>
    </w:pPr>
    <w:rPr>
      <w:rFonts w:ascii="Times New Roman" w:hAnsi="Times New Roman" w:cs="Times New Roman"/>
      <w:kern w:val="0"/>
      <w:sz w:val="24"/>
    </w:rPr>
  </w:style>
  <w:style w:type="paragraph" w:customStyle="1" w:styleId="Correctionfortitle">
    <w:name w:val="Correction for title"/>
    <w:basedOn w:val="Normal"/>
    <w:next w:val="Correctionfortext"/>
    <w:rsid w:val="00FA29B2"/>
    <w:pPr>
      <w:keepNext/>
      <w:spacing w:before="120" w:after="240" w:line="360" w:lineRule="auto"/>
    </w:pPr>
    <w:rPr>
      <w:rFonts w:ascii="Times New Roman" w:hAnsi="Times New Roman" w:cs="Times New Roman"/>
      <w:i/>
      <w:kern w:val="0"/>
      <w:sz w:val="24"/>
    </w:rPr>
  </w:style>
  <w:style w:type="paragraph" w:customStyle="1" w:styleId="Correctionfortext">
    <w:name w:val="Correction for text"/>
    <w:basedOn w:val="Normal"/>
    <w:rsid w:val="00FA29B2"/>
    <w:pPr>
      <w:spacing w:after="0" w:line="360" w:lineRule="auto"/>
    </w:pPr>
    <w:rPr>
      <w:rFonts w:ascii="Times New Roman" w:hAnsi="Times New Roman" w:cs="Times New Roman"/>
      <w:kern w:val="0"/>
      <w:sz w:val="24"/>
    </w:rPr>
  </w:style>
  <w:style w:type="paragraph" w:customStyle="1" w:styleId="Correctionreadtitle">
    <w:name w:val="Correction read title"/>
    <w:basedOn w:val="Normal"/>
    <w:next w:val="Correctionreadtext"/>
    <w:rsid w:val="00FA29B2"/>
    <w:pPr>
      <w:keepNext/>
      <w:spacing w:before="120" w:after="240" w:line="360" w:lineRule="auto"/>
    </w:pPr>
    <w:rPr>
      <w:rFonts w:ascii="Times New Roman" w:hAnsi="Times New Roman" w:cs="Times New Roman"/>
      <w:i/>
      <w:kern w:val="0"/>
      <w:sz w:val="24"/>
    </w:rPr>
  </w:style>
  <w:style w:type="paragraph" w:customStyle="1" w:styleId="Correctionreadtext">
    <w:name w:val="Correction read text"/>
    <w:basedOn w:val="Normal"/>
    <w:rsid w:val="00FA29B2"/>
    <w:pPr>
      <w:spacing w:after="0" w:line="360" w:lineRule="auto"/>
    </w:pPr>
    <w:rPr>
      <w:rFonts w:ascii="Times New Roman" w:hAnsi="Times New Roman" w:cs="Times New Roman"/>
      <w:kern w:val="0"/>
      <w:sz w:val="24"/>
    </w:rPr>
  </w:style>
  <w:style w:type="paragraph" w:customStyle="1" w:styleId="Phraseofsignature">
    <w:name w:val="Phrase of signature"/>
    <w:basedOn w:val="Normal"/>
    <w:next w:val="Correctionpage"/>
    <w:rsid w:val="00FA29B2"/>
    <w:pPr>
      <w:spacing w:before="240" w:after="120" w:line="360" w:lineRule="auto"/>
    </w:pPr>
    <w:rPr>
      <w:rFonts w:ascii="Times New Roman" w:hAnsi="Times New Roman" w:cs="Times New Roman"/>
      <w:kern w:val="0"/>
      <w:sz w:val="24"/>
    </w:rPr>
  </w:style>
  <w:style w:type="character" w:customStyle="1" w:styleId="HeaderCouncilLargeChar">
    <w:name w:val="Header Council Large Char"/>
    <w:basedOn w:val="TechnicalBlockChar"/>
    <w:link w:val="HeaderCouncilLarge"/>
    <w:rsid w:val="00FA29B2"/>
    <w:rPr>
      <w:rFonts w:ascii="Times New Roman" w:hAnsi="Times New Roman" w:cs="Times New Roman"/>
      <w:kern w:val="0"/>
      <w:sz w:val="2"/>
    </w:rPr>
  </w:style>
  <w:style w:type="character" w:styleId="PlaceholderText">
    <w:name w:val="Placeholder Text"/>
    <w:basedOn w:val="DefaultParagraphFont"/>
    <w:uiPriority w:val="99"/>
    <w:semiHidden/>
    <w:rsid w:val="00FA29B2"/>
    <w:rPr>
      <w:color w:val="808080"/>
    </w:rPr>
  </w:style>
  <w:style w:type="character" w:customStyle="1" w:styleId="scxw134703037">
    <w:name w:val="scxw134703037"/>
    <w:basedOn w:val="DefaultParagraphFont"/>
    <w:rsid w:val="00FA29B2"/>
  </w:style>
  <w:style w:type="character" w:customStyle="1" w:styleId="Spominjanje1">
    <w:name w:val="Spominjanje1"/>
    <w:basedOn w:val="DefaultParagraphFont"/>
    <w:uiPriority w:val="99"/>
    <w:unhideWhenUsed/>
    <w:rsid w:val="00FA29B2"/>
    <w:rPr>
      <w:color w:val="2B579A"/>
      <w:shd w:val="clear" w:color="auto" w:fill="E6E6E6"/>
    </w:rPr>
  </w:style>
  <w:style w:type="character" w:customStyle="1" w:styleId="ui-provider">
    <w:name w:val="ui-provider"/>
    <w:basedOn w:val="DefaultParagraphFont"/>
    <w:rsid w:val="00FA29B2"/>
  </w:style>
  <w:style w:type="paragraph" w:customStyle="1" w:styleId="inline-block">
    <w:name w:val="inline-block"/>
    <w:basedOn w:val="Normal"/>
    <w:rsid w:val="00FA29B2"/>
    <w:pPr>
      <w:spacing w:before="100" w:beforeAutospacing="1" w:after="100" w:afterAutospacing="1" w:line="240" w:lineRule="auto"/>
    </w:pPr>
    <w:rPr>
      <w:rFonts w:ascii="Times New Roman" w:eastAsia="Times New Roman" w:hAnsi="Times New Roman" w:cs="Times New Roman"/>
      <w:kern w:val="0"/>
      <w:sz w:val="24"/>
      <w:szCs w:val="20"/>
    </w:rPr>
  </w:style>
  <w:style w:type="character" w:customStyle="1" w:styleId="scxw121540484">
    <w:name w:val="scxw121540484"/>
    <w:basedOn w:val="DefaultParagraphFont"/>
    <w:rsid w:val="00FA29B2"/>
  </w:style>
  <w:style w:type="character" w:customStyle="1" w:styleId="scxw226962243">
    <w:name w:val="scxw226962243"/>
    <w:basedOn w:val="DefaultParagraphFont"/>
    <w:rsid w:val="00FA29B2"/>
  </w:style>
  <w:style w:type="character" w:customStyle="1" w:styleId="cf01">
    <w:name w:val="cf01"/>
    <w:basedOn w:val="DefaultParagraphFont"/>
    <w:rsid w:val="00FA29B2"/>
    <w:rPr>
      <w:rFonts w:ascii="Segoe UI" w:hAnsi="Segoe UI" w:cs="Segoe UI" w:hint="default"/>
      <w:sz w:val="18"/>
      <w:shd w:val="clear" w:color="auto" w:fill="FFFF00"/>
    </w:rPr>
  </w:style>
  <w:style w:type="character" w:customStyle="1" w:styleId="cf11">
    <w:name w:val="cf11"/>
    <w:basedOn w:val="DefaultParagraphFont"/>
    <w:rsid w:val="00FA29B2"/>
    <w:rPr>
      <w:rFonts w:ascii="Segoe UI" w:hAnsi="Segoe UI" w:cs="Segoe UI" w:hint="default"/>
      <w:sz w:val="18"/>
      <w:shd w:val="clear" w:color="auto" w:fill="FFFF00"/>
    </w:rPr>
  </w:style>
  <w:style w:type="character" w:customStyle="1" w:styleId="Mention2">
    <w:name w:val="Mention2"/>
    <w:basedOn w:val="DefaultParagraphFont"/>
    <w:uiPriority w:val="99"/>
    <w:unhideWhenUsed/>
    <w:rsid w:val="00FA29B2"/>
    <w:rPr>
      <w:color w:val="2B579A"/>
      <w:shd w:val="clear" w:color="auto" w:fill="E1DFDD"/>
    </w:rPr>
  </w:style>
  <w:style w:type="character" w:customStyle="1" w:styleId="UnresolvedMention2">
    <w:name w:val="Unresolved Mention2"/>
    <w:basedOn w:val="DefaultParagraphFont"/>
    <w:uiPriority w:val="99"/>
    <w:unhideWhenUsed/>
    <w:rsid w:val="00FA29B2"/>
    <w:rPr>
      <w:color w:val="605E5C"/>
      <w:shd w:val="clear" w:color="auto" w:fill="E1DFDD"/>
    </w:rPr>
  </w:style>
  <w:style w:type="paragraph" w:customStyle="1" w:styleId="EntText">
    <w:name w:val="EntText"/>
    <w:basedOn w:val="Normal"/>
    <w:rsid w:val="00FA29B2"/>
    <w:pPr>
      <w:spacing w:before="120" w:after="120" w:line="360" w:lineRule="auto"/>
    </w:pPr>
    <w:rPr>
      <w:rFonts w:ascii="Times New Roman" w:hAnsi="Times New Roman" w:cs="Times New Roman"/>
      <w:kern w:val="0"/>
      <w:sz w:val="24"/>
    </w:rPr>
  </w:style>
  <w:style w:type="paragraph" w:customStyle="1" w:styleId="Lignefinal">
    <w:name w:val="Ligne final"/>
    <w:basedOn w:val="Normal"/>
    <w:next w:val="Normal"/>
    <w:rsid w:val="00FA29B2"/>
    <w:pPr>
      <w:pBdr>
        <w:bottom w:val="single" w:sz="4" w:space="0" w:color="000000"/>
      </w:pBdr>
      <w:spacing w:before="360" w:after="120" w:line="360" w:lineRule="auto"/>
      <w:ind w:left="3400" w:right="3400"/>
      <w:jc w:val="center"/>
    </w:pPr>
    <w:rPr>
      <w:rFonts w:ascii="Times New Roman" w:hAnsi="Times New Roman" w:cs="Times New Roman"/>
      <w:b/>
      <w:kern w:val="0"/>
      <w:sz w:val="24"/>
    </w:rPr>
  </w:style>
  <w:style w:type="paragraph" w:customStyle="1" w:styleId="pj">
    <w:name w:val="p.j."/>
    <w:basedOn w:val="Normal"/>
    <w:link w:val="pjChar"/>
    <w:rsid w:val="00FA29B2"/>
    <w:pPr>
      <w:spacing w:before="1200" w:after="120" w:line="240" w:lineRule="auto"/>
      <w:ind w:left="1440" w:hanging="1440"/>
    </w:pPr>
    <w:rPr>
      <w:rFonts w:ascii="Times New Roman" w:hAnsi="Times New Roman" w:cs="Times New Roman"/>
      <w:kern w:val="0"/>
      <w:sz w:val="24"/>
    </w:rPr>
  </w:style>
  <w:style w:type="character" w:customStyle="1" w:styleId="pjChar">
    <w:name w:val="p.j. Char"/>
    <w:basedOn w:val="DefaultParagraphFont"/>
    <w:link w:val="pj"/>
    <w:rsid w:val="00FA29B2"/>
    <w:rPr>
      <w:rFonts w:ascii="Times New Roman" w:hAnsi="Times New Roman" w:cs="Times New Roman"/>
      <w:kern w:val="0"/>
      <w:sz w:val="24"/>
    </w:rPr>
  </w:style>
  <w:style w:type="paragraph" w:customStyle="1" w:styleId="nbbordered">
    <w:name w:val="nb bordered"/>
    <w:basedOn w:val="Normal"/>
    <w:link w:val="nbborderedChar"/>
    <w:rsid w:val="00FA29B2"/>
    <w:pPr>
      <w:pBdr>
        <w:top w:val="single" w:sz="4" w:space="1" w:color="auto"/>
        <w:left w:val="single" w:sz="4" w:space="4" w:color="auto"/>
        <w:bottom w:val="single" w:sz="4" w:space="1" w:color="auto"/>
        <w:right w:val="single" w:sz="4" w:space="4" w:color="auto"/>
        <w:between w:val="single" w:sz="4" w:space="0" w:color="auto"/>
      </w:pBdr>
      <w:spacing w:before="120" w:line="240" w:lineRule="auto"/>
      <w:ind w:left="480" w:hanging="480"/>
    </w:pPr>
    <w:rPr>
      <w:rFonts w:ascii="Times New Roman" w:hAnsi="Times New Roman" w:cs="Times New Roman"/>
      <w:b/>
      <w:kern w:val="0"/>
      <w:sz w:val="24"/>
    </w:rPr>
  </w:style>
  <w:style w:type="character" w:customStyle="1" w:styleId="nbborderedChar">
    <w:name w:val="nb bordered Char"/>
    <w:basedOn w:val="DefaultParagraphFont"/>
    <w:link w:val="nbbordered"/>
    <w:rsid w:val="00FA29B2"/>
    <w:rPr>
      <w:rFonts w:ascii="Times New Roman" w:hAnsi="Times New Roman" w:cs="Times New Roman"/>
      <w:b/>
      <w:kern w:val="0"/>
      <w:sz w:val="24"/>
    </w:rPr>
  </w:style>
  <w:style w:type="character" w:customStyle="1" w:styleId="HeaderCouncilChar">
    <w:name w:val="Header Council Char"/>
    <w:basedOn w:val="DefaultParagraphFont"/>
    <w:link w:val="HeaderCouncil"/>
    <w:rsid w:val="00FA29B2"/>
    <w:rPr>
      <w:rFonts w:ascii="Times New Roman" w:hAnsi="Times New Roman" w:cs="Times New Roman"/>
      <w:kern w:val="0"/>
      <w:sz w:val="2"/>
    </w:rPr>
  </w:style>
  <w:style w:type="character" w:customStyle="1" w:styleId="UnresolvedMention3">
    <w:name w:val="Unresolved Mention3"/>
    <w:basedOn w:val="DefaultParagraphFont"/>
    <w:uiPriority w:val="99"/>
    <w:semiHidden/>
    <w:unhideWhenUsed/>
    <w:rsid w:val="00FA29B2"/>
    <w:rPr>
      <w:color w:val="605E5C"/>
      <w:shd w:val="clear" w:color="auto" w:fill="E1DFDD"/>
    </w:rPr>
  </w:style>
  <w:style w:type="paragraph" w:customStyle="1" w:styleId="P68B1DB1-Normal1">
    <w:name w:val="P68B1DB1-Normal1"/>
    <w:basedOn w:val="Normal"/>
    <w:rsid w:val="00FA29B2"/>
    <w:pPr>
      <w:spacing w:before="120" w:after="120" w:line="360" w:lineRule="auto"/>
    </w:pPr>
    <w:rPr>
      <w:rFonts w:ascii="Times New Roman" w:eastAsia="Calibri" w:hAnsi="Times New Roman" w:cs="Times New Roman"/>
      <w:b/>
      <w:kern w:val="0"/>
      <w:sz w:val="24"/>
      <w:szCs w:val="20"/>
    </w:rPr>
  </w:style>
  <w:style w:type="paragraph" w:customStyle="1" w:styleId="P68B1DB1-Normal2">
    <w:name w:val="P68B1DB1-Normal2"/>
    <w:basedOn w:val="Normal"/>
    <w:rsid w:val="00FA29B2"/>
    <w:pPr>
      <w:spacing w:before="120" w:after="120" w:line="360" w:lineRule="auto"/>
    </w:pPr>
    <w:rPr>
      <w:rFonts w:ascii="Times New Roman" w:eastAsia="Calibri" w:hAnsi="Times New Roman" w:cs="Times New Roman"/>
      <w:b/>
      <w:smallCaps/>
      <w:kern w:val="0"/>
      <w:sz w:val="24"/>
      <w:szCs w:val="20"/>
    </w:rPr>
  </w:style>
  <w:style w:type="paragraph" w:customStyle="1" w:styleId="P68B1DB1-Normal3">
    <w:name w:val="P68B1DB1-Normal3"/>
    <w:basedOn w:val="Normal"/>
    <w:rsid w:val="00FA29B2"/>
    <w:pPr>
      <w:spacing w:before="120" w:after="120" w:line="360" w:lineRule="auto"/>
    </w:pPr>
    <w:rPr>
      <w:rFonts w:ascii="Times New Roman" w:eastAsia="Calibri" w:hAnsi="Times New Roman" w:cs="Times New Roman"/>
      <w:kern w:val="0"/>
      <w:sz w:val="24"/>
      <w:szCs w:val="20"/>
    </w:rPr>
  </w:style>
  <w:style w:type="paragraph" w:customStyle="1" w:styleId="P68B1DB1-Normal4">
    <w:name w:val="P68B1DB1-Normal4"/>
    <w:basedOn w:val="Normal"/>
    <w:rsid w:val="00FA29B2"/>
    <w:pPr>
      <w:spacing w:before="120" w:after="120" w:line="360" w:lineRule="auto"/>
    </w:pPr>
    <w:rPr>
      <w:rFonts w:ascii="Times New Roman" w:eastAsia="SimSun" w:hAnsi="Times New Roman" w:cs="Times New Roman"/>
      <w:b/>
      <w:kern w:val="0"/>
      <w:sz w:val="24"/>
      <w:szCs w:val="20"/>
      <w:u w:val="single"/>
    </w:rPr>
  </w:style>
  <w:style w:type="paragraph" w:customStyle="1" w:styleId="P68B1DB1-Normal5">
    <w:name w:val="P68B1DB1-Normal5"/>
    <w:basedOn w:val="Normal"/>
    <w:rsid w:val="00FA29B2"/>
    <w:pPr>
      <w:spacing w:before="120" w:after="120" w:line="360" w:lineRule="auto"/>
    </w:pPr>
    <w:rPr>
      <w:rFonts w:ascii="Times New Roman" w:eastAsia="Times New Roman" w:hAnsi="Times New Roman" w:cs="Times New Roman"/>
      <w:b/>
      <w:kern w:val="0"/>
      <w:sz w:val="18"/>
      <w:szCs w:val="20"/>
    </w:rPr>
  </w:style>
  <w:style w:type="paragraph" w:customStyle="1" w:styleId="P68B1DB1-Normal6">
    <w:name w:val="P68B1DB1-Normal6"/>
    <w:basedOn w:val="Normal"/>
    <w:rsid w:val="00FA29B2"/>
    <w:pPr>
      <w:spacing w:before="120" w:after="120" w:line="360" w:lineRule="auto"/>
    </w:pPr>
    <w:rPr>
      <w:rFonts w:ascii="Calibri" w:eastAsia="Calibri" w:hAnsi="Calibri" w:cs="Arial"/>
      <w:color w:val="000000"/>
      <w:kern w:val="0"/>
      <w:sz w:val="20"/>
      <w:szCs w:val="20"/>
    </w:rPr>
  </w:style>
  <w:style w:type="paragraph" w:customStyle="1" w:styleId="P68B1DB1-Normal7">
    <w:name w:val="P68B1DB1-Normal7"/>
    <w:basedOn w:val="Normal"/>
    <w:rsid w:val="00FA29B2"/>
    <w:pPr>
      <w:spacing w:before="120" w:after="120" w:line="360" w:lineRule="auto"/>
    </w:pPr>
    <w:rPr>
      <w:rFonts w:ascii="Times New Roman" w:eastAsia="Times New Roman" w:hAnsi="Times New Roman" w:cs="Times New Roman"/>
      <w:color w:val="000000" w:themeColor="text1"/>
      <w:kern w:val="0"/>
      <w:sz w:val="24"/>
      <w:szCs w:val="20"/>
    </w:rPr>
  </w:style>
  <w:style w:type="paragraph" w:customStyle="1" w:styleId="P68B1DB1-Normal8">
    <w:name w:val="P68B1DB1-Normal8"/>
    <w:basedOn w:val="Normal"/>
    <w:rsid w:val="00FA29B2"/>
    <w:pPr>
      <w:spacing w:before="120" w:after="120" w:line="360" w:lineRule="auto"/>
    </w:pPr>
    <w:rPr>
      <w:rFonts w:ascii="Times New Roman" w:eastAsia="Times New Roman" w:hAnsi="Times New Roman" w:cs="Times New Roman"/>
      <w:kern w:val="0"/>
      <w:sz w:val="24"/>
      <w:szCs w:val="20"/>
    </w:rPr>
  </w:style>
  <w:style w:type="paragraph" w:customStyle="1" w:styleId="P68B1DB1-Normal9">
    <w:name w:val="P68B1DB1-Normal9"/>
    <w:basedOn w:val="Normal"/>
    <w:rsid w:val="00FA29B2"/>
    <w:pPr>
      <w:spacing w:before="120" w:after="120" w:line="360" w:lineRule="auto"/>
    </w:pPr>
    <w:rPr>
      <w:rFonts w:ascii="Times New Roman" w:eastAsia="Times New Roman" w:hAnsi="Times New Roman" w:cs="Times New Roman"/>
      <w:b/>
      <w:color w:val="000000" w:themeColor="text1"/>
      <w:kern w:val="0"/>
      <w:sz w:val="20"/>
      <w:szCs w:val="20"/>
    </w:rPr>
  </w:style>
  <w:style w:type="paragraph" w:customStyle="1" w:styleId="P68B1DB1-Normal10">
    <w:name w:val="P68B1DB1-Normal10"/>
    <w:basedOn w:val="Normal"/>
    <w:rsid w:val="00FA29B2"/>
    <w:pPr>
      <w:spacing w:before="120" w:after="120" w:line="360" w:lineRule="auto"/>
    </w:pPr>
    <w:rPr>
      <w:rFonts w:ascii="Times New Roman" w:hAnsi="Times New Roman" w:cs="Times New Roman"/>
      <w:kern w:val="0"/>
      <w:sz w:val="20"/>
      <w:szCs w:val="20"/>
    </w:rPr>
  </w:style>
  <w:style w:type="paragraph" w:customStyle="1" w:styleId="P68B1DB1-Normal11">
    <w:name w:val="P68B1DB1-Normal11"/>
    <w:basedOn w:val="Normal"/>
    <w:rsid w:val="00FA29B2"/>
    <w:pPr>
      <w:spacing w:before="120" w:after="120" w:line="360" w:lineRule="auto"/>
    </w:pPr>
    <w:rPr>
      <w:rFonts w:ascii="Calibri" w:eastAsia="Calibri" w:hAnsi="Calibri" w:cs="Calibri"/>
      <w:kern w:val="0"/>
      <w:sz w:val="20"/>
      <w:szCs w:val="20"/>
    </w:rPr>
  </w:style>
  <w:style w:type="paragraph" w:customStyle="1" w:styleId="P68B1DB1-Normal12">
    <w:name w:val="P68B1DB1-Normal12"/>
    <w:basedOn w:val="Normal"/>
    <w:rsid w:val="00FA29B2"/>
    <w:pPr>
      <w:spacing w:before="120" w:after="120" w:line="360" w:lineRule="auto"/>
    </w:pPr>
    <w:rPr>
      <w:rFonts w:ascii="Calibri" w:eastAsia="Calibri" w:hAnsi="Calibri" w:cs="Calibri"/>
      <w:kern w:val="0"/>
      <w:sz w:val="19"/>
      <w:szCs w:val="20"/>
    </w:rPr>
  </w:style>
  <w:style w:type="paragraph" w:customStyle="1" w:styleId="P68B1DB1-Normal13">
    <w:name w:val="P68B1DB1-Normal13"/>
    <w:basedOn w:val="Normal"/>
    <w:rsid w:val="00FA29B2"/>
    <w:pPr>
      <w:spacing w:before="120" w:after="120" w:line="360" w:lineRule="auto"/>
    </w:pPr>
    <w:rPr>
      <w:rFonts w:ascii="Calibri" w:eastAsia="Calibri" w:hAnsi="Calibri" w:cs="Arial"/>
      <w:color w:val="000000"/>
      <w:kern w:val="0"/>
      <w:sz w:val="20"/>
      <w:szCs w:val="20"/>
      <w:u w:val="single"/>
    </w:rPr>
  </w:style>
  <w:style w:type="paragraph" w:customStyle="1" w:styleId="P68B1DB1-Normal14">
    <w:name w:val="P68B1DB1-Normal14"/>
    <w:basedOn w:val="Normal"/>
    <w:rsid w:val="00FA29B2"/>
    <w:pPr>
      <w:spacing w:before="120" w:after="120" w:line="360" w:lineRule="auto"/>
    </w:pPr>
    <w:rPr>
      <w:rFonts w:ascii="Times New Roman" w:eastAsia="Calibri" w:hAnsi="Times New Roman" w:cstheme="minorHAnsi"/>
      <w:color w:val="000000"/>
      <w:kern w:val="0"/>
      <w:sz w:val="20"/>
      <w:szCs w:val="20"/>
    </w:rPr>
  </w:style>
  <w:style w:type="paragraph" w:customStyle="1" w:styleId="P68B1DB1-Normal15">
    <w:name w:val="P68B1DB1-Normal15"/>
    <w:basedOn w:val="Normal"/>
    <w:rsid w:val="00FA29B2"/>
    <w:pPr>
      <w:spacing w:before="120" w:after="120" w:line="360" w:lineRule="auto"/>
    </w:pPr>
    <w:rPr>
      <w:rFonts w:ascii="Times New Roman" w:eastAsia="Calibri" w:hAnsi="Times New Roman" w:cstheme="minorHAnsi"/>
      <w:kern w:val="0"/>
      <w:sz w:val="20"/>
      <w:szCs w:val="20"/>
    </w:rPr>
  </w:style>
  <w:style w:type="paragraph" w:customStyle="1" w:styleId="P68B1DB1-Normal16">
    <w:name w:val="P68B1DB1-Normal16"/>
    <w:basedOn w:val="Normal"/>
    <w:rsid w:val="00FA29B2"/>
    <w:pPr>
      <w:spacing w:before="120" w:after="120" w:line="360" w:lineRule="auto"/>
    </w:pPr>
    <w:rPr>
      <w:rFonts w:ascii="Times New Roman" w:eastAsia="SimSun" w:hAnsi="Times New Roman" w:cs="Times New Roman"/>
      <w:kern w:val="0"/>
      <w:sz w:val="24"/>
      <w:szCs w:val="20"/>
      <w:u w:val="single"/>
    </w:rPr>
  </w:style>
  <w:style w:type="paragraph" w:customStyle="1" w:styleId="P68B1DB1-Normal17">
    <w:name w:val="P68B1DB1-Normal17"/>
    <w:basedOn w:val="Normal"/>
    <w:rsid w:val="00FA29B2"/>
    <w:pPr>
      <w:spacing w:before="120" w:after="120" w:line="360" w:lineRule="auto"/>
    </w:pPr>
    <w:rPr>
      <w:rFonts w:ascii="Times New Roman" w:eastAsia="SimSun" w:hAnsi="Times New Roman" w:cs="Times New Roman"/>
      <w:kern w:val="0"/>
      <w:sz w:val="24"/>
      <w:szCs w:val="20"/>
    </w:rPr>
  </w:style>
  <w:style w:type="paragraph" w:customStyle="1" w:styleId="P68B1DB1-Normal18">
    <w:name w:val="P68B1DB1-Normal18"/>
    <w:basedOn w:val="Normal"/>
    <w:rsid w:val="00FA29B2"/>
    <w:pPr>
      <w:spacing w:before="120" w:after="120" w:line="360" w:lineRule="auto"/>
    </w:pPr>
    <w:rPr>
      <w:rFonts w:ascii="Times New Roman" w:hAnsi="Times New Roman" w:cs="Times New Roman"/>
      <w:kern w:val="0"/>
      <w:sz w:val="24"/>
      <w:szCs w:val="20"/>
    </w:rPr>
  </w:style>
  <w:style w:type="paragraph" w:customStyle="1" w:styleId="P68B1DB1-Normal19">
    <w:name w:val="P68B1DB1-Normal19"/>
    <w:basedOn w:val="Normal"/>
    <w:rsid w:val="00FA29B2"/>
    <w:pPr>
      <w:spacing w:before="120" w:after="120" w:line="360" w:lineRule="auto"/>
    </w:pPr>
    <w:rPr>
      <w:rFonts w:ascii="Times New Roman" w:eastAsia="Calibri" w:hAnsi="Times New Roman" w:cs="Times New Roman"/>
      <w:kern w:val="0"/>
      <w:sz w:val="24"/>
      <w:szCs w:val="20"/>
      <w:shd w:val="clear" w:color="auto" w:fill="FFFFFF"/>
    </w:rPr>
  </w:style>
  <w:style w:type="paragraph" w:customStyle="1" w:styleId="P68B1DB1-Normal20">
    <w:name w:val="P68B1DB1-Normal20"/>
    <w:basedOn w:val="Normal"/>
    <w:rsid w:val="00FA29B2"/>
    <w:pPr>
      <w:spacing w:before="120" w:after="120" w:line="360" w:lineRule="auto"/>
    </w:pPr>
    <w:rPr>
      <w:rFonts w:ascii="Times New Roman" w:eastAsia="Times New Roman" w:hAnsi="Times New Roman" w:cstheme="minorHAnsi"/>
      <w:b/>
      <w:kern w:val="0"/>
      <w:sz w:val="20"/>
      <w:szCs w:val="20"/>
    </w:rPr>
  </w:style>
  <w:style w:type="paragraph" w:customStyle="1" w:styleId="P68B1DB1-Normal21">
    <w:name w:val="P68B1DB1-Normal21"/>
    <w:basedOn w:val="Normal"/>
    <w:rsid w:val="00FA29B2"/>
    <w:pPr>
      <w:spacing w:before="120" w:after="120" w:line="360" w:lineRule="auto"/>
    </w:pPr>
    <w:rPr>
      <w:rFonts w:ascii="Times New Roman" w:eastAsia="Calibri" w:hAnsi="Times New Roman" w:cstheme="minorHAnsi"/>
      <w:color w:val="000000"/>
      <w:kern w:val="0"/>
      <w:sz w:val="20"/>
      <w:szCs w:val="20"/>
      <w:u w:val="double"/>
    </w:rPr>
  </w:style>
  <w:style w:type="paragraph" w:customStyle="1" w:styleId="P68B1DB1-Normal22">
    <w:name w:val="P68B1DB1-Normal22"/>
    <w:basedOn w:val="Normal"/>
    <w:rsid w:val="00FA29B2"/>
    <w:pPr>
      <w:spacing w:before="120" w:after="120" w:line="360" w:lineRule="auto"/>
    </w:pPr>
    <w:rPr>
      <w:rFonts w:ascii="Times New Roman" w:eastAsia="Calibri" w:hAnsi="Times New Roman" w:cs="Times New Roman"/>
      <w:color w:val="000000" w:themeColor="text1"/>
      <w:kern w:val="0"/>
      <w:sz w:val="20"/>
      <w:szCs w:val="20"/>
    </w:rPr>
  </w:style>
  <w:style w:type="paragraph" w:customStyle="1" w:styleId="P68B1DB1-Normal23">
    <w:name w:val="P68B1DB1-Normal23"/>
    <w:basedOn w:val="Normal"/>
    <w:rsid w:val="00FA29B2"/>
    <w:pPr>
      <w:spacing w:before="120" w:after="120" w:line="360" w:lineRule="auto"/>
    </w:pPr>
    <w:rPr>
      <w:rFonts w:ascii="Times New Roman" w:eastAsia="Calibri" w:hAnsi="Times New Roman" w:cstheme="minorHAnsi"/>
      <w:color w:val="000000"/>
      <w:kern w:val="0"/>
      <w:sz w:val="20"/>
      <w:szCs w:val="20"/>
      <w:u w:val="single"/>
    </w:rPr>
  </w:style>
  <w:style w:type="paragraph" w:customStyle="1" w:styleId="P68B1DB1-paragraph24">
    <w:name w:val="P68B1DB1-paragraph24"/>
    <w:basedOn w:val="paragraph"/>
    <w:rsid w:val="00FA29B2"/>
    <w:rPr>
      <w:rFonts w:eastAsia="Calibri"/>
    </w:rPr>
  </w:style>
  <w:style w:type="paragraph" w:customStyle="1" w:styleId="P68B1DB1-Normal25">
    <w:name w:val="P68B1DB1-Normal25"/>
    <w:basedOn w:val="Normal"/>
    <w:rsid w:val="00FA29B2"/>
    <w:pPr>
      <w:spacing w:before="120" w:after="120" w:line="360" w:lineRule="auto"/>
    </w:pPr>
    <w:rPr>
      <w:rFonts w:ascii="Times New Roman" w:eastAsia="Times New Roman" w:hAnsi="Times New Roman" w:cstheme="minorHAnsi"/>
      <w:kern w:val="0"/>
      <w:sz w:val="20"/>
      <w:szCs w:val="20"/>
    </w:rPr>
  </w:style>
  <w:style w:type="paragraph" w:customStyle="1" w:styleId="P68B1DB1-Normal26">
    <w:name w:val="P68B1DB1-Normal26"/>
    <w:basedOn w:val="Normal"/>
    <w:rsid w:val="00FA29B2"/>
    <w:pPr>
      <w:spacing w:before="120" w:after="120" w:line="360" w:lineRule="auto"/>
    </w:pPr>
    <w:rPr>
      <w:rFonts w:ascii="Times New Roman" w:hAnsi="Times New Roman" w:cstheme="minorHAnsi"/>
      <w:kern w:val="0"/>
      <w:sz w:val="20"/>
      <w:szCs w:val="20"/>
    </w:rPr>
  </w:style>
  <w:style w:type="paragraph" w:customStyle="1" w:styleId="P68B1DB1-Normal27">
    <w:name w:val="P68B1DB1-Normal27"/>
    <w:basedOn w:val="Normal"/>
    <w:rsid w:val="00FA29B2"/>
    <w:pPr>
      <w:spacing w:before="120" w:after="120" w:line="360" w:lineRule="auto"/>
    </w:pPr>
    <w:rPr>
      <w:rFonts w:ascii="Times New Roman" w:hAnsi="Times New Roman" w:cstheme="minorHAnsi"/>
      <w:kern w:val="0"/>
      <w:sz w:val="20"/>
      <w:szCs w:val="20"/>
      <w:u w:val="single"/>
    </w:rPr>
  </w:style>
  <w:style w:type="paragraph" w:customStyle="1" w:styleId="P68B1DB1-Normal28">
    <w:name w:val="P68B1DB1-Normal28"/>
    <w:basedOn w:val="Normal"/>
    <w:rsid w:val="00FA29B2"/>
    <w:pPr>
      <w:spacing w:before="120" w:after="120" w:line="360" w:lineRule="auto"/>
    </w:pPr>
    <w:rPr>
      <w:rFonts w:ascii="Times New Roman" w:eastAsia="Times New Roman" w:hAnsi="Times New Roman" w:cstheme="minorHAnsi"/>
      <w:kern w:val="0"/>
      <w:sz w:val="20"/>
      <w:szCs w:val="20"/>
      <w:shd w:val="clear" w:color="auto" w:fill="E6E6E6"/>
    </w:rPr>
  </w:style>
  <w:style w:type="paragraph" w:customStyle="1" w:styleId="P68B1DB1-Normal29">
    <w:name w:val="P68B1DB1-Normal29"/>
    <w:basedOn w:val="Normal"/>
    <w:rsid w:val="00FA29B2"/>
    <w:pPr>
      <w:spacing w:before="120" w:after="120" w:line="360" w:lineRule="auto"/>
    </w:pPr>
    <w:rPr>
      <w:rFonts w:ascii="Times New Roman" w:eastAsia="Times New Roman" w:hAnsi="Times New Roman" w:cstheme="minorHAnsi"/>
      <w:kern w:val="0"/>
      <w:sz w:val="20"/>
      <w:szCs w:val="20"/>
      <w:u w:val="single"/>
    </w:rPr>
  </w:style>
  <w:style w:type="paragraph" w:customStyle="1" w:styleId="P68B1DB1-Normal30">
    <w:name w:val="P68B1DB1-Normal30"/>
    <w:basedOn w:val="Normal"/>
    <w:rsid w:val="00FA29B2"/>
    <w:pPr>
      <w:spacing w:before="120" w:after="120" w:line="360" w:lineRule="auto"/>
    </w:pPr>
    <w:rPr>
      <w:rFonts w:ascii="Times New Roman" w:eastAsia="Calibri" w:hAnsi="Times New Roman" w:cstheme="minorHAnsi"/>
      <w:kern w:val="0"/>
      <w:sz w:val="20"/>
      <w:szCs w:val="20"/>
      <w:shd w:val="clear" w:color="auto" w:fill="E6E6E6"/>
    </w:rPr>
  </w:style>
  <w:style w:type="paragraph" w:customStyle="1" w:styleId="P68B1DB1-Normal31">
    <w:name w:val="P68B1DB1-Normal31"/>
    <w:basedOn w:val="Normal"/>
    <w:rsid w:val="00FA29B2"/>
    <w:pPr>
      <w:spacing w:before="120" w:after="120" w:line="360" w:lineRule="auto"/>
    </w:pPr>
    <w:rPr>
      <w:rFonts w:ascii="Times New Roman" w:eastAsia="Times New Roman" w:hAnsi="Times New Roman" w:cs="Times New Roman"/>
      <w:kern w:val="0"/>
      <w:sz w:val="24"/>
      <w:szCs w:val="20"/>
      <w:u w:val="single"/>
    </w:rPr>
  </w:style>
  <w:style w:type="paragraph" w:customStyle="1" w:styleId="P68B1DB1-ListParagraph32">
    <w:name w:val="P68B1DB1-ListParagraph32"/>
    <w:basedOn w:val="ListParagraph"/>
    <w:rsid w:val="00FA29B2"/>
    <w:rPr>
      <w:rFonts w:ascii="Times New Roman" w:hAnsi="Times New Roman" w:cs="Times New Roman"/>
      <w:kern w:val="0"/>
      <w:sz w:val="24"/>
      <w:szCs w:val="20"/>
    </w:rPr>
  </w:style>
  <w:style w:type="paragraph" w:customStyle="1" w:styleId="P68B1DB1-ListParagraph33">
    <w:name w:val="P68B1DB1-ListParagraph33"/>
    <w:basedOn w:val="ListParagraph"/>
    <w:rsid w:val="00FA29B2"/>
    <w:rPr>
      <w:rFonts w:ascii="Times New Roman" w:eastAsia="Calibri" w:hAnsi="Times New Roman" w:cs="Times New Roman"/>
      <w:kern w:val="0"/>
      <w:sz w:val="24"/>
      <w:szCs w:val="20"/>
    </w:rPr>
  </w:style>
  <w:style w:type="paragraph" w:customStyle="1" w:styleId="P68B1DB1-ListParagraph34">
    <w:name w:val="P68B1DB1-ListParagraph34"/>
    <w:basedOn w:val="ListParagraph"/>
    <w:rsid w:val="00FA29B2"/>
    <w:rPr>
      <w:kern w:val="0"/>
      <w:sz w:val="24"/>
      <w:szCs w:val="20"/>
    </w:rPr>
  </w:style>
  <w:style w:type="paragraph" w:customStyle="1" w:styleId="P68B1DB1-Normal35">
    <w:name w:val="P68B1DB1-Normal35"/>
    <w:basedOn w:val="Normal"/>
    <w:rsid w:val="00FA29B2"/>
    <w:pPr>
      <w:spacing w:before="120" w:after="120" w:line="360" w:lineRule="auto"/>
    </w:pPr>
    <w:rPr>
      <w:rFonts w:ascii="Times New Roman" w:eastAsia="Calibri" w:hAnsi="Times New Roman" w:cs="Times New Roman"/>
      <w:color w:val="000000" w:themeColor="text1"/>
      <w:kern w:val="0"/>
      <w:sz w:val="24"/>
      <w:szCs w:val="20"/>
    </w:rPr>
  </w:style>
  <w:style w:type="paragraph" w:customStyle="1" w:styleId="P68B1DB1-Normal36">
    <w:name w:val="P68B1DB1-Normal36"/>
    <w:basedOn w:val="Normal"/>
    <w:rsid w:val="00FA29B2"/>
    <w:pPr>
      <w:spacing w:before="120" w:after="120" w:line="360" w:lineRule="auto"/>
    </w:pPr>
    <w:rPr>
      <w:rFonts w:ascii="Times New Roman" w:eastAsia="Calibri" w:hAnsi="Times New Roman" w:cs="Times New Roman"/>
      <w:b/>
      <w:smallCaps/>
      <w:color w:val="000000" w:themeColor="text1"/>
      <w:kern w:val="0"/>
      <w:sz w:val="24"/>
      <w:szCs w:val="20"/>
    </w:rPr>
  </w:style>
  <w:style w:type="paragraph" w:customStyle="1" w:styleId="P68B1DB1-Normal37">
    <w:name w:val="P68B1DB1-Normal37"/>
    <w:basedOn w:val="Normal"/>
    <w:rsid w:val="00FA29B2"/>
    <w:pPr>
      <w:spacing w:before="120" w:after="120" w:line="360" w:lineRule="auto"/>
    </w:pPr>
    <w:rPr>
      <w:rFonts w:ascii="Times New Roman" w:eastAsia="SimSun" w:hAnsi="Times New Roman" w:cs="Times New Roman"/>
      <w:b/>
      <w:color w:val="000000" w:themeColor="text1"/>
      <w:kern w:val="0"/>
      <w:sz w:val="24"/>
      <w:szCs w:val="20"/>
      <w:u w:val="single"/>
      <w:shd w:val="clear" w:color="auto" w:fill="E6E6E6"/>
    </w:rPr>
  </w:style>
  <w:style w:type="paragraph" w:customStyle="1" w:styleId="P68B1DB1-Normal38">
    <w:name w:val="P68B1DB1-Normal38"/>
    <w:basedOn w:val="Normal"/>
    <w:rsid w:val="00FA29B2"/>
    <w:pPr>
      <w:spacing w:before="120" w:after="120" w:line="360" w:lineRule="auto"/>
    </w:pPr>
    <w:rPr>
      <w:rFonts w:ascii="Times New Roman" w:eastAsia="Calibri" w:hAnsi="Times New Roman" w:cs="Times New Roman"/>
      <w:b/>
      <w:color w:val="000000" w:themeColor="text1"/>
      <w:kern w:val="0"/>
      <w:sz w:val="18"/>
      <w:szCs w:val="20"/>
    </w:rPr>
  </w:style>
  <w:style w:type="paragraph" w:customStyle="1" w:styleId="P68B1DB1-Normal39">
    <w:name w:val="P68B1DB1-Normal39"/>
    <w:basedOn w:val="Normal"/>
    <w:rsid w:val="00FA29B2"/>
    <w:pPr>
      <w:spacing w:before="120" w:after="120" w:line="360" w:lineRule="auto"/>
    </w:pPr>
    <w:rPr>
      <w:rFonts w:ascii="Calibri" w:eastAsia="Calibri" w:hAnsi="Calibri" w:cs="Arial"/>
      <w:color w:val="000000" w:themeColor="text1"/>
      <w:kern w:val="0"/>
      <w:sz w:val="20"/>
      <w:szCs w:val="20"/>
      <w:shd w:val="clear" w:color="auto" w:fill="E6E6E6"/>
    </w:rPr>
  </w:style>
  <w:style w:type="paragraph" w:customStyle="1" w:styleId="P68B1DB1-Normal40">
    <w:name w:val="P68B1DB1-Normal40"/>
    <w:basedOn w:val="Normal"/>
    <w:rsid w:val="00FA29B2"/>
    <w:pPr>
      <w:spacing w:before="120" w:after="120" w:line="360" w:lineRule="auto"/>
    </w:pPr>
    <w:rPr>
      <w:rFonts w:ascii="Times New Roman" w:hAnsi="Times New Roman" w:cs="Times New Roman"/>
      <w:b/>
      <w:smallCaps/>
      <w:kern w:val="0"/>
      <w:sz w:val="24"/>
      <w:szCs w:val="20"/>
    </w:rPr>
  </w:style>
  <w:style w:type="paragraph" w:customStyle="1" w:styleId="P68B1DB1-Normal41">
    <w:name w:val="P68B1DB1-Normal41"/>
    <w:basedOn w:val="Normal"/>
    <w:rsid w:val="00FA29B2"/>
    <w:pPr>
      <w:spacing w:before="120" w:after="120" w:line="360" w:lineRule="auto"/>
    </w:pPr>
    <w:rPr>
      <w:rFonts w:ascii="Times New Roman" w:eastAsiaTheme="minorEastAsia" w:hAnsi="Times New Roman" w:cs="Times New Roman"/>
      <w:b/>
      <w:kern w:val="0"/>
      <w:sz w:val="24"/>
      <w:szCs w:val="20"/>
      <w:u w:val="single"/>
    </w:rPr>
  </w:style>
  <w:style w:type="paragraph" w:customStyle="1" w:styleId="P68B1DB1-Bodytext2042">
    <w:name w:val="P68B1DB1-Bodytext2042"/>
    <w:basedOn w:val="Bodytext20"/>
    <w:rsid w:val="00FA29B2"/>
    <w:rPr>
      <w:rFonts w:ascii="Times New Roman" w:hAnsi="Times New Roman" w:cs="Times New Roman"/>
      <w:kern w:val="0"/>
      <w:sz w:val="24"/>
    </w:rPr>
  </w:style>
  <w:style w:type="paragraph" w:customStyle="1" w:styleId="P68B1DB1-Normal43">
    <w:name w:val="P68B1DB1-Normal43"/>
    <w:basedOn w:val="Normal"/>
    <w:rsid w:val="00FA29B2"/>
    <w:pPr>
      <w:spacing w:before="120" w:after="120" w:line="360" w:lineRule="auto"/>
    </w:pPr>
    <w:rPr>
      <w:rFonts w:ascii="Times New Roman" w:eastAsia="Cambria Math" w:hAnsi="Times New Roman" w:cs="Times New Roman"/>
      <w:kern w:val="0"/>
      <w:sz w:val="24"/>
      <w:szCs w:val="20"/>
    </w:rPr>
  </w:style>
  <w:style w:type="paragraph" w:customStyle="1" w:styleId="P68B1DB1-Normal44">
    <w:name w:val="P68B1DB1-Normal44"/>
    <w:basedOn w:val="Normal"/>
    <w:rsid w:val="00FA29B2"/>
    <w:pPr>
      <w:spacing w:before="120" w:after="120" w:line="360" w:lineRule="auto"/>
    </w:pPr>
    <w:rPr>
      <w:rFonts w:ascii="Times New Roman" w:hAnsi="Times New Roman" w:cs="Times New Roman"/>
      <w:color w:val="000000"/>
      <w:kern w:val="0"/>
      <w:sz w:val="20"/>
      <w:szCs w:val="20"/>
    </w:rPr>
  </w:style>
  <w:style w:type="paragraph" w:customStyle="1" w:styleId="P68B1DB1-Normal45">
    <w:name w:val="P68B1DB1-Normal45"/>
    <w:basedOn w:val="Normal"/>
    <w:rsid w:val="00FA29B2"/>
    <w:pPr>
      <w:spacing w:before="120" w:after="120" w:line="360" w:lineRule="auto"/>
    </w:pPr>
    <w:rPr>
      <w:rFonts w:ascii="Times New Roman" w:hAnsi="Times New Roman" w:cs="Times New Roman"/>
      <w:kern w:val="0"/>
      <w:sz w:val="24"/>
      <w:szCs w:val="20"/>
      <w:shd w:val="clear" w:color="auto" w:fill="FFFFFF"/>
    </w:rPr>
  </w:style>
  <w:style w:type="paragraph" w:customStyle="1" w:styleId="P68B1DB1-CommentText46">
    <w:name w:val="P68B1DB1-CommentText46"/>
    <w:basedOn w:val="CommentText"/>
    <w:rsid w:val="00FA29B2"/>
    <w:pPr>
      <w:spacing w:before="0" w:after="160"/>
    </w:pPr>
    <w:rPr>
      <w:rFonts w:asciiTheme="minorHAnsi" w:hAnsiTheme="minorHAnsi" w:cstheme="minorBidi"/>
      <w:color w:val="000000"/>
    </w:rPr>
  </w:style>
  <w:style w:type="paragraph" w:customStyle="1" w:styleId="P68B1DB1-Normal47">
    <w:name w:val="P68B1DB1-Normal47"/>
    <w:basedOn w:val="Normal"/>
    <w:rsid w:val="00FA29B2"/>
    <w:pPr>
      <w:spacing w:before="120" w:after="120" w:line="360" w:lineRule="auto"/>
    </w:pPr>
    <w:rPr>
      <w:rFonts w:ascii="Times New Roman" w:eastAsiaTheme="minorEastAsia" w:hAnsi="Times New Roman" w:cs="Times New Roman"/>
      <w:kern w:val="0"/>
      <w:sz w:val="24"/>
      <w:szCs w:val="20"/>
    </w:rPr>
  </w:style>
  <w:style w:type="paragraph" w:customStyle="1" w:styleId="P68B1DB1-Normal48">
    <w:name w:val="P68B1DB1-Normal48"/>
    <w:basedOn w:val="Normal"/>
    <w:rsid w:val="00FA29B2"/>
    <w:pPr>
      <w:spacing w:before="120" w:after="120" w:line="360" w:lineRule="auto"/>
    </w:pPr>
    <w:rPr>
      <w:rFonts w:ascii="Times New Roman" w:hAnsi="Times New Roman" w:cs="Times New Roman"/>
      <w:color w:val="000000"/>
      <w:kern w:val="0"/>
      <w:sz w:val="20"/>
      <w:szCs w:val="20"/>
      <w:u w:val="single"/>
    </w:rPr>
  </w:style>
  <w:style w:type="paragraph" w:customStyle="1" w:styleId="P68B1DB1-Normal49">
    <w:name w:val="P68B1DB1-Normal49"/>
    <w:basedOn w:val="Normal"/>
    <w:rsid w:val="00FA29B2"/>
    <w:pPr>
      <w:spacing w:before="120" w:after="120" w:line="360" w:lineRule="auto"/>
    </w:pPr>
    <w:rPr>
      <w:rFonts w:ascii="Times New Roman" w:eastAsia="Calibri" w:hAnsi="Times New Roman" w:cs="Times New Roman"/>
      <w:kern w:val="0"/>
      <w:sz w:val="24"/>
      <w:szCs w:val="20"/>
      <w:bdr w:val="none" w:sz="0" w:space="0" w:color="auto" w:frame="1"/>
    </w:rPr>
  </w:style>
  <w:style w:type="paragraph" w:customStyle="1" w:styleId="P68B1DB1-Normal50">
    <w:name w:val="P68B1DB1-Normal50"/>
    <w:basedOn w:val="Normal"/>
    <w:rsid w:val="00FA29B2"/>
    <w:pPr>
      <w:spacing w:before="120" w:after="120" w:line="360" w:lineRule="auto"/>
    </w:pPr>
    <w:rPr>
      <w:rFonts w:ascii="Times New Roman" w:eastAsia="Calibri" w:hAnsi="Times New Roman" w:cs="Times New Roman"/>
      <w:kern w:val="0"/>
      <w:sz w:val="24"/>
      <w:szCs w:val="20"/>
      <w:u w:val="single"/>
    </w:rPr>
  </w:style>
  <w:style w:type="paragraph" w:customStyle="1" w:styleId="P68B1DB1-Normal51">
    <w:name w:val="P68B1DB1-Normal51"/>
    <w:basedOn w:val="Normal"/>
    <w:rsid w:val="00FA29B2"/>
    <w:pPr>
      <w:spacing w:before="120" w:after="120" w:line="360" w:lineRule="auto"/>
    </w:pPr>
    <w:rPr>
      <w:rFonts w:ascii="Calibri" w:eastAsia="Calibri" w:hAnsi="Calibri" w:cs="Arial"/>
      <w:kern w:val="0"/>
      <w:sz w:val="24"/>
      <w:szCs w:val="20"/>
      <w:shd w:val="clear" w:color="auto" w:fill="FFFFFF"/>
    </w:rPr>
  </w:style>
  <w:style w:type="paragraph" w:customStyle="1" w:styleId="P68B1DB1-Normal52">
    <w:name w:val="P68B1DB1-Normal52"/>
    <w:basedOn w:val="Normal"/>
    <w:rsid w:val="00FA29B2"/>
    <w:pPr>
      <w:spacing w:before="120" w:after="120" w:line="360" w:lineRule="auto"/>
    </w:pPr>
    <w:rPr>
      <w:rFonts w:ascii="Times New Roman" w:eastAsia="SimSun" w:hAnsi="Times New Roman" w:cs="Times New Roman"/>
      <w:b/>
      <w:kern w:val="0"/>
      <w:sz w:val="24"/>
      <w:szCs w:val="20"/>
    </w:rPr>
  </w:style>
  <w:style w:type="paragraph" w:customStyle="1" w:styleId="P68B1DB1-Normal53">
    <w:name w:val="P68B1DB1-Normal53"/>
    <w:basedOn w:val="Normal"/>
    <w:rsid w:val="00FA29B2"/>
    <w:pPr>
      <w:spacing w:before="120" w:after="120" w:line="360" w:lineRule="auto"/>
    </w:pPr>
    <w:rPr>
      <w:rFonts w:ascii="Times New Roman" w:hAnsi="Calibri" w:cs="Times New Roman"/>
      <w:kern w:val="0"/>
      <w:sz w:val="24"/>
      <w:szCs w:val="20"/>
      <w:u w:val="single"/>
    </w:rPr>
  </w:style>
  <w:style w:type="paragraph" w:customStyle="1" w:styleId="P68B1DB1-Normal54">
    <w:name w:val="P68B1DB1-Normal54"/>
    <w:basedOn w:val="Normal"/>
    <w:rsid w:val="00FA29B2"/>
    <w:pPr>
      <w:spacing w:before="120" w:after="120" w:line="360" w:lineRule="auto"/>
    </w:pPr>
    <w:rPr>
      <w:rFonts w:ascii="Times New Roman" w:eastAsia="Times New Roman" w:hAnsi="Times New Roman" w:cs="Times New Roman"/>
      <w:b/>
      <w:kern w:val="0"/>
      <w:sz w:val="20"/>
      <w:szCs w:val="20"/>
    </w:rPr>
  </w:style>
  <w:style w:type="paragraph" w:customStyle="1" w:styleId="P68B1DB1-Normal55">
    <w:name w:val="P68B1DB1-Normal55"/>
    <w:basedOn w:val="Normal"/>
    <w:rsid w:val="00FA29B2"/>
    <w:pPr>
      <w:spacing w:before="120" w:after="120" w:line="360" w:lineRule="auto"/>
    </w:pPr>
    <w:rPr>
      <w:rFonts w:ascii="Times New Roman" w:eastAsia="Times New Roman" w:hAnsi="Times New Roman" w:cs="Times New Roman"/>
      <w:kern w:val="0"/>
      <w:sz w:val="20"/>
      <w:szCs w:val="20"/>
    </w:rPr>
  </w:style>
  <w:style w:type="paragraph" w:customStyle="1" w:styleId="P68B1DB1-Normal56">
    <w:name w:val="P68B1DB1-Normal56"/>
    <w:basedOn w:val="Normal"/>
    <w:rsid w:val="00FA29B2"/>
    <w:pPr>
      <w:spacing w:before="120" w:after="120" w:line="360" w:lineRule="auto"/>
    </w:pPr>
    <w:rPr>
      <w:rFonts w:ascii="Times New Roman" w:eastAsia="Times New Roman" w:hAnsi="Times New Roman" w:cstheme="minorHAnsi"/>
      <w:color w:val="006100"/>
      <w:kern w:val="0"/>
      <w:sz w:val="20"/>
      <w:szCs w:val="20"/>
    </w:rPr>
  </w:style>
  <w:style w:type="paragraph" w:customStyle="1" w:styleId="P68B1DB1-paragraph57">
    <w:name w:val="P68B1DB1-paragraph57"/>
    <w:basedOn w:val="paragraph"/>
    <w:rsid w:val="00FA29B2"/>
    <w:rPr>
      <w:u w:val="single"/>
    </w:rPr>
  </w:style>
  <w:style w:type="paragraph" w:customStyle="1" w:styleId="P68B1DB1-paragraph58">
    <w:name w:val="P68B1DB1-paragraph58"/>
    <w:basedOn w:val="paragraph"/>
    <w:rsid w:val="00FA29B2"/>
    <w:rPr>
      <w:color w:val="000000" w:themeColor="text1"/>
    </w:rPr>
  </w:style>
  <w:style w:type="paragraph" w:customStyle="1" w:styleId="P68B1DB1-paragraph59">
    <w:name w:val="P68B1DB1-paragraph59"/>
    <w:basedOn w:val="paragraph"/>
    <w:rsid w:val="00FA29B2"/>
    <w:rPr>
      <w:color w:val="000000" w:themeColor="text1"/>
      <w:u w:val="single"/>
    </w:rPr>
  </w:style>
  <w:style w:type="paragraph" w:customStyle="1" w:styleId="P68B1DB1-Normal60">
    <w:name w:val="P68B1DB1-Normal60"/>
    <w:basedOn w:val="Normal"/>
    <w:rsid w:val="00FA29B2"/>
    <w:pPr>
      <w:spacing w:before="120" w:after="120" w:line="360" w:lineRule="auto"/>
    </w:pPr>
    <w:rPr>
      <w:rFonts w:ascii="Times New Roman" w:hAnsi="Times New Roman" w:cstheme="minorHAnsi"/>
      <w:color w:val="000000" w:themeColor="text1"/>
      <w:kern w:val="0"/>
      <w:sz w:val="20"/>
      <w:szCs w:val="20"/>
      <w:u w:val="single"/>
    </w:rPr>
  </w:style>
  <w:style w:type="paragraph" w:customStyle="1" w:styleId="P68B1DB1-Normal61">
    <w:name w:val="P68B1DB1-Normal61"/>
    <w:basedOn w:val="Normal"/>
    <w:rsid w:val="00FA29B2"/>
    <w:pPr>
      <w:spacing w:before="120" w:after="120" w:line="360" w:lineRule="auto"/>
    </w:pPr>
    <w:rPr>
      <w:rFonts w:ascii="Times New Roman" w:eastAsia="Calibri" w:hAnsi="Times New Roman" w:cstheme="minorHAnsi"/>
      <w:kern w:val="0"/>
      <w:sz w:val="20"/>
      <w:szCs w:val="20"/>
      <w:u w:val="single"/>
    </w:rPr>
  </w:style>
  <w:style w:type="paragraph" w:customStyle="1" w:styleId="P68B1DB1-Normal62">
    <w:name w:val="P68B1DB1-Normal62"/>
    <w:basedOn w:val="Normal"/>
    <w:rsid w:val="00FA29B2"/>
    <w:pPr>
      <w:spacing w:before="120" w:after="120" w:line="360" w:lineRule="auto"/>
    </w:pPr>
    <w:rPr>
      <w:rFonts w:ascii="Times New Roman" w:hAnsi="Times New Roman" w:cs="Times New Roman"/>
      <w:kern w:val="0"/>
      <w:sz w:val="20"/>
      <w:szCs w:val="20"/>
      <w:u w:val="single"/>
    </w:rPr>
  </w:style>
  <w:style w:type="paragraph" w:customStyle="1" w:styleId="P68B1DB1-Normal63">
    <w:name w:val="P68B1DB1-Normal63"/>
    <w:basedOn w:val="Normal"/>
    <w:rsid w:val="00FA29B2"/>
    <w:pPr>
      <w:spacing w:before="120" w:after="120" w:line="360" w:lineRule="auto"/>
    </w:pPr>
    <w:rPr>
      <w:rFonts w:ascii="Times New Roman" w:hAnsi="Times New Roman" w:cs="Times New Roman"/>
      <w:color w:val="000000" w:themeColor="text1"/>
      <w:kern w:val="0"/>
      <w:sz w:val="24"/>
      <w:szCs w:val="20"/>
      <w:u w:val="single"/>
    </w:rPr>
  </w:style>
  <w:style w:type="paragraph" w:customStyle="1" w:styleId="P68B1DB1-Normal64">
    <w:name w:val="P68B1DB1-Normal64"/>
    <w:basedOn w:val="Normal"/>
    <w:rsid w:val="00FA29B2"/>
    <w:pPr>
      <w:spacing w:before="120" w:after="120" w:line="360" w:lineRule="auto"/>
    </w:pPr>
    <w:rPr>
      <w:rFonts w:ascii="Times New Roman" w:eastAsia="Calibri" w:hAnsi="Times New Roman" w:cs="Times New Roman"/>
      <w:kern w:val="0"/>
      <w:sz w:val="20"/>
      <w:szCs w:val="20"/>
      <w:u w:val="single"/>
    </w:rPr>
  </w:style>
  <w:style w:type="paragraph" w:customStyle="1" w:styleId="P68B1DB1-Normal65">
    <w:name w:val="P68B1DB1-Normal65"/>
    <w:basedOn w:val="Normal"/>
    <w:rsid w:val="00FA29B2"/>
    <w:pPr>
      <w:spacing w:before="120" w:after="120" w:line="360" w:lineRule="auto"/>
    </w:pPr>
    <w:rPr>
      <w:rFonts w:ascii="Times New Roman" w:hAnsi="Times New Roman" w:cstheme="minorHAnsi"/>
      <w:color w:val="000000" w:themeColor="text1"/>
      <w:kern w:val="0"/>
      <w:sz w:val="20"/>
      <w:szCs w:val="20"/>
    </w:rPr>
  </w:style>
  <w:style w:type="paragraph" w:customStyle="1" w:styleId="P68B1DB1-paragraph66">
    <w:name w:val="P68B1DB1-paragraph66"/>
    <w:basedOn w:val="paragraph"/>
    <w:rsid w:val="00FA29B2"/>
    <w:rPr>
      <w:rFonts w:eastAsia="Calibri"/>
      <w:b/>
    </w:rPr>
  </w:style>
  <w:style w:type="paragraph" w:customStyle="1" w:styleId="P68B1DB1-Normal67">
    <w:name w:val="P68B1DB1-Normal67"/>
    <w:basedOn w:val="Normal"/>
    <w:rsid w:val="00FA29B2"/>
    <w:pPr>
      <w:spacing w:before="120" w:after="120" w:line="360" w:lineRule="auto"/>
    </w:pPr>
    <w:rPr>
      <w:rFonts w:ascii="Times New Roman" w:eastAsia="Calibri" w:hAnsi="Times New Roman" w:cs="Times New Roman"/>
      <w:kern w:val="0"/>
      <w:sz w:val="20"/>
      <w:szCs w:val="20"/>
    </w:rPr>
  </w:style>
  <w:style w:type="paragraph" w:customStyle="1" w:styleId="P68B1DB1-Normal68">
    <w:name w:val="P68B1DB1-Normal68"/>
    <w:basedOn w:val="Normal"/>
    <w:rsid w:val="00FA29B2"/>
    <w:pPr>
      <w:spacing w:before="120" w:after="120" w:line="360" w:lineRule="auto"/>
    </w:pPr>
    <w:rPr>
      <w:rFonts w:ascii="Times New Roman" w:eastAsia="Calibri" w:hAnsi="Times New Roman" w:cstheme="minorHAnsi"/>
      <w:kern w:val="0"/>
      <w:sz w:val="20"/>
      <w:szCs w:val="20"/>
      <w:u w:val="double"/>
    </w:rPr>
  </w:style>
  <w:style w:type="paragraph" w:customStyle="1" w:styleId="P68B1DB1-Normal69">
    <w:name w:val="P68B1DB1-Normal69"/>
    <w:basedOn w:val="Normal"/>
    <w:rsid w:val="00FA29B2"/>
    <w:pPr>
      <w:spacing w:before="120" w:after="120" w:line="360" w:lineRule="auto"/>
    </w:pPr>
    <w:rPr>
      <w:rFonts w:ascii="Calibri" w:eastAsia="Times New Roman" w:hAnsi="Calibri" w:cs="Calibri"/>
      <w:color w:val="D13438"/>
      <w:kern w:val="0"/>
      <w:sz w:val="24"/>
      <w:szCs w:val="20"/>
    </w:rPr>
  </w:style>
  <w:style w:type="paragraph" w:customStyle="1" w:styleId="P68B1DB1-ListParagraph70">
    <w:name w:val="P68B1DB1-ListParagraph70"/>
    <w:basedOn w:val="ListParagraph"/>
    <w:rsid w:val="00FA29B2"/>
    <w:rPr>
      <w:rFonts w:ascii="Times New Roman" w:eastAsia="Times New Roman" w:hAnsi="Times New Roman" w:cs="Times New Roman"/>
      <w:kern w:val="0"/>
      <w:sz w:val="24"/>
      <w:szCs w:val="20"/>
    </w:rPr>
  </w:style>
  <w:style w:type="paragraph" w:customStyle="1" w:styleId="P68B1DB1-Normal71">
    <w:name w:val="P68B1DB1-Normal71"/>
    <w:basedOn w:val="Normal"/>
    <w:rsid w:val="00FA29B2"/>
    <w:pPr>
      <w:spacing w:before="120" w:after="120" w:line="360" w:lineRule="auto"/>
    </w:pPr>
    <w:rPr>
      <w:rFonts w:ascii="Times New Roman" w:eastAsia="Times New Roman" w:hAnsi="Times New Roman" w:cs="Times New Roman"/>
      <w:kern w:val="0"/>
      <w:sz w:val="24"/>
      <w:szCs w:val="20"/>
      <w:u w:val="double"/>
    </w:rPr>
  </w:style>
  <w:style w:type="paragraph" w:customStyle="1" w:styleId="P68B1DB1-Normal72">
    <w:name w:val="P68B1DB1-Normal72"/>
    <w:basedOn w:val="Normal"/>
    <w:rsid w:val="00FA29B2"/>
    <w:pPr>
      <w:spacing w:before="120" w:after="120" w:line="360" w:lineRule="auto"/>
    </w:pPr>
    <w:rPr>
      <w:rFonts w:ascii="Times New Roman" w:eastAsia="Times New Roman" w:hAnsi="Times New Roman" w:cs="Times New Roman"/>
      <w:color w:val="006100"/>
      <w:kern w:val="0"/>
      <w:sz w:val="20"/>
      <w:szCs w:val="20"/>
    </w:rPr>
  </w:style>
  <w:style w:type="paragraph" w:customStyle="1" w:styleId="P68B1DB1-Normal73">
    <w:name w:val="P68B1DB1-Normal73"/>
    <w:basedOn w:val="Normal"/>
    <w:rsid w:val="00FA29B2"/>
    <w:pPr>
      <w:spacing w:before="120" w:after="120" w:line="360" w:lineRule="auto"/>
    </w:pPr>
    <w:rPr>
      <w:rFonts w:ascii="Times New Roman" w:eastAsia="Times New Roman" w:hAnsi="Times New Roman" w:cs="Times New Roman"/>
      <w:kern w:val="0"/>
      <w:sz w:val="20"/>
      <w:szCs w:val="20"/>
      <w:u w:val="single"/>
    </w:rPr>
  </w:style>
  <w:style w:type="paragraph" w:customStyle="1" w:styleId="P68B1DB1-Normal74">
    <w:name w:val="P68B1DB1-Normal74"/>
    <w:basedOn w:val="Normal"/>
    <w:rsid w:val="00FA29B2"/>
    <w:pPr>
      <w:spacing w:before="120" w:after="120" w:line="360" w:lineRule="auto"/>
    </w:pPr>
    <w:rPr>
      <w:rFonts w:ascii="Times New Roman" w:eastAsia="Times New Roman" w:hAnsi="Times New Roman" w:cs="Times New Roman"/>
      <w:i/>
      <w:color w:val="4F81BD"/>
      <w:kern w:val="0"/>
      <w:sz w:val="24"/>
      <w:szCs w:val="20"/>
    </w:rPr>
  </w:style>
  <w:style w:type="paragraph" w:customStyle="1" w:styleId="P68B1DB1-Normal75">
    <w:name w:val="P68B1DB1-Normal75"/>
    <w:basedOn w:val="Normal"/>
    <w:rsid w:val="00FA29B2"/>
    <w:pPr>
      <w:spacing w:before="120" w:after="120" w:line="360" w:lineRule="auto"/>
    </w:pPr>
    <w:rPr>
      <w:rFonts w:ascii="Times New Roman" w:eastAsia="Times New Roman" w:hAnsi="Times New Roman" w:cs="Times New Roman"/>
      <w:i/>
      <w:kern w:val="0"/>
      <w:sz w:val="24"/>
      <w:szCs w:val="20"/>
    </w:rPr>
  </w:style>
  <w:style w:type="paragraph" w:customStyle="1" w:styleId="P68B1DB1-FooterText76">
    <w:name w:val="P68B1DB1-FooterText76"/>
    <w:basedOn w:val="FooterText"/>
    <w:rsid w:val="00FA29B2"/>
    <w:rPr>
      <w:rFonts w:eastAsia="Times New Roman"/>
      <w:b/>
      <w:caps/>
      <w:position w:val="-4"/>
      <w:sz w:val="36"/>
      <w:szCs w:val="20"/>
    </w:rPr>
  </w:style>
  <w:style w:type="paragraph" w:customStyle="1" w:styleId="Par-number10">
    <w:name w:val="Par-number 1)"/>
    <w:basedOn w:val="Normal"/>
    <w:next w:val="Normal"/>
    <w:rsid w:val="00FA29B2"/>
    <w:pPr>
      <w:numPr>
        <w:numId w:val="20"/>
      </w:numPr>
      <w:tabs>
        <w:tab w:val="clear" w:pos="567"/>
        <w:tab w:val="num" w:pos="360"/>
      </w:tabs>
      <w:ind w:left="0" w:firstLine="0"/>
    </w:pPr>
    <w:rPr>
      <w:kern w:val="0"/>
    </w:rPr>
  </w:style>
  <w:style w:type="paragraph" w:customStyle="1" w:styleId="Par-bullet">
    <w:name w:val="Par-bullet"/>
    <w:basedOn w:val="Normal"/>
    <w:next w:val="Normal"/>
    <w:rsid w:val="00FA29B2"/>
    <w:pPr>
      <w:numPr>
        <w:numId w:val="21"/>
      </w:numPr>
      <w:tabs>
        <w:tab w:val="clear" w:pos="567"/>
        <w:tab w:val="num" w:pos="360"/>
      </w:tabs>
      <w:ind w:left="0" w:firstLine="0"/>
    </w:pPr>
    <w:rPr>
      <w:kern w:val="0"/>
    </w:rPr>
  </w:style>
  <w:style w:type="paragraph" w:customStyle="1" w:styleId="Par-equal">
    <w:name w:val="Par-equal"/>
    <w:basedOn w:val="Normal"/>
    <w:next w:val="Normal"/>
    <w:rsid w:val="00FA29B2"/>
    <w:pPr>
      <w:numPr>
        <w:numId w:val="22"/>
      </w:numPr>
      <w:tabs>
        <w:tab w:val="clear" w:pos="567"/>
        <w:tab w:val="num" w:pos="360"/>
      </w:tabs>
      <w:ind w:left="0" w:firstLine="0"/>
    </w:pPr>
    <w:rPr>
      <w:kern w:val="0"/>
    </w:rPr>
  </w:style>
  <w:style w:type="paragraph" w:styleId="TOC1">
    <w:name w:val="toc 1"/>
    <w:basedOn w:val="Normal"/>
    <w:next w:val="Normal"/>
    <w:rsid w:val="00FA29B2"/>
    <w:pPr>
      <w:tabs>
        <w:tab w:val="left" w:pos="567"/>
        <w:tab w:val="right" w:leader="dot" w:pos="9639"/>
      </w:tabs>
      <w:ind w:left="567" w:right="567" w:hanging="567"/>
    </w:pPr>
    <w:rPr>
      <w:kern w:val="0"/>
    </w:rPr>
  </w:style>
  <w:style w:type="paragraph" w:customStyle="1" w:styleId="Par-number1">
    <w:name w:val="Par-number (1)"/>
    <w:basedOn w:val="Normal"/>
    <w:next w:val="Normal"/>
    <w:rsid w:val="00FA29B2"/>
    <w:pPr>
      <w:numPr>
        <w:numId w:val="23"/>
      </w:numPr>
      <w:tabs>
        <w:tab w:val="clear" w:pos="567"/>
        <w:tab w:val="num" w:pos="360"/>
      </w:tabs>
      <w:ind w:left="0" w:firstLine="0"/>
    </w:pPr>
    <w:rPr>
      <w:kern w:val="0"/>
    </w:rPr>
  </w:style>
  <w:style w:type="paragraph" w:customStyle="1" w:styleId="Par-number11">
    <w:name w:val="Par-number 1."/>
    <w:basedOn w:val="Normal"/>
    <w:next w:val="Normal"/>
    <w:rsid w:val="00FA29B2"/>
    <w:pPr>
      <w:numPr>
        <w:numId w:val="24"/>
      </w:numPr>
      <w:tabs>
        <w:tab w:val="clear" w:pos="567"/>
        <w:tab w:val="num" w:pos="360"/>
      </w:tabs>
      <w:ind w:left="0" w:firstLine="0"/>
    </w:pPr>
    <w:rPr>
      <w:kern w:val="0"/>
    </w:rPr>
  </w:style>
  <w:style w:type="paragraph" w:customStyle="1" w:styleId="Par-numberI">
    <w:name w:val="Par-number I."/>
    <w:basedOn w:val="Normal"/>
    <w:next w:val="Normal"/>
    <w:rsid w:val="00FA29B2"/>
    <w:pPr>
      <w:numPr>
        <w:numId w:val="25"/>
      </w:numPr>
      <w:tabs>
        <w:tab w:val="clear" w:pos="567"/>
        <w:tab w:val="num" w:pos="360"/>
      </w:tabs>
      <w:ind w:left="0" w:firstLine="0"/>
    </w:pPr>
    <w:rPr>
      <w:kern w:val="0"/>
    </w:rPr>
  </w:style>
  <w:style w:type="paragraph" w:customStyle="1" w:styleId="Par-dash">
    <w:name w:val="Par-dash"/>
    <w:basedOn w:val="Normal"/>
    <w:next w:val="Normal"/>
    <w:rsid w:val="00FA29B2"/>
    <w:pPr>
      <w:numPr>
        <w:numId w:val="26"/>
      </w:numPr>
      <w:tabs>
        <w:tab w:val="clear" w:pos="567"/>
        <w:tab w:val="num" w:pos="360"/>
      </w:tabs>
      <w:ind w:left="0" w:firstLine="0"/>
    </w:pPr>
    <w:rPr>
      <w:kern w:val="0"/>
    </w:rPr>
  </w:style>
  <w:style w:type="paragraph" w:customStyle="1" w:styleId="Par-numberA">
    <w:name w:val="Par-number A."/>
    <w:basedOn w:val="Normal"/>
    <w:next w:val="Normal"/>
    <w:rsid w:val="00FA29B2"/>
    <w:pPr>
      <w:numPr>
        <w:numId w:val="27"/>
      </w:numPr>
      <w:tabs>
        <w:tab w:val="clear" w:pos="567"/>
        <w:tab w:val="num" w:pos="360"/>
      </w:tabs>
      <w:ind w:left="0" w:firstLine="0"/>
    </w:pPr>
    <w:rPr>
      <w:kern w:val="0"/>
    </w:rPr>
  </w:style>
  <w:style w:type="paragraph" w:styleId="TOC2">
    <w:name w:val="toc 2"/>
    <w:basedOn w:val="Normal"/>
    <w:next w:val="Normal"/>
    <w:rsid w:val="00FA29B2"/>
    <w:pPr>
      <w:tabs>
        <w:tab w:val="left" w:pos="1134"/>
        <w:tab w:val="right" w:leader="dot" w:pos="9639"/>
      </w:tabs>
      <w:ind w:left="1134" w:right="567" w:hanging="567"/>
    </w:pPr>
    <w:rPr>
      <w:kern w:val="0"/>
    </w:rPr>
  </w:style>
  <w:style w:type="paragraph" w:styleId="TOC3">
    <w:name w:val="toc 3"/>
    <w:basedOn w:val="Normal"/>
    <w:next w:val="Normal"/>
    <w:rsid w:val="00FA29B2"/>
    <w:pPr>
      <w:tabs>
        <w:tab w:val="left" w:pos="1701"/>
        <w:tab w:val="right" w:leader="dot" w:pos="9639"/>
      </w:tabs>
      <w:ind w:left="1701" w:right="567" w:hanging="567"/>
    </w:pPr>
    <w:rPr>
      <w:kern w:val="0"/>
    </w:rPr>
  </w:style>
  <w:style w:type="paragraph" w:styleId="TOC4">
    <w:name w:val="toc 4"/>
    <w:basedOn w:val="Normal"/>
    <w:next w:val="Normal"/>
    <w:rsid w:val="00FA29B2"/>
    <w:pPr>
      <w:tabs>
        <w:tab w:val="left" w:pos="2268"/>
        <w:tab w:val="right" w:pos="9639"/>
      </w:tabs>
      <w:ind w:left="2268" w:right="567" w:hanging="567"/>
    </w:pPr>
    <w:rPr>
      <w:kern w:val="0"/>
    </w:rPr>
  </w:style>
  <w:style w:type="paragraph" w:styleId="TOC5">
    <w:name w:val="toc 5"/>
    <w:basedOn w:val="Normal"/>
    <w:next w:val="Normal"/>
    <w:rsid w:val="00FA29B2"/>
    <w:pPr>
      <w:tabs>
        <w:tab w:val="left" w:pos="2835"/>
        <w:tab w:val="right" w:leader="dot" w:pos="9639"/>
      </w:tabs>
      <w:ind w:left="2835" w:right="567" w:hanging="567"/>
    </w:pPr>
    <w:rPr>
      <w:kern w:val="0"/>
    </w:rPr>
  </w:style>
  <w:style w:type="paragraph" w:styleId="TOC6">
    <w:name w:val="toc 6"/>
    <w:basedOn w:val="Normal"/>
    <w:next w:val="Normal"/>
    <w:rsid w:val="00FA29B2"/>
    <w:pPr>
      <w:tabs>
        <w:tab w:val="left" w:pos="3402"/>
        <w:tab w:val="right" w:leader="dot" w:pos="9639"/>
      </w:tabs>
      <w:ind w:left="3402" w:right="567" w:hanging="567"/>
    </w:pPr>
    <w:rPr>
      <w:kern w:val="0"/>
    </w:rPr>
  </w:style>
  <w:style w:type="paragraph" w:styleId="TOC7">
    <w:name w:val="toc 7"/>
    <w:basedOn w:val="Normal"/>
    <w:next w:val="Normal"/>
    <w:rsid w:val="00FA29B2"/>
    <w:pPr>
      <w:tabs>
        <w:tab w:val="left" w:pos="3969"/>
        <w:tab w:val="right" w:leader="dot" w:pos="9639"/>
      </w:tabs>
      <w:ind w:left="3969" w:right="567" w:hanging="567"/>
    </w:pPr>
    <w:rPr>
      <w:kern w:val="0"/>
    </w:rPr>
  </w:style>
  <w:style w:type="paragraph" w:styleId="TOC8">
    <w:name w:val="toc 8"/>
    <w:basedOn w:val="Normal"/>
    <w:next w:val="Normal"/>
    <w:rsid w:val="00FA29B2"/>
    <w:pPr>
      <w:tabs>
        <w:tab w:val="left" w:pos="4536"/>
        <w:tab w:val="right" w:leader="dot" w:pos="9639"/>
      </w:tabs>
      <w:ind w:left="4536" w:right="567" w:hanging="567"/>
    </w:pPr>
    <w:rPr>
      <w:kern w:val="0"/>
    </w:rPr>
  </w:style>
  <w:style w:type="paragraph" w:styleId="TOC9">
    <w:name w:val="toc 9"/>
    <w:basedOn w:val="Normal"/>
    <w:next w:val="Normal"/>
    <w:rsid w:val="00FA29B2"/>
    <w:pPr>
      <w:tabs>
        <w:tab w:val="left" w:pos="5103"/>
        <w:tab w:val="right" w:leader="dot" w:pos="9639"/>
      </w:tabs>
      <w:ind w:left="5103" w:right="567" w:hanging="567"/>
    </w:pPr>
    <w:rPr>
      <w:kern w:val="0"/>
    </w:rPr>
  </w:style>
  <w:style w:type="paragraph" w:customStyle="1" w:styleId="AC">
    <w:name w:val="AC"/>
    <w:basedOn w:val="Normal"/>
    <w:next w:val="Normal"/>
    <w:rsid w:val="00FA29B2"/>
    <w:rPr>
      <w:b/>
      <w:kern w:val="0"/>
      <w:sz w:val="40"/>
    </w:rPr>
  </w:style>
  <w:style w:type="character" w:styleId="PageNumber">
    <w:name w:val="page number"/>
    <w:basedOn w:val="DefaultParagraphFont"/>
    <w:rsid w:val="00FA29B2"/>
  </w:style>
  <w:style w:type="paragraph" w:customStyle="1" w:styleId="Par-numberi0">
    <w:name w:val="Par-number (i)"/>
    <w:basedOn w:val="Normal"/>
    <w:next w:val="Normal"/>
    <w:rsid w:val="00FA29B2"/>
    <w:pPr>
      <w:numPr>
        <w:numId w:val="28"/>
      </w:numPr>
      <w:tabs>
        <w:tab w:val="clear" w:pos="720"/>
        <w:tab w:val="num" w:pos="360"/>
        <w:tab w:val="left" w:pos="567"/>
      </w:tabs>
      <w:ind w:left="0" w:firstLine="0"/>
    </w:pPr>
    <w:rPr>
      <w:kern w:val="0"/>
    </w:rPr>
  </w:style>
  <w:style w:type="paragraph" w:customStyle="1" w:styleId="Par-numbera0">
    <w:name w:val="Par-number (a)"/>
    <w:basedOn w:val="Normal"/>
    <w:next w:val="Normal"/>
    <w:rsid w:val="00FA29B2"/>
    <w:pPr>
      <w:numPr>
        <w:numId w:val="29"/>
      </w:numPr>
      <w:tabs>
        <w:tab w:val="clear" w:pos="567"/>
        <w:tab w:val="num" w:pos="360"/>
      </w:tabs>
      <w:ind w:left="0" w:firstLine="0"/>
    </w:pPr>
    <w:rPr>
      <w:kern w:val="0"/>
    </w:rPr>
  </w:style>
  <w:style w:type="character" w:customStyle="1" w:styleId="DontTranslate">
    <w:name w:val="DontTranslate"/>
    <w:rsid w:val="00FA29B2"/>
    <w:rPr>
      <w:color w:val="auto"/>
    </w:rPr>
  </w:style>
  <w:style w:type="paragraph" w:customStyle="1" w:styleId="AddReference">
    <w:name w:val="Add Reference"/>
    <w:basedOn w:val="Normal"/>
    <w:rsid w:val="00FA29B2"/>
    <w:pPr>
      <w:pBdr>
        <w:top w:val="single" w:sz="4" w:space="1" w:color="auto"/>
        <w:left w:val="single" w:sz="4" w:space="4" w:color="auto"/>
        <w:bottom w:val="single" w:sz="4" w:space="1" w:color="auto"/>
        <w:right w:val="single" w:sz="4" w:space="4" w:color="auto"/>
      </w:pBdr>
      <w:spacing w:line="240" w:lineRule="auto"/>
      <w:ind w:left="7655" w:right="-454"/>
    </w:pPr>
    <w:rPr>
      <w:i/>
      <w:kern w:val="0"/>
      <w:sz w:val="20"/>
    </w:rPr>
  </w:style>
  <w:style w:type="paragraph" w:customStyle="1" w:styleId="InstitutionNarrow">
    <w:name w:val="Institution Narrow"/>
    <w:basedOn w:val="TBInstitution"/>
    <w:qFormat/>
    <w:rsid w:val="00FA29B2"/>
    <w:pPr>
      <w:spacing w:after="40" w:line="216" w:lineRule="auto"/>
    </w:pPr>
    <w:rPr>
      <w:i/>
      <w:color w:val="4D4D4D"/>
      <w:sz w:val="22"/>
      <w:u w:val="single"/>
    </w:rPr>
  </w:style>
  <w:style w:type="numbering" w:styleId="111111">
    <w:name w:val="Outline List 2"/>
    <w:basedOn w:val="NoList"/>
    <w:uiPriority w:val="99"/>
    <w:semiHidden/>
    <w:unhideWhenUsed/>
    <w:rsid w:val="00FA29B2"/>
    <w:pPr>
      <w:numPr>
        <w:numId w:val="30"/>
      </w:numPr>
    </w:pPr>
  </w:style>
  <w:style w:type="numbering" w:styleId="1ai">
    <w:name w:val="Outline List 1"/>
    <w:basedOn w:val="NoList"/>
    <w:uiPriority w:val="99"/>
    <w:semiHidden/>
    <w:unhideWhenUsed/>
    <w:rsid w:val="00FA29B2"/>
    <w:pPr>
      <w:numPr>
        <w:numId w:val="31"/>
      </w:numPr>
    </w:pPr>
  </w:style>
  <w:style w:type="numbering" w:styleId="ArticleSection">
    <w:name w:val="Outline List 3"/>
    <w:basedOn w:val="NoList"/>
    <w:uiPriority w:val="99"/>
    <w:semiHidden/>
    <w:unhideWhenUsed/>
    <w:rsid w:val="00FA29B2"/>
    <w:pPr>
      <w:numPr>
        <w:numId w:val="32"/>
      </w:numPr>
    </w:pPr>
  </w:style>
  <w:style w:type="paragraph" w:styleId="Bibliography">
    <w:name w:val="Bibliography"/>
    <w:basedOn w:val="Normal"/>
    <w:next w:val="Normal"/>
    <w:uiPriority w:val="37"/>
    <w:semiHidden/>
    <w:unhideWhenUsed/>
    <w:rsid w:val="00FA29B2"/>
    <w:rPr>
      <w:kern w:val="0"/>
    </w:rPr>
  </w:style>
  <w:style w:type="paragraph" w:styleId="BlockText">
    <w:name w:val="Block Text"/>
    <w:basedOn w:val="Normal"/>
    <w:uiPriority w:val="99"/>
    <w:semiHidden/>
    <w:unhideWhenUsed/>
    <w:rsid w:val="00FA29B2"/>
    <w:pPr>
      <w:spacing w:after="120"/>
      <w:ind w:left="1440" w:right="1440"/>
    </w:pPr>
    <w:rPr>
      <w:kern w:val="0"/>
    </w:rPr>
  </w:style>
  <w:style w:type="paragraph" w:styleId="BodyText">
    <w:name w:val="Body Text"/>
    <w:basedOn w:val="Normal"/>
    <w:link w:val="BodyTextChar"/>
    <w:uiPriority w:val="99"/>
    <w:semiHidden/>
    <w:unhideWhenUsed/>
    <w:rsid w:val="00FA29B2"/>
    <w:pPr>
      <w:spacing w:after="120"/>
    </w:pPr>
    <w:rPr>
      <w:kern w:val="0"/>
    </w:rPr>
  </w:style>
  <w:style w:type="character" w:customStyle="1" w:styleId="BodyTextChar">
    <w:name w:val="Body Text Char"/>
    <w:basedOn w:val="DefaultParagraphFont"/>
    <w:link w:val="BodyText"/>
    <w:uiPriority w:val="99"/>
    <w:semiHidden/>
    <w:rsid w:val="00FA29B2"/>
    <w:rPr>
      <w:kern w:val="0"/>
    </w:rPr>
  </w:style>
  <w:style w:type="paragraph" w:styleId="BodyText21">
    <w:name w:val="Body Text 2"/>
    <w:basedOn w:val="Normal"/>
    <w:link w:val="BodyText2Char"/>
    <w:uiPriority w:val="99"/>
    <w:semiHidden/>
    <w:unhideWhenUsed/>
    <w:rsid w:val="00FA29B2"/>
    <w:pPr>
      <w:spacing w:after="120" w:line="480" w:lineRule="auto"/>
    </w:pPr>
    <w:rPr>
      <w:kern w:val="0"/>
    </w:rPr>
  </w:style>
  <w:style w:type="character" w:customStyle="1" w:styleId="BodyText2Char">
    <w:name w:val="Body Text 2 Char"/>
    <w:basedOn w:val="DefaultParagraphFont"/>
    <w:link w:val="BodyText21"/>
    <w:uiPriority w:val="99"/>
    <w:semiHidden/>
    <w:rsid w:val="00FA29B2"/>
    <w:rPr>
      <w:kern w:val="0"/>
    </w:rPr>
  </w:style>
  <w:style w:type="paragraph" w:styleId="BodyText3">
    <w:name w:val="Body Text 3"/>
    <w:basedOn w:val="Normal"/>
    <w:link w:val="BodyText3Char"/>
    <w:uiPriority w:val="99"/>
    <w:semiHidden/>
    <w:unhideWhenUsed/>
    <w:rsid w:val="00FA29B2"/>
    <w:pPr>
      <w:spacing w:after="120"/>
    </w:pPr>
    <w:rPr>
      <w:kern w:val="0"/>
      <w:sz w:val="16"/>
      <w:szCs w:val="16"/>
    </w:rPr>
  </w:style>
  <w:style w:type="character" w:customStyle="1" w:styleId="BodyText3Char">
    <w:name w:val="Body Text 3 Char"/>
    <w:basedOn w:val="DefaultParagraphFont"/>
    <w:link w:val="BodyText3"/>
    <w:uiPriority w:val="99"/>
    <w:semiHidden/>
    <w:rsid w:val="00FA29B2"/>
    <w:rPr>
      <w:kern w:val="0"/>
      <w:sz w:val="16"/>
      <w:szCs w:val="16"/>
    </w:rPr>
  </w:style>
  <w:style w:type="paragraph" w:styleId="BodyTextFirstIndent">
    <w:name w:val="Body Text First Indent"/>
    <w:basedOn w:val="BodyText"/>
    <w:link w:val="BodyTextFirstIndentChar"/>
    <w:uiPriority w:val="99"/>
    <w:semiHidden/>
    <w:unhideWhenUsed/>
    <w:rsid w:val="00FA29B2"/>
    <w:pPr>
      <w:ind w:firstLine="210"/>
    </w:pPr>
  </w:style>
  <w:style w:type="character" w:customStyle="1" w:styleId="BodyTextFirstIndentChar">
    <w:name w:val="Body Text First Indent Char"/>
    <w:basedOn w:val="BodyTextChar"/>
    <w:link w:val="BodyTextFirstIndent"/>
    <w:uiPriority w:val="99"/>
    <w:semiHidden/>
    <w:rsid w:val="00FA29B2"/>
    <w:rPr>
      <w:kern w:val="0"/>
    </w:rPr>
  </w:style>
  <w:style w:type="paragraph" w:styleId="BodyTextIndent">
    <w:name w:val="Body Text Indent"/>
    <w:basedOn w:val="Normal"/>
    <w:link w:val="BodyTextIndentChar"/>
    <w:uiPriority w:val="99"/>
    <w:semiHidden/>
    <w:unhideWhenUsed/>
    <w:rsid w:val="00FA29B2"/>
    <w:pPr>
      <w:spacing w:after="120"/>
      <w:ind w:left="360"/>
    </w:pPr>
    <w:rPr>
      <w:kern w:val="0"/>
    </w:rPr>
  </w:style>
  <w:style w:type="character" w:customStyle="1" w:styleId="BodyTextIndentChar">
    <w:name w:val="Body Text Indent Char"/>
    <w:basedOn w:val="DefaultParagraphFont"/>
    <w:link w:val="BodyTextIndent"/>
    <w:uiPriority w:val="99"/>
    <w:semiHidden/>
    <w:rsid w:val="00FA29B2"/>
    <w:rPr>
      <w:kern w:val="0"/>
    </w:rPr>
  </w:style>
  <w:style w:type="paragraph" w:styleId="BodyTextFirstIndent2">
    <w:name w:val="Body Text First Indent 2"/>
    <w:basedOn w:val="BodyTextIndent"/>
    <w:link w:val="BodyTextFirstIndent2Char"/>
    <w:uiPriority w:val="99"/>
    <w:semiHidden/>
    <w:unhideWhenUsed/>
    <w:rsid w:val="00FA29B2"/>
    <w:pPr>
      <w:ind w:firstLine="210"/>
    </w:pPr>
  </w:style>
  <w:style w:type="character" w:customStyle="1" w:styleId="BodyTextFirstIndent2Char">
    <w:name w:val="Body Text First Indent 2 Char"/>
    <w:basedOn w:val="BodyTextIndentChar"/>
    <w:link w:val="BodyTextFirstIndent2"/>
    <w:uiPriority w:val="99"/>
    <w:semiHidden/>
    <w:rsid w:val="00FA29B2"/>
    <w:rPr>
      <w:kern w:val="0"/>
    </w:rPr>
  </w:style>
  <w:style w:type="paragraph" w:styleId="BodyTextIndent2">
    <w:name w:val="Body Text Indent 2"/>
    <w:basedOn w:val="Normal"/>
    <w:link w:val="BodyTextIndent2Char"/>
    <w:uiPriority w:val="99"/>
    <w:semiHidden/>
    <w:unhideWhenUsed/>
    <w:rsid w:val="00FA29B2"/>
    <w:pPr>
      <w:spacing w:after="120" w:line="480" w:lineRule="auto"/>
      <w:ind w:left="360"/>
    </w:pPr>
    <w:rPr>
      <w:kern w:val="0"/>
    </w:rPr>
  </w:style>
  <w:style w:type="character" w:customStyle="1" w:styleId="BodyTextIndent2Char">
    <w:name w:val="Body Text Indent 2 Char"/>
    <w:basedOn w:val="DefaultParagraphFont"/>
    <w:link w:val="BodyTextIndent2"/>
    <w:uiPriority w:val="99"/>
    <w:semiHidden/>
    <w:rsid w:val="00FA29B2"/>
    <w:rPr>
      <w:kern w:val="0"/>
    </w:rPr>
  </w:style>
  <w:style w:type="paragraph" w:styleId="BodyTextIndent3">
    <w:name w:val="Body Text Indent 3"/>
    <w:basedOn w:val="Normal"/>
    <w:link w:val="BodyTextIndent3Char"/>
    <w:uiPriority w:val="99"/>
    <w:semiHidden/>
    <w:unhideWhenUsed/>
    <w:rsid w:val="00FA29B2"/>
    <w:pPr>
      <w:spacing w:after="120"/>
      <w:ind w:left="360"/>
    </w:pPr>
    <w:rPr>
      <w:kern w:val="0"/>
      <w:sz w:val="16"/>
      <w:szCs w:val="16"/>
    </w:rPr>
  </w:style>
  <w:style w:type="character" w:customStyle="1" w:styleId="BodyTextIndent3Char">
    <w:name w:val="Body Text Indent 3 Char"/>
    <w:basedOn w:val="DefaultParagraphFont"/>
    <w:link w:val="BodyTextIndent3"/>
    <w:uiPriority w:val="99"/>
    <w:semiHidden/>
    <w:rsid w:val="00FA29B2"/>
    <w:rPr>
      <w:kern w:val="0"/>
      <w:sz w:val="16"/>
      <w:szCs w:val="16"/>
    </w:rPr>
  </w:style>
  <w:style w:type="character" w:styleId="BookTitle">
    <w:name w:val="Book Title"/>
    <w:uiPriority w:val="33"/>
    <w:qFormat/>
    <w:rsid w:val="00FA29B2"/>
    <w:rPr>
      <w:b/>
      <w:bCs/>
      <w:smallCaps/>
    </w:rPr>
  </w:style>
  <w:style w:type="paragraph" w:styleId="Caption">
    <w:name w:val="caption"/>
    <w:basedOn w:val="Normal"/>
    <w:next w:val="Normal"/>
    <w:uiPriority w:val="35"/>
    <w:semiHidden/>
    <w:unhideWhenUsed/>
    <w:qFormat/>
    <w:rsid w:val="00FA29B2"/>
    <w:rPr>
      <w:b/>
      <w:bCs/>
      <w:kern w:val="0"/>
      <w:sz w:val="20"/>
    </w:rPr>
  </w:style>
  <w:style w:type="paragraph" w:styleId="Closing">
    <w:name w:val="Closing"/>
    <w:basedOn w:val="Normal"/>
    <w:link w:val="ClosingChar"/>
    <w:uiPriority w:val="99"/>
    <w:semiHidden/>
    <w:unhideWhenUsed/>
    <w:rsid w:val="00FA29B2"/>
    <w:pPr>
      <w:ind w:left="4320"/>
    </w:pPr>
    <w:rPr>
      <w:kern w:val="0"/>
    </w:rPr>
  </w:style>
  <w:style w:type="character" w:customStyle="1" w:styleId="ClosingChar">
    <w:name w:val="Closing Char"/>
    <w:basedOn w:val="DefaultParagraphFont"/>
    <w:link w:val="Closing"/>
    <w:uiPriority w:val="99"/>
    <w:semiHidden/>
    <w:rsid w:val="00FA29B2"/>
    <w:rPr>
      <w:kern w:val="0"/>
    </w:rPr>
  </w:style>
  <w:style w:type="table" w:styleId="ColorfulGrid">
    <w:name w:val="Colorful Grid"/>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FA29B2"/>
    <w:rPr>
      <w:color w:val="000000"/>
      <w:kern w:val="0"/>
      <w:sz w:val="20"/>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FA29B2"/>
    <w:rPr>
      <w:color w:val="000000"/>
      <w:kern w:val="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FA29B2"/>
    <w:rPr>
      <w:color w:val="000000"/>
      <w:kern w:val="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FA29B2"/>
    <w:rPr>
      <w:color w:val="000000"/>
      <w:kern w:val="0"/>
      <w:sz w:val="20"/>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FA29B2"/>
    <w:rPr>
      <w:color w:val="000000"/>
      <w:kern w:val="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FA29B2"/>
    <w:rPr>
      <w:color w:val="000000"/>
      <w:kern w:val="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FA29B2"/>
    <w:rPr>
      <w:color w:val="000000"/>
      <w:kern w:val="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FA29B2"/>
    <w:rPr>
      <w:color w:val="000000"/>
      <w:kern w:val="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FA29B2"/>
    <w:rPr>
      <w:color w:val="000000"/>
      <w:kern w:val="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FA29B2"/>
    <w:rPr>
      <w:color w:val="000000"/>
      <w:kern w:val="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FA29B2"/>
    <w:rPr>
      <w:color w:val="000000"/>
      <w:kern w:val="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FA29B2"/>
    <w:rPr>
      <w:color w:val="000000"/>
      <w:kern w:val="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FA29B2"/>
    <w:rPr>
      <w:color w:val="000000"/>
      <w:kern w:val="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FA29B2"/>
    <w:rPr>
      <w:color w:val="000000"/>
      <w:kern w:val="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FA29B2"/>
    <w:rPr>
      <w:color w:val="000000"/>
      <w:kern w:val="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FA29B2"/>
    <w:rPr>
      <w:color w:val="FFFFFF"/>
      <w:kern w:val="0"/>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FA29B2"/>
    <w:rPr>
      <w:color w:val="FFFFFF"/>
      <w:kern w:val="0"/>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FA29B2"/>
    <w:rPr>
      <w:color w:val="FFFFFF"/>
      <w:kern w:val="0"/>
      <w:sz w:val="20"/>
      <w:szCs w:val="20"/>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FA29B2"/>
    <w:rPr>
      <w:color w:val="FFFFFF"/>
      <w:kern w:val="0"/>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FA29B2"/>
    <w:rPr>
      <w:color w:val="FFFFFF"/>
      <w:kern w:val="0"/>
      <w:sz w:val="20"/>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FA29B2"/>
    <w:rPr>
      <w:color w:val="FFFFFF"/>
      <w:kern w:val="0"/>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FA29B2"/>
    <w:rPr>
      <w:color w:val="FFFFFF"/>
      <w:kern w:val="0"/>
      <w:sz w:val="20"/>
      <w:szCs w:val="20"/>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FA29B2"/>
    <w:rPr>
      <w:kern w:val="0"/>
    </w:rPr>
  </w:style>
  <w:style w:type="character" w:customStyle="1" w:styleId="DateChar">
    <w:name w:val="Date Char"/>
    <w:basedOn w:val="DefaultParagraphFont"/>
    <w:link w:val="Date"/>
    <w:uiPriority w:val="99"/>
    <w:semiHidden/>
    <w:rsid w:val="00FA29B2"/>
    <w:rPr>
      <w:kern w:val="0"/>
    </w:rPr>
  </w:style>
  <w:style w:type="paragraph" w:styleId="DocumentMap">
    <w:name w:val="Document Map"/>
    <w:basedOn w:val="Normal"/>
    <w:link w:val="DocumentMapChar"/>
    <w:uiPriority w:val="99"/>
    <w:semiHidden/>
    <w:unhideWhenUsed/>
    <w:rsid w:val="00FA29B2"/>
    <w:rPr>
      <w:kern w:val="0"/>
      <w:sz w:val="16"/>
      <w:szCs w:val="16"/>
    </w:rPr>
  </w:style>
  <w:style w:type="character" w:customStyle="1" w:styleId="DocumentMapChar">
    <w:name w:val="Document Map Char"/>
    <w:basedOn w:val="DefaultParagraphFont"/>
    <w:link w:val="DocumentMap"/>
    <w:uiPriority w:val="99"/>
    <w:semiHidden/>
    <w:rsid w:val="00FA29B2"/>
    <w:rPr>
      <w:kern w:val="0"/>
      <w:sz w:val="16"/>
      <w:szCs w:val="16"/>
    </w:rPr>
  </w:style>
  <w:style w:type="paragraph" w:styleId="E-mailSignature">
    <w:name w:val="E-mail Signature"/>
    <w:basedOn w:val="Normal"/>
    <w:link w:val="E-mailSignatureChar"/>
    <w:uiPriority w:val="99"/>
    <w:semiHidden/>
    <w:unhideWhenUsed/>
    <w:rsid w:val="00FA29B2"/>
    <w:rPr>
      <w:kern w:val="0"/>
    </w:rPr>
  </w:style>
  <w:style w:type="character" w:customStyle="1" w:styleId="E-mailSignatureChar">
    <w:name w:val="E-mail Signature Char"/>
    <w:basedOn w:val="DefaultParagraphFont"/>
    <w:link w:val="E-mailSignature"/>
    <w:uiPriority w:val="99"/>
    <w:semiHidden/>
    <w:rsid w:val="00FA29B2"/>
    <w:rPr>
      <w:kern w:val="0"/>
    </w:rPr>
  </w:style>
  <w:style w:type="character" w:styleId="Emphasis">
    <w:name w:val="Emphasis"/>
    <w:uiPriority w:val="20"/>
    <w:qFormat/>
    <w:rsid w:val="00FA29B2"/>
    <w:rPr>
      <w:i/>
      <w:iCs/>
    </w:rPr>
  </w:style>
  <w:style w:type="paragraph" w:styleId="EnvelopeAddress">
    <w:name w:val="envelope address"/>
    <w:basedOn w:val="Normal"/>
    <w:uiPriority w:val="99"/>
    <w:semiHidden/>
    <w:unhideWhenUsed/>
    <w:rsid w:val="00FA29B2"/>
    <w:pPr>
      <w:framePr w:w="7920" w:h="1980" w:hRule="exact" w:hSpace="180" w:wrap="auto" w:hAnchor="page" w:xAlign="center" w:yAlign="bottom"/>
      <w:ind w:left="2880"/>
    </w:pPr>
    <w:rPr>
      <w:kern w:val="0"/>
      <w:sz w:val="24"/>
      <w:szCs w:val="24"/>
    </w:rPr>
  </w:style>
  <w:style w:type="paragraph" w:styleId="EnvelopeReturn">
    <w:name w:val="envelope return"/>
    <w:basedOn w:val="Normal"/>
    <w:uiPriority w:val="99"/>
    <w:semiHidden/>
    <w:unhideWhenUsed/>
    <w:rsid w:val="00FA29B2"/>
    <w:rPr>
      <w:kern w:val="0"/>
      <w:sz w:val="20"/>
    </w:rPr>
  </w:style>
  <w:style w:type="character" w:styleId="FollowedHyperlink">
    <w:name w:val="FollowedHyperlink"/>
    <w:uiPriority w:val="99"/>
    <w:semiHidden/>
    <w:unhideWhenUsed/>
    <w:rsid w:val="00FA29B2"/>
    <w:rPr>
      <w:color w:val="800080"/>
      <w:u w:val="single"/>
    </w:rPr>
  </w:style>
  <w:style w:type="character" w:styleId="HTMLAcronym">
    <w:name w:val="HTML Acronym"/>
    <w:uiPriority w:val="99"/>
    <w:semiHidden/>
    <w:unhideWhenUsed/>
    <w:rsid w:val="00FA29B2"/>
  </w:style>
  <w:style w:type="paragraph" w:styleId="HTMLAddress">
    <w:name w:val="HTML Address"/>
    <w:basedOn w:val="Normal"/>
    <w:link w:val="HTMLAddressChar"/>
    <w:uiPriority w:val="99"/>
    <w:semiHidden/>
    <w:unhideWhenUsed/>
    <w:rsid w:val="00FA29B2"/>
    <w:rPr>
      <w:i/>
      <w:iCs/>
      <w:kern w:val="0"/>
    </w:rPr>
  </w:style>
  <w:style w:type="character" w:customStyle="1" w:styleId="HTMLAddressChar">
    <w:name w:val="HTML Address Char"/>
    <w:basedOn w:val="DefaultParagraphFont"/>
    <w:link w:val="HTMLAddress"/>
    <w:uiPriority w:val="99"/>
    <w:semiHidden/>
    <w:rsid w:val="00FA29B2"/>
    <w:rPr>
      <w:i/>
      <w:iCs/>
      <w:kern w:val="0"/>
    </w:rPr>
  </w:style>
  <w:style w:type="character" w:styleId="HTMLCite">
    <w:name w:val="HTML Cite"/>
    <w:uiPriority w:val="99"/>
    <w:semiHidden/>
    <w:unhideWhenUsed/>
    <w:rsid w:val="00FA29B2"/>
    <w:rPr>
      <w:i/>
      <w:iCs/>
    </w:rPr>
  </w:style>
  <w:style w:type="character" w:styleId="HTMLCode">
    <w:name w:val="HTML Code"/>
    <w:uiPriority w:val="99"/>
    <w:semiHidden/>
    <w:unhideWhenUsed/>
    <w:rsid w:val="00FA29B2"/>
    <w:rPr>
      <w:rFonts w:ascii="Arial" w:hAnsi="Arial" w:cs="Arial"/>
      <w:sz w:val="20"/>
      <w:szCs w:val="20"/>
    </w:rPr>
  </w:style>
  <w:style w:type="character" w:styleId="HTMLDefinition">
    <w:name w:val="HTML Definition"/>
    <w:uiPriority w:val="99"/>
    <w:semiHidden/>
    <w:unhideWhenUsed/>
    <w:rsid w:val="00FA29B2"/>
    <w:rPr>
      <w:i/>
      <w:iCs/>
    </w:rPr>
  </w:style>
  <w:style w:type="character" w:styleId="HTMLKeyboard">
    <w:name w:val="HTML Keyboard"/>
    <w:uiPriority w:val="99"/>
    <w:semiHidden/>
    <w:unhideWhenUsed/>
    <w:rsid w:val="00FA29B2"/>
    <w:rPr>
      <w:rFonts w:ascii="Arial" w:hAnsi="Arial" w:cs="Arial"/>
      <w:sz w:val="20"/>
      <w:szCs w:val="20"/>
    </w:rPr>
  </w:style>
  <w:style w:type="paragraph" w:styleId="HTMLPreformatted">
    <w:name w:val="HTML Preformatted"/>
    <w:basedOn w:val="Normal"/>
    <w:link w:val="HTMLPreformattedChar"/>
    <w:uiPriority w:val="99"/>
    <w:semiHidden/>
    <w:unhideWhenUsed/>
    <w:rsid w:val="00FA29B2"/>
    <w:rPr>
      <w:kern w:val="0"/>
      <w:sz w:val="20"/>
    </w:rPr>
  </w:style>
  <w:style w:type="character" w:customStyle="1" w:styleId="HTMLPreformattedChar">
    <w:name w:val="HTML Preformatted Char"/>
    <w:basedOn w:val="DefaultParagraphFont"/>
    <w:link w:val="HTMLPreformatted"/>
    <w:uiPriority w:val="99"/>
    <w:semiHidden/>
    <w:rsid w:val="00FA29B2"/>
    <w:rPr>
      <w:kern w:val="0"/>
      <w:sz w:val="20"/>
    </w:rPr>
  </w:style>
  <w:style w:type="character" w:styleId="HTMLSample">
    <w:name w:val="HTML Sample"/>
    <w:uiPriority w:val="99"/>
    <w:semiHidden/>
    <w:unhideWhenUsed/>
    <w:rsid w:val="00FA29B2"/>
    <w:rPr>
      <w:rFonts w:ascii="Arial" w:hAnsi="Arial" w:cs="Arial"/>
    </w:rPr>
  </w:style>
  <w:style w:type="character" w:styleId="HTMLTypewriter">
    <w:name w:val="HTML Typewriter"/>
    <w:uiPriority w:val="99"/>
    <w:semiHidden/>
    <w:unhideWhenUsed/>
    <w:rsid w:val="00FA29B2"/>
    <w:rPr>
      <w:rFonts w:ascii="Arial" w:hAnsi="Arial" w:cs="Arial"/>
      <w:sz w:val="20"/>
      <w:szCs w:val="20"/>
    </w:rPr>
  </w:style>
  <w:style w:type="character" w:styleId="HTMLVariable">
    <w:name w:val="HTML Variable"/>
    <w:uiPriority w:val="99"/>
    <w:semiHidden/>
    <w:unhideWhenUsed/>
    <w:rsid w:val="00FA29B2"/>
    <w:rPr>
      <w:i/>
      <w:iCs/>
    </w:rPr>
  </w:style>
  <w:style w:type="paragraph" w:styleId="Index1">
    <w:name w:val="index 1"/>
    <w:basedOn w:val="Normal"/>
    <w:next w:val="Normal"/>
    <w:autoRedefine/>
    <w:uiPriority w:val="99"/>
    <w:semiHidden/>
    <w:unhideWhenUsed/>
    <w:rsid w:val="00FA29B2"/>
    <w:pPr>
      <w:ind w:left="230" w:hanging="230"/>
    </w:pPr>
    <w:rPr>
      <w:kern w:val="0"/>
    </w:rPr>
  </w:style>
  <w:style w:type="paragraph" w:styleId="Index2">
    <w:name w:val="index 2"/>
    <w:basedOn w:val="Normal"/>
    <w:next w:val="Normal"/>
    <w:autoRedefine/>
    <w:uiPriority w:val="99"/>
    <w:semiHidden/>
    <w:unhideWhenUsed/>
    <w:rsid w:val="00FA29B2"/>
    <w:pPr>
      <w:ind w:left="460" w:hanging="230"/>
    </w:pPr>
    <w:rPr>
      <w:kern w:val="0"/>
    </w:rPr>
  </w:style>
  <w:style w:type="paragraph" w:styleId="Index3">
    <w:name w:val="index 3"/>
    <w:basedOn w:val="Normal"/>
    <w:next w:val="Normal"/>
    <w:autoRedefine/>
    <w:uiPriority w:val="99"/>
    <w:semiHidden/>
    <w:unhideWhenUsed/>
    <w:rsid w:val="00FA29B2"/>
    <w:pPr>
      <w:ind w:left="690" w:hanging="230"/>
    </w:pPr>
    <w:rPr>
      <w:kern w:val="0"/>
    </w:rPr>
  </w:style>
  <w:style w:type="paragraph" w:styleId="Index4">
    <w:name w:val="index 4"/>
    <w:basedOn w:val="Normal"/>
    <w:next w:val="Normal"/>
    <w:autoRedefine/>
    <w:uiPriority w:val="99"/>
    <w:semiHidden/>
    <w:unhideWhenUsed/>
    <w:rsid w:val="00FA29B2"/>
    <w:pPr>
      <w:ind w:left="920" w:hanging="230"/>
    </w:pPr>
    <w:rPr>
      <w:kern w:val="0"/>
    </w:rPr>
  </w:style>
  <w:style w:type="paragraph" w:styleId="Index5">
    <w:name w:val="index 5"/>
    <w:basedOn w:val="Normal"/>
    <w:next w:val="Normal"/>
    <w:autoRedefine/>
    <w:uiPriority w:val="99"/>
    <w:semiHidden/>
    <w:unhideWhenUsed/>
    <w:rsid w:val="00FA29B2"/>
    <w:pPr>
      <w:ind w:left="1150" w:hanging="230"/>
    </w:pPr>
    <w:rPr>
      <w:kern w:val="0"/>
    </w:rPr>
  </w:style>
  <w:style w:type="paragraph" w:styleId="Index6">
    <w:name w:val="index 6"/>
    <w:basedOn w:val="Normal"/>
    <w:next w:val="Normal"/>
    <w:autoRedefine/>
    <w:uiPriority w:val="99"/>
    <w:semiHidden/>
    <w:unhideWhenUsed/>
    <w:rsid w:val="00FA29B2"/>
    <w:pPr>
      <w:ind w:left="1380" w:hanging="230"/>
    </w:pPr>
    <w:rPr>
      <w:kern w:val="0"/>
    </w:rPr>
  </w:style>
  <w:style w:type="paragraph" w:styleId="Index7">
    <w:name w:val="index 7"/>
    <w:basedOn w:val="Normal"/>
    <w:next w:val="Normal"/>
    <w:autoRedefine/>
    <w:uiPriority w:val="99"/>
    <w:semiHidden/>
    <w:unhideWhenUsed/>
    <w:rsid w:val="00FA29B2"/>
    <w:pPr>
      <w:ind w:left="1610" w:hanging="230"/>
    </w:pPr>
    <w:rPr>
      <w:kern w:val="0"/>
    </w:rPr>
  </w:style>
  <w:style w:type="paragraph" w:styleId="Index8">
    <w:name w:val="index 8"/>
    <w:basedOn w:val="Normal"/>
    <w:next w:val="Normal"/>
    <w:autoRedefine/>
    <w:uiPriority w:val="99"/>
    <w:semiHidden/>
    <w:unhideWhenUsed/>
    <w:rsid w:val="00FA29B2"/>
    <w:pPr>
      <w:ind w:left="1840" w:hanging="230"/>
    </w:pPr>
    <w:rPr>
      <w:kern w:val="0"/>
    </w:rPr>
  </w:style>
  <w:style w:type="paragraph" w:styleId="Index9">
    <w:name w:val="index 9"/>
    <w:basedOn w:val="Normal"/>
    <w:next w:val="Normal"/>
    <w:autoRedefine/>
    <w:uiPriority w:val="99"/>
    <w:semiHidden/>
    <w:unhideWhenUsed/>
    <w:rsid w:val="00FA29B2"/>
    <w:pPr>
      <w:ind w:left="2070" w:hanging="230"/>
    </w:pPr>
    <w:rPr>
      <w:kern w:val="0"/>
    </w:rPr>
  </w:style>
  <w:style w:type="paragraph" w:styleId="IndexHeading">
    <w:name w:val="index heading"/>
    <w:basedOn w:val="Normal"/>
    <w:next w:val="Index1"/>
    <w:uiPriority w:val="99"/>
    <w:semiHidden/>
    <w:unhideWhenUsed/>
    <w:rsid w:val="00FA29B2"/>
    <w:rPr>
      <w:b/>
      <w:bCs/>
      <w:kern w:val="0"/>
    </w:rPr>
  </w:style>
  <w:style w:type="table" w:styleId="LightGrid">
    <w:name w:val="Light Grid"/>
    <w:basedOn w:val="TableNormal"/>
    <w:uiPriority w:val="62"/>
    <w:rsid w:val="00FA29B2"/>
    <w:rPr>
      <w:kern w:val="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FA29B2"/>
    <w:rPr>
      <w:kern w:val="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FA29B2"/>
    <w:rPr>
      <w:kern w:val="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FA29B2"/>
    <w:rPr>
      <w:kern w:val="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FA29B2"/>
    <w:rPr>
      <w:kern w:val="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FA29B2"/>
    <w:rPr>
      <w:kern w:val="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FA29B2"/>
    <w:rPr>
      <w:kern w:val="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FA29B2"/>
    <w:rPr>
      <w:kern w:val="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A29B2"/>
    <w:rPr>
      <w:kern w:val="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FA29B2"/>
    <w:rPr>
      <w:kern w:val="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FA29B2"/>
    <w:rPr>
      <w:kern w:val="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FA29B2"/>
    <w:rPr>
      <w:kern w:val="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FA29B2"/>
    <w:rPr>
      <w:kern w:val="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FA29B2"/>
    <w:rPr>
      <w:kern w:val="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FA29B2"/>
    <w:rPr>
      <w:color w:val="000000"/>
      <w:kern w:val="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FA29B2"/>
    <w:rPr>
      <w:color w:val="365F91"/>
      <w:kern w:val="0"/>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A29B2"/>
    <w:rPr>
      <w:color w:val="943634"/>
      <w:kern w:val="0"/>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A29B2"/>
    <w:rPr>
      <w:color w:val="76923C"/>
      <w:kern w:val="0"/>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A29B2"/>
    <w:rPr>
      <w:color w:val="5F497A"/>
      <w:kern w:val="0"/>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A29B2"/>
    <w:rPr>
      <w:color w:val="31849B"/>
      <w:kern w:val="0"/>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A29B2"/>
    <w:rPr>
      <w:color w:val="E36C0A"/>
      <w:kern w:val="0"/>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FA29B2"/>
  </w:style>
  <w:style w:type="paragraph" w:styleId="List">
    <w:name w:val="List"/>
    <w:basedOn w:val="Normal"/>
    <w:uiPriority w:val="99"/>
    <w:semiHidden/>
    <w:unhideWhenUsed/>
    <w:rsid w:val="00FA29B2"/>
    <w:pPr>
      <w:ind w:left="360" w:hanging="360"/>
      <w:contextualSpacing/>
    </w:pPr>
    <w:rPr>
      <w:kern w:val="0"/>
    </w:rPr>
  </w:style>
  <w:style w:type="paragraph" w:styleId="List2">
    <w:name w:val="List 2"/>
    <w:basedOn w:val="Normal"/>
    <w:uiPriority w:val="99"/>
    <w:semiHidden/>
    <w:unhideWhenUsed/>
    <w:rsid w:val="00FA29B2"/>
    <w:pPr>
      <w:ind w:left="720" w:hanging="360"/>
      <w:contextualSpacing/>
    </w:pPr>
    <w:rPr>
      <w:kern w:val="0"/>
    </w:rPr>
  </w:style>
  <w:style w:type="paragraph" w:styleId="List3">
    <w:name w:val="List 3"/>
    <w:basedOn w:val="Normal"/>
    <w:uiPriority w:val="99"/>
    <w:semiHidden/>
    <w:unhideWhenUsed/>
    <w:rsid w:val="00FA29B2"/>
    <w:pPr>
      <w:ind w:left="1080" w:hanging="360"/>
      <w:contextualSpacing/>
    </w:pPr>
    <w:rPr>
      <w:kern w:val="0"/>
    </w:rPr>
  </w:style>
  <w:style w:type="paragraph" w:styleId="List4">
    <w:name w:val="List 4"/>
    <w:basedOn w:val="Normal"/>
    <w:uiPriority w:val="99"/>
    <w:semiHidden/>
    <w:unhideWhenUsed/>
    <w:rsid w:val="00FA29B2"/>
    <w:pPr>
      <w:ind w:left="1440" w:hanging="360"/>
      <w:contextualSpacing/>
    </w:pPr>
    <w:rPr>
      <w:kern w:val="0"/>
    </w:rPr>
  </w:style>
  <w:style w:type="paragraph" w:styleId="List5">
    <w:name w:val="List 5"/>
    <w:basedOn w:val="Normal"/>
    <w:uiPriority w:val="99"/>
    <w:semiHidden/>
    <w:unhideWhenUsed/>
    <w:rsid w:val="00FA29B2"/>
    <w:pPr>
      <w:ind w:left="1800" w:hanging="360"/>
      <w:contextualSpacing/>
    </w:pPr>
    <w:rPr>
      <w:kern w:val="0"/>
    </w:rPr>
  </w:style>
  <w:style w:type="paragraph" w:styleId="ListBullet">
    <w:name w:val="List Bullet"/>
    <w:basedOn w:val="Normal"/>
    <w:uiPriority w:val="99"/>
    <w:semiHidden/>
    <w:unhideWhenUsed/>
    <w:rsid w:val="00FA29B2"/>
    <w:pPr>
      <w:numPr>
        <w:numId w:val="33"/>
      </w:numPr>
      <w:tabs>
        <w:tab w:val="clear" w:pos="360"/>
      </w:tabs>
      <w:ind w:left="0" w:firstLine="0"/>
      <w:contextualSpacing/>
    </w:pPr>
    <w:rPr>
      <w:kern w:val="0"/>
    </w:rPr>
  </w:style>
  <w:style w:type="paragraph" w:styleId="ListBullet2">
    <w:name w:val="List Bullet 2"/>
    <w:basedOn w:val="Normal"/>
    <w:uiPriority w:val="99"/>
    <w:semiHidden/>
    <w:unhideWhenUsed/>
    <w:rsid w:val="00FA29B2"/>
    <w:pPr>
      <w:numPr>
        <w:numId w:val="34"/>
      </w:numPr>
      <w:tabs>
        <w:tab w:val="clear" w:pos="643"/>
        <w:tab w:val="num" w:pos="360"/>
      </w:tabs>
      <w:ind w:left="0" w:firstLine="0"/>
      <w:contextualSpacing/>
    </w:pPr>
    <w:rPr>
      <w:kern w:val="0"/>
    </w:rPr>
  </w:style>
  <w:style w:type="paragraph" w:styleId="ListBullet3">
    <w:name w:val="List Bullet 3"/>
    <w:basedOn w:val="Normal"/>
    <w:uiPriority w:val="99"/>
    <w:semiHidden/>
    <w:unhideWhenUsed/>
    <w:rsid w:val="00FA29B2"/>
    <w:pPr>
      <w:numPr>
        <w:numId w:val="35"/>
      </w:numPr>
      <w:tabs>
        <w:tab w:val="clear" w:pos="926"/>
        <w:tab w:val="num" w:pos="360"/>
      </w:tabs>
      <w:ind w:left="0" w:firstLine="0"/>
      <w:contextualSpacing/>
    </w:pPr>
    <w:rPr>
      <w:kern w:val="0"/>
    </w:rPr>
  </w:style>
  <w:style w:type="paragraph" w:styleId="ListBullet4">
    <w:name w:val="List Bullet 4"/>
    <w:basedOn w:val="Normal"/>
    <w:uiPriority w:val="99"/>
    <w:semiHidden/>
    <w:unhideWhenUsed/>
    <w:rsid w:val="00FA29B2"/>
    <w:pPr>
      <w:numPr>
        <w:numId w:val="36"/>
      </w:numPr>
      <w:tabs>
        <w:tab w:val="clear" w:pos="1209"/>
        <w:tab w:val="num" w:pos="360"/>
        <w:tab w:val="num" w:pos="850"/>
      </w:tabs>
      <w:ind w:left="0" w:firstLine="0"/>
      <w:contextualSpacing/>
    </w:pPr>
    <w:rPr>
      <w:kern w:val="0"/>
    </w:rPr>
  </w:style>
  <w:style w:type="paragraph" w:styleId="ListBullet5">
    <w:name w:val="List Bullet 5"/>
    <w:basedOn w:val="Normal"/>
    <w:uiPriority w:val="99"/>
    <w:semiHidden/>
    <w:unhideWhenUsed/>
    <w:rsid w:val="00FA29B2"/>
    <w:pPr>
      <w:numPr>
        <w:numId w:val="37"/>
      </w:numPr>
      <w:tabs>
        <w:tab w:val="clear" w:pos="1492"/>
        <w:tab w:val="num" w:pos="360"/>
      </w:tabs>
      <w:ind w:left="0" w:firstLine="0"/>
      <w:contextualSpacing/>
    </w:pPr>
    <w:rPr>
      <w:kern w:val="0"/>
    </w:rPr>
  </w:style>
  <w:style w:type="paragraph" w:styleId="ListContinue">
    <w:name w:val="List Continue"/>
    <w:basedOn w:val="Normal"/>
    <w:uiPriority w:val="99"/>
    <w:semiHidden/>
    <w:unhideWhenUsed/>
    <w:rsid w:val="00FA29B2"/>
    <w:pPr>
      <w:spacing w:after="120"/>
      <w:ind w:left="360"/>
      <w:contextualSpacing/>
    </w:pPr>
    <w:rPr>
      <w:kern w:val="0"/>
    </w:rPr>
  </w:style>
  <w:style w:type="paragraph" w:styleId="ListContinue2">
    <w:name w:val="List Continue 2"/>
    <w:basedOn w:val="Normal"/>
    <w:uiPriority w:val="99"/>
    <w:semiHidden/>
    <w:unhideWhenUsed/>
    <w:rsid w:val="00FA29B2"/>
    <w:pPr>
      <w:spacing w:after="120"/>
      <w:ind w:left="720"/>
      <w:contextualSpacing/>
    </w:pPr>
    <w:rPr>
      <w:kern w:val="0"/>
    </w:rPr>
  </w:style>
  <w:style w:type="paragraph" w:styleId="ListContinue3">
    <w:name w:val="List Continue 3"/>
    <w:basedOn w:val="Normal"/>
    <w:uiPriority w:val="99"/>
    <w:semiHidden/>
    <w:unhideWhenUsed/>
    <w:rsid w:val="00FA29B2"/>
    <w:pPr>
      <w:spacing w:after="120"/>
      <w:ind w:left="1080"/>
      <w:contextualSpacing/>
    </w:pPr>
    <w:rPr>
      <w:kern w:val="0"/>
    </w:rPr>
  </w:style>
  <w:style w:type="paragraph" w:styleId="ListContinue4">
    <w:name w:val="List Continue 4"/>
    <w:basedOn w:val="Normal"/>
    <w:uiPriority w:val="99"/>
    <w:semiHidden/>
    <w:unhideWhenUsed/>
    <w:rsid w:val="00FA29B2"/>
    <w:pPr>
      <w:spacing w:after="120"/>
      <w:ind w:left="1440"/>
      <w:contextualSpacing/>
    </w:pPr>
    <w:rPr>
      <w:kern w:val="0"/>
    </w:rPr>
  </w:style>
  <w:style w:type="paragraph" w:styleId="ListContinue5">
    <w:name w:val="List Continue 5"/>
    <w:basedOn w:val="Normal"/>
    <w:uiPriority w:val="99"/>
    <w:semiHidden/>
    <w:unhideWhenUsed/>
    <w:rsid w:val="00FA29B2"/>
    <w:pPr>
      <w:spacing w:after="120"/>
      <w:ind w:left="1800"/>
      <w:contextualSpacing/>
    </w:pPr>
    <w:rPr>
      <w:kern w:val="0"/>
    </w:rPr>
  </w:style>
  <w:style w:type="paragraph" w:styleId="ListNumber">
    <w:name w:val="List Number"/>
    <w:basedOn w:val="Normal"/>
    <w:uiPriority w:val="99"/>
    <w:semiHidden/>
    <w:unhideWhenUsed/>
    <w:rsid w:val="00FA29B2"/>
    <w:pPr>
      <w:numPr>
        <w:numId w:val="38"/>
      </w:numPr>
      <w:tabs>
        <w:tab w:val="clear" w:pos="360"/>
      </w:tabs>
      <w:ind w:left="0" w:firstLine="0"/>
      <w:contextualSpacing/>
    </w:pPr>
    <w:rPr>
      <w:kern w:val="0"/>
    </w:rPr>
  </w:style>
  <w:style w:type="paragraph" w:styleId="ListNumber2">
    <w:name w:val="List Number 2"/>
    <w:basedOn w:val="Normal"/>
    <w:uiPriority w:val="99"/>
    <w:semiHidden/>
    <w:unhideWhenUsed/>
    <w:rsid w:val="00FA29B2"/>
    <w:pPr>
      <w:numPr>
        <w:numId w:val="39"/>
      </w:numPr>
      <w:tabs>
        <w:tab w:val="clear" w:pos="643"/>
        <w:tab w:val="num" w:pos="360"/>
      </w:tabs>
      <w:ind w:left="0" w:firstLine="0"/>
      <w:contextualSpacing/>
    </w:pPr>
    <w:rPr>
      <w:kern w:val="0"/>
    </w:rPr>
  </w:style>
  <w:style w:type="paragraph" w:styleId="ListNumber3">
    <w:name w:val="List Number 3"/>
    <w:basedOn w:val="Normal"/>
    <w:uiPriority w:val="99"/>
    <w:semiHidden/>
    <w:unhideWhenUsed/>
    <w:rsid w:val="00FA29B2"/>
    <w:pPr>
      <w:numPr>
        <w:numId w:val="40"/>
      </w:numPr>
      <w:tabs>
        <w:tab w:val="clear" w:pos="926"/>
        <w:tab w:val="num" w:pos="360"/>
      </w:tabs>
      <w:ind w:left="0" w:firstLine="0"/>
      <w:contextualSpacing/>
    </w:pPr>
    <w:rPr>
      <w:kern w:val="0"/>
    </w:rPr>
  </w:style>
  <w:style w:type="paragraph" w:styleId="ListNumber4">
    <w:name w:val="List Number 4"/>
    <w:basedOn w:val="Normal"/>
    <w:uiPriority w:val="99"/>
    <w:semiHidden/>
    <w:unhideWhenUsed/>
    <w:rsid w:val="00FA29B2"/>
    <w:pPr>
      <w:numPr>
        <w:numId w:val="41"/>
      </w:numPr>
      <w:tabs>
        <w:tab w:val="clear" w:pos="1209"/>
        <w:tab w:val="num" w:pos="360"/>
      </w:tabs>
      <w:ind w:left="0" w:firstLine="0"/>
      <w:contextualSpacing/>
    </w:pPr>
    <w:rPr>
      <w:kern w:val="0"/>
    </w:rPr>
  </w:style>
  <w:style w:type="paragraph" w:styleId="ListNumber5">
    <w:name w:val="List Number 5"/>
    <w:basedOn w:val="Normal"/>
    <w:uiPriority w:val="99"/>
    <w:semiHidden/>
    <w:unhideWhenUsed/>
    <w:rsid w:val="00FA29B2"/>
    <w:pPr>
      <w:numPr>
        <w:numId w:val="42"/>
      </w:numPr>
      <w:tabs>
        <w:tab w:val="clear" w:pos="1492"/>
        <w:tab w:val="num" w:pos="360"/>
        <w:tab w:val="num" w:pos="720"/>
      </w:tabs>
      <w:ind w:left="0" w:firstLine="0"/>
      <w:contextualSpacing/>
    </w:pPr>
    <w:rPr>
      <w:kern w:val="0"/>
    </w:rPr>
  </w:style>
  <w:style w:type="paragraph" w:styleId="MacroText">
    <w:name w:val="macro"/>
    <w:link w:val="MacroTextChar"/>
    <w:uiPriority w:val="99"/>
    <w:semiHidden/>
    <w:unhideWhenUsed/>
    <w:rsid w:val="00FA29B2"/>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kern w:val="0"/>
    </w:rPr>
  </w:style>
  <w:style w:type="character" w:customStyle="1" w:styleId="MacroTextChar">
    <w:name w:val="Macro Text Char"/>
    <w:basedOn w:val="DefaultParagraphFont"/>
    <w:link w:val="MacroText"/>
    <w:uiPriority w:val="99"/>
    <w:semiHidden/>
    <w:rsid w:val="00FA29B2"/>
    <w:rPr>
      <w:rFonts w:ascii="Arial" w:hAnsi="Arial" w:cs="Arial"/>
      <w:kern w:val="0"/>
    </w:rPr>
  </w:style>
  <w:style w:type="table" w:styleId="MediumGrid1">
    <w:name w:val="Medium Grid 1"/>
    <w:basedOn w:val="TableNormal"/>
    <w:uiPriority w:val="67"/>
    <w:rsid w:val="00FA29B2"/>
    <w:rPr>
      <w:kern w:val="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FA29B2"/>
    <w:rPr>
      <w:kern w:val="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FA29B2"/>
    <w:rPr>
      <w:kern w:val="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FA29B2"/>
    <w:rPr>
      <w:kern w:val="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FA29B2"/>
    <w:rPr>
      <w:kern w:val="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FA29B2"/>
    <w:rPr>
      <w:kern w:val="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FA29B2"/>
    <w:rPr>
      <w:kern w:val="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FA29B2"/>
    <w:rPr>
      <w:color w:val="000000"/>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FA29B2"/>
    <w:rPr>
      <w:color w:val="000000"/>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FA29B2"/>
    <w:rPr>
      <w:color w:val="000000"/>
      <w:kern w:val="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FA29B2"/>
    <w:rPr>
      <w:color w:val="000000"/>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FA29B2"/>
    <w:rPr>
      <w:color w:val="000000"/>
      <w:kern w:val="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FA29B2"/>
    <w:rPr>
      <w:color w:val="000000"/>
      <w:kern w:val="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FA29B2"/>
    <w:rPr>
      <w:color w:val="000000"/>
      <w:kern w:val="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FA29B2"/>
    <w:rPr>
      <w:kern w:val="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FA29B2"/>
    <w:rPr>
      <w:color w:val="000000"/>
      <w:kern w:val="0"/>
      <w:sz w:val="20"/>
      <w:szCs w:val="2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FA29B2"/>
    <w:rPr>
      <w:color w:val="000000"/>
      <w:kern w:val="0"/>
      <w:sz w:val="20"/>
      <w:szCs w:val="2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FA29B2"/>
    <w:rPr>
      <w:color w:val="000000"/>
      <w:kern w:val="0"/>
      <w:sz w:val="20"/>
      <w:szCs w:val="2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FA29B2"/>
    <w:rPr>
      <w:color w:val="000000"/>
      <w:kern w:val="0"/>
      <w:sz w:val="20"/>
      <w:szCs w:val="2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FA29B2"/>
    <w:rPr>
      <w:color w:val="000000"/>
      <w:kern w:val="0"/>
      <w:sz w:val="20"/>
      <w:szCs w:val="2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FA29B2"/>
    <w:rPr>
      <w:color w:val="000000"/>
      <w:kern w:val="0"/>
      <w:sz w:val="20"/>
      <w:szCs w:val="2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FA29B2"/>
    <w:rPr>
      <w:color w:val="000000"/>
      <w:kern w:val="0"/>
      <w:sz w:val="20"/>
      <w:szCs w:val="2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FA29B2"/>
    <w:rPr>
      <w:color w:val="000000"/>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FA29B2"/>
    <w:rPr>
      <w:color w:val="000000"/>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FA29B2"/>
    <w:rPr>
      <w:color w:val="000000"/>
      <w:kern w:val="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FA29B2"/>
    <w:rPr>
      <w:color w:val="000000"/>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FA29B2"/>
    <w:rPr>
      <w:color w:val="000000"/>
      <w:kern w:val="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FA29B2"/>
    <w:rPr>
      <w:color w:val="000000"/>
      <w:kern w:val="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FA29B2"/>
    <w:rPr>
      <w:color w:val="000000"/>
      <w:kern w:val="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FA29B2"/>
    <w:rPr>
      <w:kern w:val="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A29B2"/>
    <w:rPr>
      <w:kern w:val="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A29B2"/>
    <w:rPr>
      <w:kern w:val="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A29B2"/>
    <w:rPr>
      <w:kern w:val="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A29B2"/>
    <w:rPr>
      <w:kern w:val="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A29B2"/>
    <w:rPr>
      <w:kern w:val="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A29B2"/>
    <w:rPr>
      <w:kern w:val="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A29B2"/>
    <w:rPr>
      <w:kern w:val="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A29B2"/>
    <w:pPr>
      <w:pBdr>
        <w:top w:val="single" w:sz="6" w:space="1" w:color="auto"/>
        <w:left w:val="single" w:sz="6" w:space="1" w:color="auto"/>
        <w:bottom w:val="single" w:sz="6" w:space="1" w:color="auto"/>
        <w:right w:val="single" w:sz="6" w:space="1" w:color="auto"/>
      </w:pBdr>
      <w:shd w:val="pct20" w:color="auto" w:fill="auto"/>
      <w:ind w:left="1080" w:hanging="1080"/>
    </w:pPr>
    <w:rPr>
      <w:kern w:val="0"/>
      <w:sz w:val="24"/>
      <w:szCs w:val="24"/>
    </w:rPr>
  </w:style>
  <w:style w:type="character" w:customStyle="1" w:styleId="MessageHeaderChar">
    <w:name w:val="Message Header Char"/>
    <w:basedOn w:val="DefaultParagraphFont"/>
    <w:link w:val="MessageHeader"/>
    <w:uiPriority w:val="99"/>
    <w:semiHidden/>
    <w:rsid w:val="00FA29B2"/>
    <w:rPr>
      <w:kern w:val="0"/>
      <w:sz w:val="24"/>
      <w:szCs w:val="24"/>
      <w:shd w:val="pct20" w:color="auto" w:fill="auto"/>
    </w:rPr>
  </w:style>
  <w:style w:type="paragraph" w:styleId="NoSpacing">
    <w:name w:val="No Spacing"/>
    <w:uiPriority w:val="1"/>
    <w:qFormat/>
    <w:rsid w:val="00FA29B2"/>
    <w:pPr>
      <w:widowControl w:val="0"/>
    </w:pPr>
    <w:rPr>
      <w:rFonts w:ascii="Arial" w:hAnsi="Arial" w:cs="Arial"/>
      <w:kern w:val="0"/>
      <w:sz w:val="23"/>
    </w:rPr>
  </w:style>
  <w:style w:type="paragraph" w:styleId="NormalIndent">
    <w:name w:val="Normal Indent"/>
    <w:basedOn w:val="Normal"/>
    <w:uiPriority w:val="99"/>
    <w:semiHidden/>
    <w:unhideWhenUsed/>
    <w:rsid w:val="00FA29B2"/>
    <w:pPr>
      <w:ind w:left="720"/>
    </w:pPr>
    <w:rPr>
      <w:kern w:val="0"/>
    </w:rPr>
  </w:style>
  <w:style w:type="paragraph" w:styleId="NoteHeading">
    <w:name w:val="Note Heading"/>
    <w:basedOn w:val="Normal"/>
    <w:next w:val="Normal"/>
    <w:link w:val="NoteHeadingChar"/>
    <w:uiPriority w:val="99"/>
    <w:semiHidden/>
    <w:unhideWhenUsed/>
    <w:rsid w:val="00FA29B2"/>
    <w:rPr>
      <w:kern w:val="0"/>
    </w:rPr>
  </w:style>
  <w:style w:type="character" w:customStyle="1" w:styleId="NoteHeadingChar">
    <w:name w:val="Note Heading Char"/>
    <w:basedOn w:val="DefaultParagraphFont"/>
    <w:link w:val="NoteHeading"/>
    <w:uiPriority w:val="99"/>
    <w:semiHidden/>
    <w:rsid w:val="00FA29B2"/>
    <w:rPr>
      <w:kern w:val="0"/>
    </w:rPr>
  </w:style>
  <w:style w:type="paragraph" w:styleId="PlainText">
    <w:name w:val="Plain Text"/>
    <w:basedOn w:val="Normal"/>
    <w:link w:val="PlainTextChar"/>
    <w:uiPriority w:val="99"/>
    <w:semiHidden/>
    <w:unhideWhenUsed/>
    <w:rsid w:val="00FA29B2"/>
    <w:rPr>
      <w:kern w:val="0"/>
      <w:sz w:val="20"/>
    </w:rPr>
  </w:style>
  <w:style w:type="character" w:customStyle="1" w:styleId="PlainTextChar">
    <w:name w:val="Plain Text Char"/>
    <w:basedOn w:val="DefaultParagraphFont"/>
    <w:link w:val="PlainText"/>
    <w:uiPriority w:val="99"/>
    <w:semiHidden/>
    <w:rsid w:val="00FA29B2"/>
    <w:rPr>
      <w:kern w:val="0"/>
      <w:sz w:val="20"/>
    </w:rPr>
  </w:style>
  <w:style w:type="paragraph" w:styleId="Salutation">
    <w:name w:val="Salutation"/>
    <w:basedOn w:val="Normal"/>
    <w:next w:val="Normal"/>
    <w:link w:val="SalutationChar"/>
    <w:uiPriority w:val="99"/>
    <w:semiHidden/>
    <w:unhideWhenUsed/>
    <w:rsid w:val="00FA29B2"/>
    <w:rPr>
      <w:kern w:val="0"/>
    </w:rPr>
  </w:style>
  <w:style w:type="character" w:customStyle="1" w:styleId="SalutationChar">
    <w:name w:val="Salutation Char"/>
    <w:basedOn w:val="DefaultParagraphFont"/>
    <w:link w:val="Salutation"/>
    <w:uiPriority w:val="99"/>
    <w:semiHidden/>
    <w:rsid w:val="00FA29B2"/>
    <w:rPr>
      <w:kern w:val="0"/>
    </w:rPr>
  </w:style>
  <w:style w:type="paragraph" w:styleId="Signature">
    <w:name w:val="Signature"/>
    <w:basedOn w:val="Normal"/>
    <w:link w:val="SignatureChar"/>
    <w:uiPriority w:val="99"/>
    <w:semiHidden/>
    <w:unhideWhenUsed/>
    <w:rsid w:val="00FA29B2"/>
    <w:pPr>
      <w:ind w:left="4320"/>
    </w:pPr>
    <w:rPr>
      <w:kern w:val="0"/>
    </w:rPr>
  </w:style>
  <w:style w:type="character" w:customStyle="1" w:styleId="SignatureChar">
    <w:name w:val="Signature Char"/>
    <w:basedOn w:val="DefaultParagraphFont"/>
    <w:link w:val="Signature"/>
    <w:uiPriority w:val="99"/>
    <w:semiHidden/>
    <w:rsid w:val="00FA29B2"/>
    <w:rPr>
      <w:kern w:val="0"/>
    </w:rPr>
  </w:style>
  <w:style w:type="character" w:styleId="Strong">
    <w:name w:val="Strong"/>
    <w:uiPriority w:val="22"/>
    <w:qFormat/>
    <w:rsid w:val="00FA29B2"/>
    <w:rPr>
      <w:b/>
      <w:bCs/>
    </w:rPr>
  </w:style>
  <w:style w:type="character" w:styleId="SubtleEmphasis">
    <w:name w:val="Subtle Emphasis"/>
    <w:uiPriority w:val="19"/>
    <w:qFormat/>
    <w:rsid w:val="00FA29B2"/>
    <w:rPr>
      <w:i/>
      <w:iCs/>
      <w:color w:val="808080"/>
    </w:rPr>
  </w:style>
  <w:style w:type="character" w:styleId="SubtleReference">
    <w:name w:val="Subtle Reference"/>
    <w:uiPriority w:val="31"/>
    <w:qFormat/>
    <w:rsid w:val="00FA29B2"/>
    <w:rPr>
      <w:smallCaps/>
      <w:color w:val="C0504D"/>
      <w:u w:val="single"/>
    </w:rPr>
  </w:style>
  <w:style w:type="table" w:styleId="Table3Deffects1">
    <w:name w:val="Table 3D effects 1"/>
    <w:basedOn w:val="TableNormal"/>
    <w:uiPriority w:val="99"/>
    <w:semiHidden/>
    <w:unhideWhenUsed/>
    <w:rsid w:val="00FA29B2"/>
    <w:pPr>
      <w:widowControl w:val="0"/>
      <w:spacing w:line="216" w:lineRule="auto"/>
    </w:pPr>
    <w:rPr>
      <w:kern w:val="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29B2"/>
    <w:pPr>
      <w:widowControl w:val="0"/>
      <w:spacing w:line="216" w:lineRule="auto"/>
    </w:pPr>
    <w:rPr>
      <w:kern w:val="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29B2"/>
    <w:pPr>
      <w:widowControl w:val="0"/>
      <w:spacing w:line="216" w:lineRule="auto"/>
    </w:pPr>
    <w:rPr>
      <w:kern w:val="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29B2"/>
    <w:pPr>
      <w:widowControl w:val="0"/>
      <w:spacing w:line="216" w:lineRule="auto"/>
    </w:pPr>
    <w:rPr>
      <w:kern w:val="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29B2"/>
    <w:pPr>
      <w:widowControl w:val="0"/>
      <w:spacing w:line="216" w:lineRule="auto"/>
    </w:pPr>
    <w:rPr>
      <w:kern w:val="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29B2"/>
    <w:pPr>
      <w:widowControl w:val="0"/>
      <w:spacing w:line="216" w:lineRule="auto"/>
    </w:pPr>
    <w:rPr>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29B2"/>
    <w:pPr>
      <w:widowControl w:val="0"/>
      <w:spacing w:line="216" w:lineRule="auto"/>
    </w:pPr>
    <w:rPr>
      <w:kern w:val="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29B2"/>
    <w:pPr>
      <w:widowControl w:val="0"/>
      <w:spacing w:line="216" w:lineRule="auto"/>
    </w:pPr>
    <w:rPr>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29B2"/>
    <w:pPr>
      <w:widowControl w:val="0"/>
      <w:spacing w:line="216" w:lineRule="auto"/>
    </w:pPr>
    <w:rPr>
      <w:kern w:val="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29B2"/>
    <w:pPr>
      <w:widowControl w:val="0"/>
      <w:spacing w:line="216" w:lineRule="auto"/>
    </w:pPr>
    <w:rPr>
      <w:kern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29B2"/>
    <w:pPr>
      <w:widowControl w:val="0"/>
      <w:spacing w:line="216" w:lineRule="auto"/>
    </w:pPr>
    <w:rPr>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29B2"/>
    <w:pPr>
      <w:widowControl w:val="0"/>
      <w:spacing w:line="216" w:lineRule="auto"/>
    </w:pPr>
    <w:rPr>
      <w:b/>
      <w:bCs/>
      <w:kern w:val="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29B2"/>
    <w:pPr>
      <w:widowControl w:val="0"/>
      <w:spacing w:line="216" w:lineRule="auto"/>
    </w:pPr>
    <w:rPr>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29B2"/>
    <w:pPr>
      <w:widowControl w:val="0"/>
      <w:spacing w:line="216" w:lineRule="auto"/>
    </w:pPr>
    <w:rPr>
      <w:kern w:val="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29B2"/>
    <w:pPr>
      <w:widowControl w:val="0"/>
      <w:spacing w:line="216" w:lineRule="auto"/>
    </w:pPr>
    <w:rPr>
      <w:kern w:val="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29B2"/>
    <w:pPr>
      <w:widowControl w:val="0"/>
      <w:spacing w:line="216" w:lineRule="auto"/>
    </w:pPr>
    <w:rPr>
      <w:kern w:val="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29B2"/>
    <w:pPr>
      <w:widowControl w:val="0"/>
      <w:spacing w:line="216" w:lineRule="auto"/>
    </w:pPr>
    <w:rPr>
      <w:kern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FA29B2"/>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A29B2"/>
    <w:pPr>
      <w:widowControl w:val="0"/>
      <w:spacing w:line="216" w:lineRule="auto"/>
    </w:pPr>
    <w:rPr>
      <w:kern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29B2"/>
    <w:pPr>
      <w:widowControl w:val="0"/>
      <w:spacing w:line="216" w:lineRule="auto"/>
    </w:pPr>
    <w:rPr>
      <w:kern w:val="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29B2"/>
    <w:pPr>
      <w:widowControl w:val="0"/>
      <w:spacing w:line="216" w:lineRule="auto"/>
    </w:pPr>
    <w:rPr>
      <w:kern w:val="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29B2"/>
    <w:pPr>
      <w:widowControl w:val="0"/>
      <w:spacing w:line="216" w:lineRule="auto"/>
    </w:pPr>
    <w:rPr>
      <w:kern w:val="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29B2"/>
    <w:pPr>
      <w:widowControl w:val="0"/>
      <w:spacing w:line="216" w:lineRule="auto"/>
    </w:pPr>
    <w:rPr>
      <w:kern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29B2"/>
    <w:pPr>
      <w:widowControl w:val="0"/>
      <w:spacing w:line="216" w:lineRule="auto"/>
    </w:pPr>
    <w:rPr>
      <w:kern w:val="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29B2"/>
    <w:pPr>
      <w:widowControl w:val="0"/>
      <w:spacing w:line="216" w:lineRule="auto"/>
    </w:pPr>
    <w:rPr>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29B2"/>
    <w:pPr>
      <w:widowControl w:val="0"/>
      <w:spacing w:line="216" w:lineRule="auto"/>
    </w:pPr>
    <w:rPr>
      <w:kern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A29B2"/>
    <w:pPr>
      <w:widowControl w:val="0"/>
      <w:spacing w:line="216" w:lineRule="auto"/>
    </w:pPr>
    <w:rPr>
      <w:kern w:val="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29B2"/>
    <w:pPr>
      <w:widowControl w:val="0"/>
      <w:spacing w:line="216" w:lineRule="auto"/>
    </w:pPr>
    <w:rPr>
      <w:kern w:val="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29B2"/>
    <w:pPr>
      <w:widowControl w:val="0"/>
      <w:spacing w:line="216" w:lineRule="auto"/>
    </w:pPr>
    <w:rPr>
      <w:kern w:val="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29B2"/>
    <w:pPr>
      <w:widowControl w:val="0"/>
      <w:spacing w:line="216" w:lineRule="auto"/>
    </w:pPr>
    <w:rPr>
      <w:kern w:val="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29B2"/>
    <w:pPr>
      <w:widowControl w:val="0"/>
      <w:spacing w:line="216" w:lineRule="auto"/>
    </w:pPr>
    <w:rPr>
      <w:kern w:val="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29B2"/>
    <w:pPr>
      <w:widowControl w:val="0"/>
      <w:spacing w:line="216" w:lineRule="auto"/>
    </w:pPr>
    <w:rPr>
      <w:kern w:val="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29B2"/>
    <w:pPr>
      <w:widowControl w:val="0"/>
      <w:spacing w:line="216" w:lineRule="auto"/>
    </w:pPr>
    <w:rPr>
      <w:kern w:val="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29B2"/>
    <w:pPr>
      <w:widowControl w:val="0"/>
      <w:spacing w:line="216" w:lineRule="auto"/>
    </w:pPr>
    <w:rPr>
      <w:kern w:val="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A29B2"/>
    <w:pPr>
      <w:ind w:left="230" w:hanging="230"/>
    </w:pPr>
    <w:rPr>
      <w:kern w:val="0"/>
    </w:rPr>
  </w:style>
  <w:style w:type="paragraph" w:styleId="TableofFigures">
    <w:name w:val="table of figures"/>
    <w:basedOn w:val="Normal"/>
    <w:next w:val="Normal"/>
    <w:uiPriority w:val="99"/>
    <w:semiHidden/>
    <w:unhideWhenUsed/>
    <w:rsid w:val="00FA29B2"/>
    <w:rPr>
      <w:kern w:val="0"/>
    </w:rPr>
  </w:style>
  <w:style w:type="table" w:styleId="TableProfessional">
    <w:name w:val="Table Professional"/>
    <w:basedOn w:val="TableNormal"/>
    <w:uiPriority w:val="99"/>
    <w:semiHidden/>
    <w:unhideWhenUsed/>
    <w:rsid w:val="00FA29B2"/>
    <w:pPr>
      <w:widowControl w:val="0"/>
      <w:spacing w:line="216" w:lineRule="auto"/>
    </w:pPr>
    <w:rPr>
      <w:kern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29B2"/>
    <w:pPr>
      <w:widowControl w:val="0"/>
      <w:spacing w:line="216" w:lineRule="auto"/>
    </w:pPr>
    <w:rPr>
      <w:kern w:val="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29B2"/>
    <w:pPr>
      <w:widowControl w:val="0"/>
      <w:spacing w:line="216" w:lineRule="auto"/>
    </w:pPr>
    <w:rPr>
      <w:kern w:val="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29B2"/>
    <w:pPr>
      <w:widowControl w:val="0"/>
      <w:spacing w:line="216" w:lineRule="auto"/>
    </w:pPr>
    <w:rPr>
      <w:kern w:val="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29B2"/>
    <w:pPr>
      <w:widowControl w:val="0"/>
      <w:spacing w:line="216" w:lineRule="auto"/>
    </w:pPr>
    <w:rPr>
      <w:kern w:val="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29B2"/>
    <w:pPr>
      <w:widowControl w:val="0"/>
      <w:spacing w:line="216" w:lineRule="auto"/>
    </w:pPr>
    <w:rPr>
      <w:kern w:val="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29B2"/>
    <w:pPr>
      <w:widowControl w:val="0"/>
      <w:spacing w:line="216"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29B2"/>
    <w:pPr>
      <w:widowControl w:val="0"/>
      <w:spacing w:line="216" w:lineRule="auto"/>
    </w:pPr>
    <w:rPr>
      <w:kern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29B2"/>
    <w:pPr>
      <w:widowControl w:val="0"/>
      <w:spacing w:line="216" w:lineRule="auto"/>
    </w:pPr>
    <w:rPr>
      <w:kern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29B2"/>
    <w:pPr>
      <w:widowControl w:val="0"/>
      <w:spacing w:line="216" w:lineRule="auto"/>
    </w:pPr>
    <w:rPr>
      <w:kern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A29B2"/>
    <w:pPr>
      <w:spacing w:before="120"/>
    </w:pPr>
    <w:rPr>
      <w:b/>
      <w:bCs/>
      <w:kern w:val="0"/>
      <w:sz w:val="24"/>
      <w:szCs w:val="24"/>
    </w:rPr>
  </w:style>
  <w:style w:type="paragraph" w:styleId="TOCHeading">
    <w:name w:val="TOC Heading"/>
    <w:basedOn w:val="Heading1"/>
    <w:next w:val="Normal"/>
    <w:uiPriority w:val="39"/>
    <w:semiHidden/>
    <w:unhideWhenUsed/>
    <w:qFormat/>
    <w:rsid w:val="00FA29B2"/>
    <w:pPr>
      <w:keepLines w:val="0"/>
      <w:widowControl w:val="0"/>
      <w:spacing w:before="240" w:after="60" w:line="216" w:lineRule="auto"/>
      <w:outlineLvl w:val="9"/>
    </w:pPr>
    <w:rPr>
      <w:rFonts w:asciiTheme="minorHAnsi" w:eastAsiaTheme="minorHAnsi" w:hAnsiTheme="minorHAnsi" w:cstheme="minorBidi"/>
      <w:b/>
      <w:bCs/>
      <w:color w:val="auto"/>
      <w:kern w:val="32"/>
      <w:sz w:val="32"/>
      <w:szCs w:val="32"/>
    </w:rPr>
  </w:style>
  <w:style w:type="paragraph" w:customStyle="1" w:styleId="EntACP">
    <w:name w:val="EntACP"/>
    <w:basedOn w:val="Normal"/>
    <w:rsid w:val="00FA29B2"/>
    <w:pPr>
      <w:spacing w:line="360" w:lineRule="auto"/>
      <w:jc w:val="center"/>
    </w:pPr>
    <w:rPr>
      <w:b/>
      <w:bCs/>
      <w:kern w:val="0"/>
      <w:sz w:val="28"/>
      <w:szCs w:val="28"/>
    </w:rPr>
  </w:style>
  <w:style w:type="paragraph" w:customStyle="1" w:styleId="EntASSOC">
    <w:name w:val="EntASSOC"/>
    <w:basedOn w:val="Normal"/>
    <w:rsid w:val="00FA29B2"/>
    <w:pPr>
      <w:jc w:val="center"/>
    </w:pPr>
    <w:rPr>
      <w:b/>
      <w:bCs/>
      <w:kern w:val="0"/>
    </w:rPr>
  </w:style>
  <w:style w:type="paragraph" w:customStyle="1" w:styleId="EntEU">
    <w:name w:val="EntEU"/>
    <w:basedOn w:val="Normal"/>
    <w:rsid w:val="00FA29B2"/>
    <w:pPr>
      <w:spacing w:before="240" w:after="240"/>
      <w:jc w:val="center"/>
    </w:pPr>
    <w:rPr>
      <w:b/>
      <w:bCs/>
      <w:kern w:val="0"/>
      <w:sz w:val="36"/>
      <w:szCs w:val="36"/>
    </w:rPr>
  </w:style>
  <w:style w:type="paragraph" w:customStyle="1" w:styleId="EntInstitACP">
    <w:name w:val="EntInstitACP"/>
    <w:basedOn w:val="Normal"/>
    <w:rsid w:val="00FA29B2"/>
    <w:pPr>
      <w:jc w:val="center"/>
    </w:pPr>
    <w:rPr>
      <w:b/>
      <w:bCs/>
      <w:kern w:val="0"/>
    </w:rPr>
  </w:style>
  <w:style w:type="paragraph" w:customStyle="1" w:styleId="EntReferNew">
    <w:name w:val="EntReferNew"/>
    <w:basedOn w:val="EntRefer"/>
    <w:rsid w:val="00FA29B2"/>
    <w:pPr>
      <w:spacing w:after="160" w:line="259" w:lineRule="auto"/>
      <w:jc w:val="center"/>
    </w:pPr>
    <w:rPr>
      <w:rFonts w:asciiTheme="minorHAnsi" w:hAnsiTheme="minorHAnsi" w:cstheme="minorBidi"/>
      <w:bCs/>
      <w:sz w:val="22"/>
    </w:rPr>
  </w:style>
  <w:style w:type="paragraph" w:customStyle="1" w:styleId="Pagedecouverture">
    <w:name w:val="Page de couverture"/>
    <w:basedOn w:val="Normal"/>
    <w:next w:val="Normal"/>
    <w:rsid w:val="00FA29B2"/>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FA29B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A29B2"/>
    <w:rPr>
      <w:rFonts w:ascii="Times New Roman" w:hAnsi="Times New Roman" w:cs="Times New Roman"/>
      <w:sz w:val="24"/>
    </w:rPr>
  </w:style>
  <w:style w:type="paragraph" w:customStyle="1" w:styleId="FooterSensitivity">
    <w:name w:val="Footer Sensitivity"/>
    <w:basedOn w:val="Normal"/>
    <w:link w:val="FooterSensitivityChar"/>
    <w:rsid w:val="00FA29B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A29B2"/>
    <w:rPr>
      <w:rFonts w:ascii="Times New Roman" w:hAnsi="Times New Roman" w:cs="Times New Roman"/>
      <w:b/>
      <w:sz w:val="32"/>
    </w:rPr>
  </w:style>
  <w:style w:type="paragraph" w:customStyle="1" w:styleId="HeaderCoverPage">
    <w:name w:val="Header Cover Page"/>
    <w:basedOn w:val="Normal"/>
    <w:link w:val="HeaderCoverPageChar"/>
    <w:rsid w:val="00FA29B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A29B2"/>
    <w:rPr>
      <w:rFonts w:ascii="Times New Roman" w:hAnsi="Times New Roman" w:cs="Times New Roman"/>
      <w:sz w:val="24"/>
    </w:rPr>
  </w:style>
  <w:style w:type="paragraph" w:customStyle="1" w:styleId="HeaderSensitivity">
    <w:name w:val="Header Sensitivity"/>
    <w:basedOn w:val="Normal"/>
    <w:link w:val="HeaderSensitivityChar"/>
    <w:rsid w:val="00FA29B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A29B2"/>
    <w:rPr>
      <w:rFonts w:ascii="Times New Roman" w:hAnsi="Times New Roman" w:cs="Times New Roman"/>
      <w:b/>
      <w:sz w:val="32"/>
    </w:rPr>
  </w:style>
  <w:style w:type="paragraph" w:customStyle="1" w:styleId="HeaderSensitivityRight">
    <w:name w:val="Header Sensitivity Right"/>
    <w:basedOn w:val="Normal"/>
    <w:link w:val="HeaderSensitivityRightChar"/>
    <w:rsid w:val="00FA29B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A29B2"/>
    <w:rPr>
      <w:rFonts w:ascii="Times New Roman" w:hAnsi="Times New Roman" w:cs="Times New Roman"/>
      <w:sz w:val="28"/>
    </w:rPr>
  </w:style>
  <w:style w:type="character" w:customStyle="1" w:styleId="Mention3">
    <w:name w:val="Mention3"/>
    <w:basedOn w:val="DefaultParagraphFont"/>
    <w:uiPriority w:val="99"/>
    <w:unhideWhenUsed/>
    <w:rsid w:val="00FA29B2"/>
    <w:rPr>
      <w:color w:val="2B579A"/>
      <w:shd w:val="clear" w:color="auto" w:fill="E1DFDD"/>
    </w:rPr>
  </w:style>
  <w:style w:type="paragraph" w:customStyle="1" w:styleId="Disclaimer">
    <w:name w:val="Disclaimer"/>
    <w:basedOn w:val="Normal"/>
    <w:rsid w:val="00FA29B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rPr>
  </w:style>
  <w:style w:type="paragraph" w:customStyle="1" w:styleId="SecurityMarking">
    <w:name w:val="SecurityMarking"/>
    <w:basedOn w:val="Normal"/>
    <w:rsid w:val="00FA29B2"/>
    <w:pPr>
      <w:spacing w:after="0" w:line="276" w:lineRule="auto"/>
      <w:ind w:left="5103"/>
    </w:pPr>
    <w:rPr>
      <w:rFonts w:ascii="Times New Roman" w:hAnsi="Times New Roman" w:cs="Times New Roman"/>
      <w:kern w:val="0"/>
      <w:sz w:val="28"/>
    </w:rPr>
  </w:style>
  <w:style w:type="paragraph" w:customStyle="1" w:styleId="DateMarking">
    <w:name w:val="DateMarking"/>
    <w:basedOn w:val="Normal"/>
    <w:rsid w:val="00FA29B2"/>
    <w:pPr>
      <w:spacing w:after="0" w:line="276" w:lineRule="auto"/>
      <w:ind w:left="5103"/>
    </w:pPr>
    <w:rPr>
      <w:rFonts w:ascii="Times New Roman" w:hAnsi="Times New Roman" w:cs="Times New Roman"/>
      <w:i/>
      <w:kern w:val="0"/>
      <w:sz w:val="28"/>
    </w:rPr>
  </w:style>
  <w:style w:type="paragraph" w:customStyle="1" w:styleId="ReleasableTo">
    <w:name w:val="ReleasableTo"/>
    <w:basedOn w:val="Normal"/>
    <w:rsid w:val="00FA29B2"/>
    <w:pPr>
      <w:spacing w:after="0" w:line="276" w:lineRule="auto"/>
      <w:ind w:left="5103"/>
    </w:pPr>
    <w:rPr>
      <w:rFonts w:ascii="Times New Roman" w:hAnsi="Times New Roman" w:cs="Times New Roman"/>
      <w:i/>
      <w:kern w:val="0"/>
      <w:sz w:val="28"/>
    </w:rPr>
  </w:style>
  <w:style w:type="paragraph" w:customStyle="1" w:styleId="Languesfaisantfoi">
    <w:name w:val="Langues faisant foi"/>
    <w:basedOn w:val="Normal"/>
    <w:next w:val="Normal"/>
    <w:rsid w:val="00FA29B2"/>
    <w:pPr>
      <w:spacing w:before="360" w:after="240" w:line="240" w:lineRule="auto"/>
      <w:jc w:val="center"/>
    </w:pPr>
    <w:rPr>
      <w:rFonts w:ascii="Times New Roman" w:hAnsi="Times New Roman" w:cs="Times New Roman"/>
      <w:kern w:val="0"/>
      <w:sz w:val="24"/>
    </w:rPr>
  </w:style>
  <w:style w:type="paragraph" w:customStyle="1" w:styleId="LanguesfaisantfoiPagedecouverture">
    <w:name w:val="Langues faisant foi (Page de couverture)"/>
    <w:basedOn w:val="Normal"/>
    <w:next w:val="Normal"/>
    <w:rsid w:val="00FA29B2"/>
    <w:pPr>
      <w:spacing w:before="360" w:after="240" w:line="240" w:lineRule="auto"/>
      <w:jc w:val="center"/>
    </w:pPr>
    <w:rPr>
      <w:rFonts w:ascii="Times New Roman" w:hAnsi="Times New Roman" w:cs="Times New Roman"/>
      <w:kern w:val="0"/>
      <w:sz w:val="24"/>
    </w:rPr>
  </w:style>
  <w:style w:type="paragraph" w:customStyle="1" w:styleId="IntrtEEE">
    <w:name w:val="Intérêt EEE"/>
    <w:basedOn w:val="Languesfaisantfoi"/>
    <w:next w:val="Normal"/>
    <w:rsid w:val="00FA29B2"/>
    <w:pPr>
      <w:spacing w:after="0"/>
    </w:pPr>
  </w:style>
  <w:style w:type="paragraph" w:customStyle="1" w:styleId="IntrtEEEPagedecouverture">
    <w:name w:val="Intérêt EEE (Page de couverture)"/>
    <w:basedOn w:val="IntrtEEE"/>
    <w:next w:val="Normal"/>
    <w:rsid w:val="00FA29B2"/>
  </w:style>
  <w:style w:type="character" w:customStyle="1" w:styleId="Mention">
    <w:name w:val="Mention"/>
    <w:basedOn w:val="DefaultParagraphFont"/>
    <w:uiPriority w:val="99"/>
    <w:unhideWhenUsed/>
    <w:rsid w:val="00FA29B2"/>
    <w:rPr>
      <w:color w:val="2B579A"/>
      <w:shd w:val="clear" w:color="auto" w:fill="E1DFDD"/>
    </w:rPr>
  </w:style>
  <w:style w:type="paragraph" w:customStyle="1" w:styleId="P68B1DB1-TechnicalBlock1">
    <w:name w:val="P68B1DB1-TechnicalBlock1"/>
    <w:basedOn w:val="TechnicalBlock"/>
    <w:rPr>
      <w:rFonts w:eastAsia="Calibri"/>
      <w:b/>
      <w:szCs w:val="24"/>
    </w:rPr>
  </w:style>
  <w:style w:type="paragraph" w:customStyle="1" w:styleId="P68B1DB1-Normal24">
    <w:name w:val="P68B1DB1-Normal24"/>
    <w:basedOn w:val="Normal"/>
    <w:rPr>
      <w:rFonts w:ascii="Times New Roman" w:eastAsia="Calibri" w:hAnsi="Times New Roman" w:cs="Times New Roman"/>
      <w:b/>
      <w:sz w:val="24"/>
      <w:szCs w:val="24"/>
    </w:rPr>
  </w:style>
  <w:style w:type="paragraph" w:customStyle="1" w:styleId="P68B1DB1-Normal32">
    <w:name w:val="P68B1DB1-Normal32"/>
    <w:basedOn w:val="Normal"/>
    <w:rPr>
      <w:rFonts w:ascii="Times New Roman" w:eastAsia="Calibri" w:hAnsi="Times New Roman" w:cs="Times New Roman"/>
      <w:b/>
      <w:smallCaps/>
      <w:sz w:val="24"/>
      <w:szCs w:val="24"/>
    </w:rPr>
  </w:style>
  <w:style w:type="paragraph" w:customStyle="1" w:styleId="P68B1DB1-Normal33">
    <w:name w:val="P68B1DB1-Normal33"/>
    <w:basedOn w:val="Normal"/>
    <w:rPr>
      <w:rFonts w:ascii="Times New Roman" w:eastAsia="Calibri" w:hAnsi="Times New Roman" w:cs="Times New Roman"/>
      <w:sz w:val="24"/>
      <w:szCs w:val="24"/>
    </w:rPr>
  </w:style>
  <w:style w:type="paragraph" w:customStyle="1" w:styleId="P68B1DB1-Normal34">
    <w:name w:val="P68B1DB1-Normal34"/>
    <w:basedOn w:val="Normal"/>
    <w:rPr>
      <w:sz w:val="24"/>
      <w:szCs w:val="24"/>
    </w:rPr>
  </w:style>
  <w:style w:type="paragraph" w:customStyle="1" w:styleId="P68B1DB1-Normal42">
    <w:name w:val="P68B1DB1-Normal42"/>
    <w:basedOn w:val="Normal"/>
    <w:rPr>
      <w:rFonts w:ascii="Times New Roman" w:eastAsia="Calibri" w:hAnsi="Times New Roman" w:cs="Times New Roman"/>
      <w:sz w:val="24"/>
      <w:szCs w:val="24"/>
      <w:u w:val="single"/>
    </w:rPr>
  </w:style>
  <w:style w:type="paragraph" w:customStyle="1" w:styleId="P68B1DB1-ListParagraph43">
    <w:name w:val="P68B1DB1-ListParagraph43"/>
    <w:basedOn w:val="ListParagraph"/>
    <w:rPr>
      <w:rFonts w:ascii="Times New Roman" w:eastAsia="Calibri" w:hAnsi="Times New Roman" w:cs="Times New Roman"/>
      <w:sz w:val="24"/>
      <w:szCs w:val="24"/>
    </w:rPr>
  </w:style>
  <w:style w:type="paragraph" w:customStyle="1" w:styleId="P68B1DB1-Normal46">
    <w:name w:val="P68B1DB1-Normal46"/>
    <w:basedOn w:val="Normal"/>
    <w:rPr>
      <w:rFonts w:ascii="Times New Roman" w:hAnsi="Times New Roman" w:cs="Times New Roman"/>
      <w:sz w:val="24"/>
      <w:szCs w:val="24"/>
    </w:rPr>
  </w:style>
  <w:style w:type="paragraph" w:customStyle="1" w:styleId="P68B1DB1-Normal57">
    <w:name w:val="P68B1DB1-Normal57"/>
    <w:basedOn w:val="Normal"/>
    <w:rPr>
      <w:rFonts w:ascii="Times New Roman" w:eastAsia="SimSun" w:hAnsi="Times New Roman" w:cs="Times New Roman"/>
      <w:b/>
      <w:sz w:val="24"/>
      <w:szCs w:val="24"/>
      <w:u w:val="single"/>
    </w:rPr>
  </w:style>
  <w:style w:type="paragraph" w:customStyle="1" w:styleId="P68B1DB1-Normal58">
    <w:name w:val="P68B1DB1-Normal58"/>
    <w:basedOn w:val="Normal"/>
    <w:rPr>
      <w:rFonts w:ascii="Times New Roman" w:eastAsia="Times New Roman" w:hAnsi="Times New Roman" w:cs="Times New Roman"/>
      <w:b/>
      <w:sz w:val="20"/>
      <w:szCs w:val="20"/>
    </w:rPr>
  </w:style>
  <w:style w:type="paragraph" w:customStyle="1" w:styleId="P68B1DB1-Normal59">
    <w:name w:val="P68B1DB1-Normal59"/>
    <w:basedOn w:val="Normal"/>
    <w:rPr>
      <w:sz w:val="20"/>
      <w:szCs w:val="20"/>
    </w:rPr>
  </w:style>
  <w:style w:type="paragraph" w:customStyle="1" w:styleId="P68B1DB1-Normal66">
    <w:name w:val="P68B1DB1-Normal66"/>
    <w:basedOn w:val="Normal"/>
    <w:rPr>
      <w:rFonts w:ascii="Times New Roman" w:eastAsia="Calibri" w:hAnsi="Times New Roman" w:cs="Times New Roman"/>
      <w:color w:val="000000"/>
      <w:sz w:val="20"/>
      <w:szCs w:val="20"/>
    </w:rPr>
  </w:style>
  <w:style w:type="paragraph" w:customStyle="1" w:styleId="P68B1DB1-Normal70">
    <w:name w:val="P68B1DB1-Normal70"/>
    <w:basedOn w:val="Normal"/>
    <w:rPr>
      <w:rFonts w:ascii="Times New Roman" w:eastAsia="Calibri" w:hAnsi="Times New Roman" w:cs="Times New Roman"/>
      <w:sz w:val="20"/>
      <w:szCs w:val="20"/>
    </w:rPr>
  </w:style>
  <w:style w:type="paragraph" w:customStyle="1" w:styleId="P68B1DB1-Normal76">
    <w:name w:val="P68B1DB1-Normal76"/>
    <w:basedOn w:val="Normal"/>
    <w:rPr>
      <w:rFonts w:ascii="Times New Roman" w:eastAsia="Times New Roman" w:hAnsi="Times New Roman" w:cs="Times New Roman"/>
      <w:sz w:val="20"/>
      <w:szCs w:val="20"/>
    </w:rPr>
  </w:style>
  <w:style w:type="paragraph" w:customStyle="1" w:styleId="P68B1DB1-ListParagraph77">
    <w:name w:val="P68B1DB1-ListParagraph77"/>
    <w:basedOn w:val="ListParagraph"/>
    <w:rPr>
      <w:rFonts w:ascii="Times New Roman" w:eastAsia="Times New Roman" w:hAnsi="Times New Roman" w:cs="Times New Roman"/>
      <w:sz w:val="20"/>
      <w:szCs w:val="20"/>
    </w:rPr>
  </w:style>
  <w:style w:type="paragraph" w:customStyle="1" w:styleId="P68B1DB1-ListParagraph78">
    <w:name w:val="P68B1DB1-ListParagraph78"/>
    <w:basedOn w:val="ListParagraph"/>
    <w:rPr>
      <w:rFonts w:ascii="Times New Roman" w:eastAsia="Calibri" w:hAnsi="Times New Roman" w:cs="Times New Roman"/>
      <w:color w:val="000000"/>
      <w:sz w:val="20"/>
      <w:szCs w:val="20"/>
    </w:rPr>
  </w:style>
  <w:style w:type="paragraph" w:customStyle="1" w:styleId="P68B1DB1-ListParagraph79">
    <w:name w:val="P68B1DB1-ListParagraph79"/>
    <w:basedOn w:val="ListParagraph"/>
    <w:rPr>
      <w:sz w:val="20"/>
      <w:szCs w:val="20"/>
    </w:rPr>
  </w:style>
  <w:style w:type="paragraph" w:customStyle="1" w:styleId="P68B1DB1-Normal80">
    <w:name w:val="P68B1DB1-Normal80"/>
    <w:basedOn w:val="Normal"/>
    <w:rPr>
      <w:sz w:val="24"/>
      <w:szCs w:val="24"/>
      <w:u w:val="single"/>
    </w:rPr>
  </w:style>
  <w:style w:type="paragraph" w:customStyle="1" w:styleId="P68B1DB1-Normal81">
    <w:name w:val="P68B1DB1-Normal81"/>
    <w:basedOn w:val="Normal"/>
    <w:rPr>
      <w:rFonts w:ascii="Times New Roman" w:hAnsi="Times New Roman" w:cs="Times New Roman"/>
      <w:sz w:val="24"/>
      <w:szCs w:val="24"/>
      <w:u w:val="single"/>
    </w:rPr>
  </w:style>
  <w:style w:type="paragraph" w:customStyle="1" w:styleId="P68B1DB1-Normal82">
    <w:name w:val="P68B1DB1-Normal82"/>
    <w:basedOn w:val="Normal"/>
    <w:rPr>
      <w:rFonts w:ascii="Times New Roman" w:eastAsia="Times New Roman" w:hAnsi="Times New Roman" w:cs="Times New Roman"/>
      <w:sz w:val="24"/>
      <w:szCs w:val="24"/>
      <w:u w:val="single"/>
    </w:rPr>
  </w:style>
  <w:style w:type="paragraph" w:customStyle="1" w:styleId="P68B1DB1-Normal83">
    <w:name w:val="P68B1DB1-Normal83"/>
    <w:basedOn w:val="Normal"/>
    <w:rPr>
      <w:rFonts w:ascii="Times New Roman" w:eastAsia="Times New Roman" w:hAnsi="Times New Roman" w:cs="Times New Roman"/>
      <w:sz w:val="24"/>
      <w:szCs w:val="24"/>
    </w:rPr>
  </w:style>
  <w:style w:type="paragraph" w:customStyle="1" w:styleId="P68B1DB1-Normal84">
    <w:name w:val="P68B1DB1-Normal84"/>
    <w:basedOn w:val="Normal"/>
    <w:rPr>
      <w:rFonts w:ascii="Times New Roman" w:eastAsia="Aptos" w:hAnsi="Times New Roman" w:cs="Times New Roman"/>
      <w:sz w:val="24"/>
      <w:szCs w:val="24"/>
      <w14:ligatures w14:val="none"/>
    </w:rPr>
  </w:style>
  <w:style w:type="paragraph" w:customStyle="1" w:styleId="P68B1DB1-Normal85">
    <w:name w:val="P68B1DB1-Normal85"/>
    <w:basedOn w:val="Normal"/>
    <w:rPr>
      <w:rFonts w:ascii="Times New Roman" w:eastAsiaTheme="majorEastAsia" w:hAnsi="Times New Roman" w:cs="Times New Roman"/>
      <w:sz w:val="24"/>
      <w:szCs w:val="24"/>
    </w:rPr>
  </w:style>
  <w:style w:type="paragraph" w:customStyle="1" w:styleId="P68B1DB1-Normal86">
    <w:name w:val="P68B1DB1-Normal86"/>
    <w:basedOn w:val="Normal"/>
    <w:rPr>
      <w:rFonts w:ascii="Times New Roman" w:eastAsiaTheme="majorEastAsia" w:hAnsi="Times New Roman" w:cs="Times New Roman"/>
      <w:sz w:val="24"/>
      <w:szCs w:val="24"/>
      <w14:ligatures w14:val="none"/>
    </w:rPr>
  </w:style>
  <w:style w:type="paragraph" w:customStyle="1" w:styleId="P68B1DB1-Normal87">
    <w:name w:val="P68B1DB1-Normal87"/>
    <w:basedOn w:val="Normal"/>
    <w:rPr>
      <w:rFonts w:ascii="Times New Roman" w:eastAsia="Times New Roman" w:hAnsi="Times New Roman" w:cs="Times New Roman"/>
      <w:b/>
      <w:color w:val="000000" w:themeColor="text1"/>
      <w:sz w:val="20"/>
      <w:szCs w:val="20"/>
    </w:rPr>
  </w:style>
  <w:style w:type="paragraph" w:customStyle="1" w:styleId="P68B1DB1-paragraph88">
    <w:name w:val="P68B1DB1-paragraph88"/>
    <w:basedOn w:val="paragraph"/>
    <w:rPr>
      <w:rFonts w:eastAsia="Calibri"/>
      <w:sz w:val="20"/>
    </w:rPr>
  </w:style>
  <w:style w:type="paragraph" w:customStyle="1" w:styleId="P68B1DB1-Normal89">
    <w:name w:val="P68B1DB1-Normal89"/>
    <w:basedOn w:val="Normal"/>
    <w:rPr>
      <w:rFonts w:ascii="Times New Roman" w:hAnsi="Times New Roman" w:cs="Times New Roman"/>
      <w:sz w:val="20"/>
      <w:szCs w:val="20"/>
    </w:rPr>
  </w:style>
  <w:style w:type="paragraph" w:customStyle="1" w:styleId="P68B1DB1-ListParagraph90">
    <w:name w:val="P68B1DB1-ListParagraph90"/>
    <w:basedOn w:val="ListParagraph"/>
    <w:rPr>
      <w:rFonts w:ascii="Times New Roman" w:hAnsi="Times New Roman" w:cs="Times New Roman"/>
      <w:sz w:val="20"/>
      <w:szCs w:val="20"/>
    </w:rPr>
  </w:style>
  <w:style w:type="paragraph" w:customStyle="1" w:styleId="P68B1DB1-Normal91">
    <w:name w:val="P68B1DB1-Normal91"/>
    <w:basedOn w:val="Normal"/>
    <w:rPr>
      <w:rFonts w:ascii="Times New Roman" w:eastAsia="Calibri" w:hAnsi="Times New Roman" w:cs="Times New Roman"/>
      <w:b/>
      <w:smallCaps/>
      <w:sz w:val="24"/>
      <w:szCs w:val="28"/>
    </w:rPr>
  </w:style>
  <w:style w:type="paragraph" w:customStyle="1" w:styleId="P68B1DB1-Normal92">
    <w:name w:val="P68B1DB1-Normal92"/>
    <w:basedOn w:val="Normal"/>
    <w:rPr>
      <w:rFonts w:ascii="Times New Roman" w:eastAsia="SimSun" w:hAnsi="Times New Roman" w:cs="Times New Roman"/>
      <w:b/>
      <w:sz w:val="24"/>
      <w:szCs w:val="28"/>
      <w:u w:val="single"/>
    </w:rPr>
  </w:style>
  <w:style w:type="paragraph" w:customStyle="1" w:styleId="P68B1DB1-Normal93">
    <w:name w:val="P68B1DB1-Normal93"/>
    <w:basedOn w:val="Normal"/>
    <w:rPr>
      <w:rFonts w:ascii="Times New Roman" w:eastAsia="Calibri" w:hAnsi="Times New Roman" w:cs="Times New Roman"/>
      <w:sz w:val="24"/>
      <w:szCs w:val="28"/>
      <w:u w:val="single"/>
    </w:rPr>
  </w:style>
  <w:style w:type="paragraph" w:customStyle="1" w:styleId="P68B1DB1-Normal94">
    <w:name w:val="P68B1DB1-Normal94"/>
    <w:basedOn w:val="Normal"/>
    <w:rPr>
      <w:rFonts w:ascii="Times New Roman" w:eastAsia="Calibri" w:hAnsi="Times New Roman" w:cs="Times New Roman"/>
      <w:sz w:val="24"/>
      <w:szCs w:val="28"/>
    </w:rPr>
  </w:style>
  <w:style w:type="paragraph" w:customStyle="1" w:styleId="P68B1DB1-Normal95">
    <w:name w:val="P68B1DB1-Normal95"/>
    <w:basedOn w:val="Normal"/>
    <w:rPr>
      <w:rFonts w:ascii="Times New Roman" w:eastAsia="Calibri" w:hAnsi="Times New Roman" w:cs="Times New Roman"/>
      <w:sz w:val="24"/>
    </w:rPr>
  </w:style>
  <w:style w:type="paragraph" w:customStyle="1" w:styleId="P68B1DB1-Normal96">
    <w:name w:val="P68B1DB1-Normal96"/>
    <w:basedOn w:val="Normal"/>
    <w:rPr>
      <w:rFonts w:ascii="Times New Roman" w:eastAsia="SimSun" w:hAnsi="Times New Roman" w:cs="Times New Roman"/>
      <w:sz w:val="24"/>
      <w:szCs w:val="24"/>
      <w:u w:val="single"/>
    </w:rPr>
  </w:style>
  <w:style w:type="paragraph" w:customStyle="1" w:styleId="P68B1DB1-Normal97">
    <w:name w:val="P68B1DB1-Normal97"/>
    <w:basedOn w:val="Normal"/>
    <w:rPr>
      <w:sz w:val="24"/>
    </w:rPr>
  </w:style>
  <w:style w:type="paragraph" w:customStyle="1" w:styleId="P68B1DB1-Normal98">
    <w:name w:val="P68B1DB1-Normal98"/>
    <w:basedOn w:val="Normal"/>
    <w:rPr>
      <w:rFonts w:ascii="Times New Roman" w:eastAsia="SimSun" w:hAnsi="Times New Roman" w:cs="Times New Roman"/>
      <w:sz w:val="24"/>
      <w:u w:val="single"/>
    </w:rPr>
  </w:style>
  <w:style w:type="paragraph" w:customStyle="1" w:styleId="P68B1DB1-paragraph99">
    <w:name w:val="P68B1DB1-paragraph99"/>
    <w:basedOn w:val="paragraph"/>
    <w:rPr>
      <w:rFonts w:eastAsia="SimSun"/>
      <w:u w:val="single"/>
    </w:rPr>
  </w:style>
  <w:style w:type="paragraph" w:customStyle="1" w:styleId="P68B1DB1-Normal100">
    <w:name w:val="P68B1DB1-Normal100"/>
    <w:basedOn w:val="Normal"/>
    <w:rPr>
      <w:rFonts w:ascii="Times New Roman" w:eastAsia="Calibri" w:hAnsi="Times New Roman" w:cs="Times New Roman"/>
      <w:sz w:val="20"/>
      <w:szCs w:val="20"/>
      <w:shd w:val="clear" w:color="auto" w:fill="E6E6E6"/>
    </w:rPr>
  </w:style>
  <w:style w:type="paragraph" w:customStyle="1" w:styleId="P68B1DB1-ListParagraph101">
    <w:name w:val="P68B1DB1-ListParagraph101"/>
    <w:basedOn w:val="ListParagraph"/>
    <w:rPr>
      <w:rFonts w:ascii="Times New Roman" w:hAnsi="Times New Roman" w:cs="Times New Roman"/>
      <w:sz w:val="24"/>
      <w:szCs w:val="24"/>
    </w:rPr>
  </w:style>
  <w:style w:type="paragraph" w:customStyle="1" w:styleId="P68B1DB1-Normal102">
    <w:name w:val="P68B1DB1-Normal102"/>
    <w:basedOn w:val="Normal"/>
    <w:rPr>
      <w:rFonts w:ascii="Times New Roman" w:hAnsi="Times New Roman" w:cs="Times New Roman"/>
      <w:color w:val="000000"/>
      <w:sz w:val="20"/>
      <w:szCs w:val="20"/>
    </w:rPr>
  </w:style>
  <w:style w:type="paragraph" w:customStyle="1" w:styleId="P68B1DB1-Normal103">
    <w:name w:val="P68B1DB1-Normal103"/>
    <w:basedOn w:val="Normal"/>
    <w:rPr>
      <w:rFonts w:ascii="Times New Roman" w:eastAsia="Calibri" w:hAnsi="Times New Roman" w:cs="Times New Roman"/>
      <w:b/>
      <w:smallCaps/>
      <w:color w:val="000000" w:themeColor="text1"/>
      <w:sz w:val="24"/>
      <w:szCs w:val="28"/>
    </w:rPr>
  </w:style>
  <w:style w:type="paragraph" w:customStyle="1" w:styleId="P68B1DB1-Normal104">
    <w:name w:val="P68B1DB1-Normal104"/>
    <w:basedOn w:val="Normal"/>
    <w:rPr>
      <w:rFonts w:ascii="Times New Roman" w:eastAsia="Calibri" w:hAnsi="Times New Roman" w:cs="Times New Roman"/>
      <w:color w:val="000000" w:themeColor="text1"/>
      <w:sz w:val="24"/>
      <w:szCs w:val="24"/>
    </w:rPr>
  </w:style>
  <w:style w:type="paragraph" w:customStyle="1" w:styleId="P68B1DB1-Normal105">
    <w:name w:val="P68B1DB1-Normal105"/>
    <w:basedOn w:val="Normal"/>
    <w:rPr>
      <w:rFonts w:ascii="Times New Roman" w:eastAsia="Calibri" w:hAnsi="Times New Roman" w:cs="Times New Roman"/>
      <w:color w:val="000000" w:themeColor="text1"/>
      <w:sz w:val="24"/>
      <w:szCs w:val="28"/>
    </w:rPr>
  </w:style>
  <w:style w:type="paragraph" w:customStyle="1" w:styleId="P68B1DB1-Normal106">
    <w:name w:val="P68B1DB1-Normal106"/>
    <w:basedOn w:val="Normal"/>
    <w:rPr>
      <w:sz w:val="24"/>
      <w:u w:val="single"/>
    </w:rPr>
  </w:style>
  <w:style w:type="paragraph" w:customStyle="1" w:styleId="P68B1DB1-Normal107">
    <w:name w:val="P68B1DB1-Normal107"/>
    <w:basedOn w:val="Normal"/>
    <w:rPr>
      <w:rFonts w:ascii="Times New Roman" w:eastAsia="Calibri" w:hAnsi="Times New Roman" w:cs="Times New Roman"/>
      <w:color w:val="000000" w:themeColor="text1"/>
      <w:sz w:val="24"/>
      <w:szCs w:val="28"/>
      <w:u w:val="single"/>
    </w:rPr>
  </w:style>
  <w:style w:type="paragraph" w:customStyle="1" w:styleId="P68B1DB1-Normal108">
    <w:name w:val="P68B1DB1-Normal108"/>
    <w:basedOn w:val="Normal"/>
    <w:rPr>
      <w:rFonts w:ascii="Times New Roman" w:eastAsia="Calibri" w:hAnsi="Times New Roman" w:cs="Times New Roman"/>
      <w:b/>
      <w:color w:val="000000" w:themeColor="text1"/>
      <w:sz w:val="24"/>
      <w:szCs w:val="28"/>
      <w:u w:val="single"/>
    </w:rPr>
  </w:style>
  <w:style w:type="paragraph" w:customStyle="1" w:styleId="P68B1DB1-Normal109">
    <w:name w:val="P68B1DB1-Normal109"/>
    <w:basedOn w:val="Normal"/>
    <w:rPr>
      <w:rFonts w:ascii="Times New Roman" w:eastAsia="Calibri" w:hAnsi="Times New Roman" w:cs="Times New Roman"/>
      <w:b/>
      <w:color w:val="000000" w:themeColor="text1"/>
      <w:sz w:val="20"/>
      <w:szCs w:val="20"/>
    </w:rPr>
  </w:style>
  <w:style w:type="paragraph" w:customStyle="1" w:styleId="P68B1DB1-Normal110">
    <w:name w:val="P68B1DB1-Normal110"/>
    <w:basedOn w:val="Normal"/>
    <w:rPr>
      <w:rFonts w:ascii="Times New Roman" w:eastAsia="Calibri" w:hAnsi="Times New Roman" w:cs="Times New Roman"/>
      <w:color w:val="000000" w:themeColor="text1"/>
      <w:sz w:val="20"/>
      <w:szCs w:val="20"/>
      <w:u w:val="single"/>
    </w:rPr>
  </w:style>
  <w:style w:type="paragraph" w:customStyle="1" w:styleId="P68B1DB1-Normal111">
    <w:name w:val="P68B1DB1-Normal111"/>
    <w:basedOn w:val="Normal"/>
    <w:rPr>
      <w:rFonts w:ascii="Times New Roman" w:hAnsi="Times New Roman" w:cs="Times New Roman"/>
      <w:b/>
      <w:smallCaps/>
      <w:sz w:val="24"/>
      <w:szCs w:val="24"/>
    </w:rPr>
  </w:style>
  <w:style w:type="paragraph" w:customStyle="1" w:styleId="P68B1DB1-Text1112">
    <w:name w:val="P68B1DB1-Text1112"/>
    <w:basedOn w:val="Text1"/>
    <w:rPr>
      <w:szCs w:val="24"/>
    </w:rPr>
  </w:style>
  <w:style w:type="paragraph" w:customStyle="1" w:styleId="P68B1DB1-Normal113">
    <w:name w:val="P68B1DB1-Normal113"/>
    <w:basedOn w:val="Normal"/>
    <w:rPr>
      <w:rFonts w:ascii="Times New Roman" w:eastAsiaTheme="minorEastAsia" w:hAnsi="Times New Roman" w:cs="Times New Roman"/>
      <w:b/>
      <w:sz w:val="24"/>
      <w:szCs w:val="24"/>
      <w:u w:val="single"/>
    </w:rPr>
  </w:style>
  <w:style w:type="paragraph" w:customStyle="1" w:styleId="P68B1DB1-Text1114">
    <w:name w:val="P68B1DB1-Text1114"/>
    <w:basedOn w:val="Text1"/>
    <w:rPr>
      <w:szCs w:val="24"/>
      <w:u w:val="single"/>
    </w:rPr>
  </w:style>
  <w:style w:type="paragraph" w:customStyle="1" w:styleId="P68B1DB1-Bodytext20115">
    <w:name w:val="P68B1DB1-Bodytext20115"/>
    <w:basedOn w:val="Bodytext20"/>
    <w:rPr>
      <w:rFonts w:ascii="Times New Roman" w:hAnsi="Times New Roman" w:cs="Times New Roman"/>
      <w:sz w:val="24"/>
      <w:szCs w:val="24"/>
    </w:rPr>
  </w:style>
  <w:style w:type="paragraph" w:customStyle="1" w:styleId="P68B1DB1-Normal116">
    <w:name w:val="P68B1DB1-Normal116"/>
    <w:basedOn w:val="Normal"/>
    <w:rPr>
      <w:rFonts w:ascii="Times New Roman" w:hAnsi="Times New Roman" w:cs="Times New Roman"/>
      <w:sz w:val="24"/>
      <w:szCs w:val="24"/>
      <w:shd w:val="clear" w:color="auto" w:fill="FFFFFF"/>
    </w:rPr>
  </w:style>
  <w:style w:type="paragraph" w:customStyle="1" w:styleId="P68B1DB1-Normal117">
    <w:name w:val="P68B1DB1-Normal117"/>
    <w:basedOn w:val="Normal"/>
    <w:rPr>
      <w:rFonts w:ascii="Times New Roman" w:eastAsia="Calibri" w:hAnsi="Times New Roman" w:cs="Times New Roman"/>
      <w:b/>
      <w:smallCaps/>
      <w:szCs w:val="24"/>
    </w:rPr>
  </w:style>
  <w:style w:type="paragraph" w:customStyle="1" w:styleId="P68B1DB1-Normal118">
    <w:name w:val="P68B1DB1-Normal118"/>
    <w:basedOn w:val="Normal"/>
    <w:rPr>
      <w:rFonts w:ascii="Times New Roman" w:eastAsia="Cambria Math" w:hAnsi="Times New Roman" w:cs="Times New Roman"/>
      <w:sz w:val="24"/>
      <w:szCs w:val="24"/>
    </w:rPr>
  </w:style>
  <w:style w:type="paragraph" w:customStyle="1" w:styleId="P68B1DB1-Normal119">
    <w:name w:val="P68B1DB1-Normal119"/>
    <w:basedOn w:val="Normal"/>
    <w:rPr>
      <w:rFonts w:ascii="Times New Roman" w:eastAsia="SimSun" w:hAnsi="Times New Roman" w:cs="Times New Roman"/>
      <w:sz w:val="24"/>
      <w:szCs w:val="24"/>
    </w:rPr>
  </w:style>
  <w:style w:type="paragraph" w:customStyle="1" w:styleId="P68B1DB1-Normal120">
    <w:name w:val="P68B1DB1-Normal120"/>
    <w:basedOn w:val="Normal"/>
    <w:rPr>
      <w:b/>
      <w:smallCaps/>
      <w:szCs w:val="24"/>
    </w:rPr>
  </w:style>
  <w:style w:type="paragraph" w:customStyle="1" w:styleId="P68B1DB1-Normal121">
    <w:name w:val="P68B1DB1-Normal121"/>
    <w:basedOn w:val="Normal"/>
    <w:rPr>
      <w:rFonts w:ascii="Times New Roman" w:eastAsiaTheme="minorEastAsia" w:hAnsi="Times New Roman" w:cs="Times New Roman"/>
      <w:b/>
      <w:szCs w:val="24"/>
      <w:u w:val="single"/>
    </w:rPr>
  </w:style>
  <w:style w:type="paragraph" w:customStyle="1" w:styleId="P68B1DB1-CommentText122">
    <w:name w:val="P68B1DB1-CommentText122"/>
    <w:basedOn w:val="CommentText"/>
    <w:rPr>
      <w:color w:val="000000"/>
    </w:rPr>
  </w:style>
  <w:style w:type="paragraph" w:customStyle="1" w:styleId="P68B1DB1-Normal123">
    <w:name w:val="P68B1DB1-Normal123"/>
    <w:basedOn w:val="Normal"/>
    <w:rPr>
      <w:rFonts w:ascii="Times New Roman" w:eastAsiaTheme="minorEastAsia" w:hAnsi="Times New Roman" w:cs="Times New Roman"/>
      <w:color w:val="000000" w:themeColor="text1"/>
      <w:sz w:val="20"/>
      <w:szCs w:val="20"/>
    </w:rPr>
  </w:style>
  <w:style w:type="paragraph" w:customStyle="1" w:styleId="P68B1DB1-Normal124">
    <w:name w:val="P68B1DB1-Normal124"/>
    <w:basedOn w:val="Normal"/>
    <w:rPr>
      <w:rFonts w:ascii="Times New Roman" w:hAnsi="Times New Roman" w:cs="Times New Roman"/>
      <w:sz w:val="24"/>
      <w:szCs w:val="28"/>
    </w:rPr>
  </w:style>
  <w:style w:type="paragraph" w:customStyle="1" w:styleId="P68B1DB1-Normal125">
    <w:name w:val="P68B1DB1-Normal125"/>
    <w:basedOn w:val="Normal"/>
    <w:rPr>
      <w:rFonts w:ascii="Times New Roman" w:eastAsia="Times New Roman" w:hAnsi="Times New Roman" w:cs="Times New Roman"/>
      <w:sz w:val="24"/>
      <w:szCs w:val="28"/>
    </w:rPr>
  </w:style>
  <w:style w:type="paragraph" w:customStyle="1" w:styleId="P68B1DB1-Normal126">
    <w:name w:val="P68B1DB1-Normal126"/>
    <w:basedOn w:val="Normal"/>
    <w:rPr>
      <w:rFonts w:ascii="Times New Roman" w:eastAsia="SimSun" w:hAnsi="Times New Roman" w:cs="Times New Roman"/>
      <w:sz w:val="24"/>
      <w:szCs w:val="28"/>
    </w:rPr>
  </w:style>
  <w:style w:type="paragraph" w:customStyle="1" w:styleId="P68B1DB1-Normal127">
    <w:name w:val="P68B1DB1-Normal127"/>
    <w:basedOn w:val="Normal"/>
    <w:rPr>
      <w:rFonts w:ascii="Times New Roman" w:eastAsia="Times New Roman" w:hAnsi="Times New Roman" w:cs="Times New Roman"/>
      <w:sz w:val="24"/>
      <w:szCs w:val="28"/>
      <w:u w:val="single"/>
    </w:rPr>
  </w:style>
  <w:style w:type="paragraph" w:customStyle="1" w:styleId="P68B1DB1-Normal128">
    <w:name w:val="P68B1DB1-Normal128"/>
    <w:basedOn w:val="Normal"/>
    <w:rPr>
      <w:rFonts w:ascii="Times New Roman" w:eastAsiaTheme="minorEastAsia" w:hAnsi="Times New Roman" w:cs="Times New Roman"/>
      <w:sz w:val="24"/>
      <w:szCs w:val="24"/>
      <w:u w:val="single"/>
    </w:rPr>
  </w:style>
  <w:style w:type="paragraph" w:customStyle="1" w:styleId="P68B1DB1-Normal129">
    <w:name w:val="P68B1DB1-Normal129"/>
    <w:basedOn w:val="Normal"/>
    <w:rPr>
      <w:rFonts w:ascii="Times New Roman" w:eastAsiaTheme="minorEastAsia" w:hAnsi="Times New Roman" w:cs="Times New Roman"/>
      <w:sz w:val="24"/>
      <w:szCs w:val="24"/>
    </w:rPr>
  </w:style>
  <w:style w:type="paragraph" w:customStyle="1" w:styleId="P68B1DB1-Normal130">
    <w:name w:val="P68B1DB1-Normal130"/>
    <w:basedOn w:val="Normal"/>
    <w:rPr>
      <w:rFonts w:eastAsia="Calibri"/>
      <w:b/>
      <w:smallCaps/>
      <w:sz w:val="20"/>
      <w:szCs w:val="20"/>
    </w:rPr>
  </w:style>
  <w:style w:type="paragraph" w:customStyle="1" w:styleId="P68B1DB1-Normal131">
    <w:name w:val="P68B1DB1-Normal131"/>
    <w:basedOn w:val="Normal"/>
    <w:rPr>
      <w:b/>
      <w:smallCaps/>
      <w:sz w:val="24"/>
    </w:rPr>
  </w:style>
  <w:style w:type="paragraph" w:customStyle="1" w:styleId="P68B1DB1-Normal132">
    <w:name w:val="P68B1DB1-Normal132"/>
    <w:basedOn w:val="Normal"/>
    <w:rPr>
      <w:rFonts w:ascii="Times New Roman" w:eastAsia="Calibri" w:hAnsi="Times New Roman" w:cs="Times New Roman"/>
      <w:sz w:val="24"/>
      <w:szCs w:val="24"/>
      <w:shd w:val="clear" w:color="auto" w:fill="FFFFFF"/>
    </w:rPr>
  </w:style>
  <w:style w:type="paragraph" w:customStyle="1" w:styleId="P68B1DB1-Normal133">
    <w:name w:val="P68B1DB1-Normal133"/>
    <w:basedOn w:val="Normal"/>
    <w:rPr>
      <w:rFonts w:ascii="Times New Roman" w:eastAsia="Calibri" w:hAnsi="Times New Roman" w:cs="Times New Roman"/>
      <w:sz w:val="24"/>
      <w:szCs w:val="24"/>
      <w:bdr w:val="none" w:sz="0" w:space="0" w:color="auto" w:frame="1"/>
    </w:rPr>
  </w:style>
  <w:style w:type="paragraph" w:customStyle="1" w:styleId="P68B1DB1-Normal134">
    <w:name w:val="P68B1DB1-Normal134"/>
    <w:basedOn w:val="Normal"/>
    <w:rPr>
      <w:rFonts w:eastAsia="Times New Roman"/>
      <w:szCs w:val="24"/>
    </w:rPr>
  </w:style>
  <w:style w:type="paragraph" w:customStyle="1" w:styleId="P68B1DB1-Normal135">
    <w:name w:val="P68B1DB1-Normal135"/>
    <w:basedOn w:val="Normal"/>
    <w:rPr>
      <w:rFonts w:ascii="Times New Roman" w:eastAsia="Times New Roman" w:hAnsi="Times New Roman" w:cs="Times New Roman"/>
      <w:color w:val="006100"/>
      <w:sz w:val="20"/>
      <w:szCs w:val="20"/>
    </w:rPr>
  </w:style>
  <w:style w:type="paragraph" w:customStyle="1" w:styleId="P68B1DB1-Normal136">
    <w:name w:val="P68B1DB1-Normal136"/>
    <w:basedOn w:val="Normal"/>
    <w:rPr>
      <w:rFonts w:ascii="Times New Roman" w:eastAsia="Calibri" w:hAnsi="Times New Roman" w:cs="Times New Roman"/>
      <w:b/>
      <w:szCs w:val="24"/>
    </w:rPr>
  </w:style>
  <w:style w:type="paragraph" w:customStyle="1" w:styleId="P68B1DB1-paragraph137">
    <w:name w:val="P68B1DB1-paragraph137"/>
    <w:basedOn w:val="paragraph"/>
    <w:rPr>
      <w:szCs w:val="24"/>
      <w:u w:val="single"/>
    </w:rPr>
  </w:style>
  <w:style w:type="paragraph" w:customStyle="1" w:styleId="P68B1DB1-paragraph138">
    <w:name w:val="P68B1DB1-paragraph138"/>
    <w:basedOn w:val="paragraph"/>
    <w:rPr>
      <w:szCs w:val="24"/>
    </w:rPr>
  </w:style>
  <w:style w:type="paragraph" w:customStyle="1" w:styleId="P68B1DB1-Normal139">
    <w:name w:val="P68B1DB1-Normal139"/>
    <w:basedOn w:val="Normal"/>
    <w:rPr>
      <w:rFonts w:ascii="Times New Roman" w:eastAsia="Times New Roman" w:hAnsi="Times New Roman" w:cs="Times New Roman"/>
      <w:color w:val="000000" w:themeColor="text1"/>
      <w:kern w:val="0"/>
      <w:sz w:val="24"/>
      <w:szCs w:val="20"/>
    </w:rPr>
  </w:style>
  <w:style w:type="paragraph" w:customStyle="1" w:styleId="P68B1DB1-Normal140">
    <w:name w:val="P68B1DB1-Normal140"/>
    <w:basedOn w:val="Normal"/>
    <w:rPr>
      <w:rFonts w:ascii="Times New Roman" w:eastAsia="Times New Roman" w:hAnsi="Times New Roman" w:cs="Times New Roman"/>
      <w:b/>
      <w:sz w:val="24"/>
      <w:szCs w:val="28"/>
    </w:rPr>
  </w:style>
  <w:style w:type="paragraph" w:customStyle="1" w:styleId="P68B1DB1-Normal141">
    <w:name w:val="P68B1DB1-Normal141"/>
    <w:basedOn w:val="Normal"/>
    <w:rPr>
      <w:rFonts w:ascii="Times New Roman" w:hAnsi="Times New Roman" w:cs="Times New Roman"/>
      <w:color w:val="000000"/>
      <w:sz w:val="20"/>
      <w:szCs w:val="20"/>
      <w:u w:val="single"/>
    </w:rPr>
  </w:style>
  <w:style w:type="paragraph" w:customStyle="1" w:styleId="P68B1DB1-Normal142">
    <w:name w:val="P68B1DB1-Normal142"/>
    <w:basedOn w:val="Normal"/>
    <w:rPr>
      <w:rFonts w:ascii="Times New Roman" w:eastAsia="Times New Roman" w:hAnsi="Times New Roman" w:cs="Times New Roman"/>
      <w:szCs w:val="24"/>
    </w:rPr>
  </w:style>
  <w:style w:type="paragraph" w:customStyle="1" w:styleId="P68B1DB1-Normal143">
    <w:name w:val="P68B1DB1-Normal143"/>
    <w:basedOn w:val="Normal"/>
    <w:rPr>
      <w:rFonts w:ascii="Times New Roman" w:eastAsia="Times New Roman" w:hAnsi="Times New Roman" w:cs="Times New Roman"/>
      <w:b/>
      <w:szCs w:val="24"/>
      <w:u w:val="double"/>
    </w:rPr>
  </w:style>
  <w:style w:type="paragraph" w:customStyle="1" w:styleId="P68B1DB1-Normal144">
    <w:name w:val="P68B1DB1-Normal144"/>
    <w:basedOn w:val="Normal"/>
    <w:rPr>
      <w:rFonts w:ascii="Times New Roman" w:eastAsia="Times New Roman" w:hAnsi="Times New Roman" w:cs="Times New Roman"/>
    </w:rPr>
  </w:style>
  <w:style w:type="paragraph" w:customStyle="1" w:styleId="P68B1DB1-Normal145">
    <w:name w:val="P68B1DB1-Normal145"/>
    <w:basedOn w:val="Normal"/>
    <w:rPr>
      <w:rFonts w:ascii="Times New Roman" w:eastAsia="Times New Roman" w:hAnsi="Times New Roman" w:cs="Times New Roman"/>
      <w:sz w:val="20"/>
      <w:szCs w:val="20"/>
      <w:u w:val="single"/>
    </w:rPr>
  </w:style>
  <w:style w:type="paragraph" w:customStyle="1" w:styleId="P68B1DB1-ListParagraph146">
    <w:name w:val="P68B1DB1-ListParagraph146"/>
    <w:basedOn w:val="ListParagraph"/>
    <w:rPr>
      <w:rFonts w:ascii="Times New Roman" w:eastAsia="Times New Roman" w:hAnsi="Times New Roman" w:cs="Times New Roman"/>
      <w:sz w:val="24"/>
      <w:szCs w:val="24"/>
    </w:rPr>
  </w:style>
  <w:style w:type="paragraph" w:customStyle="1" w:styleId="P68B1DB1-Normal147">
    <w:name w:val="P68B1DB1-Normal147"/>
    <w:basedOn w:val="Normal"/>
    <w:rPr>
      <w:rFonts w:eastAsia="Times New Roman"/>
      <w:i/>
      <w:color w:val="4F81BD"/>
      <w:szCs w:val="24"/>
    </w:rPr>
  </w:style>
  <w:style w:type="paragraph" w:customStyle="1" w:styleId="P68B1DB1-Normal148">
    <w:name w:val="P68B1DB1-Normal148"/>
    <w:basedOn w:val="Normal"/>
    <w:rPr>
      <w:rFonts w:ascii="Times New Roman" w:eastAsia="Times New Roman" w:hAnsi="Times New Roman" w:cs="Times New Roman"/>
      <w:kern w:val="0"/>
      <w:sz w:val="20"/>
      <w:szCs w:val="20"/>
      <w14:ligatures w14:val="none"/>
    </w:rPr>
  </w:style>
  <w:style w:type="paragraph" w:customStyle="1" w:styleId="P68B1DB1-Normal149">
    <w:name w:val="P68B1DB1-Normal149"/>
    <w:basedOn w:val="Normal"/>
    <w:rPr>
      <w:rFonts w:ascii="Times New Roman" w:eastAsia="Calibri" w:hAnsi="Times New Roman" w:cs="Times New Roman"/>
      <w:color w:val="000000"/>
      <w:kern w:val="0"/>
      <w:sz w:val="20"/>
      <w:szCs w:val="20"/>
      <w14:ligatures w14:val="none"/>
    </w:rPr>
  </w:style>
  <w:style w:type="paragraph" w:customStyle="1" w:styleId="P68B1DB1-Normal150">
    <w:name w:val="P68B1DB1-Normal150"/>
    <w:basedOn w:val="Normal"/>
    <w:rPr>
      <w:rFonts w:ascii="Times New Roman" w:eastAsia="Calibri" w:hAnsi="Times New Roman" w:cs="Times New Roman"/>
      <w:kern w:val="0"/>
      <w:sz w:val="20"/>
      <w:szCs w:val="20"/>
      <w14:ligatures w14:val="none"/>
    </w:rPr>
  </w:style>
  <w:style w:type="paragraph" w:customStyle="1" w:styleId="P68B1DB1-Normal151">
    <w:name w:val="P68B1DB1-Normal151"/>
    <w:basedOn w:val="Normal"/>
    <w:rPr>
      <w:rFonts w:ascii="Times New Roman" w:eastAsia="Times New Roman" w:hAnsi="Times New Roman" w:cs="Times New Roman"/>
      <w:kern w:val="0"/>
      <w:sz w:val="20"/>
      <w:szCs w:val="20"/>
      <w:u w:val="single"/>
      <w14:ligatures w14:val="none"/>
    </w:rPr>
  </w:style>
  <w:style w:type="paragraph" w:customStyle="1" w:styleId="P68B1DB1-Normal152">
    <w:name w:val="P68B1DB1-Normal152"/>
    <w:basedOn w:val="Normal"/>
    <w:rPr>
      <w:rFonts w:ascii="Times New Roman" w:eastAsia="Times New Roman" w:hAnsi="Times New Roman" w:cs="Times New Roman"/>
      <w:color w:val="0061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56.xml"/><Relationship Id="rId299" Type="http://schemas.openxmlformats.org/officeDocument/2006/relationships/footer" Target="footer146.xml"/><Relationship Id="rId21" Type="http://schemas.openxmlformats.org/officeDocument/2006/relationships/header" Target="header8.xml"/><Relationship Id="rId63" Type="http://schemas.openxmlformats.org/officeDocument/2006/relationships/header" Target="header29.xml"/><Relationship Id="rId159" Type="http://schemas.openxmlformats.org/officeDocument/2006/relationships/header" Target="header77.xml"/><Relationship Id="rId324" Type="http://schemas.openxmlformats.org/officeDocument/2006/relationships/header" Target="header159.xml"/><Relationship Id="rId366" Type="http://schemas.openxmlformats.org/officeDocument/2006/relationships/header" Target="header180.xml"/><Relationship Id="rId170" Type="http://schemas.openxmlformats.org/officeDocument/2006/relationships/header" Target="header82.xml"/><Relationship Id="rId226" Type="http://schemas.openxmlformats.org/officeDocument/2006/relationships/footer" Target="footer109.xml"/><Relationship Id="rId433" Type="http://schemas.openxmlformats.org/officeDocument/2006/relationships/footer" Target="footer213.xml"/><Relationship Id="rId268" Type="http://schemas.openxmlformats.org/officeDocument/2006/relationships/footer" Target="footer130.xml"/><Relationship Id="rId32" Type="http://schemas.openxmlformats.org/officeDocument/2006/relationships/header" Target="header13.xml"/><Relationship Id="rId74" Type="http://schemas.openxmlformats.org/officeDocument/2006/relationships/header" Target="header34.xml"/><Relationship Id="rId128" Type="http://schemas.openxmlformats.org/officeDocument/2006/relationships/header" Target="header61.xml"/><Relationship Id="rId335" Type="http://schemas.openxmlformats.org/officeDocument/2006/relationships/footer" Target="footer164.xml"/><Relationship Id="rId377" Type="http://schemas.openxmlformats.org/officeDocument/2006/relationships/footer" Target="footer185.xml"/><Relationship Id="rId5" Type="http://schemas.openxmlformats.org/officeDocument/2006/relationships/footnotes" Target="footnotes.xml"/><Relationship Id="rId181" Type="http://schemas.openxmlformats.org/officeDocument/2006/relationships/footer" Target="footer87.xml"/><Relationship Id="rId237" Type="http://schemas.openxmlformats.org/officeDocument/2006/relationships/header" Target="header116.xml"/><Relationship Id="rId402" Type="http://schemas.openxmlformats.org/officeDocument/2006/relationships/header" Target="header198.xml"/><Relationship Id="rId279" Type="http://schemas.openxmlformats.org/officeDocument/2006/relationships/header" Target="header137.xml"/><Relationship Id="rId444" Type="http://schemas.openxmlformats.org/officeDocument/2006/relationships/header" Target="header219.xml"/><Relationship Id="rId43" Type="http://schemas.openxmlformats.org/officeDocument/2006/relationships/footer" Target="footer18.xml"/><Relationship Id="rId139" Type="http://schemas.openxmlformats.org/officeDocument/2006/relationships/footer" Target="footer66.xml"/><Relationship Id="rId290" Type="http://schemas.openxmlformats.org/officeDocument/2006/relationships/header" Target="header142.xml"/><Relationship Id="rId304" Type="http://schemas.openxmlformats.org/officeDocument/2006/relationships/footer" Target="footer148.xml"/><Relationship Id="rId346" Type="http://schemas.openxmlformats.org/officeDocument/2006/relationships/footer" Target="footer169.xml"/><Relationship Id="rId388" Type="http://schemas.openxmlformats.org/officeDocument/2006/relationships/footer" Target="footer190.xml"/><Relationship Id="rId85" Type="http://schemas.openxmlformats.org/officeDocument/2006/relationships/footer" Target="footer39.xml"/><Relationship Id="rId150" Type="http://schemas.openxmlformats.org/officeDocument/2006/relationships/header" Target="header72.xml"/><Relationship Id="rId192" Type="http://schemas.openxmlformats.org/officeDocument/2006/relationships/header" Target="header93.xml"/><Relationship Id="rId206" Type="http://schemas.openxmlformats.org/officeDocument/2006/relationships/header" Target="header100.xml"/><Relationship Id="rId413" Type="http://schemas.openxmlformats.org/officeDocument/2006/relationships/footer" Target="footer203.xml"/><Relationship Id="rId248" Type="http://schemas.openxmlformats.org/officeDocument/2006/relationships/header" Target="header121.xml"/><Relationship Id="rId455" Type="http://schemas.openxmlformats.org/officeDocument/2006/relationships/footer" Target="footer224.xml"/><Relationship Id="rId12" Type="http://schemas.openxmlformats.org/officeDocument/2006/relationships/header" Target="header3.xml"/><Relationship Id="rId108" Type="http://schemas.openxmlformats.org/officeDocument/2006/relationships/header" Target="header51.xml"/><Relationship Id="rId315" Type="http://schemas.openxmlformats.org/officeDocument/2006/relationships/header" Target="header155.xml"/><Relationship Id="rId357" Type="http://schemas.openxmlformats.org/officeDocument/2006/relationships/header" Target="header176.xml"/><Relationship Id="rId54" Type="http://schemas.openxmlformats.org/officeDocument/2006/relationships/header" Target="header24.xml"/><Relationship Id="rId96" Type="http://schemas.openxmlformats.org/officeDocument/2006/relationships/header" Target="header45.xml"/><Relationship Id="rId161" Type="http://schemas.openxmlformats.org/officeDocument/2006/relationships/footer" Target="footer77.xml"/><Relationship Id="rId217" Type="http://schemas.openxmlformats.org/officeDocument/2006/relationships/footer" Target="footer105.xml"/><Relationship Id="rId399" Type="http://schemas.openxmlformats.org/officeDocument/2006/relationships/header" Target="header197.xml"/><Relationship Id="rId259" Type="http://schemas.openxmlformats.org/officeDocument/2006/relationships/footer" Target="footer126.xml"/><Relationship Id="rId424" Type="http://schemas.openxmlformats.org/officeDocument/2006/relationships/footer" Target="footer208.xml"/><Relationship Id="rId466" Type="http://schemas.openxmlformats.org/officeDocument/2006/relationships/footer" Target="footer229.xml"/><Relationship Id="rId23" Type="http://schemas.openxmlformats.org/officeDocument/2006/relationships/footer" Target="footer8.xml"/><Relationship Id="rId119" Type="http://schemas.openxmlformats.org/officeDocument/2006/relationships/footer" Target="footer56.xml"/><Relationship Id="rId270" Type="http://schemas.openxmlformats.org/officeDocument/2006/relationships/header" Target="header132.xml"/><Relationship Id="rId326" Type="http://schemas.openxmlformats.org/officeDocument/2006/relationships/header" Target="header160.xml"/><Relationship Id="rId65" Type="http://schemas.openxmlformats.org/officeDocument/2006/relationships/footer" Target="footer29.xml"/><Relationship Id="rId130" Type="http://schemas.openxmlformats.org/officeDocument/2006/relationships/footer" Target="footer61.xml"/><Relationship Id="rId368" Type="http://schemas.openxmlformats.org/officeDocument/2006/relationships/header" Target="header181.xml"/><Relationship Id="rId172" Type="http://schemas.openxmlformats.org/officeDocument/2006/relationships/footer" Target="footer82.xml"/><Relationship Id="rId193" Type="http://schemas.openxmlformats.org/officeDocument/2006/relationships/footer" Target="footer93.xml"/><Relationship Id="rId207" Type="http://schemas.openxmlformats.org/officeDocument/2006/relationships/header" Target="header101.xml"/><Relationship Id="rId228" Type="http://schemas.openxmlformats.org/officeDocument/2006/relationships/header" Target="header111.xml"/><Relationship Id="rId249" Type="http://schemas.openxmlformats.org/officeDocument/2006/relationships/header" Target="header122.xml"/><Relationship Id="rId414" Type="http://schemas.openxmlformats.org/officeDocument/2006/relationships/header" Target="header204.xml"/><Relationship Id="rId435" Type="http://schemas.openxmlformats.org/officeDocument/2006/relationships/header" Target="header215.xml"/><Relationship Id="rId456" Type="http://schemas.openxmlformats.org/officeDocument/2006/relationships/header" Target="header225.xml"/><Relationship Id="rId13" Type="http://schemas.openxmlformats.org/officeDocument/2006/relationships/footer" Target="footer3.xml"/><Relationship Id="rId109" Type="http://schemas.openxmlformats.org/officeDocument/2006/relationships/footer" Target="footer51.xml"/><Relationship Id="rId260" Type="http://schemas.openxmlformats.org/officeDocument/2006/relationships/header" Target="header127.xml"/><Relationship Id="rId281" Type="http://schemas.openxmlformats.org/officeDocument/2006/relationships/footer" Target="footer137.xml"/><Relationship Id="rId316" Type="http://schemas.openxmlformats.org/officeDocument/2006/relationships/footer" Target="footer154.xml"/><Relationship Id="rId337" Type="http://schemas.openxmlformats.org/officeDocument/2006/relationships/footer" Target="footer165.xml"/><Relationship Id="rId34" Type="http://schemas.openxmlformats.org/officeDocument/2006/relationships/footer" Target="footer13.xml"/><Relationship Id="rId55" Type="http://schemas.openxmlformats.org/officeDocument/2006/relationships/footer" Target="footer24.xml"/><Relationship Id="rId76" Type="http://schemas.openxmlformats.org/officeDocument/2006/relationships/footer" Target="footer34.xml"/><Relationship Id="rId97" Type="http://schemas.openxmlformats.org/officeDocument/2006/relationships/footer" Target="footer45.xml"/><Relationship Id="rId120" Type="http://schemas.openxmlformats.org/officeDocument/2006/relationships/header" Target="header57.xml"/><Relationship Id="rId141" Type="http://schemas.openxmlformats.org/officeDocument/2006/relationships/header" Target="header68.xml"/><Relationship Id="rId358" Type="http://schemas.openxmlformats.org/officeDocument/2006/relationships/footer" Target="footer175.xml"/><Relationship Id="rId379" Type="http://schemas.openxmlformats.org/officeDocument/2006/relationships/footer" Target="footer186.xml"/><Relationship Id="rId7" Type="http://schemas.openxmlformats.org/officeDocument/2006/relationships/image" Target="media/image1.emf"/><Relationship Id="rId162" Type="http://schemas.openxmlformats.org/officeDocument/2006/relationships/header" Target="header78.xml"/><Relationship Id="rId183" Type="http://schemas.openxmlformats.org/officeDocument/2006/relationships/header" Target="header89.xml"/><Relationship Id="rId218" Type="http://schemas.openxmlformats.org/officeDocument/2006/relationships/header" Target="header106.xml"/><Relationship Id="rId239" Type="http://schemas.openxmlformats.org/officeDocument/2006/relationships/footer" Target="footer116.xml"/><Relationship Id="rId390" Type="http://schemas.openxmlformats.org/officeDocument/2006/relationships/header" Target="header192.xml"/><Relationship Id="rId404" Type="http://schemas.openxmlformats.org/officeDocument/2006/relationships/header" Target="header199.xml"/><Relationship Id="rId425" Type="http://schemas.openxmlformats.org/officeDocument/2006/relationships/footer" Target="footer209.xml"/><Relationship Id="rId446" Type="http://schemas.openxmlformats.org/officeDocument/2006/relationships/header" Target="header220.xml"/><Relationship Id="rId467" Type="http://schemas.openxmlformats.org/officeDocument/2006/relationships/footer" Target="footer230.xml"/><Relationship Id="rId250" Type="http://schemas.openxmlformats.org/officeDocument/2006/relationships/footer" Target="footer121.xml"/><Relationship Id="rId271" Type="http://schemas.openxmlformats.org/officeDocument/2006/relationships/footer" Target="footer132.xml"/><Relationship Id="rId292" Type="http://schemas.openxmlformats.org/officeDocument/2006/relationships/footer" Target="footer142.xml"/><Relationship Id="rId306" Type="http://schemas.openxmlformats.org/officeDocument/2006/relationships/header" Target="header150.xml"/><Relationship Id="rId24" Type="http://schemas.openxmlformats.org/officeDocument/2006/relationships/header" Target="header9.xml"/><Relationship Id="rId45" Type="http://schemas.openxmlformats.org/officeDocument/2006/relationships/header" Target="header20.xml"/><Relationship Id="rId66" Type="http://schemas.openxmlformats.org/officeDocument/2006/relationships/header" Target="header30.xml"/><Relationship Id="rId87" Type="http://schemas.openxmlformats.org/officeDocument/2006/relationships/header" Target="header41.xml"/><Relationship Id="rId110" Type="http://schemas.openxmlformats.org/officeDocument/2006/relationships/header" Target="header52.xml"/><Relationship Id="rId131" Type="http://schemas.openxmlformats.org/officeDocument/2006/relationships/footer" Target="footer62.xml"/><Relationship Id="rId327" Type="http://schemas.openxmlformats.org/officeDocument/2006/relationships/header" Target="header161.xml"/><Relationship Id="rId348" Type="http://schemas.openxmlformats.org/officeDocument/2006/relationships/header" Target="header171.xml"/><Relationship Id="rId369" Type="http://schemas.openxmlformats.org/officeDocument/2006/relationships/header" Target="header182.xml"/><Relationship Id="rId152" Type="http://schemas.openxmlformats.org/officeDocument/2006/relationships/header" Target="header73.xml"/><Relationship Id="rId173" Type="http://schemas.openxmlformats.org/officeDocument/2006/relationships/footer" Target="footer83.xml"/><Relationship Id="rId194" Type="http://schemas.openxmlformats.org/officeDocument/2006/relationships/header" Target="header94.xml"/><Relationship Id="rId208" Type="http://schemas.openxmlformats.org/officeDocument/2006/relationships/footer" Target="footer100.xml"/><Relationship Id="rId229" Type="http://schemas.openxmlformats.org/officeDocument/2006/relationships/footer" Target="footer111.xml"/><Relationship Id="rId380" Type="http://schemas.openxmlformats.org/officeDocument/2006/relationships/header" Target="header187.xml"/><Relationship Id="rId415" Type="http://schemas.openxmlformats.org/officeDocument/2006/relationships/footer" Target="footer204.xml"/><Relationship Id="rId436" Type="http://schemas.openxmlformats.org/officeDocument/2006/relationships/footer" Target="footer214.xml"/><Relationship Id="rId457" Type="http://schemas.openxmlformats.org/officeDocument/2006/relationships/footer" Target="footer225.xml"/><Relationship Id="rId240" Type="http://schemas.openxmlformats.org/officeDocument/2006/relationships/header" Target="header117.xml"/><Relationship Id="rId261" Type="http://schemas.openxmlformats.org/officeDocument/2006/relationships/header" Target="header128.xml"/><Relationship Id="rId14" Type="http://schemas.openxmlformats.org/officeDocument/2006/relationships/header" Target="header4.xml"/><Relationship Id="rId35" Type="http://schemas.openxmlformats.org/officeDocument/2006/relationships/footer" Target="footer14.xml"/><Relationship Id="rId56" Type="http://schemas.openxmlformats.org/officeDocument/2006/relationships/header" Target="header25.xml"/><Relationship Id="rId77" Type="http://schemas.openxmlformats.org/officeDocument/2006/relationships/footer" Target="footer35.xml"/><Relationship Id="rId100" Type="http://schemas.openxmlformats.org/officeDocument/2006/relationships/footer" Target="footer46.xml"/><Relationship Id="rId282" Type="http://schemas.openxmlformats.org/officeDocument/2006/relationships/header" Target="header138.xml"/><Relationship Id="rId317" Type="http://schemas.openxmlformats.org/officeDocument/2006/relationships/footer" Target="footer155.xml"/><Relationship Id="rId338" Type="http://schemas.openxmlformats.org/officeDocument/2006/relationships/header" Target="header166.xml"/><Relationship Id="rId359" Type="http://schemas.openxmlformats.org/officeDocument/2006/relationships/footer" Target="footer176.xml"/><Relationship Id="rId8" Type="http://schemas.openxmlformats.org/officeDocument/2006/relationships/header" Target="header1.xml"/><Relationship Id="rId98" Type="http://schemas.openxmlformats.org/officeDocument/2006/relationships/header" Target="header46.xml"/><Relationship Id="rId121" Type="http://schemas.openxmlformats.org/officeDocument/2006/relationships/footer" Target="footer57.xml"/><Relationship Id="rId142" Type="http://schemas.openxmlformats.org/officeDocument/2006/relationships/footer" Target="footer67.xml"/><Relationship Id="rId163" Type="http://schemas.openxmlformats.org/officeDocument/2006/relationships/footer" Target="footer78.xml"/><Relationship Id="rId184" Type="http://schemas.openxmlformats.org/officeDocument/2006/relationships/footer" Target="footer88.xml"/><Relationship Id="rId219" Type="http://schemas.openxmlformats.org/officeDocument/2006/relationships/header" Target="header107.xml"/><Relationship Id="rId370" Type="http://schemas.openxmlformats.org/officeDocument/2006/relationships/footer" Target="footer181.xml"/><Relationship Id="rId391" Type="http://schemas.openxmlformats.org/officeDocument/2006/relationships/footer" Target="footer192.xml"/><Relationship Id="rId405" Type="http://schemas.openxmlformats.org/officeDocument/2006/relationships/header" Target="header200.xml"/><Relationship Id="rId426" Type="http://schemas.openxmlformats.org/officeDocument/2006/relationships/header" Target="header210.xml"/><Relationship Id="rId447" Type="http://schemas.openxmlformats.org/officeDocument/2006/relationships/header" Target="header221.xml"/><Relationship Id="rId230" Type="http://schemas.openxmlformats.org/officeDocument/2006/relationships/header" Target="header112.xml"/><Relationship Id="rId251" Type="http://schemas.openxmlformats.org/officeDocument/2006/relationships/footer" Target="footer122.xml"/><Relationship Id="rId468" Type="http://schemas.openxmlformats.org/officeDocument/2006/relationships/header" Target="header231.xml"/><Relationship Id="rId25" Type="http://schemas.openxmlformats.org/officeDocument/2006/relationships/footer" Target="footer9.xml"/><Relationship Id="rId46" Type="http://schemas.openxmlformats.org/officeDocument/2006/relationships/footer" Target="footer19.xml"/><Relationship Id="rId67" Type="http://schemas.openxmlformats.org/officeDocument/2006/relationships/footer" Target="footer30.xml"/><Relationship Id="rId272" Type="http://schemas.openxmlformats.org/officeDocument/2006/relationships/header" Target="header133.xml"/><Relationship Id="rId293" Type="http://schemas.openxmlformats.org/officeDocument/2006/relationships/footer" Target="footer143.xml"/><Relationship Id="rId307" Type="http://schemas.openxmlformats.org/officeDocument/2006/relationships/footer" Target="footer150.xml"/><Relationship Id="rId328" Type="http://schemas.openxmlformats.org/officeDocument/2006/relationships/footer" Target="footer160.xml"/><Relationship Id="rId349" Type="http://schemas.openxmlformats.org/officeDocument/2006/relationships/footer" Target="footer171.xml"/><Relationship Id="rId88" Type="http://schemas.openxmlformats.org/officeDocument/2006/relationships/footer" Target="footer40.xml"/><Relationship Id="rId111" Type="http://schemas.openxmlformats.org/officeDocument/2006/relationships/header" Target="header53.xml"/><Relationship Id="rId132" Type="http://schemas.openxmlformats.org/officeDocument/2006/relationships/header" Target="header63.xml"/><Relationship Id="rId153" Type="http://schemas.openxmlformats.org/officeDocument/2006/relationships/header" Target="header74.xml"/><Relationship Id="rId174" Type="http://schemas.openxmlformats.org/officeDocument/2006/relationships/header" Target="header84.xml"/><Relationship Id="rId195" Type="http://schemas.openxmlformats.org/officeDocument/2006/relationships/header" Target="header95.xml"/><Relationship Id="rId209" Type="http://schemas.openxmlformats.org/officeDocument/2006/relationships/footer" Target="footer101.xml"/><Relationship Id="rId360" Type="http://schemas.openxmlformats.org/officeDocument/2006/relationships/header" Target="header177.xml"/><Relationship Id="rId381" Type="http://schemas.openxmlformats.org/officeDocument/2006/relationships/header" Target="header188.xml"/><Relationship Id="rId416" Type="http://schemas.openxmlformats.org/officeDocument/2006/relationships/header" Target="header205.xml"/><Relationship Id="rId220" Type="http://schemas.openxmlformats.org/officeDocument/2006/relationships/footer" Target="footer106.xml"/><Relationship Id="rId241" Type="http://schemas.openxmlformats.org/officeDocument/2006/relationships/footer" Target="footer117.xml"/><Relationship Id="rId437" Type="http://schemas.openxmlformats.org/officeDocument/2006/relationships/footer" Target="footer215.xml"/><Relationship Id="rId458" Type="http://schemas.openxmlformats.org/officeDocument/2006/relationships/header" Target="header226.xml"/><Relationship Id="rId15" Type="http://schemas.openxmlformats.org/officeDocument/2006/relationships/header" Target="header5.xml"/><Relationship Id="rId36" Type="http://schemas.openxmlformats.org/officeDocument/2006/relationships/header" Target="header15.xml"/><Relationship Id="rId57" Type="http://schemas.openxmlformats.org/officeDocument/2006/relationships/header" Target="header26.xml"/><Relationship Id="rId262" Type="http://schemas.openxmlformats.org/officeDocument/2006/relationships/footer" Target="footer127.xml"/><Relationship Id="rId283" Type="http://schemas.openxmlformats.org/officeDocument/2006/relationships/footer" Target="footer138.xml"/><Relationship Id="rId318" Type="http://schemas.openxmlformats.org/officeDocument/2006/relationships/header" Target="header156.xml"/><Relationship Id="rId339" Type="http://schemas.openxmlformats.org/officeDocument/2006/relationships/header" Target="header167.xml"/><Relationship Id="rId78" Type="http://schemas.openxmlformats.org/officeDocument/2006/relationships/header" Target="header36.xml"/><Relationship Id="rId99" Type="http://schemas.openxmlformats.org/officeDocument/2006/relationships/header" Target="header47.xml"/><Relationship Id="rId101" Type="http://schemas.openxmlformats.org/officeDocument/2006/relationships/footer" Target="footer47.xml"/><Relationship Id="rId122" Type="http://schemas.openxmlformats.org/officeDocument/2006/relationships/header" Target="header58.xml"/><Relationship Id="rId143" Type="http://schemas.openxmlformats.org/officeDocument/2006/relationships/footer" Target="footer68.xml"/><Relationship Id="rId164" Type="http://schemas.openxmlformats.org/officeDocument/2006/relationships/header" Target="header79.xml"/><Relationship Id="rId185" Type="http://schemas.openxmlformats.org/officeDocument/2006/relationships/footer" Target="footer89.xml"/><Relationship Id="rId350" Type="http://schemas.openxmlformats.org/officeDocument/2006/relationships/header" Target="header172.xml"/><Relationship Id="rId371" Type="http://schemas.openxmlformats.org/officeDocument/2006/relationships/footer" Target="footer182.xml"/><Relationship Id="rId406" Type="http://schemas.openxmlformats.org/officeDocument/2006/relationships/footer" Target="footer199.xml"/><Relationship Id="rId9" Type="http://schemas.openxmlformats.org/officeDocument/2006/relationships/header" Target="header2.xml"/><Relationship Id="rId210" Type="http://schemas.openxmlformats.org/officeDocument/2006/relationships/header" Target="header102.xml"/><Relationship Id="rId392" Type="http://schemas.openxmlformats.org/officeDocument/2006/relationships/header" Target="header193.xml"/><Relationship Id="rId427" Type="http://schemas.openxmlformats.org/officeDocument/2006/relationships/footer" Target="footer210.xml"/><Relationship Id="rId448" Type="http://schemas.openxmlformats.org/officeDocument/2006/relationships/footer" Target="footer220.xml"/><Relationship Id="rId469" Type="http://schemas.openxmlformats.org/officeDocument/2006/relationships/footer" Target="footer231.xml"/><Relationship Id="rId26" Type="http://schemas.openxmlformats.org/officeDocument/2006/relationships/header" Target="header10.xml"/><Relationship Id="rId231" Type="http://schemas.openxmlformats.org/officeDocument/2006/relationships/header" Target="header113.xml"/><Relationship Id="rId252" Type="http://schemas.openxmlformats.org/officeDocument/2006/relationships/header" Target="header123.xml"/><Relationship Id="rId273" Type="http://schemas.openxmlformats.org/officeDocument/2006/relationships/header" Target="header134.xml"/><Relationship Id="rId294" Type="http://schemas.openxmlformats.org/officeDocument/2006/relationships/header" Target="header144.xml"/><Relationship Id="rId308" Type="http://schemas.openxmlformats.org/officeDocument/2006/relationships/header" Target="header151.xml"/><Relationship Id="rId329" Type="http://schemas.openxmlformats.org/officeDocument/2006/relationships/footer" Target="footer161.xml"/><Relationship Id="rId47" Type="http://schemas.openxmlformats.org/officeDocument/2006/relationships/footer" Target="footer20.xml"/><Relationship Id="rId68" Type="http://schemas.openxmlformats.org/officeDocument/2006/relationships/header" Target="header31.xml"/><Relationship Id="rId89" Type="http://schemas.openxmlformats.org/officeDocument/2006/relationships/footer" Target="footer41.xml"/><Relationship Id="rId112" Type="http://schemas.openxmlformats.org/officeDocument/2006/relationships/footer" Target="footer52.xml"/><Relationship Id="rId133" Type="http://schemas.openxmlformats.org/officeDocument/2006/relationships/footer" Target="footer63.xml"/><Relationship Id="rId154" Type="http://schemas.openxmlformats.org/officeDocument/2006/relationships/footer" Target="footer73.xml"/><Relationship Id="rId175" Type="http://schemas.openxmlformats.org/officeDocument/2006/relationships/footer" Target="footer84.xml"/><Relationship Id="rId340" Type="http://schemas.openxmlformats.org/officeDocument/2006/relationships/footer" Target="footer166.xml"/><Relationship Id="rId361" Type="http://schemas.openxmlformats.org/officeDocument/2006/relationships/footer" Target="footer177.xml"/><Relationship Id="rId196" Type="http://schemas.openxmlformats.org/officeDocument/2006/relationships/footer" Target="footer94.xml"/><Relationship Id="rId200" Type="http://schemas.openxmlformats.org/officeDocument/2006/relationships/header" Target="header97.xml"/><Relationship Id="rId382" Type="http://schemas.openxmlformats.org/officeDocument/2006/relationships/footer" Target="footer187.xml"/><Relationship Id="rId417" Type="http://schemas.openxmlformats.org/officeDocument/2006/relationships/header" Target="header206.xml"/><Relationship Id="rId438" Type="http://schemas.openxmlformats.org/officeDocument/2006/relationships/header" Target="header216.xml"/><Relationship Id="rId459" Type="http://schemas.openxmlformats.org/officeDocument/2006/relationships/header" Target="header227.xml"/><Relationship Id="rId16" Type="http://schemas.openxmlformats.org/officeDocument/2006/relationships/footer" Target="footer4.xml"/><Relationship Id="rId221" Type="http://schemas.openxmlformats.org/officeDocument/2006/relationships/footer" Target="footer107.xml"/><Relationship Id="rId242" Type="http://schemas.openxmlformats.org/officeDocument/2006/relationships/header" Target="header118.xml"/><Relationship Id="rId263" Type="http://schemas.openxmlformats.org/officeDocument/2006/relationships/footer" Target="footer128.xml"/><Relationship Id="rId284" Type="http://schemas.openxmlformats.org/officeDocument/2006/relationships/header" Target="header139.xml"/><Relationship Id="rId319" Type="http://schemas.openxmlformats.org/officeDocument/2006/relationships/footer" Target="footer156.xml"/><Relationship Id="rId470" Type="http://schemas.openxmlformats.org/officeDocument/2006/relationships/fontTable" Target="fontTable.xml"/><Relationship Id="rId37" Type="http://schemas.openxmlformats.org/officeDocument/2006/relationships/footer" Target="footer15.xml"/><Relationship Id="rId58" Type="http://schemas.openxmlformats.org/officeDocument/2006/relationships/footer" Target="footer25.xml"/><Relationship Id="rId79" Type="http://schemas.openxmlformats.org/officeDocument/2006/relationships/footer" Target="footer36.xml"/><Relationship Id="rId102" Type="http://schemas.openxmlformats.org/officeDocument/2006/relationships/header" Target="header48.xml"/><Relationship Id="rId123" Type="http://schemas.openxmlformats.org/officeDocument/2006/relationships/header" Target="header59.xml"/><Relationship Id="rId144" Type="http://schemas.openxmlformats.org/officeDocument/2006/relationships/header" Target="header69.xml"/><Relationship Id="rId330" Type="http://schemas.openxmlformats.org/officeDocument/2006/relationships/header" Target="header162.xml"/><Relationship Id="rId90" Type="http://schemas.openxmlformats.org/officeDocument/2006/relationships/header" Target="header42.xml"/><Relationship Id="rId165" Type="http://schemas.openxmlformats.org/officeDocument/2006/relationships/header" Target="header80.xml"/><Relationship Id="rId186" Type="http://schemas.openxmlformats.org/officeDocument/2006/relationships/header" Target="header90.xml"/><Relationship Id="rId351" Type="http://schemas.openxmlformats.org/officeDocument/2006/relationships/header" Target="header173.xml"/><Relationship Id="rId372" Type="http://schemas.openxmlformats.org/officeDocument/2006/relationships/header" Target="header183.xml"/><Relationship Id="rId393" Type="http://schemas.openxmlformats.org/officeDocument/2006/relationships/header" Target="header194.xml"/><Relationship Id="rId407" Type="http://schemas.openxmlformats.org/officeDocument/2006/relationships/footer" Target="footer200.xml"/><Relationship Id="rId428" Type="http://schemas.openxmlformats.org/officeDocument/2006/relationships/header" Target="header211.xml"/><Relationship Id="rId449" Type="http://schemas.openxmlformats.org/officeDocument/2006/relationships/footer" Target="footer221.xml"/><Relationship Id="rId211" Type="http://schemas.openxmlformats.org/officeDocument/2006/relationships/footer" Target="footer102.xml"/><Relationship Id="rId232" Type="http://schemas.openxmlformats.org/officeDocument/2006/relationships/footer" Target="footer112.xml"/><Relationship Id="rId253" Type="http://schemas.openxmlformats.org/officeDocument/2006/relationships/footer" Target="footer123.xml"/><Relationship Id="rId274" Type="http://schemas.openxmlformats.org/officeDocument/2006/relationships/footer" Target="footer133.xml"/><Relationship Id="rId295" Type="http://schemas.openxmlformats.org/officeDocument/2006/relationships/footer" Target="footer144.xml"/><Relationship Id="rId309" Type="http://schemas.openxmlformats.org/officeDocument/2006/relationships/header" Target="header152.xml"/><Relationship Id="rId460" Type="http://schemas.openxmlformats.org/officeDocument/2006/relationships/footer" Target="footer226.xml"/><Relationship Id="rId27" Type="http://schemas.openxmlformats.org/officeDocument/2006/relationships/header" Target="header11.xml"/><Relationship Id="rId48" Type="http://schemas.openxmlformats.org/officeDocument/2006/relationships/header" Target="header21.xml"/><Relationship Id="rId69" Type="http://schemas.openxmlformats.org/officeDocument/2006/relationships/header" Target="header32.xml"/><Relationship Id="rId113" Type="http://schemas.openxmlformats.org/officeDocument/2006/relationships/footer" Target="footer53.xml"/><Relationship Id="rId134" Type="http://schemas.openxmlformats.org/officeDocument/2006/relationships/header" Target="header64.xml"/><Relationship Id="rId320" Type="http://schemas.openxmlformats.org/officeDocument/2006/relationships/header" Target="header157.xml"/><Relationship Id="rId80" Type="http://schemas.openxmlformats.org/officeDocument/2006/relationships/header" Target="header37.xml"/><Relationship Id="rId155" Type="http://schemas.openxmlformats.org/officeDocument/2006/relationships/footer" Target="footer74.xml"/><Relationship Id="rId176" Type="http://schemas.openxmlformats.org/officeDocument/2006/relationships/header" Target="header85.xml"/><Relationship Id="rId197" Type="http://schemas.openxmlformats.org/officeDocument/2006/relationships/footer" Target="footer95.xml"/><Relationship Id="rId341" Type="http://schemas.openxmlformats.org/officeDocument/2006/relationships/footer" Target="footer167.xml"/><Relationship Id="rId362" Type="http://schemas.openxmlformats.org/officeDocument/2006/relationships/header" Target="header178.xml"/><Relationship Id="rId383" Type="http://schemas.openxmlformats.org/officeDocument/2006/relationships/footer" Target="footer188.xml"/><Relationship Id="rId418" Type="http://schemas.openxmlformats.org/officeDocument/2006/relationships/footer" Target="footer205.xml"/><Relationship Id="rId439" Type="http://schemas.openxmlformats.org/officeDocument/2006/relationships/footer" Target="footer216.xml"/><Relationship Id="rId201" Type="http://schemas.openxmlformats.org/officeDocument/2006/relationships/header" Target="header98.xml"/><Relationship Id="rId222" Type="http://schemas.openxmlformats.org/officeDocument/2006/relationships/header" Target="header108.xml"/><Relationship Id="rId243" Type="http://schemas.openxmlformats.org/officeDocument/2006/relationships/header" Target="header119.xml"/><Relationship Id="rId264" Type="http://schemas.openxmlformats.org/officeDocument/2006/relationships/header" Target="header129.xml"/><Relationship Id="rId285" Type="http://schemas.openxmlformats.org/officeDocument/2006/relationships/header" Target="header140.xml"/><Relationship Id="rId450" Type="http://schemas.openxmlformats.org/officeDocument/2006/relationships/header" Target="header222.xml"/><Relationship Id="rId471" Type="http://schemas.openxmlformats.org/officeDocument/2006/relationships/theme" Target="theme/theme1.xml"/><Relationship Id="rId17" Type="http://schemas.openxmlformats.org/officeDocument/2006/relationships/footer" Target="footer5.xml"/><Relationship Id="rId38" Type="http://schemas.openxmlformats.org/officeDocument/2006/relationships/header" Target="header16.xml"/><Relationship Id="rId59" Type="http://schemas.openxmlformats.org/officeDocument/2006/relationships/footer" Target="footer26.xml"/><Relationship Id="rId103" Type="http://schemas.openxmlformats.org/officeDocument/2006/relationships/footer" Target="footer48.xml"/><Relationship Id="rId124" Type="http://schemas.openxmlformats.org/officeDocument/2006/relationships/footer" Target="footer58.xml"/><Relationship Id="rId310" Type="http://schemas.openxmlformats.org/officeDocument/2006/relationships/footer" Target="footer151.xml"/><Relationship Id="rId70" Type="http://schemas.openxmlformats.org/officeDocument/2006/relationships/footer" Target="footer31.xml"/><Relationship Id="rId91" Type="http://schemas.openxmlformats.org/officeDocument/2006/relationships/footer" Target="footer42.xml"/><Relationship Id="rId145" Type="http://schemas.openxmlformats.org/officeDocument/2006/relationships/footer" Target="footer69.xml"/><Relationship Id="rId166" Type="http://schemas.openxmlformats.org/officeDocument/2006/relationships/footer" Target="footer79.xml"/><Relationship Id="rId187" Type="http://schemas.openxmlformats.org/officeDocument/2006/relationships/footer" Target="footer90.xml"/><Relationship Id="rId331" Type="http://schemas.openxmlformats.org/officeDocument/2006/relationships/footer" Target="footer162.xml"/><Relationship Id="rId352" Type="http://schemas.openxmlformats.org/officeDocument/2006/relationships/footer" Target="footer172.xml"/><Relationship Id="rId373" Type="http://schemas.openxmlformats.org/officeDocument/2006/relationships/footer" Target="footer183.xml"/><Relationship Id="rId394" Type="http://schemas.openxmlformats.org/officeDocument/2006/relationships/footer" Target="footer193.xml"/><Relationship Id="rId408" Type="http://schemas.openxmlformats.org/officeDocument/2006/relationships/header" Target="header201.xml"/><Relationship Id="rId429" Type="http://schemas.openxmlformats.org/officeDocument/2006/relationships/header" Target="header212.xml"/><Relationship Id="rId1" Type="http://schemas.openxmlformats.org/officeDocument/2006/relationships/numbering" Target="numbering.xml"/><Relationship Id="rId212" Type="http://schemas.openxmlformats.org/officeDocument/2006/relationships/header" Target="header103.xml"/><Relationship Id="rId233" Type="http://schemas.openxmlformats.org/officeDocument/2006/relationships/footer" Target="footer113.xml"/><Relationship Id="rId254" Type="http://schemas.openxmlformats.org/officeDocument/2006/relationships/header" Target="header124.xml"/><Relationship Id="rId440" Type="http://schemas.openxmlformats.org/officeDocument/2006/relationships/header" Target="header217.xml"/><Relationship Id="rId28" Type="http://schemas.openxmlformats.org/officeDocument/2006/relationships/footer" Target="footer10.xml"/><Relationship Id="rId49" Type="http://schemas.openxmlformats.org/officeDocument/2006/relationships/footer" Target="footer21.xml"/><Relationship Id="rId114" Type="http://schemas.openxmlformats.org/officeDocument/2006/relationships/header" Target="header54.xml"/><Relationship Id="rId275" Type="http://schemas.openxmlformats.org/officeDocument/2006/relationships/footer" Target="footer134.xml"/><Relationship Id="rId296" Type="http://schemas.openxmlformats.org/officeDocument/2006/relationships/header" Target="header145.xml"/><Relationship Id="rId300" Type="http://schemas.openxmlformats.org/officeDocument/2006/relationships/header" Target="header147.xml"/><Relationship Id="rId461" Type="http://schemas.openxmlformats.org/officeDocument/2006/relationships/footer" Target="footer227.xml"/><Relationship Id="rId60" Type="http://schemas.openxmlformats.org/officeDocument/2006/relationships/header" Target="header27.xml"/><Relationship Id="rId81" Type="http://schemas.openxmlformats.org/officeDocument/2006/relationships/header" Target="header38.xml"/><Relationship Id="rId135" Type="http://schemas.openxmlformats.org/officeDocument/2006/relationships/header" Target="header65.xml"/><Relationship Id="rId156" Type="http://schemas.openxmlformats.org/officeDocument/2006/relationships/header" Target="header75.xml"/><Relationship Id="rId177" Type="http://schemas.openxmlformats.org/officeDocument/2006/relationships/header" Target="header86.xml"/><Relationship Id="rId198" Type="http://schemas.openxmlformats.org/officeDocument/2006/relationships/header" Target="header96.xml"/><Relationship Id="rId321" Type="http://schemas.openxmlformats.org/officeDocument/2006/relationships/header" Target="header158.xml"/><Relationship Id="rId342" Type="http://schemas.openxmlformats.org/officeDocument/2006/relationships/header" Target="header168.xml"/><Relationship Id="rId363" Type="http://schemas.openxmlformats.org/officeDocument/2006/relationships/header" Target="header179.xml"/><Relationship Id="rId384" Type="http://schemas.openxmlformats.org/officeDocument/2006/relationships/header" Target="header189.xml"/><Relationship Id="rId419" Type="http://schemas.openxmlformats.org/officeDocument/2006/relationships/footer" Target="footer206.xml"/><Relationship Id="rId202" Type="http://schemas.openxmlformats.org/officeDocument/2006/relationships/footer" Target="footer97.xml"/><Relationship Id="rId223" Type="http://schemas.openxmlformats.org/officeDocument/2006/relationships/footer" Target="footer108.xml"/><Relationship Id="rId244" Type="http://schemas.openxmlformats.org/officeDocument/2006/relationships/footer" Target="footer118.xml"/><Relationship Id="rId430" Type="http://schemas.openxmlformats.org/officeDocument/2006/relationships/footer" Target="footer211.xml"/><Relationship Id="rId18" Type="http://schemas.openxmlformats.org/officeDocument/2006/relationships/header" Target="header6.xml"/><Relationship Id="rId39" Type="http://schemas.openxmlformats.org/officeDocument/2006/relationships/header" Target="header17.xml"/><Relationship Id="rId265" Type="http://schemas.openxmlformats.org/officeDocument/2006/relationships/footer" Target="footer129.xml"/><Relationship Id="rId286" Type="http://schemas.openxmlformats.org/officeDocument/2006/relationships/footer" Target="footer139.xml"/><Relationship Id="rId451" Type="http://schemas.openxmlformats.org/officeDocument/2006/relationships/footer" Target="footer222.xml"/><Relationship Id="rId50" Type="http://schemas.openxmlformats.org/officeDocument/2006/relationships/header" Target="header22.xml"/><Relationship Id="rId104" Type="http://schemas.openxmlformats.org/officeDocument/2006/relationships/header" Target="header49.xml"/><Relationship Id="rId125" Type="http://schemas.openxmlformats.org/officeDocument/2006/relationships/footer" Target="footer59.xml"/><Relationship Id="rId146" Type="http://schemas.openxmlformats.org/officeDocument/2006/relationships/header" Target="header70.xml"/><Relationship Id="rId167" Type="http://schemas.openxmlformats.org/officeDocument/2006/relationships/footer" Target="footer80.xml"/><Relationship Id="rId188" Type="http://schemas.openxmlformats.org/officeDocument/2006/relationships/header" Target="header91.xml"/><Relationship Id="rId311" Type="http://schemas.openxmlformats.org/officeDocument/2006/relationships/footer" Target="footer152.xml"/><Relationship Id="rId332" Type="http://schemas.openxmlformats.org/officeDocument/2006/relationships/header" Target="header163.xml"/><Relationship Id="rId353" Type="http://schemas.openxmlformats.org/officeDocument/2006/relationships/footer" Target="footer173.xml"/><Relationship Id="rId374" Type="http://schemas.openxmlformats.org/officeDocument/2006/relationships/header" Target="header184.xml"/><Relationship Id="rId395" Type="http://schemas.openxmlformats.org/officeDocument/2006/relationships/footer" Target="footer194.xml"/><Relationship Id="rId409" Type="http://schemas.openxmlformats.org/officeDocument/2006/relationships/footer" Target="footer201.xml"/><Relationship Id="rId71" Type="http://schemas.openxmlformats.org/officeDocument/2006/relationships/footer" Target="footer32.xml"/><Relationship Id="rId92" Type="http://schemas.openxmlformats.org/officeDocument/2006/relationships/header" Target="header43.xml"/><Relationship Id="rId213" Type="http://schemas.openxmlformats.org/officeDocument/2006/relationships/header" Target="header104.xml"/><Relationship Id="rId234" Type="http://schemas.openxmlformats.org/officeDocument/2006/relationships/header" Target="header114.xml"/><Relationship Id="rId420" Type="http://schemas.openxmlformats.org/officeDocument/2006/relationships/header" Target="header207.xml"/><Relationship Id="rId2" Type="http://schemas.openxmlformats.org/officeDocument/2006/relationships/styles" Target="styles.xml"/><Relationship Id="rId29" Type="http://schemas.openxmlformats.org/officeDocument/2006/relationships/footer" Target="footer11.xml"/><Relationship Id="rId255" Type="http://schemas.openxmlformats.org/officeDocument/2006/relationships/header" Target="header125.xml"/><Relationship Id="rId276" Type="http://schemas.openxmlformats.org/officeDocument/2006/relationships/header" Target="header135.xml"/><Relationship Id="rId297" Type="http://schemas.openxmlformats.org/officeDocument/2006/relationships/header" Target="header146.xml"/><Relationship Id="rId441" Type="http://schemas.openxmlformats.org/officeDocument/2006/relationships/header" Target="header218.xml"/><Relationship Id="rId462" Type="http://schemas.openxmlformats.org/officeDocument/2006/relationships/header" Target="header228.xml"/><Relationship Id="rId40" Type="http://schemas.openxmlformats.org/officeDocument/2006/relationships/footer" Target="footer16.xml"/><Relationship Id="rId115" Type="http://schemas.openxmlformats.org/officeDocument/2006/relationships/footer" Target="footer54.xml"/><Relationship Id="rId136" Type="http://schemas.openxmlformats.org/officeDocument/2006/relationships/footer" Target="footer64.xml"/><Relationship Id="rId157" Type="http://schemas.openxmlformats.org/officeDocument/2006/relationships/footer" Target="footer75.xml"/><Relationship Id="rId178" Type="http://schemas.openxmlformats.org/officeDocument/2006/relationships/footer" Target="footer85.xml"/><Relationship Id="rId301" Type="http://schemas.openxmlformats.org/officeDocument/2006/relationships/footer" Target="footer147.xml"/><Relationship Id="rId322" Type="http://schemas.openxmlformats.org/officeDocument/2006/relationships/footer" Target="footer157.xml"/><Relationship Id="rId343" Type="http://schemas.openxmlformats.org/officeDocument/2006/relationships/footer" Target="footer168.xml"/><Relationship Id="rId364" Type="http://schemas.openxmlformats.org/officeDocument/2006/relationships/footer" Target="footer178.xml"/><Relationship Id="rId61" Type="http://schemas.openxmlformats.org/officeDocument/2006/relationships/footer" Target="footer27.xml"/><Relationship Id="rId82" Type="http://schemas.openxmlformats.org/officeDocument/2006/relationships/footer" Target="footer37.xml"/><Relationship Id="rId199" Type="http://schemas.openxmlformats.org/officeDocument/2006/relationships/footer" Target="footer96.xml"/><Relationship Id="rId203" Type="http://schemas.openxmlformats.org/officeDocument/2006/relationships/footer" Target="footer98.xml"/><Relationship Id="rId385" Type="http://schemas.openxmlformats.org/officeDocument/2006/relationships/footer" Target="footer189.xml"/><Relationship Id="rId19" Type="http://schemas.openxmlformats.org/officeDocument/2006/relationships/footer" Target="footer6.xml"/><Relationship Id="rId224" Type="http://schemas.openxmlformats.org/officeDocument/2006/relationships/header" Target="header109.xml"/><Relationship Id="rId245" Type="http://schemas.openxmlformats.org/officeDocument/2006/relationships/footer" Target="footer119.xml"/><Relationship Id="rId266" Type="http://schemas.openxmlformats.org/officeDocument/2006/relationships/header" Target="header130.xml"/><Relationship Id="rId287" Type="http://schemas.openxmlformats.org/officeDocument/2006/relationships/footer" Target="footer140.xml"/><Relationship Id="rId410" Type="http://schemas.openxmlformats.org/officeDocument/2006/relationships/header" Target="header202.xml"/><Relationship Id="rId431" Type="http://schemas.openxmlformats.org/officeDocument/2006/relationships/footer" Target="footer212.xml"/><Relationship Id="rId452" Type="http://schemas.openxmlformats.org/officeDocument/2006/relationships/header" Target="header223.xml"/><Relationship Id="rId30" Type="http://schemas.openxmlformats.org/officeDocument/2006/relationships/header" Target="header12.xml"/><Relationship Id="rId105" Type="http://schemas.openxmlformats.org/officeDocument/2006/relationships/header" Target="header50.xml"/><Relationship Id="rId126" Type="http://schemas.openxmlformats.org/officeDocument/2006/relationships/header" Target="header60.xml"/><Relationship Id="rId147" Type="http://schemas.openxmlformats.org/officeDocument/2006/relationships/header" Target="header71.xml"/><Relationship Id="rId168" Type="http://schemas.openxmlformats.org/officeDocument/2006/relationships/header" Target="header81.xml"/><Relationship Id="rId312" Type="http://schemas.openxmlformats.org/officeDocument/2006/relationships/header" Target="header153.xml"/><Relationship Id="rId333" Type="http://schemas.openxmlformats.org/officeDocument/2006/relationships/header" Target="header164.xml"/><Relationship Id="rId354" Type="http://schemas.openxmlformats.org/officeDocument/2006/relationships/header" Target="header174.xml"/><Relationship Id="rId51" Type="http://schemas.openxmlformats.org/officeDocument/2006/relationships/header" Target="header23.xml"/><Relationship Id="rId72" Type="http://schemas.openxmlformats.org/officeDocument/2006/relationships/header" Target="header33.xml"/><Relationship Id="rId93" Type="http://schemas.openxmlformats.org/officeDocument/2006/relationships/header" Target="header44.xml"/><Relationship Id="rId189" Type="http://schemas.openxmlformats.org/officeDocument/2006/relationships/header" Target="header92.xml"/><Relationship Id="rId375" Type="http://schemas.openxmlformats.org/officeDocument/2006/relationships/header" Target="header185.xml"/><Relationship Id="rId396" Type="http://schemas.openxmlformats.org/officeDocument/2006/relationships/header" Target="header195.xml"/><Relationship Id="rId3" Type="http://schemas.openxmlformats.org/officeDocument/2006/relationships/settings" Target="settings.xml"/><Relationship Id="rId214" Type="http://schemas.openxmlformats.org/officeDocument/2006/relationships/footer" Target="footer103.xml"/><Relationship Id="rId235" Type="http://schemas.openxmlformats.org/officeDocument/2006/relationships/footer" Target="footer114.xml"/><Relationship Id="rId256" Type="http://schemas.openxmlformats.org/officeDocument/2006/relationships/footer" Target="footer124.xml"/><Relationship Id="rId277" Type="http://schemas.openxmlformats.org/officeDocument/2006/relationships/footer" Target="footer135.xml"/><Relationship Id="rId298" Type="http://schemas.openxmlformats.org/officeDocument/2006/relationships/footer" Target="footer145.xml"/><Relationship Id="rId400" Type="http://schemas.openxmlformats.org/officeDocument/2006/relationships/footer" Target="footer196.xml"/><Relationship Id="rId421" Type="http://schemas.openxmlformats.org/officeDocument/2006/relationships/footer" Target="footer207.xml"/><Relationship Id="rId442" Type="http://schemas.openxmlformats.org/officeDocument/2006/relationships/footer" Target="footer217.xml"/><Relationship Id="rId463" Type="http://schemas.openxmlformats.org/officeDocument/2006/relationships/footer" Target="footer228.xml"/><Relationship Id="rId116" Type="http://schemas.openxmlformats.org/officeDocument/2006/relationships/header" Target="header55.xml"/><Relationship Id="rId137" Type="http://schemas.openxmlformats.org/officeDocument/2006/relationships/footer" Target="footer65.xml"/><Relationship Id="rId158" Type="http://schemas.openxmlformats.org/officeDocument/2006/relationships/header" Target="header76.xml"/><Relationship Id="rId302" Type="http://schemas.openxmlformats.org/officeDocument/2006/relationships/header" Target="header148.xml"/><Relationship Id="rId323" Type="http://schemas.openxmlformats.org/officeDocument/2006/relationships/footer" Target="footer158.xml"/><Relationship Id="rId344" Type="http://schemas.openxmlformats.org/officeDocument/2006/relationships/header" Target="header169.xml"/><Relationship Id="rId20" Type="http://schemas.openxmlformats.org/officeDocument/2006/relationships/header" Target="header7.xml"/><Relationship Id="rId41" Type="http://schemas.openxmlformats.org/officeDocument/2006/relationships/footer" Target="footer17.xml"/><Relationship Id="rId62" Type="http://schemas.openxmlformats.org/officeDocument/2006/relationships/header" Target="header28.xml"/><Relationship Id="rId83" Type="http://schemas.openxmlformats.org/officeDocument/2006/relationships/footer" Target="footer38.xml"/><Relationship Id="rId179" Type="http://schemas.openxmlformats.org/officeDocument/2006/relationships/footer" Target="footer86.xml"/><Relationship Id="rId365" Type="http://schemas.openxmlformats.org/officeDocument/2006/relationships/footer" Target="footer179.xml"/><Relationship Id="rId386" Type="http://schemas.openxmlformats.org/officeDocument/2006/relationships/header" Target="header190.xml"/><Relationship Id="rId190" Type="http://schemas.openxmlformats.org/officeDocument/2006/relationships/footer" Target="footer91.xml"/><Relationship Id="rId204" Type="http://schemas.openxmlformats.org/officeDocument/2006/relationships/header" Target="header99.xml"/><Relationship Id="rId225" Type="http://schemas.openxmlformats.org/officeDocument/2006/relationships/header" Target="header110.xml"/><Relationship Id="rId246" Type="http://schemas.openxmlformats.org/officeDocument/2006/relationships/header" Target="header120.xml"/><Relationship Id="rId267" Type="http://schemas.openxmlformats.org/officeDocument/2006/relationships/header" Target="header131.xml"/><Relationship Id="rId288" Type="http://schemas.openxmlformats.org/officeDocument/2006/relationships/header" Target="header141.xml"/><Relationship Id="rId411" Type="http://schemas.openxmlformats.org/officeDocument/2006/relationships/header" Target="header203.xml"/><Relationship Id="rId432" Type="http://schemas.openxmlformats.org/officeDocument/2006/relationships/header" Target="header213.xml"/><Relationship Id="rId453" Type="http://schemas.openxmlformats.org/officeDocument/2006/relationships/header" Target="header224.xml"/><Relationship Id="rId106" Type="http://schemas.openxmlformats.org/officeDocument/2006/relationships/footer" Target="footer49.xml"/><Relationship Id="rId127" Type="http://schemas.openxmlformats.org/officeDocument/2006/relationships/footer" Target="footer60.xml"/><Relationship Id="rId313" Type="http://schemas.openxmlformats.org/officeDocument/2006/relationships/footer" Target="footer153.xml"/><Relationship Id="rId10" Type="http://schemas.openxmlformats.org/officeDocument/2006/relationships/footer" Target="footer1.xml"/><Relationship Id="rId31" Type="http://schemas.openxmlformats.org/officeDocument/2006/relationships/footer" Target="footer12.xml"/><Relationship Id="rId52" Type="http://schemas.openxmlformats.org/officeDocument/2006/relationships/footer" Target="footer22.xml"/><Relationship Id="rId73" Type="http://schemas.openxmlformats.org/officeDocument/2006/relationships/footer" Target="footer33.xml"/><Relationship Id="rId94" Type="http://schemas.openxmlformats.org/officeDocument/2006/relationships/footer" Target="footer43.xml"/><Relationship Id="rId148" Type="http://schemas.openxmlformats.org/officeDocument/2006/relationships/footer" Target="footer70.xml"/><Relationship Id="rId169" Type="http://schemas.openxmlformats.org/officeDocument/2006/relationships/footer" Target="footer81.xml"/><Relationship Id="rId334" Type="http://schemas.openxmlformats.org/officeDocument/2006/relationships/footer" Target="footer163.xml"/><Relationship Id="rId355" Type="http://schemas.openxmlformats.org/officeDocument/2006/relationships/footer" Target="footer174.xml"/><Relationship Id="rId376" Type="http://schemas.openxmlformats.org/officeDocument/2006/relationships/footer" Target="footer184.xml"/><Relationship Id="rId397" Type="http://schemas.openxmlformats.org/officeDocument/2006/relationships/footer" Target="footer195.xml"/><Relationship Id="rId4" Type="http://schemas.openxmlformats.org/officeDocument/2006/relationships/webSettings" Target="webSettings.xml"/><Relationship Id="rId180" Type="http://schemas.openxmlformats.org/officeDocument/2006/relationships/header" Target="header87.xml"/><Relationship Id="rId215" Type="http://schemas.openxmlformats.org/officeDocument/2006/relationships/footer" Target="footer104.xml"/><Relationship Id="rId236" Type="http://schemas.openxmlformats.org/officeDocument/2006/relationships/header" Target="header115.xml"/><Relationship Id="rId257" Type="http://schemas.openxmlformats.org/officeDocument/2006/relationships/footer" Target="footer125.xml"/><Relationship Id="rId278" Type="http://schemas.openxmlformats.org/officeDocument/2006/relationships/header" Target="header136.xml"/><Relationship Id="rId401" Type="http://schemas.openxmlformats.org/officeDocument/2006/relationships/footer" Target="footer197.xml"/><Relationship Id="rId422" Type="http://schemas.openxmlformats.org/officeDocument/2006/relationships/header" Target="header208.xml"/><Relationship Id="rId443" Type="http://schemas.openxmlformats.org/officeDocument/2006/relationships/footer" Target="footer218.xml"/><Relationship Id="rId464" Type="http://schemas.openxmlformats.org/officeDocument/2006/relationships/header" Target="header229.xml"/><Relationship Id="rId303" Type="http://schemas.openxmlformats.org/officeDocument/2006/relationships/header" Target="header149.xml"/><Relationship Id="rId42" Type="http://schemas.openxmlformats.org/officeDocument/2006/relationships/header" Target="header18.xml"/><Relationship Id="rId84" Type="http://schemas.openxmlformats.org/officeDocument/2006/relationships/header" Target="header39.xml"/><Relationship Id="rId138" Type="http://schemas.openxmlformats.org/officeDocument/2006/relationships/header" Target="header66.xml"/><Relationship Id="rId345" Type="http://schemas.openxmlformats.org/officeDocument/2006/relationships/header" Target="header170.xml"/><Relationship Id="rId387" Type="http://schemas.openxmlformats.org/officeDocument/2006/relationships/header" Target="header191.xml"/><Relationship Id="rId191" Type="http://schemas.openxmlformats.org/officeDocument/2006/relationships/footer" Target="footer92.xml"/><Relationship Id="rId205" Type="http://schemas.openxmlformats.org/officeDocument/2006/relationships/footer" Target="footer99.xml"/><Relationship Id="rId247" Type="http://schemas.openxmlformats.org/officeDocument/2006/relationships/footer" Target="footer120.xml"/><Relationship Id="rId412" Type="http://schemas.openxmlformats.org/officeDocument/2006/relationships/footer" Target="footer202.xml"/><Relationship Id="rId107" Type="http://schemas.openxmlformats.org/officeDocument/2006/relationships/footer" Target="footer50.xml"/><Relationship Id="rId289" Type="http://schemas.openxmlformats.org/officeDocument/2006/relationships/footer" Target="footer141.xml"/><Relationship Id="rId454" Type="http://schemas.openxmlformats.org/officeDocument/2006/relationships/footer" Target="footer223.xml"/><Relationship Id="rId11" Type="http://schemas.openxmlformats.org/officeDocument/2006/relationships/footer" Target="footer2.xml"/><Relationship Id="rId53" Type="http://schemas.openxmlformats.org/officeDocument/2006/relationships/footer" Target="footer23.xml"/><Relationship Id="rId149" Type="http://schemas.openxmlformats.org/officeDocument/2006/relationships/footer" Target="footer71.xml"/><Relationship Id="rId314" Type="http://schemas.openxmlformats.org/officeDocument/2006/relationships/header" Target="header154.xml"/><Relationship Id="rId356" Type="http://schemas.openxmlformats.org/officeDocument/2006/relationships/header" Target="header175.xml"/><Relationship Id="rId398" Type="http://schemas.openxmlformats.org/officeDocument/2006/relationships/header" Target="header196.xml"/><Relationship Id="rId95" Type="http://schemas.openxmlformats.org/officeDocument/2006/relationships/footer" Target="footer44.xml"/><Relationship Id="rId160" Type="http://schemas.openxmlformats.org/officeDocument/2006/relationships/footer" Target="footer76.xml"/><Relationship Id="rId216" Type="http://schemas.openxmlformats.org/officeDocument/2006/relationships/header" Target="header105.xml"/><Relationship Id="rId423" Type="http://schemas.openxmlformats.org/officeDocument/2006/relationships/header" Target="header209.xml"/><Relationship Id="rId258" Type="http://schemas.openxmlformats.org/officeDocument/2006/relationships/header" Target="header126.xml"/><Relationship Id="rId465" Type="http://schemas.openxmlformats.org/officeDocument/2006/relationships/header" Target="header230.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footer" Target="footer159.xml"/><Relationship Id="rId367" Type="http://schemas.openxmlformats.org/officeDocument/2006/relationships/footer" Target="footer180.xml"/><Relationship Id="rId171" Type="http://schemas.openxmlformats.org/officeDocument/2006/relationships/header" Target="header83.xml"/><Relationship Id="rId227" Type="http://schemas.openxmlformats.org/officeDocument/2006/relationships/footer" Target="footer110.xml"/><Relationship Id="rId269" Type="http://schemas.openxmlformats.org/officeDocument/2006/relationships/footer" Target="footer131.xml"/><Relationship Id="rId434" Type="http://schemas.openxmlformats.org/officeDocument/2006/relationships/header" Target="header214.xml"/><Relationship Id="rId33" Type="http://schemas.openxmlformats.org/officeDocument/2006/relationships/header" Target="header14.xml"/><Relationship Id="rId129" Type="http://schemas.openxmlformats.org/officeDocument/2006/relationships/header" Target="header62.xml"/><Relationship Id="rId280" Type="http://schemas.openxmlformats.org/officeDocument/2006/relationships/footer" Target="footer136.xml"/><Relationship Id="rId336" Type="http://schemas.openxmlformats.org/officeDocument/2006/relationships/header" Target="header165.xml"/><Relationship Id="rId75" Type="http://schemas.openxmlformats.org/officeDocument/2006/relationships/header" Target="header35.xml"/><Relationship Id="rId140" Type="http://schemas.openxmlformats.org/officeDocument/2006/relationships/header" Target="header67.xml"/><Relationship Id="rId182" Type="http://schemas.openxmlformats.org/officeDocument/2006/relationships/header" Target="header88.xml"/><Relationship Id="rId378" Type="http://schemas.openxmlformats.org/officeDocument/2006/relationships/header" Target="header186.xml"/><Relationship Id="rId403" Type="http://schemas.openxmlformats.org/officeDocument/2006/relationships/footer" Target="footer198.xml"/><Relationship Id="rId6" Type="http://schemas.openxmlformats.org/officeDocument/2006/relationships/endnotes" Target="endnotes.xml"/><Relationship Id="rId238" Type="http://schemas.openxmlformats.org/officeDocument/2006/relationships/footer" Target="footer115.xml"/><Relationship Id="rId445" Type="http://schemas.openxmlformats.org/officeDocument/2006/relationships/footer" Target="footer219.xml"/><Relationship Id="rId291" Type="http://schemas.openxmlformats.org/officeDocument/2006/relationships/header" Target="header143.xml"/><Relationship Id="rId305" Type="http://schemas.openxmlformats.org/officeDocument/2006/relationships/footer" Target="footer149.xml"/><Relationship Id="rId347" Type="http://schemas.openxmlformats.org/officeDocument/2006/relationships/footer" Target="footer170.xml"/><Relationship Id="rId44" Type="http://schemas.openxmlformats.org/officeDocument/2006/relationships/header" Target="header19.xml"/><Relationship Id="rId86" Type="http://schemas.openxmlformats.org/officeDocument/2006/relationships/header" Target="header40.xml"/><Relationship Id="rId151" Type="http://schemas.openxmlformats.org/officeDocument/2006/relationships/footer" Target="footer72.xml"/><Relationship Id="rId389" Type="http://schemas.openxmlformats.org/officeDocument/2006/relationships/footer" Target="footer19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84248</Words>
  <Characters>480215</Characters>
  <Application>Microsoft Office Word</Application>
  <DocSecurity>0</DocSecurity>
  <Lines>4001</Lines>
  <Paragraphs>1126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2026-08-05T21:44:00Z</dcterms:created>
  <dcterms:modified xsi:type="dcterms:W3CDTF">2026-08-07T09:34:00Z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CP-036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First annex">
    <vt:lpwstr>1</vt:lpwstr>
  </property>
  <property fmtid="{D5CDD505-2E9C-101B-9397-08002B2CF9AE}" pid="10" name="Last annex">
    <vt:lpwstr>1</vt:lpwstr>
  </property>
  <property fmtid="{D5CDD505-2E9C-101B-9397-08002B2CF9AE}" pid="11" name="Unique annex">
    <vt:lpwstr>1</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2026-07-16T14:04:48Z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75a9b64e-4c85-4626-9adc-7e59f91b689f</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