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EC3D3" w14:textId="245F49F9" w:rsidR="004E39F6" w:rsidRPr="00E60E42" w:rsidRDefault="00CA4889" w:rsidP="00CA4889">
      <w:pPr>
        <w:pStyle w:val="Pagedecouverture"/>
        <w:rPr>
          <w:noProof/>
        </w:rPr>
      </w:pPr>
      <w:bookmarkStart w:id="0" w:name="LW_BM_COVERPAGE"/>
      <w:r>
        <w:rPr>
          <w:noProof/>
        </w:rPr>
        <w:pict w14:anchorId="3096DB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539B1A-334D-4B25-88D7-04E3E0B72C97" style="width:455.25pt;height:359.25pt">
            <v:imagedata r:id="rId10" o:title=""/>
          </v:shape>
        </w:pict>
      </w:r>
    </w:p>
    <w:bookmarkEnd w:id="0"/>
    <w:p w14:paraId="7464DC8C" w14:textId="77777777" w:rsidR="0045167D" w:rsidRPr="00E60E42" w:rsidRDefault="0045167D" w:rsidP="0045167D">
      <w:pPr>
        <w:rPr>
          <w:noProof/>
        </w:rPr>
        <w:sectPr w:rsidR="0045167D" w:rsidRPr="00E60E42" w:rsidSect="00CA488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E0EC3D8" w14:textId="762B614A" w:rsidR="004E39F6" w:rsidRPr="00E60E42" w:rsidRDefault="0045167D" w:rsidP="0045167D">
      <w:pPr>
        <w:pStyle w:val="Annex"/>
        <w:jc w:val="center"/>
        <w:rPr>
          <w:bCs/>
          <w:noProof/>
        </w:rPr>
      </w:pPr>
      <w:bookmarkStart w:id="1" w:name="_GoBack"/>
      <w:bookmarkEnd w:id="1"/>
      <w:r w:rsidRPr="00E60E42">
        <w:rPr>
          <w:noProof/>
        </w:rPr>
        <w:lastRenderedPageBreak/>
        <w:t>A</w:t>
      </w:r>
      <w:r w:rsidR="00A35BEA" w:rsidRPr="00E60E42">
        <w:rPr>
          <w:noProof/>
        </w:rPr>
        <w:t>NNEX</w:t>
      </w:r>
    </w:p>
    <w:p w14:paraId="1E0EC3D9" w14:textId="77777777" w:rsidR="004E39F6" w:rsidRPr="00E60E42" w:rsidRDefault="00A35BEA" w:rsidP="004B4DA2">
      <w:pPr>
        <w:spacing w:after="200" w:line="276" w:lineRule="auto"/>
        <w:jc w:val="both"/>
        <w:rPr>
          <w:rFonts w:ascii="Times New Roman" w:eastAsia="Calibri" w:hAnsi="Times New Roman" w:cs="Times New Roman"/>
          <w:b/>
          <w:noProof/>
          <w:kern w:val="0"/>
          <w:szCs w:val="22"/>
          <w14:ligatures w14:val="none"/>
        </w:rPr>
      </w:pPr>
      <w:r w:rsidRPr="00E60E42">
        <w:rPr>
          <w:rFonts w:ascii="Times New Roman" w:eastAsia="Calibri" w:hAnsi="Times New Roman" w:cs="Arial"/>
          <w:b/>
          <w:noProof/>
          <w:kern w:val="0"/>
          <w:szCs w:val="22"/>
          <w14:ligatures w14:val="none"/>
        </w:rPr>
        <w:t>SECTION 1: REFORMS AND INVESTMENTS UNDER THE RECOVERY AND RESILIENCE PLAN</w:t>
      </w:r>
    </w:p>
    <w:p w14:paraId="1E0EC3DA" w14:textId="77777777" w:rsidR="004E39F6" w:rsidRPr="00E60E42" w:rsidRDefault="00A35BEA" w:rsidP="00EC74E8">
      <w:pPr>
        <w:numPr>
          <w:ilvl w:val="6"/>
          <w:numId w:val="0"/>
        </w:numPr>
        <w:spacing w:after="0" w:line="240" w:lineRule="auto"/>
        <w:ind w:left="567" w:hanging="567"/>
        <w:jc w:val="both"/>
        <w:rPr>
          <w:rFonts w:ascii="Times New Roman" w:eastAsia="Calibri" w:hAnsi="Times New Roman" w:cs="Times New Roman"/>
          <w:noProof/>
          <w:kern w:val="0"/>
          <w:szCs w:val="22"/>
          <w14:ligatures w14:val="none"/>
        </w:rPr>
      </w:pPr>
      <w:r w:rsidRPr="00E60E42">
        <w:rPr>
          <w:rFonts w:ascii="Times New Roman" w:eastAsia="Calibri" w:hAnsi="Times New Roman" w:cs="Arial"/>
          <w:b/>
          <w:noProof/>
          <w:kern w:val="0"/>
          <w:szCs w:val="22"/>
          <w14:ligatures w14:val="none"/>
        </w:rPr>
        <w:t xml:space="preserve">1. Description of Reforms and Investments </w:t>
      </w:r>
    </w:p>
    <w:p w14:paraId="1E0EC3DB" w14:textId="77777777" w:rsidR="004E39F6" w:rsidRPr="00E60E42" w:rsidRDefault="00A35BEA" w:rsidP="004B4DA2">
      <w:pPr>
        <w:keepNext/>
        <w:spacing w:before="240" w:after="240" w:line="240" w:lineRule="auto"/>
        <w:outlineLvl w:val="0"/>
        <w:rPr>
          <w:rFonts w:ascii="Times New Roman" w:eastAsia="MS Gothic" w:hAnsi="Times New Roman" w:cs="Times New Roman"/>
          <w:b/>
          <w:bCs/>
          <w:smallCaps/>
          <w:noProof/>
          <w:kern w:val="0"/>
          <w14:ligatures w14:val="none"/>
        </w:rPr>
      </w:pPr>
      <w:r w:rsidRPr="00E60E42">
        <w:rPr>
          <w:rFonts w:ascii="Times New Roman" w:eastAsia="Calibri" w:hAnsi="Times New Roman" w:cs="Arial"/>
          <w:b/>
          <w:smallCaps/>
          <w:noProof/>
          <w:kern w:val="0"/>
          <w:szCs w:val="22"/>
          <w14:ligatures w14:val="none"/>
        </w:rPr>
        <w:t>A. COMPONENT 1: CLIMATE CHANGE AND ENVIRONMENTAL SUSTAINABILITY</w:t>
      </w:r>
    </w:p>
    <w:p w14:paraId="1E0EC3DC" w14:textId="77777777" w:rsidR="004E39F6" w:rsidRPr="00E60E42" w:rsidRDefault="00A35BEA" w:rsidP="004B4DA2">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general objective of this component of the Latvian recovery and resilience plan is to contribute to the green transition and notably contribute to the environmental objectives of climate change mitigation and climate adaptation. Each sub-component focuses on some of the challenges of the green transition. Subcomponent 1.1 focuses on sustainable mobility with a view to decrease emissions in the transport sector, especially in Riga and its periphery by investing in clean public transport (notably railway) infrastructure. Subcomponent 1.2 mainly targets increasing energy efficiency by supporting various energy renovation programmes in public and private buildings and supporting sustainable energy networks. Lastly, subcomponent 1.3 contributes to climate adaptation by preventing climate change related risks such as fires and floods.</w:t>
      </w:r>
    </w:p>
    <w:p w14:paraId="1E0EC3DD" w14:textId="77777777" w:rsidR="004E39F6" w:rsidRPr="00E60E42" w:rsidRDefault="00A35BEA" w:rsidP="00EC74E8">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component supports addressing the Country Specific Recommendations on transport notably on its sustainability, energy efficiency and energy interconnections (Country Specific Recommendation 3, 2019). It also contributes to front-loading mature public investment projects and focusing on the green and digital transition, in particular clean and efficient production and use of energy, sustainable transport infrastructure (Country Specific Recommendation 3, 2020).</w:t>
      </w:r>
    </w:p>
    <w:p w14:paraId="1E0EC3DE" w14:textId="77777777" w:rsidR="004E39F6" w:rsidRPr="00E60E42" w:rsidRDefault="00A35BEA" w:rsidP="00D546A2">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0EC3DF" w14:textId="77777777" w:rsidR="004E39F6" w:rsidRPr="00E60E42" w:rsidRDefault="00A35BEA" w:rsidP="005F4C10">
      <w:pPr>
        <w:keepNext/>
        <w:keepLines/>
        <w:spacing w:after="240" w:line="240" w:lineRule="auto"/>
        <w:jc w:val="both"/>
        <w:outlineLvl w:val="1"/>
        <w:rPr>
          <w:rFonts w:ascii="Times New Roman" w:eastAsia="Calibri" w:hAnsi="Times New Roman" w:cs="Times New Roman"/>
          <w:noProof/>
          <w:kern w:val="0"/>
          <w14:ligatures w14:val="none"/>
        </w:rPr>
      </w:pPr>
      <w:r w:rsidRPr="00E60E42">
        <w:rPr>
          <w:rFonts w:ascii="Times New Roman" w:eastAsia="Calibri" w:hAnsi="Times New Roman" w:cs="Arial"/>
          <w:b/>
          <w:noProof/>
          <w:kern w:val="0"/>
          <w:u w:val="single"/>
          <w14:ligatures w14:val="none"/>
        </w:rPr>
        <w:t>A.1. Description of the reforms and investments for non-repayable financial support</w:t>
      </w:r>
    </w:p>
    <w:p w14:paraId="1E0EC3E0" w14:textId="77777777" w:rsidR="004E39F6" w:rsidRPr="00E60E42" w:rsidRDefault="00A35BEA" w:rsidP="004D4036">
      <w:pPr>
        <w:keepNext/>
        <w:keepLines/>
        <w:shd w:val="clear" w:color="auto" w:fill="FFFFFF"/>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1.1.1.r. A sustainable transport system</w:t>
      </w:r>
    </w:p>
    <w:p w14:paraId="1E0EC3E1" w14:textId="77777777" w:rsidR="004E39F6" w:rsidRPr="00E60E42" w:rsidRDefault="00A35BEA" w:rsidP="004D4036">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objective of the measure is to contribute to reducing Latvia’s greenhouse gas (GHG) emissions with a focus on transport.</w:t>
      </w:r>
    </w:p>
    <w:p w14:paraId="1E0EC3E2" w14:textId="77777777" w:rsidR="004E39F6" w:rsidRPr="00E60E42" w:rsidRDefault="00A35BEA" w:rsidP="004D4036">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entry into force of legal act(s) and report(s) related to the public transport network.</w:t>
      </w:r>
    </w:p>
    <w:p w14:paraId="3117CD48" w14:textId="77777777" w:rsidR="00D546A2" w:rsidRPr="00E60E42" w:rsidRDefault="00A35BEA" w:rsidP="00D546A2">
      <w:pPr>
        <w:keepNext/>
        <w:keepLines/>
        <w:shd w:val="clear" w:color="auto" w:fill="FFFFFF"/>
        <w:spacing w:after="12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Investment: 1.1.1.i. Improving Riga metropolitan transport infrastructure</w:t>
      </w:r>
    </w:p>
    <w:p w14:paraId="1E0EC3E4" w14:textId="25F48825" w:rsidR="004E39F6" w:rsidRPr="00E60E42" w:rsidRDefault="00A35BEA" w:rsidP="00D546A2">
      <w:pPr>
        <w:keepNext/>
        <w:keepLines/>
        <w:shd w:val="clear" w:color="auto" w:fill="FFFFFF"/>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objective of the measure is to support Riga metropolitan multimodal transport infrastructure.</w:t>
      </w:r>
    </w:p>
    <w:p w14:paraId="470A0633" w14:textId="77777777" w:rsidR="00D546A2" w:rsidRPr="00E60E42" w:rsidRDefault="00A35BEA" w:rsidP="00D546A2">
      <w:pPr>
        <w:spacing w:after="24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measure consists of investments in clean mobility and infrastructure.</w:t>
      </w:r>
    </w:p>
    <w:p w14:paraId="1E0EC3E6" w14:textId="575DDD92" w:rsidR="004E39F6" w:rsidRPr="00E60E42" w:rsidRDefault="00A35BEA" w:rsidP="00D546A2">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1.2.1.1.i. Improving the energy efficiency of multi-apartment buildings</w:t>
      </w:r>
    </w:p>
    <w:p w14:paraId="1A38F7F0" w14:textId="77777777" w:rsidR="00D546A2" w:rsidRPr="00E60E42" w:rsidRDefault="00A35BEA" w:rsidP="00D546A2">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the energy efficiency of buildings.</w:t>
      </w:r>
    </w:p>
    <w:p w14:paraId="1E0EC3E8" w14:textId="5BE5CEBC" w:rsidR="004E39F6" w:rsidRPr="00E60E42" w:rsidRDefault="00A35BEA" w:rsidP="00D546A2">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a support programme for energy renovation in multi-apartment buildings.</w:t>
      </w:r>
    </w:p>
    <w:p w14:paraId="1E0EC3E9" w14:textId="77777777" w:rsidR="004E39F6" w:rsidRPr="00E60E42" w:rsidRDefault="00A35BEA" w:rsidP="004D4036">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1.2.1.2.i. Increasing energy efficiency in business in the form of a combined financial instrument</w:t>
      </w:r>
    </w:p>
    <w:p w14:paraId="1E0EC3EA" w14:textId="77777777" w:rsidR="004E39F6" w:rsidRPr="00E60E42" w:rsidRDefault="00A35BEA" w:rsidP="004D403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the energy efficiency of Latvian businesses.</w:t>
      </w:r>
    </w:p>
    <w:p w14:paraId="1E0EC3EB" w14:textId="77777777" w:rsidR="004E39F6" w:rsidRPr="00E60E42" w:rsidRDefault="00A35BEA" w:rsidP="004D4036">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support for </w:t>
      </w:r>
      <w:r w:rsidRPr="00E60E42" w:rsidDel="001133CE">
        <w:rPr>
          <w:rFonts w:ascii="Times New Roman" w:eastAsia="Calibri" w:hAnsi="Times New Roman" w:cs="Arial"/>
          <w:noProof/>
          <w:kern w:val="0"/>
          <w14:ligatures w14:val="none"/>
        </w:rPr>
        <w:t xml:space="preserve">activities of </w:t>
      </w:r>
      <w:r w:rsidRPr="00E60E42">
        <w:rPr>
          <w:rFonts w:ascii="Times New Roman" w:eastAsia="Calibri" w:hAnsi="Times New Roman" w:cs="Arial"/>
          <w:noProof/>
          <w:kern w:val="0"/>
          <w14:ligatures w14:val="none"/>
        </w:rPr>
        <w:t>entities</w:t>
      </w:r>
      <w:r w:rsidRPr="00E60E42" w:rsidDel="001133CE">
        <w:rPr>
          <w:rFonts w:ascii="Times New Roman" w:eastAsia="Calibri" w:hAnsi="Times New Roman" w:cs="Arial"/>
          <w:noProof/>
          <w:kern w:val="0"/>
          <w14:ligatures w14:val="none"/>
        </w:rPr>
        <w:t xml:space="preserve"> for example improving energy efficiency, introducing renewable energy technologies, investing in sustainable transport, introducing new energy-efficient technologies in production or research for new products and technologies related to the low-carbon economy, climate resilience and adaptation</w:t>
      </w:r>
      <w:r w:rsidRPr="00E60E42">
        <w:rPr>
          <w:rFonts w:ascii="Times New Roman" w:eastAsia="Calibri" w:hAnsi="Times New Roman" w:cs="Arial"/>
          <w:noProof/>
          <w:kern w:val="0"/>
          <w14:ligatures w14:val="none"/>
        </w:rPr>
        <w:t>.</w:t>
      </w:r>
    </w:p>
    <w:p w14:paraId="1E0EC3EC" w14:textId="77777777" w:rsidR="004E39F6" w:rsidRPr="00E60E42" w:rsidRDefault="00A35BEA" w:rsidP="004D4036">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1.2.1.3.i. Improving energy efficiency of municipal buildings</w:t>
      </w:r>
    </w:p>
    <w:p w14:paraId="1E0EC3ED" w14:textId="77777777" w:rsidR="004E39F6" w:rsidRPr="00E60E42" w:rsidRDefault="00A35BEA" w:rsidP="004D403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increase the energy efficiency of Latvian municipal buildings. </w:t>
      </w:r>
    </w:p>
    <w:p w14:paraId="1E0EC3EE" w14:textId="77777777" w:rsidR="004E39F6" w:rsidRPr="00E60E42" w:rsidRDefault="00A35BEA" w:rsidP="004D4036">
      <w:pPr>
        <w:spacing w:after="240" w:line="240" w:lineRule="auto"/>
        <w:jc w:val="both"/>
        <w:rPr>
          <w:rFonts w:ascii="Times New Roman" w:eastAsia="MS Mincho" w:hAnsi="Times New Roman" w:cs="Times New Roman"/>
          <w:noProof/>
          <w:kern w:val="0"/>
          <w14:ligatures w14:val="none"/>
        </w:rPr>
      </w:pPr>
      <w:r w:rsidRPr="00E60E42">
        <w:rPr>
          <w:rFonts w:ascii="Times New Roman" w:eastAsia="Calibri" w:hAnsi="Times New Roman" w:cs="Arial"/>
          <w:noProof/>
          <w:kern w:val="0"/>
          <w14:ligatures w14:val="none"/>
        </w:rPr>
        <w:t>The measure consists of investments in energy efficiency in municipal buildings.</w:t>
      </w:r>
    </w:p>
    <w:p w14:paraId="1E0EC3EF" w14:textId="77777777" w:rsidR="004E39F6" w:rsidRPr="00E60E42" w:rsidRDefault="00A35BEA" w:rsidP="004D4036">
      <w:pPr>
        <w:keepNext/>
        <w:keepLines/>
        <w:spacing w:after="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1.2.1.4.i. Improving the energy efficiency of public sector buildings</w:t>
      </w:r>
    </w:p>
    <w:p w14:paraId="1E0EC3F0" w14:textId="77777777" w:rsidR="004E39F6" w:rsidRPr="00E60E42" w:rsidRDefault="00A35BEA" w:rsidP="005F4C10">
      <w:pPr>
        <w:spacing w:before="120" w:after="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increase the energy efficiency of the Latvian public building stock. </w:t>
      </w:r>
    </w:p>
    <w:p w14:paraId="1E0EC3F1" w14:textId="77777777" w:rsidR="004E39F6" w:rsidRPr="00E60E42" w:rsidRDefault="00A35BEA" w:rsidP="004D4036">
      <w:pPr>
        <w:spacing w:after="240" w:line="240" w:lineRule="auto"/>
        <w:jc w:val="both"/>
        <w:rPr>
          <w:rFonts w:ascii="Times New Roman" w:eastAsia="MS Mincho" w:hAnsi="Times New Roman" w:cs="Times New Roman"/>
          <w:noProof/>
          <w:kern w:val="0"/>
          <w14:ligatures w14:val="none"/>
        </w:rPr>
      </w:pPr>
      <w:r w:rsidRPr="00E60E42">
        <w:rPr>
          <w:rFonts w:ascii="Times New Roman" w:eastAsia="Calibri" w:hAnsi="Times New Roman" w:cs="Arial"/>
          <w:noProof/>
          <w:kern w:val="0"/>
          <w14:ligatures w14:val="none"/>
        </w:rPr>
        <w:t>The measure consists of energy efficiency improvements in public buildings.</w:t>
      </w:r>
    </w:p>
    <w:p w14:paraId="1E0EC3F2" w14:textId="77777777" w:rsidR="004E39F6" w:rsidRPr="00E60E42" w:rsidRDefault="00A35BEA" w:rsidP="004D4036">
      <w:pPr>
        <w:keepNext/>
        <w:keepLines/>
        <w:spacing w:after="12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Investment: 1.2.1.5.i. Modernisation of electricity transmission and distribution networks</w:t>
      </w:r>
    </w:p>
    <w:p w14:paraId="1E0EC3F3" w14:textId="77777777" w:rsidR="004E39F6" w:rsidRPr="00E60E42" w:rsidRDefault="00A35BEA" w:rsidP="004D4036">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objective of the measure is to contribute to reaching climate neutrality objectives.</w:t>
      </w:r>
    </w:p>
    <w:p w14:paraId="1E0EC3F4" w14:textId="77777777" w:rsidR="004E39F6" w:rsidRPr="00E60E42" w:rsidRDefault="00A35BEA" w:rsidP="004D4036">
      <w:pPr>
        <w:spacing w:after="24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measure consists of support for infrastructure for electro-mobility and micro-generation installations, and entry into force of legal act(s) to facilitate onshore wind energy on public land.</w:t>
      </w:r>
    </w:p>
    <w:p w14:paraId="1E0EC3F5" w14:textId="77777777" w:rsidR="004E39F6" w:rsidRPr="00E60E42" w:rsidRDefault="00A35BEA" w:rsidP="004D4036">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1.3.1.r. Disaster management system adaptation to climate change, rescue and rapid response services</w:t>
      </w:r>
    </w:p>
    <w:p w14:paraId="1E0EC3F6" w14:textId="77777777" w:rsidR="004E39F6" w:rsidRPr="00E60E42" w:rsidRDefault="00A35BEA" w:rsidP="004D403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shorten the response time of fire rescue services.</w:t>
      </w:r>
    </w:p>
    <w:p w14:paraId="1E0EC3F7" w14:textId="77777777" w:rsidR="004E39F6" w:rsidRPr="00E60E42" w:rsidRDefault="00A35BEA" w:rsidP="004D4036">
      <w:pPr>
        <w:spacing w:after="240" w:line="240" w:lineRule="auto"/>
        <w:jc w:val="both"/>
        <w:rPr>
          <w:rFonts w:ascii="Times New Roman" w:eastAsia="MS Mincho"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entry into force of a legal act on the national early warning system.</w:t>
      </w:r>
    </w:p>
    <w:p w14:paraId="1E0EC3F8" w14:textId="77777777" w:rsidR="004E39F6" w:rsidRPr="00E60E42" w:rsidRDefault="00A35BEA" w:rsidP="004D4036">
      <w:pPr>
        <w:keepNext/>
        <w:keepLines/>
        <w:spacing w:after="12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Investment: 1.3.1.1.i. Increasing the capacity of the rescue services</w:t>
      </w:r>
    </w:p>
    <w:p w14:paraId="1E0EC3F9" w14:textId="77777777" w:rsidR="004E39F6" w:rsidRPr="00E60E42" w:rsidRDefault="00A35BEA" w:rsidP="004D4036">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objective of the measure is to contribute to climate change adaptation.</w:t>
      </w:r>
    </w:p>
    <w:p w14:paraId="1E0EC3FA" w14:textId="77777777" w:rsidR="004E39F6" w:rsidRPr="00E60E42" w:rsidRDefault="00A35BEA" w:rsidP="004D4036">
      <w:pPr>
        <w:spacing w:after="240" w:line="240" w:lineRule="auto"/>
        <w:jc w:val="both"/>
        <w:rPr>
          <w:rFonts w:ascii="Times New Roman" w:eastAsia="MS Mincho"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construction of eight disaster management centres.</w:t>
      </w:r>
    </w:p>
    <w:p w14:paraId="1E0EC3FB" w14:textId="77777777" w:rsidR="004E39F6" w:rsidRPr="00E60E42" w:rsidRDefault="00A35BEA" w:rsidP="004D4036">
      <w:pPr>
        <w:keepNext/>
        <w:keepLines/>
        <w:spacing w:after="120" w:line="240" w:lineRule="auto"/>
        <w:jc w:val="both"/>
        <w:rPr>
          <w:rFonts w:ascii="Times New Roman" w:eastAsia="Calibri" w:hAnsi="Times New Roman" w:cs="Times New Roman"/>
          <w:noProof/>
          <w:kern w:val="0"/>
          <w:u w:val="single"/>
          <w14:ligatures w14:val="none"/>
        </w:rPr>
      </w:pPr>
      <w:bookmarkStart w:id="2" w:name="_Hlk150175889"/>
      <w:r w:rsidRPr="00E60E42">
        <w:rPr>
          <w:rFonts w:ascii="Times New Roman" w:eastAsia="Calibri" w:hAnsi="Times New Roman" w:cs="Arial"/>
          <w:noProof/>
          <w:kern w:val="0"/>
          <w:u w:val="single"/>
          <w14:ligatures w14:val="none"/>
        </w:rPr>
        <w:t>Investment: 1.3.1.2.i. Investments in flood risk reduction infrastructure</w:t>
      </w:r>
    </w:p>
    <w:p w14:paraId="1E0EC3FC" w14:textId="77777777" w:rsidR="004E39F6" w:rsidRPr="00E60E42" w:rsidRDefault="00A35BEA" w:rsidP="004D4036">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contribute to climate change adaptation</w:t>
      </w:r>
      <w:r w:rsidRPr="00E60E42">
        <w:rPr>
          <w:rFonts w:ascii="Times New Roman" w:eastAsia="Calibri" w:hAnsi="Times New Roman" w:cs="Arial"/>
          <w:noProof/>
          <w:color w:val="333333"/>
          <w:kern w:val="0"/>
          <w14:ligatures w14:val="none"/>
        </w:rPr>
        <w:t>.</w:t>
      </w:r>
    </w:p>
    <w:p w14:paraId="1E0EC3FD" w14:textId="77777777" w:rsidR="004E39F6" w:rsidRPr="00E60E42" w:rsidRDefault="00A35BEA" w:rsidP="004D4036">
      <w:pPr>
        <w:spacing w:after="0" w:line="240" w:lineRule="auto"/>
        <w:jc w:val="both"/>
        <w:rPr>
          <w:rFonts w:ascii="Times New Roman" w:eastAsia="Calibri" w:hAnsi="Times New Roman" w:cs="Arial"/>
          <w:noProof/>
          <w:kern w:val="0"/>
          <w14:ligatures w14:val="none"/>
        </w:rPr>
        <w:sectPr w:rsidR="004E39F6" w:rsidRPr="00E60E42" w:rsidSect="0045167D">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567" w:footer="567" w:gutter="0"/>
          <w:cols w:space="720"/>
          <w:docGrid w:linePitch="360"/>
        </w:sectPr>
      </w:pPr>
      <w:r w:rsidRPr="00E60E42">
        <w:rPr>
          <w:rFonts w:ascii="Times New Roman" w:eastAsia="Calibri" w:hAnsi="Times New Roman" w:cs="Arial"/>
          <w:noProof/>
          <w:kern w:val="0"/>
          <w14:ligatures w14:val="none"/>
        </w:rPr>
        <w:t>The measure consists of supporting flood risk protection projects.</w:t>
      </w:r>
    </w:p>
    <w:p w14:paraId="1E0EC3FE" w14:textId="77777777" w:rsidR="004E39F6" w:rsidRPr="00E60E42" w:rsidRDefault="00A35BEA" w:rsidP="004D4036">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A.2. Milestones, targets, indicators, and timetable for monitoring and implementation for non-repayable financial support</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987"/>
        <w:gridCol w:w="1559"/>
        <w:gridCol w:w="1559"/>
        <w:gridCol w:w="1134"/>
        <w:gridCol w:w="992"/>
        <w:gridCol w:w="1134"/>
        <w:gridCol w:w="851"/>
        <w:gridCol w:w="709"/>
        <w:gridCol w:w="3974"/>
      </w:tblGrid>
      <w:tr w:rsidR="0048758A" w:rsidRPr="00E60E42" w14:paraId="1E0EC407" w14:textId="77777777" w:rsidTr="00E266E9">
        <w:trPr>
          <w:trHeight w:val="761"/>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3FF" w14:textId="77777777" w:rsidR="004E39F6" w:rsidRPr="00E60E42" w:rsidRDefault="00A35BEA" w:rsidP="00990967">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0"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Related Measure (Reform or Investment)</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1" w14:textId="0E2DB793" w:rsidR="004E39F6" w:rsidRPr="00E60E42" w:rsidRDefault="00A35BEA" w:rsidP="00990967">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Milestone/Target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2"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3" w14:textId="2CFCB80C"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Qualitative indicators </w:t>
            </w:r>
            <w:r w:rsidRPr="00E60E42">
              <w:rPr>
                <w:rFonts w:ascii="Times New Roman" w:eastAsia="Calibri" w:hAnsi="Times New Roman" w:cs="Times New Roman"/>
                <w:noProof/>
                <w:kern w:val="0"/>
                <w:sz w:val="18"/>
                <w:szCs w:val="18"/>
                <w14:ligatures w14:val="none"/>
              </w:rPr>
              <w:br/>
            </w:r>
            <w:r w:rsidRPr="00E60E42">
              <w:rPr>
                <w:rFonts w:ascii="Times New Roman" w:eastAsia="Calibri" w:hAnsi="Times New Roman" w:cs="Times New Roman"/>
                <w:b/>
                <w:noProof/>
                <w:kern w:val="0"/>
                <w:sz w:val="18"/>
                <w:szCs w:val="18"/>
                <w14:ligatures w14:val="none"/>
              </w:rPr>
              <w:t>(for milestones)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404" w14:textId="762D7368"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Quantitative indicators </w:t>
            </w:r>
            <w:r w:rsidRPr="00E60E42">
              <w:rPr>
                <w:rFonts w:ascii="Times New Roman" w:eastAsia="Calibri" w:hAnsi="Times New Roman" w:cs="Times New Roman"/>
                <w:noProof/>
                <w:kern w:val="0"/>
                <w:sz w:val="18"/>
                <w:szCs w:val="18"/>
                <w14:ligatures w14:val="none"/>
              </w:rPr>
              <w:br/>
            </w:r>
            <w:r w:rsidRPr="00E60E42">
              <w:rPr>
                <w:rFonts w:ascii="Times New Roman" w:eastAsia="Calibri" w:hAnsi="Times New Roman" w:cs="Times New Roman"/>
                <w:b/>
                <w:noProof/>
                <w:kern w:val="0"/>
                <w:sz w:val="18"/>
                <w:szCs w:val="18"/>
                <w14:ligatures w14:val="none"/>
              </w:rP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405"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Indicative timeline for completion</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6"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Description of each milestone and target</w:t>
            </w:r>
          </w:p>
        </w:tc>
      </w:tr>
      <w:tr w:rsidR="0048758A" w:rsidRPr="00E60E42" w14:paraId="1E0EC413" w14:textId="77777777" w:rsidTr="00E266E9">
        <w:trPr>
          <w:tblHeader/>
          <w:jc w:val="center"/>
        </w:trPr>
        <w:tc>
          <w:tcPr>
            <w:tcW w:w="568" w:type="dxa"/>
            <w:vMerge/>
            <w:tcBorders>
              <w:top w:val="single" w:sz="4" w:space="0" w:color="auto"/>
              <w:left w:val="single" w:sz="4" w:space="0" w:color="auto"/>
              <w:bottom w:val="single" w:sz="4" w:space="0" w:color="auto"/>
              <w:right w:val="single" w:sz="4" w:space="0" w:color="auto"/>
            </w:tcBorders>
            <w:vAlign w:val="center"/>
          </w:tcPr>
          <w:p w14:paraId="1E0EC408" w14:textId="77777777" w:rsidR="004E39F6" w:rsidRPr="00E60E42" w:rsidRDefault="004E39F6" w:rsidP="00990967">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E0EC409"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1E0EC40A" w14:textId="77777777" w:rsidR="004E39F6" w:rsidRPr="00E60E42" w:rsidRDefault="004E39F6" w:rsidP="00990967">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0EC40B"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0EC40C"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D"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E"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Baseline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F"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tcPr>
          <w:p w14:paraId="1E0EC410"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E0EC411"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b/>
                <w:noProof/>
                <w:kern w:val="0"/>
                <w:sz w:val="18"/>
                <w:szCs w:val="18"/>
                <w14:ligatures w14:val="none"/>
              </w:rPr>
              <w:t>Year</w:t>
            </w:r>
          </w:p>
        </w:tc>
        <w:tc>
          <w:tcPr>
            <w:tcW w:w="3974" w:type="dxa"/>
            <w:vMerge/>
            <w:tcBorders>
              <w:top w:val="single" w:sz="4" w:space="0" w:color="auto"/>
              <w:left w:val="single" w:sz="4" w:space="0" w:color="auto"/>
              <w:bottom w:val="single" w:sz="4" w:space="0" w:color="auto"/>
              <w:right w:val="single" w:sz="4" w:space="0" w:color="auto"/>
            </w:tcBorders>
            <w:vAlign w:val="center"/>
          </w:tcPr>
          <w:p w14:paraId="1E0EC412"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r>
      <w:tr w:rsidR="0048758A" w:rsidRPr="00E60E42" w14:paraId="1E0EC421"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1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15"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1.1.1.r. A sustainable transport system</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1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17"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Coordinated approach for passenger transport planning, ordering and organisation of the Riga metropolitan area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18"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 coordinated approach has been implemented for passenger transport planning, ordering and organisation of the Riga metropolitan area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1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1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1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1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1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2023</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1E" w14:textId="77777777" w:rsidR="004E39F6" w:rsidRPr="00E60E42" w:rsidRDefault="00A35BEA" w:rsidP="00884269">
            <w:pPr>
              <w:spacing w:after="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Completion of the necessary steps to implement coordinated approach. This includes among others:</w:t>
            </w:r>
          </w:p>
          <w:p w14:paraId="1E0EC41F" w14:textId="77777777" w:rsidR="004E39F6" w:rsidRPr="00E60E42" w:rsidRDefault="00A35BEA" w:rsidP="00884269">
            <w:pPr>
              <w:spacing w:after="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setting up a working group for the coordination of Riga metropolitan area public transport planning;</w:t>
            </w:r>
          </w:p>
          <w:p w14:paraId="1E0EC420"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The Riga metropolitan area public transport plan has been adopted in line with the development of passenger transport by rail in Latvia.</w:t>
            </w:r>
          </w:p>
        </w:tc>
      </w:tr>
      <w:tr w:rsidR="0048758A" w:rsidRPr="00E60E42" w14:paraId="1E0EC430"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2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23"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1.1.1.r. A sustainable transport system</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2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25"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Sustainable public transport reform</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26"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Legal act(s) have entered into force and report(s) have been approved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2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2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2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2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2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2C" w14:textId="77777777" w:rsidR="004E39F6" w:rsidRPr="00E60E42" w:rsidRDefault="00A35BEA" w:rsidP="00884269">
            <w:pPr>
              <w:spacing w:after="0" w:line="240" w:lineRule="auto"/>
              <w:jc w:val="both"/>
              <w:rPr>
                <w:rFonts w:ascii="Times New Roman" w:eastAsia="MS Mincho"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 The approval of the review of the national transport route network by the Public Transport Council;</w:t>
            </w:r>
          </w:p>
          <w:p w14:paraId="1E0EC42D" w14:textId="77777777" w:rsidR="004E39F6" w:rsidRPr="00E60E42" w:rsidRDefault="00A35BEA" w:rsidP="00884269">
            <w:pPr>
              <w:spacing w:after="0" w:line="240" w:lineRule="auto"/>
              <w:jc w:val="both"/>
              <w:rPr>
                <w:rFonts w:ascii="Times New Roman" w:eastAsia="MS Mincho"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 Entry into force of legal act(s) regulating the single discount policy for public transport at national level;</w:t>
            </w:r>
          </w:p>
          <w:p w14:paraId="1E0EC42E" w14:textId="77777777" w:rsidR="004E39F6" w:rsidRPr="00E60E42" w:rsidRDefault="00A35BEA" w:rsidP="00884269">
            <w:pPr>
              <w:spacing w:after="0" w:line="240" w:lineRule="auto"/>
              <w:jc w:val="both"/>
              <w:rPr>
                <w:rFonts w:ascii="Times New Roman" w:eastAsia="MS Mincho"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 Entry into force of legal act(s) regulating the harmonised timetable for regional buses and train routes in Riga metropolitan area, including a single tariff and a unified public transport ticketing system;</w:t>
            </w:r>
          </w:p>
          <w:p w14:paraId="1E0EC42F"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 The roll-out of a pilot project on the single ticket for public city transport and trains within Riga municipality.</w:t>
            </w:r>
          </w:p>
        </w:tc>
      </w:tr>
      <w:tr w:rsidR="0048758A" w:rsidRPr="00E60E42" w14:paraId="1E0EC443"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3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32" w14:textId="77777777" w:rsidR="004E39F6" w:rsidRPr="00E60E42" w:rsidRDefault="00A35BEA" w:rsidP="00884269">
            <w:pPr>
              <w:spacing w:after="120" w:line="240" w:lineRule="auto"/>
              <w:rPr>
                <w:rFonts w:ascii="Times New Roman" w:eastAsia="MS Mincho"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1.1.1.i. Improving Riga </w:t>
            </w:r>
            <w:r w:rsidRPr="00E60E42">
              <w:rPr>
                <w:rFonts w:ascii="Times New Roman" w:eastAsia="Calibri" w:hAnsi="Times New Roman" w:cs="Times New Roman"/>
                <w:b/>
                <w:bCs/>
                <w:noProof/>
                <w:kern w:val="0"/>
                <w:sz w:val="18"/>
                <w:szCs w:val="18"/>
                <w14:ligatures w14:val="none"/>
              </w:rPr>
              <w:t>m</w:t>
            </w:r>
            <w:r w:rsidRPr="00E60E42">
              <w:rPr>
                <w:rFonts w:ascii="Times New Roman" w:eastAsia="Calibri" w:hAnsi="Times New Roman" w:cs="Times New Roman"/>
                <w:b/>
                <w:noProof/>
                <w:kern w:val="0"/>
                <w:sz w:val="18"/>
                <w:szCs w:val="18"/>
                <w14:ligatures w14:val="none"/>
              </w:rPr>
              <w:t xml:space="preserve">etropolitan transport infrastructure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3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34"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Transport projects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35" w14:textId="77777777" w:rsidR="004E39F6" w:rsidRPr="00E60E42" w:rsidRDefault="00A35BEA" w:rsidP="00884269">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Transport projects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3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3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3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3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3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3B"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100 km of electrified rail lines and upgraded railway infrastructure;</w:t>
            </w:r>
          </w:p>
          <w:p w14:paraId="1E0EC43C"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color w:val="000000"/>
                <w:kern w:val="0"/>
                <w:sz w:val="18"/>
                <w:szCs w:val="18"/>
                <w14:ligatures w14:val="none"/>
              </w:rPr>
              <w:t>17 electric buses delivered;</w:t>
            </w:r>
          </w:p>
          <w:p w14:paraId="1E0EC43D"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7 charging stations for buses constructed;</w:t>
            </w:r>
          </w:p>
          <w:p w14:paraId="1E0EC43E"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One transport hub constructed;</w:t>
            </w:r>
          </w:p>
          <w:p w14:paraId="1E0EC43F"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Eight mobility points constructed;</w:t>
            </w:r>
          </w:p>
          <w:p w14:paraId="1E0EC440"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2.2 km of tram line constructed;</w:t>
            </w:r>
          </w:p>
          <w:p w14:paraId="1E0EC441"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0.3 km of trolleybus line constructed;</w:t>
            </w:r>
          </w:p>
          <w:p w14:paraId="1E0EC442" w14:textId="77777777" w:rsidR="004E39F6" w:rsidRPr="00E60E42" w:rsidRDefault="00A35BEA" w:rsidP="00884269">
            <w:pPr>
              <w:pStyle w:val="ListParagraph"/>
              <w:numPr>
                <w:ilvl w:val="0"/>
                <w:numId w:val="18"/>
              </w:numPr>
              <w:spacing w:after="120" w:line="240" w:lineRule="auto"/>
              <w:ind w:left="180" w:hanging="142"/>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52 km of newly built or renovated cycle infrastructure in Riga and Pieriga.</w:t>
            </w:r>
          </w:p>
        </w:tc>
      </w:tr>
      <w:tr w:rsidR="0048758A" w:rsidRPr="00E60E42" w14:paraId="1E0EC44F"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4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45" w14:textId="77777777" w:rsidR="004E39F6" w:rsidRPr="00E60E42" w:rsidRDefault="00A35BEA" w:rsidP="00884269">
            <w:pPr>
              <w:spacing w:after="120" w:line="240" w:lineRule="auto"/>
              <w:rPr>
                <w:rFonts w:ascii="Times New Roman" w:eastAsia="MS Mincho"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1.1.1.i. Improving Riga </w:t>
            </w:r>
            <w:r w:rsidRPr="00E60E42">
              <w:rPr>
                <w:rFonts w:ascii="Times New Roman" w:eastAsia="Calibri" w:hAnsi="Times New Roman" w:cs="Times New Roman"/>
                <w:b/>
                <w:bCs/>
                <w:noProof/>
                <w:kern w:val="0"/>
                <w:sz w:val="18"/>
                <w:szCs w:val="18"/>
                <w14:ligatures w14:val="none"/>
              </w:rPr>
              <w:t>m</w:t>
            </w:r>
            <w:r w:rsidRPr="00E60E42">
              <w:rPr>
                <w:rFonts w:ascii="Times New Roman" w:eastAsia="Calibri" w:hAnsi="Times New Roman" w:cs="Times New Roman"/>
                <w:b/>
                <w:noProof/>
                <w:kern w:val="0"/>
                <w:sz w:val="18"/>
                <w:szCs w:val="18"/>
                <w14:ligatures w14:val="none"/>
              </w:rPr>
              <w:t xml:space="preserve">etropolitan transport infrastructure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4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47" w14:textId="77777777" w:rsidR="004E39F6" w:rsidRPr="00E60E42" w:rsidRDefault="00A35BEA" w:rsidP="00884269">
            <w:pPr>
              <w:spacing w:after="120" w:line="257"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Signature of contract(s) for Riga Central Railway Station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48"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Signed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4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4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4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4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4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2025</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4E"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Signature of contract(s) for construction works and for supervision of construction works in the southern part of Riga Central Railway Station. The construction works in the southern part of the Riga Central Railway Station include roof laying, façade, platform canopy roof, finishing works, passenger access infrastructure, mechanical, electrical and plumbing works.</w:t>
            </w:r>
          </w:p>
        </w:tc>
      </w:tr>
      <w:tr w:rsidR="0048758A" w:rsidRPr="00E60E42" w14:paraId="1E0EC45B" w14:textId="77777777" w:rsidTr="00E266E9">
        <w:trPr>
          <w:trHeight w:val="300"/>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5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4a</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51" w14:textId="77777777" w:rsidR="004E39F6" w:rsidRPr="00E60E42" w:rsidRDefault="00A35BEA" w:rsidP="00884269">
            <w:pPr>
              <w:spacing w:after="120" w:line="240" w:lineRule="auto"/>
              <w:rPr>
                <w:rFonts w:ascii="Times New Roman" w:eastAsia="MS Mincho"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1.1.1.i. Improving Riga </w:t>
            </w:r>
            <w:r w:rsidRPr="00E60E42">
              <w:rPr>
                <w:rFonts w:ascii="Times New Roman" w:eastAsia="Calibri" w:hAnsi="Times New Roman" w:cs="Times New Roman"/>
                <w:b/>
                <w:bCs/>
                <w:noProof/>
                <w:kern w:val="0"/>
                <w:sz w:val="18"/>
                <w:szCs w:val="18"/>
                <w14:ligatures w14:val="none"/>
              </w:rPr>
              <w:t>m</w:t>
            </w:r>
            <w:r w:rsidRPr="00E60E42">
              <w:rPr>
                <w:rFonts w:ascii="Times New Roman" w:eastAsia="Calibri" w:hAnsi="Times New Roman" w:cs="Times New Roman"/>
                <w:b/>
                <w:noProof/>
                <w:kern w:val="0"/>
                <w:sz w:val="18"/>
                <w:szCs w:val="18"/>
                <w14:ligatures w14:val="none"/>
              </w:rPr>
              <w:t xml:space="preserve">etropolitan transport infrastructure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5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3"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Riga Central Railway Station</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4"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Construction works carried out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5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5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5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5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5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5A"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Construction works carried out in the southern part of Riga Central Railway Station related to: roof laying, façade, platform canopy roof, finishing works, passenger access infrastructure, mechanical, electrical and plumbing works.</w:t>
            </w:r>
          </w:p>
        </w:tc>
      </w:tr>
      <w:tr w:rsidR="0048758A" w:rsidRPr="00E60E42" w14:paraId="1E0EC467"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5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bookmarkStart w:id="3" w:name="_Hlk150176584"/>
            <w:r w:rsidRPr="00E60E42">
              <w:rPr>
                <w:rFonts w:ascii="Times New Roman" w:eastAsia="Calibri" w:hAnsi="Times New Roman" w:cs="Times New Roman"/>
                <w:noProof/>
                <w:kern w:val="0"/>
                <w:sz w:val="18"/>
                <w:szCs w:val="18"/>
                <w14:ligatures w14:val="none"/>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5D"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1.2.1.1.i. Improving the energy efficiency of multi-apartment buildings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5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F"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support programme for improving energy efficiency in residential buildings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0"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support programme for improving energy efficiency in residential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6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6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6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66"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support programme for improving energy efficiency in residential buildings with eligibility criteria to reflect requirements of applicable intervention field “025 bis – energy efficiency renovation of existing housing, demonstration projects and support measures meeting energy efficiency criteria” of Annex VI of the RRF Regulation. </w:t>
            </w:r>
          </w:p>
        </w:tc>
      </w:tr>
      <w:bookmarkEnd w:id="3"/>
      <w:tr w:rsidR="0048758A" w:rsidRPr="00E60E42" w14:paraId="1E0EC473"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6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69"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1.2.1.1.i. Improving the energy efficiency of multi-apartment buildings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6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B"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Contracts signed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6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40 097 400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7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7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72"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Contracts signed by ALTUM representing at least EUR 40 097 400.</w:t>
            </w:r>
          </w:p>
        </w:tc>
      </w:tr>
      <w:tr w:rsidR="0048758A" w:rsidRPr="00E60E42" w14:paraId="1E0EC47F"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7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75"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1.2.1.1.i. Improving the energy efficiency of multi-apartment buildings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7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77"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Reduction of primary energy consumption in multi-apartment buildings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7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7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MWh/ </w:t>
            </w:r>
            <w:r w:rsidRPr="00E60E42">
              <w:rPr>
                <w:rFonts w:ascii="Times New Roman" w:eastAsia="Calibri" w:hAnsi="Times New Roman" w:cs="Times New Roman"/>
                <w:noProof/>
                <w:kern w:val="0"/>
                <w:sz w:val="18"/>
                <w:szCs w:val="18"/>
                <w14:ligatures w14:val="none"/>
              </w:rPr>
              <w:br/>
              <w:t>Year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7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7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14 423</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7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7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7E"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Reduction of primary energy consumption in multi-apartment buildings </w:t>
            </w:r>
            <w:r w:rsidRPr="00E60E42">
              <w:rPr>
                <w:rFonts w:ascii="Times New Roman" w:eastAsia="Times New Roman" w:hAnsi="Times New Roman" w:cs="Times New Roman"/>
                <w:noProof/>
                <w:kern w:val="0"/>
                <w:sz w:val="18"/>
                <w:szCs w:val="18"/>
                <w14:ligatures w14:val="none"/>
              </w:rPr>
              <w:t>demonstrated by ex ante and ex post energy performance certificates.</w:t>
            </w:r>
          </w:p>
        </w:tc>
      </w:tr>
      <w:tr w:rsidR="0048758A" w:rsidRPr="00E60E42" w14:paraId="1E0EC490"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8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81" w14:textId="77777777" w:rsidR="004E39F6" w:rsidRPr="00E60E42" w:rsidRDefault="00A35BEA" w:rsidP="00884269">
            <w:pPr>
              <w:spacing w:after="120" w:line="240" w:lineRule="auto"/>
              <w:rPr>
                <w:rFonts w:ascii="Times New Roman" w:eastAsia="MS Mincho"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1.2.1.2.i. Increasing energy efficiency in business in the form of a combined financial instrument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8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83"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the Support Programme for Entrepreneurial Energy Efficiency</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84"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Regulation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8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8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8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8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8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8A"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Regulation approved by the Cabinet of Ministers supporting the implementation of programmes to improve energy efficiency of businesses.</w:t>
            </w:r>
          </w:p>
          <w:p w14:paraId="1E0EC48B"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The support programmes shall be implemented in the form of a combined financial instrument, which is a repayable loan and a capital discount. </w:t>
            </w:r>
          </w:p>
          <w:p w14:paraId="1E0EC48C"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As eligibility criteria to reflect requirements of applicable intervention field “024.ter – Energy efficiency and demonstration projects in SMEs or large enterprises and support measures meeting energy efficiency criteria [3]” of Annex VI of the RRF Regulation the aid conditions shall set a minimum primary energy saving of 30 % for energy efficiency projects in buildings and for equipment, a minimum of 30 % of average primary energy savings in the project portfolio of the RRF measure (with at least 25 % for energy efficiency equipment).</w:t>
            </w:r>
          </w:p>
          <w:p w14:paraId="1E0EC48D" w14:textId="77777777" w:rsidR="004E39F6" w:rsidRPr="00E60E42" w:rsidRDefault="00A35BEA" w:rsidP="00884269">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In order to ensure that results are achieved, the conditions shall include a minimum threshold for energy savings per euro of public funding invested as an eligibility criterion for the project.</w:t>
            </w:r>
          </w:p>
          <w:p w14:paraId="1E0EC48E"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conditions shall include eligibility criteria to ensure compliance with the DNSH principles in line with the DNSH Guidelines (2021/C58/01) and with relevant EU and national legislation.</w:t>
            </w:r>
          </w:p>
          <w:p w14:paraId="1E0EC48F"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Support shall be provided through competitive tendering for projects with the highest expected energy savings per one euro invested.</w:t>
            </w:r>
          </w:p>
        </w:tc>
      </w:tr>
      <w:tr w:rsidR="0048758A" w:rsidRPr="00E60E42" w14:paraId="1E0EC4A8"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9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9E"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1.2.1.2.i. Increasing energy efficiency in business in the form of a combined financial instrument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9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0"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Contracts signed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A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101 000 000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A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A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A7" w14:textId="6967D796"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Contracts signed representing at least EUR 101 000 000.</w:t>
            </w:r>
            <w:r w:rsidR="00F939AD" w:rsidRPr="00E60E42">
              <w:rPr>
                <w:rFonts w:ascii="Times New Roman" w:eastAsia="Calibri" w:hAnsi="Times New Roman" w:cs="Times New Roman"/>
                <w:noProof/>
                <w:kern w:val="0"/>
                <w:sz w:val="18"/>
                <w:szCs w:val="18"/>
                <w14:ligatures w14:val="none"/>
              </w:rPr>
              <w:t xml:space="preserve"> </w:t>
            </w:r>
            <w:r w:rsidR="00F939AD" w:rsidRPr="00E60E42">
              <w:rPr>
                <w:rFonts w:ascii="Times New Roman" w:hAnsi="Times New Roman"/>
                <w:noProof/>
                <w:sz w:val="18"/>
                <w:szCs w:val="18"/>
              </w:rPr>
              <w:t>Planned Greenhouse gas (GHG) emission savings of at least 11</w:t>
            </w:r>
            <w:r w:rsidR="008A2C3F" w:rsidRPr="00E60E42">
              <w:rPr>
                <w:rFonts w:ascii="Times New Roman" w:hAnsi="Times New Roman"/>
                <w:noProof/>
                <w:sz w:val="18"/>
                <w:szCs w:val="18"/>
              </w:rPr>
              <w:t> </w:t>
            </w:r>
            <w:r w:rsidR="00F939AD" w:rsidRPr="00E60E42">
              <w:rPr>
                <w:rFonts w:ascii="Times New Roman" w:hAnsi="Times New Roman"/>
                <w:noProof/>
                <w:sz w:val="18"/>
                <w:szCs w:val="18"/>
              </w:rPr>
              <w:t>498 tonnes of CO2 equivalent per year.</w:t>
            </w:r>
          </w:p>
        </w:tc>
      </w:tr>
      <w:tr w:rsidR="0048758A" w:rsidRPr="00E60E42" w14:paraId="1E0EC4B4"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A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AA"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1.2.1.3.i. Improving energy efficiency of municipal buildings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A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C"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the legal framework for a support programme to improve energy efficiency in municipal infrastructure, which supports projects with a planned reduction of primary energy or CO2 by at least 30%</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D"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Cabinet Regulation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A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B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B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B3"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Cabinet Regulation laying down implementing conditions for improvement of local government buildings and infrastructure, promoting the transition to the use of renewable energy technologies and improving energy efficiency, with eligibility criteria to reflect requirements of applicable intervention field “026 bis – Energy recovery or energy efficiency measures for public infrastructure, demonstration projects and support measures meeting energy efficiency criteria” of Annex VI of the RRF Regulation. </w:t>
            </w:r>
          </w:p>
        </w:tc>
      </w:tr>
      <w:tr w:rsidR="0048758A" w:rsidRPr="00E60E42" w14:paraId="1E0EC4C0"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B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B6"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1.2.1.3.i. Improving</w:t>
            </w:r>
            <w:r w:rsidRPr="00E60E42">
              <w:rPr>
                <w:rFonts w:ascii="Times New Roman" w:eastAsia="Calibri" w:hAnsi="Times New Roman" w:cs="Times New Roman"/>
                <w:b/>
                <w:bCs/>
                <w:noProof/>
                <w:kern w:val="0"/>
                <w:sz w:val="18"/>
                <w:szCs w:val="18"/>
                <w14:ligatures w14:val="none"/>
              </w:rPr>
              <w:t xml:space="preserve"> energy efficiency of</w:t>
            </w:r>
            <w:r w:rsidRPr="00E60E42">
              <w:rPr>
                <w:rFonts w:ascii="Times New Roman" w:eastAsia="Calibri" w:hAnsi="Times New Roman" w:cs="Times New Roman"/>
                <w:b/>
                <w:noProof/>
                <w:kern w:val="0"/>
                <w:sz w:val="18"/>
                <w:szCs w:val="18"/>
                <w14:ligatures w14:val="none"/>
              </w:rPr>
              <w:t xml:space="preserve"> municipal buildings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B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B8"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Award of contracts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B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B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27 838 800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B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B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BF"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Notification of the award of contracts for at least EUR 27 838 800.</w:t>
            </w:r>
          </w:p>
        </w:tc>
      </w:tr>
      <w:tr w:rsidR="0048758A" w:rsidRPr="00E60E42" w14:paraId="1E0EC4CC"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C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C2"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 xml:space="preserve">1.2.1.3.i. </w:t>
            </w:r>
            <w:r w:rsidRPr="00E60E42">
              <w:rPr>
                <w:rFonts w:ascii="Times New Roman" w:eastAsia="Calibri" w:hAnsi="Times New Roman" w:cs="Times New Roman"/>
                <w:b/>
                <w:bCs/>
                <w:noProof/>
                <w:kern w:val="0"/>
                <w:sz w:val="18"/>
                <w:szCs w:val="18"/>
                <w14:ligatures w14:val="none"/>
              </w:rPr>
              <w:t xml:space="preserve">Improving energy efficiency of </w:t>
            </w:r>
            <w:r w:rsidRPr="00E60E42">
              <w:rPr>
                <w:rFonts w:ascii="Times New Roman" w:eastAsia="Calibri" w:hAnsi="Times New Roman" w:cs="Times New Roman"/>
                <w:b/>
                <w:noProof/>
                <w:kern w:val="0"/>
                <w:sz w:val="18"/>
                <w:szCs w:val="18"/>
                <w14:ligatures w14:val="none"/>
              </w:rPr>
              <w:t xml:space="preserve">municipal buildings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C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C4"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Reduction in primary energy consumption in municipal buildings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C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C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KWh/Year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C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C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4 544 563</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C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C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2025</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CB" w14:textId="77777777" w:rsidR="004E39F6" w:rsidRPr="00E60E42" w:rsidRDefault="00A35BEA" w:rsidP="00884269">
            <w:pPr>
              <w:spacing w:after="120" w:line="276" w:lineRule="auto"/>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Reduction in primary energy consumption in municipal buildings</w:t>
            </w:r>
            <w:r w:rsidRPr="00E60E42">
              <w:rPr>
                <w:rFonts w:ascii="Times New Roman" w:eastAsia="Times New Roman" w:hAnsi="Times New Roman" w:cs="Times New Roman"/>
                <w:noProof/>
                <w:kern w:val="0"/>
                <w:sz w:val="18"/>
                <w:szCs w:val="18"/>
                <w14:ligatures w14:val="none"/>
              </w:rPr>
              <w:t xml:space="preserve"> demonstrated by ex ante and ex post energy performance certificates.</w:t>
            </w:r>
          </w:p>
        </w:tc>
      </w:tr>
      <w:tr w:rsidR="0048758A" w:rsidRPr="00E60E42" w14:paraId="1E0EC4D8"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C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CE"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1.2.1.4.i. Improving the energy efficiency of public sector buildings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C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0"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support programme for improving energy efficiency in national and historical buildings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1"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support programme for improving energy efficiency in national and historical buildings approved by the Cabinet of Ministers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D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D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D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D7"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a support programme for improving energy efficiency in national and historical buildings, with eligibility criteria to reflect requirements of applicable intervention field 026 bis – Energy recovery or energy efficiency measures for public infrastructure, demonstration projects and support measures meeting energy efficiency criteria of Annex VI of the RRF Regulation. </w:t>
            </w:r>
          </w:p>
        </w:tc>
      </w:tr>
      <w:tr w:rsidR="0048758A" w:rsidRPr="00E60E42" w14:paraId="1E0EC4E4"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D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DA"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1.2.1.4.i. Improving the energy efficiency of public sector buildings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D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C"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Reduction of primary energy consumption in public buildings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MWh/Year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D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3 875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E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E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E3" w14:textId="77777777" w:rsidR="004E39F6" w:rsidRPr="00E60E42" w:rsidRDefault="00A35BEA" w:rsidP="00884269">
            <w:pPr>
              <w:spacing w:after="120" w:line="276"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Reduction of primary energy consumption in public buildings calculated based on </w:t>
            </w:r>
            <w:r w:rsidRPr="00E60E42">
              <w:rPr>
                <w:rFonts w:ascii="Times New Roman" w:eastAsia="Times New Roman" w:hAnsi="Times New Roman" w:cs="Times New Roman"/>
                <w:noProof/>
                <w:kern w:val="0"/>
                <w:sz w:val="18"/>
                <w:szCs w:val="18"/>
                <w14:ligatures w14:val="none"/>
              </w:rPr>
              <w:t>energy performance certificates</w:t>
            </w:r>
            <w:r w:rsidRPr="00E60E42">
              <w:rPr>
                <w:rFonts w:ascii="Times New Roman" w:eastAsia="Calibri" w:hAnsi="Times New Roman" w:cs="Times New Roman"/>
                <w:noProof/>
                <w:kern w:val="0"/>
                <w:sz w:val="18"/>
                <w:szCs w:val="18"/>
                <w14:ligatures w14:val="none"/>
              </w:rPr>
              <w:t>.</w:t>
            </w:r>
          </w:p>
        </w:tc>
      </w:tr>
      <w:tr w:rsidR="0048758A" w:rsidRPr="00E60E42" w14:paraId="1E0EC4F0"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E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E6"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1.2.1.5.i. Modernisation of electricity transmission and distribution networks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E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E8"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Notification of contracts award to projects approved for EUR 80 000 000</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E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E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80 000 000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E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E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2023</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EF"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Notification to beneficiaries of contracts award to projects approved for EUR 80 000 000.</w:t>
            </w:r>
          </w:p>
        </w:tc>
      </w:tr>
      <w:tr w:rsidR="0048758A" w:rsidRPr="00E60E42" w14:paraId="1E0EC4FC"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F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F2"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1.2.1.5.i. Modernisation of electricity transmission and distribution networks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F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F4"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Connection points for charging electric vehicles and microgeneration installations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F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F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F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F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2 060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F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F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FB"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2 060 established connection points for charging electric vehicles and microgeneration installations.</w:t>
            </w:r>
          </w:p>
        </w:tc>
      </w:tr>
      <w:tr w:rsidR="0048758A" w:rsidRPr="00E60E42" w14:paraId="1E0EC50A"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F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FE"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1.2.1.5.i. Modernisation of electricity transmission and distribution networks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F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0"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legal act(s) on wind energy on public land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1"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Legal act(s) have entered into force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0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0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0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0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0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07"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legal act(s): </w:t>
            </w:r>
          </w:p>
          <w:p w14:paraId="1E0EC508" w14:textId="77777777" w:rsidR="004E39F6" w:rsidRPr="00E60E42" w:rsidRDefault="00A35BEA" w:rsidP="00884269">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 Setting out the conditions for granting building rights on public land for the installation of wind farms and obliging the grantor of building rights to publish information on undeveloped land plots to be auctioned;</w:t>
            </w:r>
          </w:p>
          <w:p w14:paraId="1E0EC509" w14:textId="77777777" w:rsidR="004E39F6" w:rsidRPr="00E60E42" w:rsidRDefault="00A35BEA" w:rsidP="00884269">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b) If the State Environmental Service decides to apply an environmental impact assessment, allowing the electricity producer to submit information on planned additional mitigation measures to prevent or reduce the adverse environmental impact of the activity and request that the initial assessment be carried out again.</w:t>
            </w:r>
          </w:p>
        </w:tc>
      </w:tr>
      <w:tr w:rsidR="0048758A" w:rsidRPr="00E60E42" w14:paraId="1E0EC516"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0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0C"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1.3.1.r. Disaster management system adaptation to climate change, rescue and rapid response services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0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E"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Publication of a report on implementation of the disaster risk management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F"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Publication of an information report on the implementation of the disaster risk management system approved by the Cabinet of Ministers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1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2"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1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1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15"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In agreement with the institutions involved in the disaster management system, the Ministry of the Interior shall publish an informative report to the Cabinet of Ministers on the construction sites of disaster centres, construction areas and costs at each construction site, as well as the indicative timetable for the implementation of the disaster management plans to be deployed at each site and on the conclusion of construction contracts, including in the report. The report shall also include an overall reform progress report and an implementation plan on the following reform components: (i) the technical capacity building (notably on the upgrading of specialised response and rescue vehicles), (ii) the timetable for implementation of related disaster management ICT solutions and (iii) progress on implementation of training and preventive measures.</w:t>
            </w:r>
          </w:p>
        </w:tc>
      </w:tr>
      <w:tr w:rsidR="0048758A" w:rsidRPr="00E60E42" w14:paraId="1E0EC522"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1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18" w14:textId="77777777" w:rsidR="004E39F6" w:rsidRPr="00E60E42" w:rsidRDefault="00A35BEA" w:rsidP="00884269">
            <w:pPr>
              <w:spacing w:after="120" w:line="240" w:lineRule="auto"/>
              <w:rPr>
                <w:rFonts w:ascii="Times New Roman" w:eastAsia="Calibri" w:hAnsi="Times New Roman" w:cs="Times New Roman"/>
                <w:b/>
                <w:bCs/>
                <w:noProof/>
                <w:kern w:val="0"/>
                <w:sz w:val="18"/>
                <w:szCs w:val="18"/>
                <w14:ligatures w14:val="none"/>
              </w:rPr>
            </w:pPr>
            <w:r w:rsidRPr="00E60E42">
              <w:rPr>
                <w:rFonts w:ascii="Times New Roman" w:eastAsia="Calibri" w:hAnsi="Times New Roman" w:cs="Times New Roman"/>
                <w:b/>
                <w:bCs/>
                <w:noProof/>
                <w:kern w:val="0"/>
                <w:sz w:val="18"/>
                <w:szCs w:val="18"/>
                <w14:ligatures w14:val="none"/>
              </w:rPr>
              <w:t>1.3.1.1.i. Increasing the capacity of the rescue services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1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1A"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Disaster management centres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1B"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Act(s) of acceptance into service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1D"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E"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1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20"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21"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Act(s) of acceptance into service signed for the construction of eight nearly zero-energy consumption disaster management centres. </w:t>
            </w:r>
          </w:p>
        </w:tc>
      </w:tr>
      <w:tr w:rsidR="0048758A" w:rsidRPr="00E60E42" w14:paraId="1E0EC52E"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23"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24" w14:textId="77777777" w:rsidR="004E39F6" w:rsidRPr="00E60E42" w:rsidRDefault="00A35BEA" w:rsidP="00884269">
            <w:pPr>
              <w:spacing w:after="120" w:line="240" w:lineRule="auto"/>
              <w:rPr>
                <w:rFonts w:ascii="Times New Roman" w:eastAsia="MS Mincho"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1.3.1.r. Disaster management system adaptation to climate change, rescue and rapid response services</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2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26" w14:textId="77777777" w:rsidR="004E39F6" w:rsidRPr="00E60E42" w:rsidRDefault="00A35BEA" w:rsidP="00884269">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Times New Roman" w:hAnsi="Times New Roman" w:cs="Times New Roman"/>
                <w:noProof/>
                <w:kern w:val="0"/>
                <w:sz w:val="18"/>
                <w:szCs w:val="18"/>
                <w14:ligatures w14:val="none"/>
              </w:rPr>
              <w:t>Legal act on the national early warning system</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27"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Legal act has entered into force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2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29"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2A"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2B"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2C"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2025</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2D" w14:textId="77777777" w:rsidR="004E39F6" w:rsidRPr="00E60E42" w:rsidRDefault="00A35BEA" w:rsidP="00884269">
            <w:pPr>
              <w:spacing w:after="12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A legal act shall enter into force that includes obligations for electronic communications operators regarding compatibility and interoperability of their networks with the national early warning system.</w:t>
            </w:r>
            <w:r w:rsidRPr="00E60E42">
              <w:rPr>
                <w:rFonts w:ascii="Times New Roman" w:eastAsia="Times New Roman" w:hAnsi="Times New Roman" w:cs="Times New Roman"/>
                <w:noProof/>
                <w:kern w:val="0"/>
                <w:sz w:val="18"/>
                <w:szCs w:val="18"/>
                <w14:ligatures w14:val="none"/>
              </w:rPr>
              <w:t xml:space="preserve"> </w:t>
            </w:r>
          </w:p>
        </w:tc>
      </w:tr>
      <w:tr w:rsidR="0048758A" w:rsidRPr="00E60E42" w14:paraId="1E0EC53A"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2F"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30" w14:textId="77777777" w:rsidR="004E39F6" w:rsidRPr="00E60E42" w:rsidRDefault="00A35BEA" w:rsidP="00884269">
            <w:pPr>
              <w:spacing w:after="120" w:line="240" w:lineRule="auto"/>
              <w:rPr>
                <w:rFonts w:ascii="Times New Roman" w:eastAsia="MS Mincho"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1.3.1.2.i. Investments in flood risk reduction infrastructure</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31"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2" w14:textId="77777777" w:rsidR="004E39F6" w:rsidRPr="00E60E42" w:rsidRDefault="00A35BEA" w:rsidP="00884269">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Construction contracts signed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3" w14:textId="77777777" w:rsidR="004E39F6" w:rsidRPr="00E60E42" w:rsidRDefault="00A35BEA" w:rsidP="00884269">
            <w:pPr>
              <w:spacing w:after="12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34"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35"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36"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37"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38" w14:textId="77777777" w:rsidR="004E39F6" w:rsidRPr="00E60E42" w:rsidRDefault="00A35BEA" w:rsidP="00884269">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39" w14:textId="77777777" w:rsidR="004E39F6" w:rsidRPr="00E60E42" w:rsidRDefault="00A35BEA" w:rsidP="00884269">
            <w:pPr>
              <w:spacing w:after="200" w:line="276"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 construction contracts signed for</w:t>
            </w:r>
            <w:r w:rsidRPr="00E60E42">
              <w:rPr>
                <w:rFonts w:ascii="Times New Roman" w:eastAsia="Calibri" w:hAnsi="Times New Roman" w:cs="Times New Roman"/>
                <w:noProof/>
                <w:color w:val="000000"/>
                <w:kern w:val="0"/>
                <w:sz w:val="18"/>
                <w:szCs w:val="18"/>
                <w14:ligatures w14:val="none"/>
              </w:rPr>
              <w:t xml:space="preserve"> projects protecting against flood risk.</w:t>
            </w:r>
            <w:r w:rsidRPr="00E60E42">
              <w:rPr>
                <w:rFonts w:ascii="Times New Roman" w:eastAsia="Calibri" w:hAnsi="Times New Roman" w:cs="Times New Roman"/>
                <w:noProof/>
                <w:kern w:val="0"/>
                <w:sz w:val="18"/>
                <w:szCs w:val="18"/>
                <w14:ligatures w14:val="none"/>
              </w:rPr>
              <w:t xml:space="preserve"> </w:t>
            </w:r>
          </w:p>
        </w:tc>
      </w:tr>
      <w:tr w:rsidR="0048758A" w:rsidRPr="00E60E42" w14:paraId="1E0EC549" w14:textId="77777777" w:rsidTr="00E266E9">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3B"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3C" w14:textId="77777777" w:rsidR="004E39F6" w:rsidRPr="00E60E42" w:rsidRDefault="00A35BEA" w:rsidP="00884269">
            <w:pPr>
              <w:spacing w:after="120" w:line="240" w:lineRule="auto"/>
              <w:rPr>
                <w:rFonts w:ascii="Times New Roman" w:eastAsia="Calibri"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1.3.1.2.i. Investments in flood risk reduction infrastructure</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3D"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E" w14:textId="77777777" w:rsidR="004E39F6" w:rsidRPr="00E60E42" w:rsidRDefault="00A35BEA" w:rsidP="00884269">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Projects protecting against flood risk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F" w14:textId="77777777" w:rsidR="004E39F6" w:rsidRPr="00E60E42" w:rsidRDefault="00A35BEA" w:rsidP="00884269">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Certificate(s) of completion signed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40"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41"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42"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43"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44" w14:textId="77777777" w:rsidR="004E39F6" w:rsidRPr="00E60E42" w:rsidRDefault="00A35BEA" w:rsidP="00884269">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45" w14:textId="77777777" w:rsidR="004E39F6" w:rsidRPr="00E60E42" w:rsidRDefault="00A35BEA" w:rsidP="00884269">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Certificate(s) of completion signed for 21 construction projects protecting against flood risk, as follows: </w:t>
            </w:r>
          </w:p>
          <w:p w14:paraId="1E0EC546" w14:textId="77777777" w:rsidR="004E39F6" w:rsidRPr="00E60E42" w:rsidRDefault="00A35BEA" w:rsidP="00884269">
            <w:pPr>
              <w:numPr>
                <w:ilvl w:val="0"/>
                <w:numId w:val="19"/>
              </w:numPr>
              <w:spacing w:after="120" w:line="240" w:lineRule="auto"/>
              <w:ind w:left="357" w:hanging="357"/>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Eight pumping stations;</w:t>
            </w:r>
          </w:p>
          <w:p w14:paraId="1E0EC547" w14:textId="77777777" w:rsidR="004E39F6" w:rsidRPr="00E60E42" w:rsidRDefault="00A35BEA" w:rsidP="00884269">
            <w:pPr>
              <w:numPr>
                <w:ilvl w:val="0"/>
                <w:numId w:val="19"/>
              </w:numPr>
              <w:spacing w:after="200" w:line="259" w:lineRule="auto"/>
              <w:ind w:left="357" w:hanging="357"/>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Twelve protective dikes;</w:t>
            </w:r>
          </w:p>
          <w:p w14:paraId="1E0EC548" w14:textId="77777777" w:rsidR="004E39F6" w:rsidRPr="00E60E42" w:rsidRDefault="00A35BEA" w:rsidP="00884269">
            <w:pPr>
              <w:numPr>
                <w:ilvl w:val="0"/>
                <w:numId w:val="19"/>
              </w:numPr>
              <w:spacing w:after="120" w:line="240" w:lineRule="auto"/>
              <w:ind w:left="357" w:hanging="357"/>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One canal.</w:t>
            </w:r>
          </w:p>
        </w:tc>
      </w:tr>
    </w:tbl>
    <w:p w14:paraId="1E0EC54A"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sectPr w:rsidR="004E39F6" w:rsidRPr="00E60E42" w:rsidSect="0048758A">
          <w:headerReference w:type="even" r:id="rId23"/>
          <w:headerReference w:type="default" r:id="rId24"/>
          <w:footerReference w:type="even" r:id="rId25"/>
          <w:footerReference w:type="default" r:id="rId26"/>
          <w:headerReference w:type="first" r:id="rId27"/>
          <w:footerReference w:type="first" r:id="rId28"/>
          <w:pgSz w:w="16838" w:h="11906" w:orient="landscape"/>
          <w:pgMar w:top="1134" w:right="1134" w:bottom="1134" w:left="1134" w:header="567" w:footer="567" w:gutter="0"/>
          <w:cols w:space="708"/>
          <w:docGrid w:linePitch="360"/>
        </w:sectPr>
      </w:pPr>
    </w:p>
    <w:p w14:paraId="1E0EC54B" w14:textId="77777777" w:rsidR="004E39F6" w:rsidRPr="00E60E42" w:rsidRDefault="00A35BEA" w:rsidP="00E266E9">
      <w:pPr>
        <w:keepNext/>
        <w:spacing w:before="360" w:after="240" w:line="240" w:lineRule="auto"/>
        <w:outlineLvl w:val="0"/>
        <w:rPr>
          <w:rFonts w:ascii="Times New Roman" w:eastAsia="MS Gothic" w:hAnsi="Times New Roman" w:cs="Times New Roman"/>
          <w:b/>
          <w:smallCaps/>
          <w:noProof/>
          <w:kern w:val="0"/>
          <w:szCs w:val="28"/>
          <w14:ligatures w14:val="none"/>
        </w:rPr>
      </w:pPr>
      <w:r w:rsidRPr="00E60E42">
        <w:rPr>
          <w:rFonts w:ascii="Times New Roman" w:eastAsia="Calibri" w:hAnsi="Times New Roman" w:cs="Arial"/>
          <w:b/>
          <w:smallCaps/>
          <w:noProof/>
          <w:kern w:val="0"/>
          <w:szCs w:val="22"/>
          <w14:ligatures w14:val="none"/>
        </w:rPr>
        <w:t>B. COMPONENT 2: DIGITAL TRANSFORMATION</w:t>
      </w:r>
    </w:p>
    <w:p w14:paraId="1E0EC54C" w14:textId="77777777" w:rsidR="004E39F6" w:rsidRPr="00E60E42" w:rsidRDefault="00A35BEA" w:rsidP="00E266E9">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The component addresses the main digital challenges - a lack of basic and advanced digital skills and low digital integration of the businesses. Moreover, the component addresses all the aspects of the digital transformation - public and private sector, skills and connectivity. The main focus of the investments is in infrastructure and services.</w:t>
      </w:r>
    </w:p>
    <w:p w14:paraId="1E0EC54D" w14:textId="77777777" w:rsidR="004E39F6" w:rsidRPr="00E60E42" w:rsidRDefault="00A35BEA" w:rsidP="00E266E9">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The objectives of the component are to contribute to the digital transformation of the society and economy, including the recovery from the COVID-19 crisis, by developing the necessary infrastructure, capacities and skills; improve efficiency, digital processes, and data management in public administration; provide support to the digital transformation of businesses and improve connectivity.</w:t>
      </w:r>
    </w:p>
    <w:p w14:paraId="1E0EC54E" w14:textId="77777777" w:rsidR="004E39F6" w:rsidRPr="00E60E42" w:rsidRDefault="00A35BEA" w:rsidP="00E266E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component addresses the Country Specific Recommendations on skills and adult learning (Country Specific Recommendation 2, 2019, Country Specific Recommendation 2, 2020). In particular, it shall contribute to increasing the quality and efficiency of education and training with a focus on digital skills. Reskilling and upskilling measures for workers and unemployed are included, albeit without targeting low-skilled (Country Specific Recommendation 2, 2019). Investments in digital transition address the investment related Country Specific Recommendations (Country Specific Recommendations 3, 2019 and 3, 2020) - investments are envisaged in public sector IT systems, basic and advanced digital skills, digital adaptation of businesses, and connectivity.</w:t>
      </w:r>
    </w:p>
    <w:p w14:paraId="1E0EC54F" w14:textId="77777777" w:rsidR="004E39F6" w:rsidRPr="00E60E42" w:rsidRDefault="00A35BEA" w:rsidP="00E266E9">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0EC550" w14:textId="77777777" w:rsidR="004E39F6" w:rsidRPr="00E60E42" w:rsidRDefault="00A35BEA" w:rsidP="004D4036">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E60E42">
        <w:rPr>
          <w:rFonts w:ascii="Times New Roman" w:eastAsia="Calibri" w:hAnsi="Times New Roman" w:cs="Arial"/>
          <w:b/>
          <w:noProof/>
          <w:kern w:val="0"/>
          <w:szCs w:val="22"/>
          <w:u w:val="single"/>
          <w14:ligatures w14:val="none"/>
        </w:rPr>
        <w:t>B.1. Description of the reforms and investments for non-repayable financial support</w:t>
      </w:r>
    </w:p>
    <w:p w14:paraId="1E0EC551" w14:textId="77777777" w:rsidR="004E39F6" w:rsidRPr="00E60E42" w:rsidRDefault="00A35BEA" w:rsidP="00E266E9">
      <w:pPr>
        <w:keepNext/>
        <w:keepLines/>
        <w:spacing w:before="120"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Reform: 2.1.1.r. Modernisation of national processes and services and digital transformation</w:t>
      </w:r>
    </w:p>
    <w:p w14:paraId="1E0EC552" w14:textId="77777777" w:rsidR="004E39F6" w:rsidRPr="00E60E42" w:rsidRDefault="00A35BEA" w:rsidP="00E266E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modernise public administration and its services through digital transformation, focusing on important functions, processes and services of the public administration that have not yet been digitally transformed, are being newly developed or substantially strengthened.</w:t>
      </w:r>
    </w:p>
    <w:p w14:paraId="1E0EC553" w14:textId="77777777" w:rsidR="004E39F6" w:rsidRPr="00E60E42" w:rsidRDefault="00A35BEA" w:rsidP="00E266E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reform consists of building the common ICT conceptual architecture for public administration services and their management support, defining qualitative and quantitative metrics of services. The implementation of the reform shall be coordinated and managed by the national ICT governance organisation, while the implementation of the specific tasks of implementing the reform shall be carried out by the authority responsible for each task.</w:t>
      </w:r>
    </w:p>
    <w:p w14:paraId="1E0EC554" w14:textId="77777777" w:rsidR="004E39F6" w:rsidRPr="00E60E42" w:rsidRDefault="00A35BEA" w:rsidP="00E266E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shall be implemented by 30 June 2022.</w:t>
      </w:r>
    </w:p>
    <w:p w14:paraId="1E0EC555" w14:textId="77777777" w:rsidR="004E39F6" w:rsidRPr="00E60E42" w:rsidRDefault="00A35BEA" w:rsidP="00E266E9">
      <w:pPr>
        <w:keepNext/>
        <w:keepLines/>
        <w:spacing w:before="120"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2.1.1.1.i. Administration modernisation and digital transformation of services</w:t>
      </w:r>
    </w:p>
    <w:p w14:paraId="1E0EC556" w14:textId="77777777" w:rsidR="004E39F6" w:rsidRPr="00E60E42" w:rsidRDefault="00A35BEA" w:rsidP="004D4036">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transform public administration services and their delivery processes for the digital transformation of the economy.</w:t>
      </w:r>
    </w:p>
    <w:p w14:paraId="1E0EC557" w14:textId="77777777" w:rsidR="004E39F6" w:rsidRPr="00E60E42" w:rsidRDefault="00A35BEA" w:rsidP="004D4036">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measure consists of </w:t>
      </w:r>
      <w:r w:rsidRPr="00E60E42">
        <w:rPr>
          <w:rFonts w:ascii="Times New Roman" w:eastAsia="Calibri" w:hAnsi="Times New Roman" w:cs="Arial"/>
          <w:noProof/>
          <w:kern w:val="0"/>
          <w14:ligatures w14:val="none"/>
        </w:rPr>
        <w:t>the delivery of</w:t>
      </w:r>
      <w:r w:rsidRPr="00E60E42">
        <w:rPr>
          <w:rFonts w:ascii="Times New Roman" w:eastAsia="Calibri" w:hAnsi="Times New Roman" w:cs="Arial"/>
          <w:noProof/>
          <w:kern w:val="0"/>
          <w:szCs w:val="22"/>
          <w14:ligatures w14:val="none"/>
        </w:rPr>
        <w:t xml:space="preserve"> ICT systems or solutions.</w:t>
      </w:r>
    </w:p>
    <w:p w14:paraId="1E0EC558" w14:textId="77777777" w:rsidR="004E39F6" w:rsidRPr="00E60E42" w:rsidRDefault="00A35BEA" w:rsidP="009A49FC">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Reform: 2.1.2.r. Increasing efficiency and interoperability in the use of national ICT resources</w:t>
      </w:r>
    </w:p>
    <w:p w14:paraId="1E0EC559" w14:textId="77777777" w:rsidR="004E39F6" w:rsidRPr="00E60E42" w:rsidRDefault="00A35BEA" w:rsidP="004D403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objectives of the reform are to transform the ICT provision approach in public administration by centralising the provision of uniform ICT sharing services in competence centres that support several institutions.</w:t>
      </w:r>
    </w:p>
    <w:p w14:paraId="1E0EC55A" w14:textId="77777777" w:rsidR="004E39F6" w:rsidRPr="00E60E42" w:rsidRDefault="00A35BEA" w:rsidP="004D4036">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consists of the development of central systems and platforms of public administration and consolidation of computing infrastructure services, enabling the automation and efficiency of the processes of supply, ensure cross-border access to public administration services, and consolidation of public administration computing and data storage infrastructure services.</w:t>
      </w:r>
    </w:p>
    <w:p w14:paraId="1E0EC55B" w14:textId="77777777" w:rsidR="004E39F6" w:rsidRPr="00E60E42" w:rsidRDefault="00A35BEA" w:rsidP="009A49FC">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shall be implemented by 30 June 2022.</w:t>
      </w:r>
    </w:p>
    <w:p w14:paraId="1E0EC55C" w14:textId="77777777" w:rsidR="004E39F6" w:rsidRPr="00E60E42" w:rsidRDefault="00A35BEA" w:rsidP="009A49FC">
      <w:pPr>
        <w:keepNext/>
        <w:keepLines/>
        <w:spacing w:after="12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2.1.2.1.i. Centralised platforms, solutions or systems</w:t>
      </w:r>
    </w:p>
    <w:p w14:paraId="1E0EC55D" w14:textId="77777777" w:rsidR="004E39F6" w:rsidRPr="00E60E42" w:rsidRDefault="00A35BEA" w:rsidP="009A49FC">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support the functioning of the administration as a single organisation with the introduction of standardised support functions.</w:t>
      </w:r>
    </w:p>
    <w:p w14:paraId="1E0EC55E"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delivery of centralised ICT platforms, solutions or systems.</w:t>
      </w:r>
    </w:p>
    <w:p w14:paraId="1E0EC55F" w14:textId="77777777" w:rsidR="004E39F6" w:rsidRPr="00E60E42" w:rsidRDefault="00A35BEA" w:rsidP="009A49FC">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2.1.2.2.i. Cloud services</w:t>
      </w:r>
    </w:p>
    <w:p w14:paraId="1E0EC560" w14:textId="77777777" w:rsidR="004E39F6" w:rsidRPr="00E60E42" w:rsidRDefault="00A35BEA" w:rsidP="009A49FC">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provide computing and data management infrastructure and services.</w:t>
      </w:r>
    </w:p>
    <w:p w14:paraId="1E0EC561"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provision of cloud services to public authorities.</w:t>
      </w:r>
    </w:p>
    <w:p w14:paraId="1E0EC562" w14:textId="77777777" w:rsidR="004E39F6" w:rsidRPr="00E60E42" w:rsidRDefault="00A35BEA" w:rsidP="009A49FC">
      <w:pPr>
        <w:keepNext/>
        <w:keepLines/>
        <w:spacing w:after="24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2.1.3.r. Development of the national economic data and digital services economy</w:t>
      </w:r>
    </w:p>
    <w:p w14:paraId="1E0EC563" w14:textId="77777777" w:rsidR="004E39F6" w:rsidRPr="00E60E42" w:rsidRDefault="00A35BEA" w:rsidP="009A49FC">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reform is to ensure the availability and sharing of public and private data and services by laying the foundations for the development and interoperability of the data and platform economy with European data spaces and by ensuring data sharing within the EU.</w:t>
      </w:r>
    </w:p>
    <w:p w14:paraId="1E0EC564" w14:textId="77777777" w:rsidR="004E39F6" w:rsidRPr="00E60E42" w:rsidRDefault="00A35BEA" w:rsidP="009A49FC">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consists of developing the capacities of the public sector to manage, share and publish for repeated use datasets at its disposal.</w:t>
      </w:r>
    </w:p>
    <w:p w14:paraId="1E0EC565" w14:textId="77777777" w:rsidR="004E39F6" w:rsidRPr="00E60E42" w:rsidRDefault="00A35BEA" w:rsidP="009A49FC">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shall be implemented by 31 December 2023.</w:t>
      </w:r>
    </w:p>
    <w:p w14:paraId="1E0EC566" w14:textId="77777777" w:rsidR="004E39F6" w:rsidRPr="00E60E42" w:rsidRDefault="00A35BEA" w:rsidP="009A49FC">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u w:val="single"/>
          <w14:ligatures w14:val="none"/>
        </w:rPr>
        <w:t>Investment: 2.1.3.1.i. Data availability, sharing and analysis</w:t>
      </w:r>
    </w:p>
    <w:p w14:paraId="1E0EC567" w14:textId="77777777" w:rsidR="004E39F6" w:rsidRPr="00E60E42" w:rsidRDefault="00A35BEA" w:rsidP="009A49FC">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enable data sharing within the public sector and between the public and private sectors.</w:t>
      </w:r>
    </w:p>
    <w:p w14:paraId="1E0EC568"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making datasets available on platforms.</w:t>
      </w:r>
    </w:p>
    <w:p w14:paraId="1E0EC569" w14:textId="77777777" w:rsidR="004E39F6" w:rsidRPr="00E60E42" w:rsidRDefault="00A35BEA" w:rsidP="009A49FC">
      <w:pPr>
        <w:keepNext/>
        <w:keepLines/>
        <w:spacing w:after="24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Reform: 2.2.1.r. Creating the full cycle of business digital transformation support with regional coverage</w:t>
      </w:r>
    </w:p>
    <w:p w14:paraId="1E0EC56A" w14:textId="77777777" w:rsidR="004E39F6" w:rsidRPr="00E60E42" w:rsidRDefault="00A35BEA" w:rsidP="009A49FC">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objectives of the reform are to establish European Digital Innovation Hub (EDIH), ensure its regional presence through regional contact points, and to create a single and coordinated support ecosystem to facilitate the digital transformation of commercial activities.</w:t>
      </w:r>
    </w:p>
    <w:p w14:paraId="1E0EC56B" w14:textId="77777777" w:rsidR="004E39F6" w:rsidRPr="00E60E42" w:rsidRDefault="00A35BEA" w:rsidP="009A49FC">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The reform consists of establishing EDIH, a single platform/ecosystem supporting digital transformation as a one-stop-shop, establishing a digital maturity test system; ensuring the regional contact points provide the following new digital transformation support functions: digital maturity tests in regions; access to testing and piloting; mentoring and digital skills training. The EDIH may receive funding from other EU funds, including the Digital Europe programme, for carrying out their activities.</w:t>
      </w:r>
    </w:p>
    <w:p w14:paraId="1E0EC56C" w14:textId="77777777" w:rsidR="004E39F6" w:rsidRPr="00E60E42" w:rsidRDefault="00A35BEA" w:rsidP="009A49FC">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shall be implemented by 30 September 2022.</w:t>
      </w:r>
    </w:p>
    <w:p w14:paraId="1E0EC56D" w14:textId="77777777" w:rsidR="004E39F6" w:rsidRPr="00E60E42" w:rsidRDefault="00A35BEA" w:rsidP="0088426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2.2.1.1.i. Support for the establishment of Digital Innovation Hubs and regional contact points</w:t>
      </w:r>
    </w:p>
    <w:p w14:paraId="1E0EC56E" w14:textId="77777777" w:rsidR="004E39F6" w:rsidRPr="00E60E42" w:rsidRDefault="00A35BEA" w:rsidP="0088426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enhance the digital transformation of entities, offering tailored support measures that address identified digitalisation needs.</w:t>
      </w:r>
    </w:p>
    <w:p w14:paraId="1E0EC56F" w14:textId="275694A8" w:rsidR="004E39F6" w:rsidRPr="00E60E42" w:rsidRDefault="00A35BEA" w:rsidP="00884269">
      <w:pPr>
        <w:spacing w:after="24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investment consists of providing support to the operation of European Digital Innovation Hubs (EDIH). The operation of the EDIHs shall be structured into work packages. The RRF support shall not concern work packages for which EDIHs receive support under the Digital Europe Programme.</w:t>
      </w:r>
    </w:p>
    <w:p w14:paraId="1E0EC570" w14:textId="77777777" w:rsidR="004E39F6" w:rsidRPr="00E60E42" w:rsidRDefault="00A35BEA" w:rsidP="0088426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2.2.1.2.i. Digitalisation of entities</w:t>
      </w:r>
    </w:p>
    <w:p w14:paraId="1E0EC571" w14:textId="77777777" w:rsidR="004E39F6" w:rsidRPr="00E60E42" w:rsidRDefault="00A35BEA" w:rsidP="0088426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create higher added value in the supported entities.</w:t>
      </w:r>
    </w:p>
    <w:p w14:paraId="1E0EC572" w14:textId="77777777" w:rsidR="004E39F6" w:rsidRPr="00E60E42" w:rsidRDefault="00A35BEA" w:rsidP="00884269">
      <w:pPr>
        <w:spacing w:before="120"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improving the entities’ digital maturity tests.</w:t>
      </w:r>
    </w:p>
    <w:p w14:paraId="1E0EC573" w14:textId="77777777" w:rsidR="004E39F6" w:rsidRPr="00E60E42" w:rsidRDefault="00A35BEA" w:rsidP="0088426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2.2.1.3.i. Support for the introduction of products and services into business</w:t>
      </w:r>
    </w:p>
    <w:p w14:paraId="1E0EC574" w14:textId="77777777" w:rsidR="004E39F6" w:rsidRPr="00E60E42" w:rsidRDefault="00A35BEA" w:rsidP="001F2576">
      <w:pPr>
        <w:spacing w:before="120" w:after="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support the creation of digital products and services.</w:t>
      </w:r>
    </w:p>
    <w:p w14:paraId="1E0EC575" w14:textId="77777777" w:rsidR="004E39F6" w:rsidRPr="00E60E42" w:rsidRDefault="00A35BEA" w:rsidP="0088426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grant agreements to support projects for research in products or services.</w:t>
      </w:r>
    </w:p>
    <w:p w14:paraId="1E0EC576" w14:textId="77777777" w:rsidR="004E39F6" w:rsidRPr="00E60E42" w:rsidRDefault="00A35BEA" w:rsidP="001F2576">
      <w:pPr>
        <w:keepNext/>
        <w:keepLines/>
        <w:spacing w:before="240"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2.2.1.4.i. Financial instrument to facilitate the digital transformation of economic operators</w:t>
      </w:r>
    </w:p>
    <w:p w14:paraId="1E0EC577" w14:textId="77777777" w:rsidR="004E39F6" w:rsidRPr="00E60E42" w:rsidRDefault="00A35BEA" w:rsidP="009A49FC">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boost productivity and production process efficiency by supporting investments in digital transformation tools.</w:t>
      </w:r>
    </w:p>
    <w:p w14:paraId="1E0EC578" w14:textId="77777777" w:rsidR="004E39F6" w:rsidRPr="00E60E42" w:rsidRDefault="00A35BEA" w:rsidP="00827FAB">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loan contracts to support digital transformation projects.</w:t>
      </w:r>
    </w:p>
    <w:p w14:paraId="1E0EC579" w14:textId="77777777" w:rsidR="004E39F6" w:rsidRPr="00E60E42" w:rsidRDefault="00A35BEA" w:rsidP="001F2576">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2.2.1.5.i. Fostering the digital transformation of media companies</w:t>
      </w:r>
    </w:p>
    <w:p w14:paraId="1E0EC57A" w14:textId="77777777" w:rsidR="004E39F6" w:rsidRPr="00E60E42" w:rsidRDefault="00A35BEA" w:rsidP="001F2576">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facilitate the digital transformation of the media sector.</w:t>
      </w:r>
    </w:p>
    <w:p w14:paraId="1E0EC57B" w14:textId="77777777" w:rsidR="004E39F6" w:rsidRPr="00E60E42" w:rsidRDefault="00A35BEA" w:rsidP="001F257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 support scheme for investments in digital skills in the media sector and the delivery of three platforms or IT solutions.</w:t>
      </w:r>
    </w:p>
    <w:p w14:paraId="1E0EC57C" w14:textId="77777777" w:rsidR="004E39F6" w:rsidRPr="00E60E42" w:rsidRDefault="00A35BEA" w:rsidP="00827FAB">
      <w:pPr>
        <w:keepNext/>
        <w:keepLines/>
        <w:spacing w:before="24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u w:val="single"/>
          <w14:ligatures w14:val="none"/>
        </w:rPr>
        <w:t>Reform: 2.3.1.r. Development of a sustainable and socially responsible support framework for adult learning</w:t>
      </w:r>
    </w:p>
    <w:p w14:paraId="1E0EC57D" w14:textId="77777777" w:rsidR="004E39F6" w:rsidRPr="00E60E42" w:rsidRDefault="00A35BEA" w:rsidP="009A49FC">
      <w:pPr>
        <w:spacing w:after="120" w:line="240" w:lineRule="auto"/>
        <w:jc w:val="both"/>
        <w:rPr>
          <w:rFonts w:ascii="Times New Roman" w:eastAsia="Calibri" w:hAnsi="Times New Roman" w:cs="Times New Roman"/>
          <w:strike/>
          <w:noProof/>
          <w:kern w:val="0"/>
          <w14:ligatures w14:val="none"/>
        </w:rPr>
      </w:pPr>
      <w:r w:rsidRPr="00E60E42">
        <w:rPr>
          <w:rFonts w:ascii="Times New Roman" w:eastAsia="Calibri" w:hAnsi="Times New Roman" w:cs="Arial"/>
          <w:noProof/>
          <w:kern w:val="0"/>
          <w14:ligatures w14:val="none"/>
        </w:rPr>
        <w:t>The objective of the measure is to increase adult learning participation and the support for adult learning.</w:t>
      </w:r>
    </w:p>
    <w:p w14:paraId="1E0EC57E"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w:t>
      </w:r>
      <w:r w:rsidRPr="00E60E42" w:rsidDel="00CF3E28">
        <w:rPr>
          <w:rFonts w:ascii="Times New Roman" w:eastAsia="Calibri" w:hAnsi="Times New Roman" w:cs="Arial"/>
          <w:noProof/>
          <w:kern w:val="0"/>
          <w14:ligatures w14:val="none"/>
        </w:rPr>
        <w:t xml:space="preserve"> </w:t>
      </w:r>
      <w:r w:rsidRPr="00E60E42">
        <w:rPr>
          <w:rFonts w:ascii="Times New Roman" w:eastAsia="Calibri" w:hAnsi="Times New Roman" w:cs="Arial"/>
          <w:noProof/>
          <w:kern w:val="0"/>
          <w14:ligatures w14:val="none"/>
        </w:rPr>
        <w:t xml:space="preserve">enhancing support for training of </w:t>
      </w:r>
      <w:r w:rsidRPr="00E60E42" w:rsidDel="00E56ED7">
        <w:rPr>
          <w:rFonts w:ascii="Times New Roman" w:eastAsia="Calibri" w:hAnsi="Times New Roman" w:cs="Arial"/>
          <w:noProof/>
          <w:kern w:val="0"/>
          <w14:ligatures w14:val="none"/>
        </w:rPr>
        <w:t>employees</w:t>
      </w:r>
      <w:r w:rsidRPr="00E60E42">
        <w:rPr>
          <w:rFonts w:ascii="Times New Roman" w:eastAsia="Calibri" w:hAnsi="Times New Roman" w:cs="Arial"/>
          <w:noProof/>
          <w:kern w:val="0"/>
          <w14:ligatures w14:val="none"/>
        </w:rPr>
        <w:t xml:space="preserve"> and assessing the individual learning accounts approach.</w:t>
      </w:r>
    </w:p>
    <w:p w14:paraId="1E0EC57F" w14:textId="77777777" w:rsidR="004E39F6" w:rsidRPr="00E60E42" w:rsidRDefault="00A35BEA" w:rsidP="009A49FC">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2.3.1.1.i. Delivering digital skills</w:t>
      </w:r>
    </w:p>
    <w:p w14:paraId="1E0EC580" w14:textId="77777777" w:rsidR="004E39F6" w:rsidRPr="00E60E42" w:rsidRDefault="00A35BEA" w:rsidP="009A49FC">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the number of specialists with digital skills.</w:t>
      </w:r>
    </w:p>
    <w:p w14:paraId="1E0EC581"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designing digital skills modules for higher education study programmes.</w:t>
      </w:r>
    </w:p>
    <w:p w14:paraId="1E0EC582" w14:textId="77777777" w:rsidR="004E39F6" w:rsidRPr="00E60E42" w:rsidRDefault="00A35BEA" w:rsidP="00B461D6">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2.3.1.2.i. Development of digital skills</w:t>
      </w:r>
    </w:p>
    <w:p w14:paraId="1E0EC583" w14:textId="77777777" w:rsidR="004E39F6" w:rsidRPr="00E60E42" w:rsidRDefault="00A35BEA" w:rsidP="00B461D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the level of digital skills.</w:t>
      </w:r>
    </w:p>
    <w:p w14:paraId="1E0EC584" w14:textId="77777777" w:rsidR="004E39F6" w:rsidRPr="00E60E42" w:rsidRDefault="00A35BEA" w:rsidP="001F2576">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attending digital skills trainings.</w:t>
      </w:r>
    </w:p>
    <w:p w14:paraId="1E0EC585" w14:textId="77777777" w:rsidR="004E39F6" w:rsidRPr="00E60E42" w:rsidRDefault="00A35BEA" w:rsidP="001F2576">
      <w:pPr>
        <w:keepNext/>
        <w:keepLines/>
        <w:spacing w:after="24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Investment: 2.3.1.5.i. Digital skills through the individual learning account platform</w:t>
      </w:r>
    </w:p>
    <w:p w14:paraId="1E0EC586" w14:textId="77777777" w:rsidR="004E39F6" w:rsidRPr="00E60E42" w:rsidRDefault="00A35BEA" w:rsidP="001F257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Times New Roman"/>
          <w:noProof/>
          <w:kern w:val="0"/>
          <w14:ligatures w14:val="none"/>
        </w:rPr>
        <w:t>The objective of the measure is to support the acquisition of digital skills.</w:t>
      </w:r>
    </w:p>
    <w:p w14:paraId="1E0EC587" w14:textId="77777777" w:rsidR="004E39F6" w:rsidRPr="00E60E42" w:rsidRDefault="00A35BEA" w:rsidP="001F2576">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Times New Roman"/>
          <w:noProof/>
          <w:kern w:val="0"/>
          <w14:ligatures w14:val="none"/>
        </w:rPr>
        <w:t xml:space="preserve">The measure consists of </w:t>
      </w:r>
      <w:r w:rsidRPr="00E60E42" w:rsidDel="659CFA55">
        <w:rPr>
          <w:rFonts w:ascii="Times New Roman" w:eastAsia="Calibri" w:hAnsi="Times New Roman" w:cs="Times New Roman"/>
          <w:noProof/>
          <w:kern w:val="0"/>
          <w14:ligatures w14:val="none"/>
        </w:rPr>
        <w:t>the provision of</w:t>
      </w:r>
      <w:r w:rsidRPr="00E60E42">
        <w:rPr>
          <w:rFonts w:ascii="Times New Roman" w:eastAsia="Calibri" w:hAnsi="Times New Roman" w:cs="Times New Roman"/>
          <w:noProof/>
          <w:kern w:val="0"/>
          <w14:ligatures w14:val="none"/>
        </w:rPr>
        <w:t xml:space="preserve"> trainings in digital skills through the individual learning accounts platform.</w:t>
      </w:r>
    </w:p>
    <w:p w14:paraId="1E0EC588" w14:textId="77777777" w:rsidR="004E39F6" w:rsidRPr="00E60E42" w:rsidRDefault="00A35BEA" w:rsidP="00187BD4">
      <w:pPr>
        <w:keepNext/>
        <w:keepLines/>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Reform: 2.3.2.r. Digital skills for the digital transformation of society and government</w:t>
      </w:r>
    </w:p>
    <w:p w14:paraId="1E0EC589" w14:textId="77777777" w:rsidR="004E39F6" w:rsidRPr="00E60E42" w:rsidRDefault="00A35BEA" w:rsidP="0048758A">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increase the share of inhabitants with basic and advanced digital skills.</w:t>
      </w:r>
    </w:p>
    <w:p w14:paraId="1E0EC58A" w14:textId="77777777" w:rsidR="004E39F6" w:rsidRPr="00E60E42" w:rsidRDefault="00A35BEA" w:rsidP="009A49FC">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measure consists of the entry into force of a common framework for the assessment of basic digital skills, the identification and planning of training needs and amendments to national higher education standards. </w:t>
      </w:r>
    </w:p>
    <w:p w14:paraId="1E0EC58B" w14:textId="77777777" w:rsidR="004E39F6" w:rsidRPr="00E60E42" w:rsidRDefault="00A35BEA" w:rsidP="009A49FC">
      <w:pPr>
        <w:keepNext/>
        <w:keepLines/>
        <w:spacing w:after="24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 xml:space="preserve">Investment: 2.3.2.1.i. Digital skills for </w:t>
      </w:r>
      <w:r w:rsidRPr="00E60E42" w:rsidDel="00980A7E">
        <w:rPr>
          <w:rFonts w:ascii="Times New Roman" w:eastAsia="Calibri" w:hAnsi="Times New Roman" w:cs="Arial"/>
          <w:noProof/>
          <w:kern w:val="0"/>
          <w:szCs w:val="22"/>
          <w:u w:val="single"/>
          <w14:ligatures w14:val="none"/>
        </w:rPr>
        <w:t xml:space="preserve">people, including </w:t>
      </w:r>
      <w:r w:rsidRPr="00E60E42">
        <w:rPr>
          <w:rFonts w:ascii="Times New Roman" w:eastAsia="Calibri" w:hAnsi="Times New Roman" w:cs="Arial"/>
          <w:noProof/>
          <w:kern w:val="0"/>
          <w:szCs w:val="22"/>
          <w:u w:val="single"/>
          <w14:ligatures w14:val="none"/>
        </w:rPr>
        <w:t>youth</w:t>
      </w:r>
    </w:p>
    <w:p w14:paraId="1E0EC58C"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digital and technological literacy of young people outside formal education.</w:t>
      </w:r>
    </w:p>
    <w:p w14:paraId="1E0EC58D"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conducting activities related to the digital youth work system in municipalities.</w:t>
      </w:r>
    </w:p>
    <w:p w14:paraId="1E0EC58E" w14:textId="77777777" w:rsidR="004E39F6" w:rsidRPr="00E60E42" w:rsidRDefault="00A35BEA" w:rsidP="00171335">
      <w:pPr>
        <w:keepNext/>
        <w:keepLines/>
        <w:spacing w:after="120" w:line="240" w:lineRule="auto"/>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2.3.2.2.i. Development of state and local government digital transformation skills and capabilities</w:t>
      </w:r>
    </w:p>
    <w:p w14:paraId="1E0EC58F" w14:textId="77777777" w:rsidR="004E39F6" w:rsidRPr="00E60E42" w:rsidRDefault="00A35BEA" w:rsidP="00171335">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increase the digital skills of employees of public administration.</w:t>
      </w:r>
    </w:p>
    <w:p w14:paraId="1E0EC590" w14:textId="77777777" w:rsidR="004E39F6" w:rsidRPr="00E60E42" w:rsidRDefault="00A35BEA" w:rsidP="00171335">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developing a digital skills framework and attending trainings.</w:t>
      </w:r>
    </w:p>
    <w:p w14:paraId="1E0EC591" w14:textId="77777777" w:rsidR="004E39F6" w:rsidRPr="00E60E42" w:rsidRDefault="00A35BEA" w:rsidP="00171335">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2.3.2.3.i. Closing the digital divide for socially vulnerable pupils and educational institutions</w:t>
      </w:r>
    </w:p>
    <w:p w14:paraId="1E0EC592"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objectives of the measure are to provide access to learning content and allow participating in remote learning process, in particular for the pupils from socially vulnerable groups.</w:t>
      </w:r>
    </w:p>
    <w:p w14:paraId="1E0EC593" w14:textId="77777777" w:rsidR="004E39F6" w:rsidRPr="00E60E42" w:rsidRDefault="00A35BEA" w:rsidP="009A49FC">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purchasing information and communication technology equipment for general education, including to support pupils from socially vulnerable groups.</w:t>
      </w:r>
    </w:p>
    <w:p w14:paraId="1E0EC594" w14:textId="77777777" w:rsidR="004E39F6" w:rsidRPr="00E60E42" w:rsidRDefault="00A35BEA" w:rsidP="00171335">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u w:val="single"/>
          <w14:ligatures w14:val="none"/>
        </w:rPr>
        <w:t>Reform: 2.4.1.r. Broadband infrastructure development</w:t>
      </w:r>
    </w:p>
    <w:p w14:paraId="1E0EC595" w14:textId="77777777" w:rsidR="004E39F6" w:rsidRPr="00E60E42" w:rsidRDefault="00A35BEA" w:rsidP="0048758A">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objectives of the reform are to promote connected automated driving and to support sustainable mobility, including by improving road safety through innovation.</w:t>
      </w:r>
    </w:p>
    <w:p w14:paraId="1E0EC596" w14:textId="77777777" w:rsidR="004E39F6" w:rsidRPr="00E60E42" w:rsidRDefault="00A35BEA" w:rsidP="0048758A">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consists of the adoption of technical requirements for connected and automated driving, and the adoption of a common model for the development of the “last mile”.</w:t>
      </w:r>
    </w:p>
    <w:p w14:paraId="1E0EC597" w14:textId="77777777" w:rsidR="004E39F6" w:rsidRPr="00E60E42" w:rsidRDefault="00A35BEA" w:rsidP="009A49FC">
      <w:pPr>
        <w:spacing w:after="240" w:line="240" w:lineRule="auto"/>
        <w:jc w:val="both"/>
        <w:rPr>
          <w:rFonts w:ascii="Times New Roman" w:eastAsia="Times New Roman"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shall be implemented by 31 December 2021.</w:t>
      </w:r>
    </w:p>
    <w:p w14:paraId="1E0EC598" w14:textId="77777777" w:rsidR="004E39F6" w:rsidRPr="00E60E42" w:rsidRDefault="00A35BEA" w:rsidP="009A49FC">
      <w:pPr>
        <w:keepNext/>
        <w:keepLines/>
        <w:spacing w:after="24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2.4.1.1.i. [deleted]</w:t>
      </w:r>
    </w:p>
    <w:p w14:paraId="1E0EC599" w14:textId="77777777" w:rsidR="004E39F6" w:rsidRPr="00E60E42" w:rsidRDefault="00A35BEA" w:rsidP="009A49FC">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2.4.1.2.i. Broadband or very high capacity network “last mile” infrastructure development</w:t>
      </w:r>
    </w:p>
    <w:p w14:paraId="1E0EC59A" w14:textId="77777777" w:rsidR="004E39F6" w:rsidRPr="00E60E42" w:rsidRDefault="00A35BEA" w:rsidP="009A49FC">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create opportunities for regional development and stimulate demand for new digital services.</w:t>
      </w:r>
    </w:p>
    <w:p w14:paraId="1E0EC59B" w14:textId="77777777" w:rsidR="004E39F6" w:rsidRPr="00E60E42" w:rsidRDefault="00A35BEA" w:rsidP="0048758A">
      <w:pPr>
        <w:spacing w:before="120" w:after="120" w:line="240" w:lineRule="auto"/>
        <w:jc w:val="both"/>
        <w:rPr>
          <w:rFonts w:ascii="Times New Roman" w:eastAsia="Calibri" w:hAnsi="Times New Roman" w:cs="Arial"/>
          <w:noProof/>
          <w:kern w:val="0"/>
          <w14:ligatures w14:val="none"/>
        </w:rPr>
        <w:sectPr w:rsidR="004E39F6" w:rsidRPr="00E60E42" w:rsidSect="0048758A">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134" w:left="1134" w:header="567" w:footer="567" w:gutter="0"/>
          <w:cols w:space="708"/>
          <w:docGrid w:linePitch="360"/>
        </w:sectPr>
      </w:pPr>
      <w:r w:rsidRPr="00E60E42">
        <w:rPr>
          <w:rFonts w:ascii="Times New Roman" w:eastAsia="Calibri" w:hAnsi="Times New Roman" w:cs="Arial"/>
          <w:noProof/>
          <w:kern w:val="0"/>
          <w14:ligatures w14:val="none"/>
        </w:rPr>
        <w:t xml:space="preserve">The measure consists of providing households </w:t>
      </w:r>
      <w:r w:rsidRPr="00E60E42" w:rsidDel="3B571F59">
        <w:rPr>
          <w:rFonts w:ascii="Times New Roman" w:eastAsia="Calibri" w:hAnsi="Times New Roman" w:cs="Arial"/>
          <w:noProof/>
          <w:kern w:val="0"/>
          <w14:ligatures w14:val="none"/>
        </w:rPr>
        <w:t>and</w:t>
      </w:r>
      <w:r w:rsidRPr="00E60E42">
        <w:rPr>
          <w:rFonts w:ascii="Times New Roman" w:eastAsia="Calibri" w:hAnsi="Times New Roman" w:cs="Arial"/>
          <w:noProof/>
          <w:kern w:val="0"/>
          <w14:ligatures w14:val="none"/>
        </w:rPr>
        <w:t xml:space="preserve"> socio-economic drivers, for example businesses, schools and hospitals, with access to very high capacity broadband network.</w:t>
      </w:r>
    </w:p>
    <w:p w14:paraId="1E0EC59C" w14:textId="77777777" w:rsidR="004E39F6" w:rsidRPr="00E60E42" w:rsidRDefault="00A35BEA" w:rsidP="009A49FC">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B.2. Milestones, targets, indicators, and timetable for monitoring and implementation for non-repayable financial support</w:t>
      </w:r>
    </w:p>
    <w:tbl>
      <w:tblPr>
        <w:tblW w:w="51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1"/>
        <w:gridCol w:w="1134"/>
        <w:gridCol w:w="1701"/>
        <w:gridCol w:w="1559"/>
        <w:gridCol w:w="992"/>
        <w:gridCol w:w="992"/>
        <w:gridCol w:w="993"/>
        <w:gridCol w:w="850"/>
        <w:gridCol w:w="709"/>
        <w:gridCol w:w="3515"/>
      </w:tblGrid>
      <w:tr w:rsidR="009A49FC" w:rsidRPr="00E60E42" w14:paraId="1E0EC5A5" w14:textId="77777777" w:rsidTr="00707CC4">
        <w:trPr>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9D" w14:textId="77777777" w:rsidR="004E39F6" w:rsidRPr="00E60E42" w:rsidRDefault="00A35BEA" w:rsidP="00990967">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Nr</w:t>
            </w:r>
          </w:p>
        </w:tc>
        <w:tc>
          <w:tcPr>
            <w:tcW w:w="212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9E"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B777D71" w14:textId="77777777" w:rsidR="00707CC4" w:rsidRPr="00E60E42" w:rsidRDefault="00A35BEA" w:rsidP="00707CC4">
            <w:pPr>
              <w:spacing w:after="0" w:line="240" w:lineRule="auto"/>
              <w:jc w:val="center"/>
              <w:rPr>
                <w:rFonts w:ascii="Times New Roman" w:eastAsia="Calibri" w:hAnsi="Times New Roman" w:cs="Arial"/>
                <w:b/>
                <w:noProof/>
                <w:kern w:val="0"/>
                <w:sz w:val="18"/>
                <w:szCs w:val="18"/>
                <w14:ligatures w14:val="none"/>
              </w:rPr>
            </w:pPr>
            <w:r w:rsidRPr="00E60E42">
              <w:rPr>
                <w:rFonts w:ascii="Times New Roman" w:eastAsia="Calibri" w:hAnsi="Times New Roman" w:cs="Arial"/>
                <w:b/>
                <w:noProof/>
                <w:kern w:val="0"/>
                <w:sz w:val="18"/>
                <w:szCs w:val="18"/>
                <w14:ligatures w14:val="none"/>
              </w:rPr>
              <w:t>Milestone/</w:t>
            </w:r>
          </w:p>
          <w:p w14:paraId="1E0EC59F" w14:textId="65F4CD5E" w:rsidR="004E39F6" w:rsidRPr="00E60E42" w:rsidRDefault="00A35BEA" w:rsidP="00707CC4">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0"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1" w14:textId="48B14ED2"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Qualitative indicators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5A2" w14:textId="5529B9CF"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Quantitative indicators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5A3" w14:textId="77777777" w:rsidR="004E39F6" w:rsidRPr="00E60E42" w:rsidRDefault="00A35BEA" w:rsidP="0048758A">
            <w:pPr>
              <w:spacing w:before="120" w:after="120" w:line="240" w:lineRule="auto"/>
              <w:jc w:val="center"/>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Indicative timeline for completion</w:t>
            </w:r>
          </w:p>
        </w:tc>
        <w:tc>
          <w:tcPr>
            <w:tcW w:w="351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4"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Description of each milestone and target</w:t>
            </w:r>
          </w:p>
        </w:tc>
      </w:tr>
      <w:tr w:rsidR="009A49FC" w:rsidRPr="00E60E42" w14:paraId="1E0EC5B1" w14:textId="77777777" w:rsidTr="00707CC4">
        <w:trPr>
          <w:tblHeader/>
          <w:jc w:val="center"/>
        </w:trPr>
        <w:tc>
          <w:tcPr>
            <w:tcW w:w="568" w:type="dxa"/>
            <w:vMerge/>
            <w:tcBorders>
              <w:top w:val="single" w:sz="4" w:space="0" w:color="auto"/>
              <w:left w:val="single" w:sz="4" w:space="0" w:color="auto"/>
              <w:bottom w:val="single" w:sz="4" w:space="0" w:color="auto"/>
              <w:right w:val="single" w:sz="4" w:space="0" w:color="auto"/>
            </w:tcBorders>
          </w:tcPr>
          <w:p w14:paraId="1E0EC5A6" w14:textId="77777777" w:rsidR="004E39F6" w:rsidRPr="00E60E42" w:rsidRDefault="004E39F6" w:rsidP="00990967">
            <w:pPr>
              <w:spacing w:before="120" w:after="120" w:line="240" w:lineRule="auto"/>
              <w:jc w:val="center"/>
              <w:rPr>
                <w:rFonts w:ascii="Times New Roman" w:eastAsia="Calibri" w:hAnsi="Times New Roman" w:cs="Times New Roman"/>
                <w:noProof/>
                <w:kern w:val="0"/>
                <w:sz w:val="18"/>
                <w:szCs w:val="18"/>
                <w14:ligatures w14:val="none"/>
              </w:rPr>
            </w:pPr>
          </w:p>
        </w:tc>
        <w:tc>
          <w:tcPr>
            <w:tcW w:w="2121" w:type="dxa"/>
            <w:vMerge/>
            <w:tcBorders>
              <w:top w:val="single" w:sz="4" w:space="0" w:color="auto"/>
              <w:left w:val="single" w:sz="4" w:space="0" w:color="auto"/>
              <w:bottom w:val="single" w:sz="4" w:space="0" w:color="auto"/>
              <w:right w:val="single" w:sz="4" w:space="0" w:color="auto"/>
            </w:tcBorders>
          </w:tcPr>
          <w:p w14:paraId="1E0EC5A7"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tcPr>
          <w:p w14:paraId="1E0EC5A8" w14:textId="77777777" w:rsidR="004E39F6" w:rsidRPr="00E60E42" w:rsidRDefault="004E39F6" w:rsidP="00707CC4">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tcPr>
          <w:p w14:paraId="1E0EC5A9"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tcPr>
          <w:p w14:paraId="1E0EC5AA" w14:textId="77777777" w:rsidR="004E39F6" w:rsidRPr="00E60E42" w:rsidRDefault="004E39F6" w:rsidP="0048758A">
            <w:pPr>
              <w:spacing w:before="120" w:after="120" w:line="240" w:lineRule="auto"/>
              <w:jc w:val="center"/>
              <w:rPr>
                <w:rFonts w:ascii="Times New Roman" w:eastAsia="Calibri"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B"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C" w14:textId="77777777" w:rsidR="004E39F6" w:rsidRPr="00E60E42" w:rsidRDefault="00A35BEA" w:rsidP="0048758A">
            <w:pPr>
              <w:spacing w:before="120" w:after="120" w:line="240" w:lineRule="auto"/>
              <w:jc w:val="center"/>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Baseline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D"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Goal</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E"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F"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Year</w:t>
            </w:r>
          </w:p>
        </w:tc>
        <w:tc>
          <w:tcPr>
            <w:tcW w:w="3515" w:type="dxa"/>
            <w:vMerge/>
            <w:tcBorders>
              <w:top w:val="single" w:sz="4" w:space="0" w:color="auto"/>
              <w:left w:val="single" w:sz="4" w:space="0" w:color="auto"/>
              <w:bottom w:val="single" w:sz="4" w:space="0" w:color="auto"/>
              <w:right w:val="single" w:sz="4" w:space="0" w:color="auto"/>
            </w:tcBorders>
          </w:tcPr>
          <w:p w14:paraId="1E0EC5B0" w14:textId="77777777" w:rsidR="004E39F6" w:rsidRPr="00E60E42" w:rsidRDefault="004E39F6" w:rsidP="0048758A">
            <w:pPr>
              <w:spacing w:before="120" w:after="120" w:line="240" w:lineRule="auto"/>
              <w:rPr>
                <w:rFonts w:ascii="Times New Roman" w:eastAsia="Calibri" w:hAnsi="Times New Roman" w:cs="Times New Roman"/>
                <w:noProof/>
                <w:kern w:val="0"/>
                <w:sz w:val="18"/>
                <w:szCs w:val="18"/>
                <w14:ligatures w14:val="none"/>
              </w:rPr>
            </w:pPr>
          </w:p>
        </w:tc>
      </w:tr>
      <w:tr w:rsidR="0048758A" w:rsidRPr="00E60E42" w14:paraId="1E0EC5BF"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B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B3" w14:textId="77777777" w:rsidR="004E39F6" w:rsidRPr="00E60E42" w:rsidRDefault="00A35BEA" w:rsidP="00171335">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2.1.1.r.</w:t>
            </w:r>
          </w:p>
          <w:p w14:paraId="1E0EC5B4"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Modernisation of national processes and services and digital transformation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B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B6"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Establishment of a framework for unified governance management of ICT development activities in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B7"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B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B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B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BD"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Regulations of the Cabinet of Ministers laying down common procedures for monitoring ICT development activities entered into force. </w:t>
            </w:r>
          </w:p>
          <w:p w14:paraId="1E0EC5BE"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For the new regulations to be applicable for all ICT development activities within the scope of the measures of the Latvian recovery and resilience plan (including municipalities), the scope of the Law of State Information Systems shall be extended. If adoption of the amendments to the law are delayed, temporary regulation to supplement specific normative framework for specific regulations for respective ICT project activities issued. </w:t>
            </w:r>
          </w:p>
        </w:tc>
      </w:tr>
      <w:tr w:rsidR="0048758A" w:rsidRPr="00E60E42" w14:paraId="1E0EC5CC"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C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C1" w14:textId="77777777" w:rsidR="004E39F6" w:rsidRPr="00E60E42" w:rsidRDefault="00A35BEA" w:rsidP="00171335">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2.1.1.r.</w:t>
            </w:r>
          </w:p>
          <w:p w14:paraId="1E0EC5C2"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Modernisation of national processes and services and digital transformation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C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C4"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Establishment of a normative framework for receiving support in the field of digital transformation of public administration processes and services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C5"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C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C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C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CB"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Cabinet of Ministers regulation entered into force for granting support in the field of digital transformation of public administration processes and services. </w:t>
            </w:r>
          </w:p>
        </w:tc>
      </w:tr>
      <w:tr w:rsidR="0048758A" w:rsidRPr="00E60E42" w14:paraId="1E0EC5D8"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C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CE" w14:textId="77777777" w:rsidR="004E39F6" w:rsidRPr="00E60E42" w:rsidRDefault="00A35BEA" w:rsidP="00171335">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2.1.1.1.i. Administration modernisation and digital transformation of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C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D0"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Descriptions of ICT solutions development activities developed and harmonised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D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D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D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D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D7"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ICT solutions (systems) descriptions concept models shall be developed in accordance with the adopted legal framework for ICT governance. Descriptions define ICT development activities to develop or modernise ICT solutions in at least following 4 areas: 1) the domestic affairs sector, including civil protection, fire safety supervision and public safety; 2) the cultural sector, including the accumulation of the heritage of archives, libraries, museums, cultural monuments and media content; 3) management of port logistics services; 4) support of ICT management processes. </w:t>
            </w:r>
          </w:p>
        </w:tc>
      </w:tr>
      <w:tr w:rsidR="0048758A" w:rsidRPr="00E60E42" w14:paraId="1E0EC5E4"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D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DA" w14:textId="77777777" w:rsidR="004E39F6" w:rsidRPr="00E60E42" w:rsidRDefault="00A35BEA" w:rsidP="00171335">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2.1.1.1.i. Administration modernisation and digital transformation of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D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DC"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ICT solutions or systems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D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E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E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E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E3"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ICT solutions or systems shall be delivered, for example, in the areas of domestic affairs, culture, the management of port logistics services, ICT management processes. </w:t>
            </w:r>
          </w:p>
        </w:tc>
      </w:tr>
      <w:tr w:rsidR="0048758A" w:rsidRPr="00E60E42" w14:paraId="1E0EC5F1"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E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E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2.1.2.r.</w:t>
            </w:r>
          </w:p>
          <w:p w14:paraId="1E0EC5E7"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Increasing efficiency and interoperability in the use of national ICT resources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E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E9"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Establishment of the legal framework for receiving support in the area of development of central systems and platforms of public administration and consolidation of computing infrastructure services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EA"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E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E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E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F0"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 for granting support in the area of development of central IT systems and platforms of public administration and consolidation of computing infrastructure services.</w:t>
            </w:r>
          </w:p>
        </w:tc>
      </w:tr>
      <w:tr w:rsidR="0048758A" w:rsidRPr="00E60E42" w14:paraId="1E0EC5FE"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F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F3"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2.1.2.1.i. </w:t>
            </w:r>
          </w:p>
          <w:p w14:paraId="1E0EC5F4"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Centralised platforms, solutions or systems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F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F6"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Approval of development plans for the creation, transformation or deployment of centralised ICT functions and shared services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F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F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F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F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FD"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Before investments in development of centralised functions or shared services, the responsible institution shall prepare and get approval of the centralised ICT function or shared service development plan (including with regard to the financing of services). </w:t>
            </w:r>
          </w:p>
        </w:tc>
      </w:tr>
      <w:tr w:rsidR="0048758A" w:rsidRPr="00E60E42" w14:paraId="1E0EC60B"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F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00"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2.1.2.1.i. </w:t>
            </w:r>
          </w:p>
          <w:p w14:paraId="1E0EC601"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Centralised platforms, solutions or systems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0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03"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Approval of harmonised descriptions of the development activities of centralised ICT solutions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0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0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0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0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0A"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Harmonised descriptions shall be approved to define ICT development activities of centralised platforms and systems. The ICT solutions (systems) shall be developed in accordance with the adopted legal framework for ICT governance.</w:t>
            </w:r>
          </w:p>
        </w:tc>
      </w:tr>
      <w:tr w:rsidR="0048758A" w:rsidRPr="00E60E42" w14:paraId="1E0EC618"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0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0D"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2.1.2.1.i. </w:t>
            </w:r>
          </w:p>
          <w:p w14:paraId="1E0EC60E"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Centralised platforms, solutions or systems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0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10"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Centralised ICT platforms, solutions or systems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1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1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1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1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17"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Centralised ICT platforms, solutions or systems shall be delivered, for example, to support public services, administrative functions, or local governance. </w:t>
            </w:r>
          </w:p>
        </w:tc>
      </w:tr>
      <w:tr w:rsidR="0048758A" w:rsidRPr="00E60E42" w14:paraId="1E0EC625"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1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1A"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2.1.2.2.i. </w:t>
            </w:r>
          </w:p>
          <w:p w14:paraId="1E0EC61B"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Cloud </w:t>
            </w:r>
            <w:r w:rsidRPr="00E60E42">
              <w:rPr>
                <w:rFonts w:ascii="Times New Roman" w:eastAsia="Calibri" w:hAnsi="Times New Roman" w:cs="Arial"/>
                <w:b/>
                <w:bCs/>
                <w:noProof/>
                <w:kern w:val="0"/>
                <w:sz w:val="18"/>
                <w:szCs w:val="18"/>
                <w14:ligatures w14:val="none"/>
              </w:rPr>
              <w:t xml:space="preserve">services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1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1D"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Cloud services provided to public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1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0"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sidDel="03E59903">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2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2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2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24"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Cloud services shall be provided to 6 public authorities.</w:t>
            </w:r>
          </w:p>
        </w:tc>
      </w:tr>
      <w:tr w:rsidR="0048758A" w:rsidRPr="00E60E42" w14:paraId="1E0EC632"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2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27"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2.1.3.r. </w:t>
            </w:r>
          </w:p>
          <w:p w14:paraId="1E0EC628"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Development of the national economic data and digital services economy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2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2A"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 for receiving support in the field of transformation of economic data management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2B"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2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2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3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31"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 for granting support in the field of transformation of economic data management harmonised by the Cabinet of Ministers.</w:t>
            </w:r>
          </w:p>
        </w:tc>
      </w:tr>
      <w:tr w:rsidR="0048758A" w:rsidRPr="00E60E42" w14:paraId="1E0EC642"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3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34" w14:textId="77777777" w:rsidR="004E39F6" w:rsidRPr="00E60E42" w:rsidRDefault="00A35BEA" w:rsidP="00171335">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2.1.3.r. </w:t>
            </w:r>
          </w:p>
          <w:p w14:paraId="1E0EC635"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Development of the national economic data and digital services economy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3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37"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Legal framework for the functioning of the national platform for the circulation of data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38"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legal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3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3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3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3E"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successful implementation of the reform shall be ensured by entry into force of the legal framework specifying the following aspects of the national platform:</w:t>
            </w:r>
          </w:p>
          <w:p w14:paraId="1E0EC63F" w14:textId="77777777" w:rsidR="004E39F6" w:rsidRPr="00E60E42" w:rsidRDefault="00A35BEA" w:rsidP="00171335">
            <w:pPr>
              <w:numPr>
                <w:ilvl w:val="0"/>
                <w:numId w:val="20"/>
              </w:numPr>
              <w:spacing w:after="200" w:line="259" w:lineRule="auto"/>
              <w:ind w:left="357" w:hanging="357"/>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data sharing management, including the data exchange process in the central data exchange platform;</w:t>
            </w:r>
          </w:p>
          <w:p w14:paraId="1E0EC640" w14:textId="77777777" w:rsidR="004E39F6" w:rsidRPr="00E60E42" w:rsidRDefault="00A35BEA" w:rsidP="00171335">
            <w:pPr>
              <w:numPr>
                <w:ilvl w:val="0"/>
                <w:numId w:val="20"/>
              </w:numPr>
              <w:spacing w:after="200" w:line="259" w:lineRule="auto"/>
              <w:ind w:left="357" w:hanging="357"/>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rights and duties of the participating institutions for the sharing and circulation of data within the central data exchange platform;</w:t>
            </w:r>
          </w:p>
          <w:p w14:paraId="1E0EC641" w14:textId="77777777" w:rsidR="004E39F6" w:rsidRPr="00E60E42" w:rsidRDefault="00A35BEA" w:rsidP="00171335">
            <w:pPr>
              <w:numPr>
                <w:ilvl w:val="0"/>
                <w:numId w:val="20"/>
              </w:numPr>
              <w:spacing w:after="200" w:line="259" w:lineRule="auto"/>
              <w:ind w:left="357" w:hanging="357"/>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uniformed and facilitated processing of personal data within the central data exchange platform.</w:t>
            </w:r>
          </w:p>
        </w:tc>
      </w:tr>
      <w:tr w:rsidR="0048758A" w:rsidRPr="00E60E42" w14:paraId="1E0EC64F"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4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44"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2.1.3.1.i. </w:t>
            </w:r>
          </w:p>
          <w:p w14:paraId="1E0EC645" w14:textId="77777777" w:rsidR="004E39F6" w:rsidRPr="00E60E42" w:rsidRDefault="00A35BEA" w:rsidP="00171335">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Data availability, sharing and analysis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4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47" w14:textId="77777777" w:rsidR="004E39F6" w:rsidRPr="00E60E42" w:rsidRDefault="00A35BEA" w:rsidP="00171335">
            <w:pPr>
              <w:spacing w:after="120" w:line="240" w:lineRule="auto"/>
              <w:rPr>
                <w:rFonts w:ascii="Times New Roman" w:eastAsia="Calibri"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 xml:space="preserve">Availability of datasets on platforms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4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4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4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4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4E"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 public administration datasets shall be made available on platforms, for example in the areas of business, science, environment, finance, public procurement, healthcare, veterinary and agriculture.</w:t>
            </w:r>
          </w:p>
        </w:tc>
      </w:tr>
      <w:tr w:rsidR="0048758A" w:rsidRPr="00E60E42" w14:paraId="1E0EC65C"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5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51"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2.2.1.r. </w:t>
            </w:r>
          </w:p>
          <w:p w14:paraId="1E0EC652"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Creating the full cycle of business digital transformation support with regional coverage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5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54"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European Digital Innovation Hub (EDIH) has been established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55"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European Digital Innovation Hub (EDIH) has been established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5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5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5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5B"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EDIH shall be in operation in line with the Digital Europe Programme priorities and form part of the network of a common European Digital Innovation Hub. It shall serve as a one-stop-shop for the coordination of the digital transformation of businesses. It aims to ensure a common approach and information exchange of regional business centres, digital maturity test and state support.</w:t>
            </w:r>
          </w:p>
        </w:tc>
      </w:tr>
      <w:tr w:rsidR="0048758A" w:rsidRPr="00E60E42" w14:paraId="1E0EC66C"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5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5E"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2.2.1.r. </w:t>
            </w:r>
          </w:p>
          <w:p w14:paraId="1E0EC65F"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Creating the full cycle of business digital transformation support with regional coverage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6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61"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Regional business support centres provide new digital transformation support functions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62"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Regional business support centres provide digital transformation support functions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6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6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6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68"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regional business support centres shall have started providing the following new digital transformation support functions:</w:t>
            </w:r>
          </w:p>
          <w:p w14:paraId="1E0EC669" w14:textId="77777777" w:rsidR="004E39F6" w:rsidRPr="00E60E42" w:rsidRDefault="00A35BEA" w:rsidP="00171335">
            <w:pPr>
              <w:numPr>
                <w:ilvl w:val="0"/>
                <w:numId w:val="21"/>
              </w:numPr>
              <w:spacing w:after="200" w:line="259" w:lineRule="auto"/>
              <w:ind w:left="357" w:hanging="357"/>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Digital maturity tests in regions;</w:t>
            </w:r>
          </w:p>
          <w:p w14:paraId="1E0EC66A" w14:textId="77777777" w:rsidR="004E39F6" w:rsidRPr="00E60E42" w:rsidRDefault="00A35BEA" w:rsidP="00171335">
            <w:pPr>
              <w:numPr>
                <w:ilvl w:val="0"/>
                <w:numId w:val="21"/>
              </w:numPr>
              <w:spacing w:after="200" w:line="259" w:lineRule="auto"/>
              <w:ind w:left="357" w:hanging="357"/>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Access to testing and piloting;</w:t>
            </w:r>
          </w:p>
          <w:p w14:paraId="1E0EC66B" w14:textId="77777777" w:rsidR="004E39F6" w:rsidRPr="00E60E42" w:rsidRDefault="00A35BEA" w:rsidP="00171335">
            <w:pPr>
              <w:numPr>
                <w:ilvl w:val="0"/>
                <w:numId w:val="21"/>
              </w:numPr>
              <w:spacing w:after="200" w:line="259" w:lineRule="auto"/>
              <w:ind w:left="357" w:hanging="357"/>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Mentoring and digital skills training.</w:t>
            </w:r>
          </w:p>
        </w:tc>
      </w:tr>
      <w:tr w:rsidR="0048758A" w:rsidRPr="00E60E42" w14:paraId="1E0EC679"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6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6E"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2.2.1.r. </w:t>
            </w:r>
          </w:p>
          <w:p w14:paraId="1E0EC66F"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Creating the full cycle of business digital transformation support with regional coverage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7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71"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Establishment of a digital maturity test system for entities to identify the actions needed by the entities and state support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72"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Digital maturity test system in place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7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7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7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78"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digital maturity test system for entities shall be established. The digital maturity test is a digital tool available on the EDIH website, which assesses an entity’s digital maturity in various aspects and may be filled by the entity independently or with the help of a consultant. </w:t>
            </w:r>
          </w:p>
        </w:tc>
      </w:tr>
      <w:tr w:rsidR="0048758A" w:rsidRPr="00E60E42" w14:paraId="1E0EC686"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7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7B"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2.2.1.1.i. </w:t>
            </w:r>
          </w:p>
          <w:p w14:paraId="1E0EC67C"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Support for the establishment of Digital Innovation Hubs and </w:t>
            </w:r>
            <w:r w:rsidRPr="00E60E42">
              <w:rPr>
                <w:rFonts w:ascii="Times New Roman" w:eastAsia="Calibri" w:hAnsi="Times New Roman" w:cs="Arial"/>
                <w:b/>
                <w:bCs/>
                <w:noProof/>
                <w:kern w:val="0"/>
                <w:sz w:val="18"/>
                <w:szCs w:val="18"/>
                <w14:ligatures w14:val="none"/>
              </w:rPr>
              <w:t>regional contact points</w:t>
            </w:r>
            <w:r w:rsidRPr="00E60E42">
              <w:rPr>
                <w:rFonts w:ascii="Times New Roman" w:eastAsia="Calibri" w:hAnsi="Times New Roman" w:cs="Arial"/>
                <w:b/>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7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7E"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Digital transformation roadmaps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7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8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2 000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8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sidDel="005D54F4">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8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85"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digital transformation roadmaps issued to entities by the European Digital Innovation Hubs (EDIHs).</w:t>
            </w:r>
          </w:p>
        </w:tc>
      </w:tr>
      <w:tr w:rsidR="0048758A" w:rsidRPr="00E60E42" w14:paraId="1E0EC693" w14:textId="77777777" w:rsidTr="00707CC4">
        <w:trPr>
          <w:trHeight w:val="300"/>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8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44a</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88" w14:textId="77777777" w:rsidR="004E39F6" w:rsidRPr="00E60E42" w:rsidRDefault="00A35BEA" w:rsidP="00171335">
            <w:pPr>
              <w:spacing w:after="120" w:line="240" w:lineRule="auto"/>
              <w:contextualSpacing/>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2.2.1.1.i. </w:t>
            </w:r>
          </w:p>
          <w:p w14:paraId="1E0EC689" w14:textId="77777777" w:rsidR="004E39F6" w:rsidRPr="00E60E42" w:rsidRDefault="00A35BEA" w:rsidP="00171335">
            <w:pPr>
              <w:spacing w:after="120" w:line="240" w:lineRule="auto"/>
              <w:contextualSpacing/>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Support for the establishment of Digital Innovation Hubs and </w:t>
            </w:r>
            <w:r w:rsidRPr="00E60E42">
              <w:rPr>
                <w:rFonts w:ascii="Times New Roman" w:eastAsia="Calibri" w:hAnsi="Times New Roman" w:cs="Arial"/>
                <w:b/>
                <w:bCs/>
                <w:noProof/>
                <w:kern w:val="0"/>
                <w:sz w:val="18"/>
                <w:szCs w:val="18"/>
                <w14:ligatures w14:val="none"/>
              </w:rPr>
              <w:t>regional contact points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8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8B" w14:textId="77777777" w:rsidR="004E39F6" w:rsidRPr="00E60E42" w:rsidRDefault="00A35BEA" w:rsidP="00171335">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Support for the digital transformation of entities by the European Digital Innovation Hubs (EDIH)</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8C" w14:textId="77777777" w:rsidR="004E39F6" w:rsidRPr="00E60E42" w:rsidRDefault="00A35BEA" w:rsidP="00171335">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Work packages of the European Digital Innovation Hubs (EDIH) completed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8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9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9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92" w14:textId="77777777" w:rsidR="004E39F6" w:rsidRPr="00E60E42" w:rsidRDefault="00A35BEA" w:rsidP="00171335">
            <w:pPr>
              <w:spacing w:after="12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All work packages of European Digital Innovation Hubs shall be completed, excluding those that are funded by the Digital Europe Programme.</w:t>
            </w:r>
          </w:p>
        </w:tc>
      </w:tr>
      <w:tr w:rsidR="0048758A" w:rsidRPr="00E60E42" w14:paraId="1E0EC6A0"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9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95"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2.2.1.2.i. </w:t>
            </w:r>
          </w:p>
          <w:p w14:paraId="1E0EC69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Digitalisation</w:t>
            </w:r>
            <w:r w:rsidRPr="00E60E42">
              <w:rPr>
                <w:rFonts w:ascii="Times New Roman" w:eastAsia="Calibri" w:hAnsi="Times New Roman" w:cs="Arial"/>
                <w:b/>
                <w:noProof/>
                <w:kern w:val="0"/>
                <w:sz w:val="18"/>
                <w:szCs w:val="18"/>
                <w14:ligatures w14:val="none"/>
              </w:rPr>
              <w:t xml:space="preserve"> of </w:t>
            </w:r>
            <w:r w:rsidRPr="00E60E42">
              <w:rPr>
                <w:rFonts w:ascii="Times New Roman" w:eastAsia="Calibri" w:hAnsi="Times New Roman" w:cs="Arial"/>
                <w:b/>
                <w:bCs/>
                <w:noProof/>
                <w:kern w:val="0"/>
                <w:sz w:val="18"/>
                <w:szCs w:val="18"/>
                <w14:ligatures w14:val="none"/>
              </w:rPr>
              <w:t xml:space="preserve">entities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9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98"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Improvement in entities’ Digital Maturity Test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9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9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9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9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9F"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Improvement in the test result of 200 entities is observed in the repeated Digital Maturity Test.</w:t>
            </w:r>
          </w:p>
        </w:tc>
      </w:tr>
      <w:tr w:rsidR="0048758A" w:rsidRPr="00E60E42" w14:paraId="1E0EC6AD"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A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A2"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2.2.1.3.i. </w:t>
            </w:r>
          </w:p>
          <w:p w14:paraId="1E0EC6A3"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Support for the introduction of products and services into business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A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A5"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Grant agreements signed and private financing committed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A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A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A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A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AC"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Grant agreements to support 43 projects for research in digital products or services shall be signed, including the allocation of EUR 4 860 000 in private financing to supported projects.</w:t>
            </w:r>
          </w:p>
        </w:tc>
      </w:tr>
      <w:tr w:rsidR="0048758A" w:rsidRPr="00E60E42" w14:paraId="1E0EC6BA"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A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AF"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2.2.1.4.i. </w:t>
            </w:r>
          </w:p>
          <w:p w14:paraId="1E0EC6B0" w14:textId="77777777" w:rsidR="004E39F6" w:rsidRPr="00E60E42" w:rsidRDefault="00A35BEA" w:rsidP="00171335">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Financial instrument to facilitate the digital transformation of economic operators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B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B2"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Loan contracts signed and private financing committed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B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B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B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B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B9"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loan contracts signed between ALTUM and economic operators to support digital transformation projects, including the allocation of EUR 45 300 000 of private financing to supported projects.</w:t>
            </w:r>
          </w:p>
        </w:tc>
      </w:tr>
      <w:tr w:rsidR="0048758A" w:rsidRPr="00E60E42" w14:paraId="1E0EC6C7"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B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BC"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2.2.1.5.i. </w:t>
            </w:r>
          </w:p>
          <w:p w14:paraId="1E0EC6BD"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Fostering the digital transformation of media companies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BE"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BF" w14:textId="77777777" w:rsidR="004E39F6" w:rsidRPr="00E60E42" w:rsidRDefault="00A35BEA" w:rsidP="00171335">
            <w:pPr>
              <w:spacing w:after="120" w:line="240" w:lineRule="auto"/>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Platforms or IT solutions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C0"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1"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2"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C3"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C4"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C5" w14:textId="77777777" w:rsidR="004E39F6" w:rsidRPr="00E60E42" w:rsidRDefault="00A35BEA" w:rsidP="00171335">
            <w:pPr>
              <w:spacing w:after="120" w:line="240" w:lineRule="auto"/>
              <w:jc w:val="center"/>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C6" w14:textId="77777777" w:rsidR="004E39F6" w:rsidRPr="00E60E42" w:rsidRDefault="00A35BEA" w:rsidP="00171335">
            <w:pPr>
              <w:spacing w:after="120" w:line="240" w:lineRule="auto"/>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Three platforms or IT solutions in the media sector shall be delivered.</w:t>
            </w:r>
          </w:p>
        </w:tc>
      </w:tr>
      <w:tr w:rsidR="0048758A" w:rsidRPr="00E60E42" w14:paraId="1E0EC6D4" w14:textId="77777777" w:rsidTr="00707CC4">
        <w:trPr>
          <w:trHeight w:val="2182"/>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C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C9"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2.2.1.5.i. </w:t>
            </w:r>
          </w:p>
          <w:p w14:paraId="1E0EC6CA" w14:textId="77777777" w:rsidR="004E39F6" w:rsidRPr="00E60E42" w:rsidRDefault="00A35BEA" w:rsidP="00171335">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Fostering the digital transformation of media companies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C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CC"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Support scheme established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CD"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Contracts signed</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D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D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D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D3" w14:textId="77777777" w:rsidR="004E39F6" w:rsidRPr="00E60E42" w:rsidRDefault="00A35BEA" w:rsidP="00171335">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A support scheme for investments in digital skills in the media sector shall be established, and 10 contracts shall be signed between the Commercial Education Centre and entities under this support scheme.</w:t>
            </w:r>
          </w:p>
        </w:tc>
      </w:tr>
      <w:tr w:rsidR="0048758A" w:rsidRPr="00E60E42" w14:paraId="1E0EC6E4"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D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D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2.3.1.r. </w:t>
            </w:r>
          </w:p>
          <w:p w14:paraId="1E0EC6D7"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Development of a sustainable and socially responsible support framework for adult learning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D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D9" w14:textId="77777777" w:rsidR="004E39F6" w:rsidRPr="00E60E42" w:rsidRDefault="00A35BEA" w:rsidP="00171335">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Enhanced support for training of employees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DA" w14:textId="77777777" w:rsidR="004E39F6" w:rsidRPr="00E60E42" w:rsidRDefault="00A35BEA" w:rsidP="00171335">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Legal acts have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D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D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D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E0"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Legal acts have entered into force that:</w:t>
            </w:r>
          </w:p>
          <w:p w14:paraId="1E0EC6E1" w14:textId="77777777" w:rsidR="004E39F6" w:rsidRPr="00E60E42" w:rsidRDefault="00A35BEA" w:rsidP="00171335">
            <w:pPr>
              <w:spacing w:after="12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Introduce more favourable tax treatment in the Law on Personal Income Tax of tuition fees covered by employers for higher education of employees;</w:t>
            </w:r>
          </w:p>
          <w:p w14:paraId="1E0EC6E2" w14:textId="77777777" w:rsidR="004E39F6" w:rsidRPr="00E60E42" w:rsidRDefault="00A35BEA" w:rsidP="00171335">
            <w:pPr>
              <w:spacing w:after="12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Amend the Labour Law to expand the right of employees to participate in training related to professional tasks;</w:t>
            </w:r>
          </w:p>
          <w:p w14:paraId="1E0EC6E3" w14:textId="77777777" w:rsidR="004E39F6" w:rsidRPr="00E60E42" w:rsidRDefault="00A35BEA" w:rsidP="00171335">
            <w:pPr>
              <w:spacing w:after="120" w:line="240" w:lineRule="auto"/>
              <w:jc w:val="both"/>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3) Adopt Cabinet of Ministers instructions to standardise the preparation of support measures for employers to train employees.</w:t>
            </w:r>
          </w:p>
        </w:tc>
      </w:tr>
      <w:tr w:rsidR="0048758A" w:rsidRPr="00E60E42" w14:paraId="1E0EC6F1"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E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E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2.3.1.r. </w:t>
            </w:r>
          </w:p>
          <w:p w14:paraId="1E0EC6E7"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Development of a sustainable and socially responsible support framework for adult learning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E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E9"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Development of the Individual Learning Accounts (ILA) approach</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EA"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Regulations of the Cabinet of Ministers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E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E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E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F0"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Regulations specifying the approach for the development of the individual learning account including: (a) the establishment of eligibility criteria, (b) the establishment of criteria for the selection of educational providers.</w:t>
            </w:r>
          </w:p>
        </w:tc>
      </w:tr>
      <w:tr w:rsidR="0048758A" w:rsidRPr="00E60E42" w14:paraId="1E0EC6FE"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F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F3"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2.3.1.r. </w:t>
            </w:r>
          </w:p>
          <w:p w14:paraId="1E0EC6F4"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Development of a sustainable and socially responsible support framework for adult learning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F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F6"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Individual learning account approach</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F7"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Assessment published by the Ministry of Education and Science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F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F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F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FD" w14:textId="77777777" w:rsidR="004E39F6" w:rsidRPr="00E60E42" w:rsidRDefault="00A35BEA" w:rsidP="00171335">
            <w:pPr>
              <w:spacing w:line="257" w:lineRule="auto"/>
              <w:jc w:val="both"/>
              <w:rPr>
                <w:rFonts w:ascii="Times New Roman" w:eastAsia="Calibri" w:hAnsi="Times New Roman" w:cs="Arial"/>
                <w:noProof/>
                <w:kern w:val="0"/>
                <w:sz w:val="18"/>
                <w:szCs w:val="18"/>
                <w14:ligatures w14:val="none"/>
              </w:rPr>
            </w:pPr>
            <w:r w:rsidRPr="00E60E42" w:rsidDel="00060EDD">
              <w:rPr>
                <w:rFonts w:ascii="Times New Roman" w:eastAsia="Aptos" w:hAnsi="Times New Roman" w:cs="Times New Roman"/>
                <w:noProof/>
                <w:kern w:val="0"/>
                <w:sz w:val="18"/>
                <w:szCs w:val="18"/>
                <w14:ligatures w14:val="none"/>
              </w:rPr>
              <w:t xml:space="preserve">The Ministry of Education and Science shall publish an assessment </w:t>
            </w:r>
            <w:r w:rsidRPr="00E60E42">
              <w:rPr>
                <w:rFonts w:ascii="Times New Roman" w:eastAsia="Aptos" w:hAnsi="Times New Roman" w:cs="Times New Roman"/>
                <w:noProof/>
                <w:kern w:val="0"/>
                <w:sz w:val="18"/>
                <w:szCs w:val="18"/>
                <w14:ligatures w14:val="none"/>
              </w:rPr>
              <w:t>of</w:t>
            </w:r>
            <w:r w:rsidRPr="00E60E42" w:rsidDel="00060EDD">
              <w:rPr>
                <w:rFonts w:ascii="Times New Roman" w:eastAsia="Aptos" w:hAnsi="Times New Roman" w:cs="Times New Roman"/>
                <w:noProof/>
                <w:kern w:val="0"/>
                <w:sz w:val="18"/>
                <w:szCs w:val="18"/>
                <w14:ligatures w14:val="none"/>
              </w:rPr>
              <w:t xml:space="preserve"> the</w:t>
            </w:r>
            <w:r w:rsidRPr="00E60E42">
              <w:rPr>
                <w:rFonts w:ascii="Times New Roman" w:eastAsia="Aptos" w:hAnsi="Times New Roman" w:cs="Times New Roman"/>
                <w:noProof/>
                <w:kern w:val="0"/>
                <w:sz w:val="18"/>
                <w:szCs w:val="18"/>
                <w14:ligatures w14:val="none"/>
              </w:rPr>
              <w:t xml:space="preserve"> </w:t>
            </w:r>
            <w:r w:rsidRPr="00E60E42" w:rsidDel="00060EDD">
              <w:rPr>
                <w:rFonts w:ascii="Times New Roman" w:eastAsia="Aptos" w:hAnsi="Times New Roman" w:cs="Times New Roman"/>
                <w:noProof/>
                <w:kern w:val="0"/>
                <w:sz w:val="18"/>
                <w:szCs w:val="18"/>
                <w14:ligatures w14:val="none"/>
              </w:rPr>
              <w:t xml:space="preserve">individual learning account approach including </w:t>
            </w:r>
            <w:r w:rsidRPr="00E60E42">
              <w:rPr>
                <w:rFonts w:ascii="Times New Roman" w:eastAsia="Aptos" w:hAnsi="Times New Roman" w:cs="Times New Roman"/>
                <w:noProof/>
                <w:kern w:val="0"/>
                <w:sz w:val="18"/>
                <w:szCs w:val="18"/>
                <w14:ligatures w14:val="none"/>
              </w:rPr>
              <w:t xml:space="preserve">an </w:t>
            </w:r>
            <w:r w:rsidRPr="00E60E42" w:rsidDel="00060EDD">
              <w:rPr>
                <w:rFonts w:ascii="Times New Roman" w:eastAsia="Aptos" w:hAnsi="Times New Roman" w:cs="Times New Roman"/>
                <w:noProof/>
                <w:kern w:val="0"/>
                <w:sz w:val="18"/>
                <w:szCs w:val="18"/>
                <w14:ligatures w14:val="none"/>
              </w:rPr>
              <w:t>analysis by an independent auditor.</w:t>
            </w:r>
            <w:r w:rsidRPr="00E60E42" w:rsidDel="003C598B">
              <w:rPr>
                <w:rFonts w:ascii="Times New Roman" w:eastAsia="Calibri" w:hAnsi="Times New Roman" w:cs="Arial"/>
                <w:noProof/>
                <w:kern w:val="0"/>
                <w:sz w:val="18"/>
                <w:szCs w:val="18"/>
                <w14:ligatures w14:val="none"/>
              </w:rPr>
              <w:t xml:space="preserve"> </w:t>
            </w:r>
          </w:p>
        </w:tc>
      </w:tr>
      <w:tr w:rsidR="0048758A" w:rsidRPr="00E60E42" w14:paraId="1E0EC70B"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F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00"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2.3.1.1.i. </w:t>
            </w:r>
          </w:p>
          <w:p w14:paraId="1E0EC701"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Delivering digital skills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0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03"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Modules designed for higher education study programmes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04"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0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0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0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0A"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 modules for example</w:t>
            </w:r>
            <w:r w:rsidRPr="00E60E42" w:rsidDel="001869ED">
              <w:rPr>
                <w:rFonts w:ascii="Times New Roman" w:eastAsia="Calibri" w:hAnsi="Times New Roman" w:cs="Arial"/>
                <w:noProof/>
                <w:kern w:val="0"/>
                <w:sz w:val="18"/>
                <w:szCs w:val="18"/>
                <w14:ligatures w14:val="none"/>
              </w:rPr>
              <w:t xml:space="preserve"> </w:t>
            </w:r>
            <w:r w:rsidRPr="00E60E42">
              <w:rPr>
                <w:rFonts w:ascii="Times New Roman" w:eastAsia="Calibri" w:hAnsi="Times New Roman" w:cs="Arial"/>
                <w:noProof/>
                <w:kern w:val="0"/>
                <w:sz w:val="18"/>
                <w:szCs w:val="18"/>
                <w14:ligatures w14:val="none"/>
              </w:rPr>
              <w:t xml:space="preserve">in the fields of high-performance computing, quantum technologies and language technologies, shall be designed for higher education study programmes. </w:t>
            </w:r>
          </w:p>
        </w:tc>
      </w:tr>
      <w:tr w:rsidR="0048758A" w:rsidRPr="00E60E42" w14:paraId="1E0EC717"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0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highlight w:val="magenta"/>
                <w14:ligatures w14:val="none"/>
              </w:rPr>
            </w:pPr>
            <w:r w:rsidRPr="00E60E42">
              <w:rPr>
                <w:rFonts w:ascii="Times New Roman" w:eastAsia="Calibri" w:hAnsi="Times New Roman" w:cs="Arial"/>
                <w:noProof/>
                <w:kern w:val="0"/>
                <w:sz w:val="18"/>
                <w:szCs w:val="18"/>
                <w14:ligatures w14:val="none"/>
              </w:rPr>
              <w:t>64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0D"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2.3.1.2.i. Development of digital skills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0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0F"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Digital skills trainings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10"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1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2 080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1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1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16"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digital skills trainings attended.</w:t>
            </w:r>
          </w:p>
        </w:tc>
      </w:tr>
      <w:tr w:rsidR="0048758A" w:rsidRPr="00E60E42" w14:paraId="1E0EC723"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18"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68a</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19" w14:textId="77777777" w:rsidR="004E39F6" w:rsidRPr="00E60E42" w:rsidRDefault="00A35BEA" w:rsidP="00171335">
            <w:pPr>
              <w:spacing w:after="120" w:line="240" w:lineRule="auto"/>
              <w:rPr>
                <w:rFonts w:ascii="Times New Roman" w:eastAsia="Calibri" w:hAnsi="Times New Roman" w:cs="Arial"/>
                <w:b/>
                <w:noProof/>
                <w:kern w:val="0"/>
                <w:sz w:val="18"/>
                <w:szCs w:val="18"/>
                <w14:ligatures w14:val="none"/>
              </w:rPr>
            </w:pPr>
            <w:r w:rsidRPr="00E60E42">
              <w:rPr>
                <w:rFonts w:ascii="Times New Roman" w:eastAsia="Calibri" w:hAnsi="Times New Roman" w:cs="Arial"/>
                <w:b/>
                <w:noProof/>
                <w:kern w:val="0"/>
                <w:sz w:val="18"/>
                <w:szCs w:val="18"/>
                <w14:ligatures w14:val="none"/>
              </w:rPr>
              <w:t>2.3.1.5.i. Digital skills through the individual learning account platform</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1A"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1B" w14:textId="77777777" w:rsidR="004E39F6" w:rsidRPr="00E60E42" w:rsidRDefault="00A35BEA" w:rsidP="00171335">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Digital skills trainings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1C" w14:textId="77777777" w:rsidR="004E39F6" w:rsidRPr="00E60E42" w:rsidRDefault="00A35BEA" w:rsidP="00171335">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D"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E"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1F"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25 319</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20"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21" w14:textId="77777777" w:rsidR="004E39F6" w:rsidRPr="00E60E42" w:rsidRDefault="00A35BEA" w:rsidP="00171335">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22" w14:textId="77777777" w:rsidR="004E39F6" w:rsidRPr="00E60E42" w:rsidRDefault="00A35BEA" w:rsidP="00171335">
            <w:pPr>
              <w:spacing w:after="120" w:line="240" w:lineRule="auto"/>
              <w:jc w:val="both"/>
              <w:rPr>
                <w:rFonts w:ascii="Times New Roman" w:eastAsia="Calibri" w:hAnsi="Times New Roman" w:cs="Arial"/>
                <w:noProof/>
                <w:kern w:val="0"/>
                <w:sz w:val="18"/>
                <w:szCs w:val="18"/>
                <w14:ligatures w14:val="none"/>
              </w:rPr>
            </w:pPr>
            <w:r w:rsidRPr="00E60E42" w:rsidDel="58FD3E69">
              <w:rPr>
                <w:rFonts w:ascii="Times New Roman" w:eastAsia="Calibri" w:hAnsi="Times New Roman" w:cs="Arial"/>
                <w:noProof/>
                <w:kern w:val="0"/>
                <w:sz w:val="18"/>
                <w:szCs w:val="18"/>
                <w14:ligatures w14:val="none"/>
              </w:rPr>
              <w:t xml:space="preserve">25 319 </w:t>
            </w:r>
            <w:r w:rsidRPr="00E60E42">
              <w:rPr>
                <w:rFonts w:ascii="Times New Roman" w:eastAsia="Calibri" w:hAnsi="Times New Roman" w:cs="Arial"/>
                <w:noProof/>
                <w:kern w:val="0"/>
                <w:sz w:val="18"/>
                <w:szCs w:val="18"/>
                <w14:ligatures w14:val="none"/>
              </w:rPr>
              <w:t xml:space="preserve">Digital skills trainings </w:t>
            </w:r>
            <w:r w:rsidRPr="00E60E42" w:rsidDel="58FD3E69">
              <w:rPr>
                <w:rFonts w:ascii="Times New Roman" w:eastAsia="Calibri" w:hAnsi="Times New Roman" w:cs="Arial"/>
                <w:noProof/>
                <w:kern w:val="0"/>
                <w:sz w:val="18"/>
                <w:szCs w:val="18"/>
                <w14:ligatures w14:val="none"/>
              </w:rPr>
              <w:t>provided</w:t>
            </w:r>
            <w:r w:rsidRPr="00E60E42">
              <w:rPr>
                <w:rFonts w:ascii="Times New Roman" w:eastAsia="Calibri" w:hAnsi="Times New Roman" w:cs="Arial"/>
                <w:noProof/>
                <w:kern w:val="0"/>
                <w:sz w:val="18"/>
                <w:szCs w:val="18"/>
                <w14:ligatures w14:val="none"/>
              </w:rPr>
              <w:t xml:space="preserve"> through the individual learning accounts platform. </w:t>
            </w:r>
          </w:p>
        </w:tc>
      </w:tr>
      <w:tr w:rsidR="0048758A" w:rsidRPr="00E60E42" w14:paraId="1E0EC730"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2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25"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2.3.2.r. </w:t>
            </w:r>
          </w:p>
          <w:p w14:paraId="1E0EC72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Digital skills for the digital transformation of society and government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2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28"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normative framework strengthens and implements a common framework for assessment of basic digital skills, identification and planning of training needs and assessment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29"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Regulatory framework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2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2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2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2F"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Legislative acts establishing a common framework for the assessment of basic digital skills, the identification and planning of training needs and the assessment based on DigiComp 2.1 have entered into force. </w:t>
            </w:r>
          </w:p>
        </w:tc>
      </w:tr>
      <w:tr w:rsidR="0048758A" w:rsidRPr="00E60E42" w14:paraId="1E0EC73D"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3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32"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2.3.2.r. </w:t>
            </w:r>
          </w:p>
          <w:p w14:paraId="1E0EC733"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Digital skills for the digital transformation of society and government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3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35"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Amendments have entered into force to normative acts on national higher education standards, envisaging achievement of digital competence study results at the corresponding levels of the Latvian Qualification Framework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36"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Amended regulatory framework entered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3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3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3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3C"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Amendments to national higher education standards (State Standard for Higher Academic Education and National Standard for Higher Vocational Education) have entered into force. They shall establish the results to be achieved in the acquisition of digital competences and ensure their application in the development, licensing and accreditation of higher education programmes, providing that study programmes that are drawn up, licensed and accredited after the entry into force of the regulatory framework include such achievable study results and appropriate courses or modules to achieve them.</w:t>
            </w:r>
          </w:p>
        </w:tc>
      </w:tr>
      <w:tr w:rsidR="0048758A" w:rsidRPr="00E60E42" w14:paraId="1E0EC74A"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3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3F"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2.3.2.1.i. </w:t>
            </w:r>
          </w:p>
          <w:p w14:paraId="1E0EC740" w14:textId="77777777" w:rsidR="004E39F6" w:rsidRPr="00E60E42" w:rsidRDefault="00A35BEA" w:rsidP="00171335">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Digital skills for people, including youth</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4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42"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Digital youth work system in municipalities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43"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Letter(s) of completion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4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4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4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49" w14:textId="77777777" w:rsidR="004E39F6" w:rsidRPr="00E60E42" w:rsidRDefault="00A35BEA" w:rsidP="00171335">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 xml:space="preserve">Letter(s) of completion issued by the Central Finance and Contracting Agency (CFCA) on the digital youth work system in 42 municipalities related to a contract with the Agency for International Youth Programs (AIYP). </w:t>
            </w:r>
          </w:p>
        </w:tc>
      </w:tr>
      <w:tr w:rsidR="0048758A" w:rsidRPr="00E60E42" w14:paraId="1E0EC757"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4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4C" w14:textId="77777777" w:rsidR="004E39F6" w:rsidRPr="00E60E42" w:rsidRDefault="00A35BEA" w:rsidP="00171335">
            <w:pPr>
              <w:spacing w:after="120" w:line="240" w:lineRule="auto"/>
              <w:contextualSpacing/>
              <w:rPr>
                <w:rFonts w:ascii="Times New Roman" w:eastAsia="Calibri" w:hAnsi="Times New Roman" w:cs="Arial"/>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2.3.2.2.i. </w:t>
            </w:r>
          </w:p>
          <w:p w14:paraId="1E0EC74D"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Development of state and local government digital transformation skills and capabilities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4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4F"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Public administration digital skills framework developed</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50"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Digital skills framework is available in the State Administration School Training Management system and approved by an internal regulatory act of the School of State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53"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54"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5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56"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Public administration digital skills framework, including curricula, shall be developed.</w:t>
            </w:r>
          </w:p>
        </w:tc>
      </w:tr>
      <w:tr w:rsidR="0048758A" w:rsidRPr="00E60E42" w14:paraId="1E0EC764"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5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59" w14:textId="77777777" w:rsidR="004E39F6" w:rsidRPr="00E60E42" w:rsidRDefault="00A35BEA" w:rsidP="00171335">
            <w:pPr>
              <w:spacing w:after="120" w:line="240" w:lineRule="auto"/>
              <w:contextualSpacing/>
              <w:rPr>
                <w:rFonts w:ascii="Times New Roman" w:eastAsia="Calibri" w:hAnsi="Times New Roman" w:cs="Arial"/>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2.3.2.2.i. </w:t>
            </w:r>
          </w:p>
          <w:p w14:paraId="1E0EC75A"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Development of state and local government digital transformation skills and capabilities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5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5C"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Trainings attended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5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6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62 900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6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6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63"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trainings attended for example in 1) digitalisation management and development; 2) digital content creation; 3) cybersecurity; 4) communication and collaboration; 5) information and data literacy; 6) transversal skills.</w:t>
            </w:r>
          </w:p>
        </w:tc>
      </w:tr>
      <w:tr w:rsidR="0048758A" w:rsidRPr="00E60E42" w14:paraId="1E0EC777"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6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6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2.3.2.3.i. </w:t>
            </w:r>
          </w:p>
          <w:p w14:paraId="1E0EC767"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Closing the digital divide for socially vulnerable pupils and educational institutions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6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69"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 regulatory framework laying down procedures for the organisation and implementation of remote learning</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6A"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 regulatory framework laying down procedures for the organisation and implementation of remote learning</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6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6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6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70"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regulations of the Cabinet of Ministers laying down criteria and conditions for the organisation and conduct of remote learning to ensure that remote learning is organised and implemented in all Latvian educational institutions and levels of education (except at pre-school level).</w:t>
            </w:r>
          </w:p>
          <w:p w14:paraId="1E0EC771"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educational establishment shall include in its internal rules a framework for the organisation and implementation of remote learning, including:</w:t>
            </w:r>
          </w:p>
          <w:p w14:paraId="1E0EC772"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the procedure by which the educational establishment shall identify whether technical means are available to learners for the provision of remote learning, as well as the procedures for providing these technical means if they are not available to learners;</w:t>
            </w:r>
          </w:p>
          <w:p w14:paraId="1E0EC773"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the procedure for recording students’ participation in remote learning and the performance of the tasks assigned;</w:t>
            </w:r>
          </w:p>
          <w:p w14:paraId="1E0EC774"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 in cases where the participation of the learner in remote learning is not possible or is hampered for technical reasons;</w:t>
            </w:r>
          </w:p>
          <w:p w14:paraId="1E0EC775"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 the procedures for ensuring compliance with safety requirements during remote learning and the procedures for communication with the legal representatives of the learner in the event of safety or health risks;</w:t>
            </w:r>
          </w:p>
          <w:p w14:paraId="1E0EC776"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 The procedure by which learners make use of educational institution resources and infrastructure (premises, libraries, etc.) as part of remote learning.</w:t>
            </w:r>
          </w:p>
        </w:tc>
      </w:tr>
      <w:tr w:rsidR="0048758A" w:rsidRPr="00E60E42" w14:paraId="1E0EC784"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7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79"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2.3.2.3.i. </w:t>
            </w:r>
          </w:p>
          <w:p w14:paraId="1E0EC77A"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Closing the digital divide for socially vulnerable pupils and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7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7C"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ICT equipment units for the target group (learners)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7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7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7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8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26 620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81"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8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83"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ICT equipment units purchased and delivered to municipalities or directly to educational institutions for general education.</w:t>
            </w:r>
          </w:p>
        </w:tc>
      </w:tr>
      <w:tr w:rsidR="0048758A" w:rsidRPr="00E60E42" w14:paraId="1E0EC791"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8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86"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2.4.1.r. </w:t>
            </w:r>
          </w:p>
          <w:p w14:paraId="1E0EC787"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Broadband infrastructure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8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89"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technical requirement for connected and automated driving</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8A"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common technical requirements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8D"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8E"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8F"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90"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SJSC “Latvian State Radio and Television Centre” identifies the common technical requirements for electronic communications operators to allow for connected and automated driving. This shall take into account the needs of operators in cooperation with representatives of Estonia, Lithuania and Poland to facilitate the development of a connected and automated driving corridor along the Via Baltica track. Following that common technical requirements are adopted by the procurement committee. </w:t>
            </w:r>
          </w:p>
        </w:tc>
      </w:tr>
      <w:tr w:rsidR="0048758A" w:rsidRPr="00E60E42" w14:paraId="1E0EC79F"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92"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93"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2.4.1.r. </w:t>
            </w:r>
          </w:p>
          <w:p w14:paraId="1E0EC794"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Broadband infrastructure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95"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96"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common model for the development of the last mile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97"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common model for the development of the last mile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9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9B"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9C"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9D"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On the basis of the studies carried out, the Ministry of Transport shall draw up a development plan for the electronic communications sector, which shall include a draft model.</w:t>
            </w:r>
          </w:p>
          <w:p w14:paraId="1E0EC79E" w14:textId="77777777" w:rsidR="004E39F6" w:rsidRPr="00E60E42" w:rsidRDefault="00A35BEA" w:rsidP="00171335">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The outcome of the public consultation shall lead to a final decision on the model, which shall be adopted and implemented.</w:t>
            </w:r>
          </w:p>
        </w:tc>
      </w:tr>
      <w:tr w:rsidR="0048758A" w:rsidRPr="00E60E42" w14:paraId="1E0EC7AC" w14:textId="77777777" w:rsidTr="00707CC4">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A0"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A1"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2.4.1.2.i. </w:t>
            </w:r>
          </w:p>
          <w:p w14:paraId="1E0EC7A2" w14:textId="77777777" w:rsidR="004E39F6" w:rsidRPr="00E60E42" w:rsidRDefault="00A35BEA" w:rsidP="00171335">
            <w:pPr>
              <w:spacing w:after="120" w:line="240" w:lineRule="auto"/>
              <w:contextualSpacing/>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Broadband or very high capacity network “last mile” infrastructure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A3" w14:textId="3214404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A4"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Access to very high capacity broadband network</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A5" w14:textId="77777777" w:rsidR="004E39F6" w:rsidRPr="00E60E42" w:rsidRDefault="00A35BEA" w:rsidP="00171335">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Letter(s) of completion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6"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7"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A8"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A9"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AA" w14:textId="77777777" w:rsidR="004E39F6" w:rsidRPr="00E60E42" w:rsidRDefault="00A35BEA" w:rsidP="00171335">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AB" w14:textId="77777777" w:rsidR="004E39F6" w:rsidRPr="00E60E42" w:rsidRDefault="00A35BEA" w:rsidP="00171335">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Letter(s) of completion issued by the Central Finance and Contracting Agency for projects concerning access to very high capacity broadband for households and socio-economic drivers, for example businesses, schools and hospitals.</w:t>
            </w:r>
          </w:p>
        </w:tc>
      </w:tr>
    </w:tbl>
    <w:p w14:paraId="1E0EC7AD"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sectPr w:rsidR="004E39F6" w:rsidRPr="00E60E42" w:rsidSect="0048758A">
          <w:headerReference w:type="even" r:id="rId35"/>
          <w:headerReference w:type="default" r:id="rId36"/>
          <w:footerReference w:type="even" r:id="rId37"/>
          <w:footerReference w:type="default" r:id="rId38"/>
          <w:headerReference w:type="first" r:id="rId39"/>
          <w:footerReference w:type="first" r:id="rId40"/>
          <w:pgSz w:w="16838" w:h="11906" w:orient="landscape"/>
          <w:pgMar w:top="1134" w:right="1134" w:bottom="1134" w:left="1134" w:header="567" w:footer="567" w:gutter="0"/>
          <w:cols w:space="708"/>
          <w:docGrid w:linePitch="360"/>
        </w:sectPr>
      </w:pPr>
    </w:p>
    <w:p w14:paraId="1E0EC7AE" w14:textId="77777777" w:rsidR="004E39F6" w:rsidRPr="00E60E42" w:rsidRDefault="00A35BEA" w:rsidP="009A49FC">
      <w:pPr>
        <w:keepNext/>
        <w:spacing w:after="240" w:line="240" w:lineRule="auto"/>
        <w:outlineLvl w:val="0"/>
        <w:rPr>
          <w:rFonts w:ascii="Times New Roman" w:eastAsia="MS Gothic" w:hAnsi="Times New Roman" w:cs="Times New Roman"/>
          <w:b/>
          <w:smallCaps/>
          <w:noProof/>
          <w:kern w:val="0"/>
          <w:szCs w:val="28"/>
          <w14:ligatures w14:val="none"/>
        </w:rPr>
      </w:pPr>
      <w:r w:rsidRPr="00E60E42">
        <w:rPr>
          <w:rFonts w:ascii="Times New Roman" w:eastAsia="Calibri" w:hAnsi="Times New Roman" w:cs="Arial"/>
          <w:b/>
          <w:smallCaps/>
          <w:noProof/>
          <w:kern w:val="0"/>
          <w:szCs w:val="22"/>
          <w14:ligatures w14:val="none"/>
        </w:rPr>
        <w:t>C. COMPONENT 3: REDUCTION OF INEQUALITY</w:t>
      </w:r>
    </w:p>
    <w:p w14:paraId="1E0EC7AF" w14:textId="77777777" w:rsidR="004E39F6" w:rsidRPr="00E60E42" w:rsidRDefault="00A35BEA" w:rsidP="009A49FC">
      <w:pPr>
        <w:spacing w:after="120" w:line="240" w:lineRule="auto"/>
        <w:jc w:val="both"/>
        <w:rPr>
          <w:rFonts w:ascii="Times New Roman" w:eastAsia="Times New Roman"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general objective of this component of the Latvian recovery and resilience plan is to address the challenges of territorial and social inequality in Latvia, exacerbated by the COVID-19 pandemic. The component aims to reduce inequality by creating more jobs in the regions, improving regional connectivity and access to quality services, providing more affordable housing, improving the school infrastructure, helping to up-skill and re-skill workers and unemployed, strengthening the social safety net, improving accessibility to buildings for persons with disabilities, and new long-term care facilities for the elderly. All the measures in the component support either of the two headline reforms – the ongoing administrative territorial reform and the minimum income reform.</w:t>
      </w:r>
    </w:p>
    <w:p w14:paraId="1E0EC7B0" w14:textId="77777777" w:rsidR="004E39F6" w:rsidRPr="00E60E42" w:rsidRDefault="00A35BEA" w:rsidP="009A49FC">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The component supports addressing the Country Specific Recommendations on social exclusion, notably to improve the adequacy of minimum income benefits, minimum old-age pensions and income support for people with disabilities and on the quality and efficiency of education and training, focusing on low-skilled workers and jobseekers (Country Specific Recommendation 2, 2019). The component also supports addressing the recommendation to focus investment-related economic policy to the provision of affordable housing, considering regional disparities (Country Specific Recommendation 3, 2019). Finally, the component supports addressing the recommendation to strengthen the social safety net and mitigate the employment impact of the crisis, including through improved active labour market measures and skills (Country Specific Recommendation 2, 2020).</w:t>
      </w:r>
    </w:p>
    <w:p w14:paraId="1E0EC7B1" w14:textId="77777777" w:rsidR="004E39F6" w:rsidRPr="00E60E42" w:rsidRDefault="00A35BEA" w:rsidP="0048758A">
      <w:pPr>
        <w:spacing w:before="120"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0EC7B2" w14:textId="77777777" w:rsidR="004E39F6" w:rsidRPr="00E60E42" w:rsidRDefault="00A35BEA" w:rsidP="009A49FC">
      <w:pPr>
        <w:keepNext/>
        <w:keepLines/>
        <w:spacing w:before="240" w:after="240" w:line="240" w:lineRule="auto"/>
        <w:jc w:val="both"/>
        <w:outlineLvl w:val="1"/>
        <w:rPr>
          <w:rFonts w:ascii="Times New Roman" w:eastAsia="Times New Roman" w:hAnsi="Times New Roman" w:cs="Times New Roman"/>
          <w:b/>
          <w:noProof/>
          <w:kern w:val="0"/>
          <w:szCs w:val="22"/>
          <w:u w:val="single"/>
          <w14:ligatures w14:val="none"/>
        </w:rPr>
      </w:pPr>
      <w:r w:rsidRPr="00E60E42">
        <w:rPr>
          <w:rFonts w:ascii="Times New Roman" w:eastAsia="Calibri" w:hAnsi="Times New Roman" w:cs="Arial"/>
          <w:b/>
          <w:noProof/>
          <w:kern w:val="0"/>
          <w:szCs w:val="22"/>
          <w:u w:val="single"/>
          <w14:ligatures w14:val="none"/>
        </w:rPr>
        <w:t>C.1. Description of the reforms and investments for non-repayable financial support</w:t>
      </w:r>
    </w:p>
    <w:p w14:paraId="1E0EC7B3" w14:textId="77777777" w:rsidR="004E39F6" w:rsidRPr="00E60E42" w:rsidRDefault="00A35BEA" w:rsidP="009A49FC">
      <w:pPr>
        <w:keepNext/>
        <w:keepLines/>
        <w:spacing w:after="120" w:line="240" w:lineRule="auto"/>
        <w:jc w:val="both"/>
        <w:rPr>
          <w:rFonts w:ascii="Times New Roman" w:eastAsia="Times New Roman" w:hAnsi="Times New Roman" w:cs="Times New Roman"/>
          <w:noProof/>
          <w:kern w:val="0"/>
          <w:szCs w:val="22"/>
          <w:u w:val="single"/>
          <w14:ligatures w14:val="none"/>
        </w:rPr>
      </w:pPr>
      <w:r w:rsidRPr="00E60E42">
        <w:rPr>
          <w:rFonts w:ascii="Times New Roman" w:eastAsia="Calibri" w:hAnsi="Times New Roman" w:cs="Arial"/>
          <w:noProof/>
          <w:kern w:val="0"/>
          <w:szCs w:val="22"/>
          <w:u w:val="single"/>
          <w14:ligatures w14:val="none"/>
        </w:rPr>
        <w:t>Reform: 3.1.1.r. Administrative territorial reform</w:t>
      </w:r>
    </w:p>
    <w:p w14:paraId="1E0EC7B4" w14:textId="77777777" w:rsidR="004E39F6" w:rsidRPr="00E60E42" w:rsidRDefault="00A35BEA" w:rsidP="009A49FC">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general objective of this reform is to improve the quality of services for the inhabitants of Latvia and improve local business environment by reducing the number of administrative units and increasing the efficiency and accessibility of service delivery. The actions described below (renovation and reconstruction of state regional and local roads, capacity building of local municipalities and planning regions ensuring more efficient public services, development of infrastructure for industrial parks, affordable housing, development of school infrastructure and school busses) are linked with and support this reform measure.</w:t>
      </w:r>
    </w:p>
    <w:p w14:paraId="1E0EC7B5" w14:textId="77777777" w:rsidR="004E39F6" w:rsidRPr="00E60E42" w:rsidRDefault="00A35BEA" w:rsidP="009A49FC">
      <w:pPr>
        <w:spacing w:after="120" w:line="240" w:lineRule="auto"/>
        <w:jc w:val="both"/>
        <w:rPr>
          <w:rFonts w:ascii="Times New Roman" w:eastAsia="Times New Roman"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measure includes the entry into force of a new Municipality Law reviewing the functions and tasks of local governments. The new law shall ensure better governance at the municipal level, a clearer separation and division of competences between the decision-making and the executive powers, and increasing the participation of citizens in the decision-making of local communities.</w:t>
      </w:r>
    </w:p>
    <w:p w14:paraId="1E0EC7B6" w14:textId="77777777" w:rsidR="004E39F6" w:rsidRPr="00E60E42" w:rsidRDefault="00A35BEA" w:rsidP="00C840A1">
      <w:pPr>
        <w:spacing w:before="120"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While the overall administrative territorial reform may continue beyond the timeframe of the RRF, the implementation of the specific reform shall be completed by 31 December 2023.</w:t>
      </w:r>
    </w:p>
    <w:p w14:paraId="1E0EC7B7" w14:textId="77777777" w:rsidR="004E39F6" w:rsidRPr="00E60E42" w:rsidRDefault="00A35BEA" w:rsidP="00C840A1">
      <w:pPr>
        <w:keepNext/>
        <w:keepLines/>
        <w:spacing w:before="120" w:after="12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3.1.1.1.i. Improvement of the network of regional and local roads</w:t>
      </w:r>
    </w:p>
    <w:p w14:paraId="1E0EC7B8"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ensure the connectivity of the new municipalities and enhance the access of citizens to jobs and services.</w:t>
      </w:r>
    </w:p>
    <w:p w14:paraId="1E0EC7B9"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renovation or rebuilding of regional and local roads.</w:t>
      </w:r>
    </w:p>
    <w:p w14:paraId="587D8A3F" w14:textId="77777777" w:rsidR="00132CA1" w:rsidRPr="00E60E42" w:rsidRDefault="00A35BEA" w:rsidP="00132CA1">
      <w:pPr>
        <w:keepNext/>
        <w:keepLines/>
        <w:spacing w:after="24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3.1.1.2.i. Strengthening the capacity of municipalities to improve service efficiency and quality</w:t>
      </w:r>
    </w:p>
    <w:p w14:paraId="1E0EC7BB" w14:textId="6ACD13CD" w:rsidR="004E39F6" w:rsidRPr="00E60E42" w:rsidRDefault="00A35BEA" w:rsidP="00132CA1">
      <w:pPr>
        <w:keepNext/>
        <w:keepLines/>
        <w:spacing w:after="24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szCs w:val="22"/>
          <w14:ligatures w14:val="none"/>
        </w:rPr>
        <w:t>The objective of the measure is to improve the quality and efficiency of municipal services following the reorganisation of local administrations.</w:t>
      </w:r>
    </w:p>
    <w:p w14:paraId="1E0EC7BC" w14:textId="77777777" w:rsidR="004E39F6" w:rsidRPr="00E60E42" w:rsidRDefault="00A35BEA" w:rsidP="00E1758D">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adoption of a government regulation defining the scope and parameters of the capacity building actions in the municipalities, a municipal public service assessment and capacity building of municipal staff.</w:t>
      </w:r>
    </w:p>
    <w:p w14:paraId="1E0EC7BD" w14:textId="77777777" w:rsidR="004E39F6" w:rsidRPr="00E60E42" w:rsidRDefault="00A35BE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3.1.1.3.i. Investments in public infrastructure to develop industrial parks in the regions</w:t>
      </w:r>
    </w:p>
    <w:p w14:paraId="1E0EC7BE" w14:textId="77777777" w:rsidR="004E39F6" w:rsidRPr="00E60E42" w:rsidRDefault="00A35BEA" w:rsidP="00132CA1">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support the infrastructure of industrial zones and attract investors and firms to Latvia’s regions outside Riga.</w:t>
      </w:r>
    </w:p>
    <w:p w14:paraId="1E0EC7BF" w14:textId="77777777" w:rsidR="004E39F6" w:rsidRPr="00E60E42" w:rsidRDefault="00A35BEA" w:rsidP="00132CA1">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measure consists of supporting the development of industrial parks and territories in the regions. </w:t>
      </w:r>
      <w:r w:rsidRPr="00E60E42">
        <w:rPr>
          <w:rFonts w:ascii="Times New Roman" w:eastAsia="MS Mincho" w:hAnsi="Times New Roman" w:cs="Times New Roman"/>
          <w:noProof/>
          <w:kern w:val="0"/>
          <w14:ligatures w14:val="none"/>
        </w:rPr>
        <w:t>For the purpose of the RRF the measure is finalized with the construction works for the industrial parks and territories.</w:t>
      </w:r>
    </w:p>
    <w:p w14:paraId="1E0EC7C0" w14:textId="77777777" w:rsidR="004E39F6" w:rsidRPr="00E60E42" w:rsidRDefault="00A35BEA" w:rsidP="00132CA1">
      <w:pPr>
        <w:spacing w:after="120" w:line="240" w:lineRule="auto"/>
        <w:jc w:val="both"/>
        <w:rPr>
          <w:rFonts w:ascii="Times New Roman" w:eastAsia="Calibri" w:hAnsi="Times New Roman" w:cs="Arial"/>
          <w:noProof/>
          <w:kern w:val="0"/>
          <w14:ligatures w14:val="none"/>
        </w:rPr>
      </w:pPr>
      <w:r w:rsidRPr="00E60E42">
        <w:rPr>
          <w:rFonts w:ascii="Times New Roman" w:eastAsia="MS Mincho" w:hAnsi="Times New Roman" w:cs="Times New Roman"/>
          <w:noProof/>
          <w:kern w:val="0"/>
          <w14:ligatures w14:val="none"/>
        </w:rPr>
        <w:t>On the basis of the RRF investment, the investment aims to incentivise investments for an amount of EUR 85 000 000 coming from industrial park operators and/or potential investors.</w:t>
      </w:r>
    </w:p>
    <w:p w14:paraId="1E0EC7C1" w14:textId="77777777" w:rsidR="004E39F6" w:rsidRPr="00E60E42" w:rsidRDefault="00A35BEA" w:rsidP="00132CA1">
      <w:pPr>
        <w:keepNext/>
        <w:keepLines/>
        <w:spacing w:before="240" w:after="12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3.1.1.4.i. Establishing a financing fund for the construction of low-rent housing</w:t>
      </w:r>
    </w:p>
    <w:p w14:paraId="1E0EC7C2"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stimulate housing supply, provide affordable housing, contribute to regional labour mobility, and help attract and retain skilled professionals in the regions.</w:t>
      </w:r>
    </w:p>
    <w:p w14:paraId="1E0EC7C3"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entry into force of a new legal framework for rents, the adoption of a housing affordability strategy, and support for the construction of apartments.</w:t>
      </w:r>
    </w:p>
    <w:p w14:paraId="1E0EC7C4" w14:textId="77777777" w:rsidR="004E39F6" w:rsidRPr="00E60E42" w:rsidRDefault="00A35BEA" w:rsidP="007F710D">
      <w:pPr>
        <w:keepNext/>
        <w:keepLines/>
        <w:spacing w:after="12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3.1.1.5.i. Development of infrastructure and equipment of educational institutions</w:t>
      </w:r>
    </w:p>
    <w:p w14:paraId="1E0EC7C5" w14:textId="77777777" w:rsidR="004E39F6" w:rsidRPr="00E60E42" w:rsidRDefault="00A35BEA" w:rsidP="007F710D">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the quality of regional schools.</w:t>
      </w:r>
    </w:p>
    <w:p w14:paraId="1E0EC7C6" w14:textId="77777777" w:rsidR="004E39F6" w:rsidRPr="00E60E42" w:rsidRDefault="00A35BEA" w:rsidP="00E1758D">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entry into force of a legal framework establishing the quantitative and qualitative criteria for general secondary education institutions, the adoption of decisions by local governments on the reorganisation of schools, and the upgrade of school infrastructure.</w:t>
      </w:r>
    </w:p>
    <w:p w14:paraId="1E0EC7C7" w14:textId="77777777" w:rsidR="004E39F6" w:rsidRPr="00E60E42" w:rsidRDefault="00A35BEA" w:rsidP="00EA2D89">
      <w:pPr>
        <w:keepNext/>
        <w:keepLines/>
        <w:spacing w:after="12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3.1.1.6.i. Purchase of electric school buses</w:t>
      </w:r>
    </w:p>
    <w:p w14:paraId="1E0EC7C8" w14:textId="77777777" w:rsidR="004E39F6" w:rsidRPr="00E60E42" w:rsidRDefault="00A35BEA" w:rsidP="00EA2D8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facilitate the mobility of pupils.</w:t>
      </w:r>
    </w:p>
    <w:p w14:paraId="1E0EC7C9" w14:textId="77777777" w:rsidR="004E39F6" w:rsidRPr="00E60E42" w:rsidRDefault="00A35BEA" w:rsidP="000876E0">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support to municipalities for the delivery of electric school buses.</w:t>
      </w:r>
    </w:p>
    <w:p w14:paraId="1E0EC7CA" w14:textId="77777777" w:rsidR="004E39F6" w:rsidRPr="00E60E42" w:rsidRDefault="00A35BEA" w:rsidP="000876E0">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3.1.1.7.i. Loans to real estate developers for the construction of low-rent dwellings</w:t>
      </w:r>
    </w:p>
    <w:p w14:paraId="1E0EC7CB" w14:textId="77777777" w:rsidR="004E39F6" w:rsidRPr="00E60E42" w:rsidRDefault="00A35BEA" w:rsidP="000876E0">
      <w:p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kern w:val="0"/>
          <w14:ligatures w14:val="none"/>
        </w:rPr>
        <w:t xml:space="preserve">The measure shall consist of a public investment in a Facility, in order to incentivise private investment in, and improve access to finance in the construction of low-rent dwellings in Latvia. The Facility shall operate by providing </w:t>
      </w:r>
      <w:r w:rsidRPr="00E60E42">
        <w:rPr>
          <w:rFonts w:ascii="Times New Roman" w:eastAsia="Calibri" w:hAnsi="Times New Roman" w:cs="Arial"/>
          <w:noProof/>
          <w:color w:val="000000"/>
          <w:kern w:val="0"/>
          <w14:ligatures w14:val="none"/>
        </w:rPr>
        <w:t xml:space="preserve">loans, directly to the private sector, as well to public sector entities engaged in </w:t>
      </w:r>
      <w:r w:rsidRPr="00E60E42">
        <w:rPr>
          <w:rFonts w:ascii="Times New Roman" w:eastAsia="Calibri" w:hAnsi="Times New Roman" w:cs="Arial"/>
          <w:noProof/>
          <w:kern w:val="0"/>
          <w14:ligatures w14:val="none"/>
        </w:rPr>
        <w:t>similar activities. On the basis of the RRF investment, the Facility aims at initially providing at least EUR 41 278 441 of</w:t>
      </w:r>
      <w:r w:rsidRPr="00E60E42">
        <w:rPr>
          <w:rFonts w:ascii="Calibri" w:eastAsia="MS Mincho" w:hAnsi="Calibri" w:cs="Arial"/>
          <w:noProof/>
          <w:kern w:val="0"/>
          <w14:ligatures w14:val="none"/>
        </w:rPr>
        <w:t xml:space="preserve"> </w:t>
      </w:r>
      <w:r w:rsidRPr="00E60E42">
        <w:rPr>
          <w:rFonts w:ascii="Times New Roman" w:eastAsia="Calibri" w:hAnsi="Times New Roman" w:cs="Arial"/>
          <w:noProof/>
          <w:color w:val="000000"/>
          <w:kern w:val="0"/>
          <w14:ligatures w14:val="none"/>
        </w:rPr>
        <w:t>financing.</w:t>
      </w:r>
    </w:p>
    <w:p w14:paraId="1E0EC7CC" w14:textId="77777777" w:rsidR="004E39F6" w:rsidRPr="00E60E42" w:rsidRDefault="00A35BEA" w:rsidP="0048758A">
      <w:p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This investment shall be managed by ALTUM as the implementing partner. This Facility shall include the following product line: direct loans to real estate developers to finance construction of low-rent dwellings.</w:t>
      </w:r>
    </w:p>
    <w:p w14:paraId="1E0EC7CD" w14:textId="77777777" w:rsidR="004E39F6" w:rsidRPr="00E60E42" w:rsidRDefault="00A35BEA" w:rsidP="0048758A">
      <w:p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In order to implement the investment into the Facility, Latvia and ALTUM shall sign an Implementing Agreement that shall include the following content:</w:t>
      </w:r>
    </w:p>
    <w:p w14:paraId="1E0EC7CE" w14:textId="77777777" w:rsidR="004E39F6" w:rsidRPr="00E60E42" w:rsidRDefault="00A35BEA" w:rsidP="0048758A">
      <w:pPr>
        <w:numPr>
          <w:ilvl w:val="0"/>
          <w:numId w:val="22"/>
        </w:numPr>
        <w:spacing w:before="120" w:after="120" w:line="240" w:lineRule="auto"/>
        <w:ind w:left="357" w:hanging="357"/>
        <w:contextualSpacing/>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14:ligatures w14:val="non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1E0EC7CF" w14:textId="77777777" w:rsidR="004E39F6" w:rsidRPr="00E60E42" w:rsidRDefault="00A35BEA" w:rsidP="0048758A">
      <w:pPr>
        <w:numPr>
          <w:ilvl w:val="0"/>
          <w:numId w:val="22"/>
        </w:numPr>
        <w:spacing w:before="120" w:after="120" w:line="240" w:lineRule="auto"/>
        <w:ind w:left="357" w:hanging="357"/>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Key requirements of the associated investment policy, which shall include:</w:t>
      </w:r>
    </w:p>
    <w:p w14:paraId="1E0EC7D0" w14:textId="77777777" w:rsidR="004E39F6" w:rsidRPr="00E60E42" w:rsidRDefault="00A35BEA" w:rsidP="0048758A">
      <w:pPr>
        <w:numPr>
          <w:ilvl w:val="0"/>
          <w:numId w:val="23"/>
        </w:num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 xml:space="preserve">The description of the financial product and eligible final beneficiaries. </w:t>
      </w:r>
    </w:p>
    <w:p w14:paraId="1E0EC7D1" w14:textId="77777777" w:rsidR="004E39F6" w:rsidRPr="00E60E42" w:rsidRDefault="00A35BEA" w:rsidP="0048758A">
      <w:pPr>
        <w:numPr>
          <w:ilvl w:val="0"/>
          <w:numId w:val="23"/>
        </w:num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The requirement that all investments supported are economically viable.</w:t>
      </w:r>
    </w:p>
    <w:p w14:paraId="1E0EC7D2" w14:textId="77777777" w:rsidR="004E39F6" w:rsidRPr="00E60E42" w:rsidRDefault="00A35BEA" w:rsidP="0048758A">
      <w:pPr>
        <w:numPr>
          <w:ilvl w:val="0"/>
          <w:numId w:val="23"/>
        </w:numPr>
        <w:spacing w:after="0" w:line="240" w:lineRule="auto"/>
        <w:ind w:left="714" w:hanging="357"/>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14:ligatures w14:val="none"/>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E60E42">
        <w:rPr>
          <w:rFonts w:ascii="Times New Roman" w:eastAsia="Calibri" w:hAnsi="Times New Roman" w:cs="Times New Roman"/>
          <w:noProof/>
          <w:kern w:val="0"/>
          <w:sz w:val="22"/>
          <w:szCs w:val="22"/>
          <w:vertAlign w:val="superscript"/>
          <w14:ligatures w14:val="none"/>
        </w:rPr>
        <w:footnoteReference w:id="1"/>
      </w:r>
      <w:r w:rsidRPr="00E60E42">
        <w:rPr>
          <w:rFonts w:ascii="Times New Roman" w:eastAsia="Calibri" w:hAnsi="Times New Roman" w:cs="Arial"/>
          <w:noProof/>
          <w:color w:val="000000"/>
          <w:kern w:val="0"/>
          <w14:ligatures w14:val="none"/>
        </w:rPr>
        <w:t>, (ii) activities and assets under the EU Emission Trading System (ETS) achieving projected greenhouse gas emissions that are not lower than the relevant benchmark</w:t>
      </w:r>
      <w:r w:rsidRPr="00E60E42">
        <w:rPr>
          <w:rFonts w:ascii="Times New Roman" w:eastAsia="Calibri" w:hAnsi="Times New Roman" w:cs="Arial"/>
          <w:noProof/>
          <w:color w:val="000000"/>
          <w:kern w:val="0"/>
          <w:vertAlign w:val="superscript"/>
          <w14:ligatures w14:val="none"/>
        </w:rPr>
        <w:t>s</w:t>
      </w:r>
      <w:r w:rsidRPr="00E60E42">
        <w:rPr>
          <w:rFonts w:ascii="Times New Roman" w:eastAsia="Calibri" w:hAnsi="Times New Roman" w:cs="Times New Roman"/>
          <w:noProof/>
          <w:kern w:val="0"/>
          <w:sz w:val="22"/>
          <w:szCs w:val="22"/>
          <w:vertAlign w:val="superscript"/>
          <w14:ligatures w14:val="none"/>
        </w:rPr>
        <w:footnoteReference w:id="2"/>
      </w:r>
      <w:r w:rsidRPr="00E60E42">
        <w:rPr>
          <w:rFonts w:ascii="Times New Roman" w:eastAsia="Calibri" w:hAnsi="Times New Roman" w:cs="Arial"/>
          <w:noProof/>
          <w:color w:val="000000"/>
          <w:kern w:val="0"/>
          <w14:ligatures w14:val="none"/>
        </w:rPr>
        <w:t>, (iii) activities and assets related to waste landfills, incinerators</w:t>
      </w:r>
      <w:r w:rsidRPr="00E60E42">
        <w:rPr>
          <w:rFonts w:ascii="Times New Roman" w:eastAsia="Calibri" w:hAnsi="Times New Roman" w:cs="Times New Roman"/>
          <w:noProof/>
          <w:kern w:val="0"/>
          <w:sz w:val="22"/>
          <w:szCs w:val="22"/>
          <w:vertAlign w:val="superscript"/>
          <w14:ligatures w14:val="none"/>
        </w:rPr>
        <w:footnoteReference w:id="3"/>
      </w:r>
      <w:r w:rsidRPr="00E60E42">
        <w:rPr>
          <w:rFonts w:ascii="Times New Roman" w:eastAsia="Calibri" w:hAnsi="Times New Roman" w:cs="Arial"/>
          <w:noProof/>
          <w:color w:val="000000"/>
          <w:kern w:val="0"/>
          <w14:ligatures w14:val="none"/>
        </w:rPr>
        <w:t xml:space="preserve"> and mechanical biological treatment plants</w:t>
      </w:r>
      <w:r w:rsidRPr="00E60E42">
        <w:rPr>
          <w:rFonts w:ascii="Times New Roman" w:eastAsia="Calibri" w:hAnsi="Times New Roman" w:cs="Times New Roman"/>
          <w:noProof/>
          <w:kern w:val="0"/>
          <w:sz w:val="22"/>
          <w:szCs w:val="22"/>
          <w:vertAlign w:val="superscript"/>
          <w14:ligatures w14:val="none"/>
        </w:rPr>
        <w:footnoteReference w:id="4"/>
      </w:r>
      <w:r w:rsidRPr="00E60E42">
        <w:rPr>
          <w:rFonts w:ascii="Times New Roman" w:eastAsia="Calibri" w:hAnsi="Times New Roman" w:cs="Arial"/>
          <w:noProof/>
          <w:color w:val="000000"/>
          <w:kern w:val="0"/>
          <w14:ligatures w14:val="none"/>
        </w:rPr>
        <w:t>. Furthermore, the investment strategy shall require compliance with the relevant EU and national environmental legislation of the final beneficiaries of the Facility.</w:t>
      </w:r>
    </w:p>
    <w:p w14:paraId="1E0EC7D3" w14:textId="77777777" w:rsidR="004E39F6" w:rsidRPr="00E60E42" w:rsidRDefault="00A35BEA" w:rsidP="0048758A">
      <w:pPr>
        <w:numPr>
          <w:ilvl w:val="0"/>
          <w:numId w:val="23"/>
        </w:num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The requirement that final beneficiaries of the Facility shall not receive support from other Union instruments to cover the same costs.</w:t>
      </w:r>
    </w:p>
    <w:p w14:paraId="1E0EC7D4" w14:textId="77777777" w:rsidR="004E39F6" w:rsidRPr="00E60E42" w:rsidRDefault="00A35BEA" w:rsidP="0048758A">
      <w:p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 xml:space="preserve">3) The amount covered by the Implementing Agreement, the fee structure for the Implementing Partner and the requirement to reinvest any reflows according to the investment policy of the Facility. </w:t>
      </w:r>
    </w:p>
    <w:p w14:paraId="1E0EC7D5" w14:textId="77777777" w:rsidR="004E39F6" w:rsidRPr="00E60E42" w:rsidRDefault="00A35BEA" w:rsidP="0048758A">
      <w:p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 xml:space="preserve">4) Monitoring, audit, and control requirements, including: </w:t>
      </w:r>
    </w:p>
    <w:p w14:paraId="1E0EC7D6" w14:textId="77777777" w:rsidR="004E39F6" w:rsidRPr="00E60E42" w:rsidRDefault="00A35BEA" w:rsidP="0048758A">
      <w:pPr>
        <w:numPr>
          <w:ilvl w:val="0"/>
          <w:numId w:val="24"/>
        </w:numPr>
        <w:spacing w:before="120" w:after="120" w:line="240" w:lineRule="auto"/>
        <w:contextualSpacing/>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14:ligatures w14:val="none"/>
        </w:rPr>
        <w:t xml:space="preserve">The description of the implementing partner’s monitoring system to report on the investments mobilized. </w:t>
      </w:r>
    </w:p>
    <w:p w14:paraId="1E0EC7D7" w14:textId="77777777" w:rsidR="004E39F6" w:rsidRPr="00E60E42" w:rsidRDefault="00A35BEA" w:rsidP="0048758A">
      <w:pPr>
        <w:numPr>
          <w:ilvl w:val="0"/>
          <w:numId w:val="24"/>
        </w:num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The description of the implementing partner’s procedures that will ensure the prevention, detection and correction of fraud, corruption, and conflicts of interests.</w:t>
      </w:r>
    </w:p>
    <w:p w14:paraId="1E0EC7D8" w14:textId="77777777" w:rsidR="004E39F6" w:rsidRPr="00E60E42" w:rsidRDefault="00A35BEA" w:rsidP="0048758A">
      <w:pPr>
        <w:numPr>
          <w:ilvl w:val="0"/>
          <w:numId w:val="24"/>
        </w:numPr>
        <w:spacing w:before="120" w:after="120" w:line="240" w:lineRule="auto"/>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szCs w:val="22"/>
          <w14:ligatures w14:val="none"/>
        </w:rPr>
        <w:t>The obligation to verify the eligibility of every operation in accordance with the requirements laid out in the Implementing Agreement before committing to finance an operation.</w:t>
      </w:r>
    </w:p>
    <w:p w14:paraId="1E0EC7D9" w14:textId="77777777" w:rsidR="004E39F6" w:rsidRPr="00E60E42" w:rsidRDefault="00A35BEA" w:rsidP="0048758A">
      <w:pPr>
        <w:numPr>
          <w:ilvl w:val="0"/>
          <w:numId w:val="24"/>
        </w:numPr>
        <w:spacing w:before="120" w:after="120" w:line="240" w:lineRule="auto"/>
        <w:contextualSpacing/>
        <w:jc w:val="both"/>
        <w:rPr>
          <w:rFonts w:ascii="Times New Roman" w:eastAsia="Times New Roman" w:hAnsi="Times New Roman" w:cs="Times New Roman"/>
          <w:noProof/>
          <w:color w:val="000000"/>
          <w:kern w:val="0"/>
          <w14:ligatures w14:val="none"/>
        </w:rPr>
      </w:pPr>
      <w:r w:rsidRPr="00E60E42">
        <w:rPr>
          <w:rFonts w:ascii="Times New Roman" w:eastAsia="Calibri" w:hAnsi="Times New Roman" w:cs="Arial"/>
          <w:noProof/>
          <w:color w:val="000000"/>
          <w:kern w:val="0"/>
          <w14:ligatures w14:val="none"/>
        </w:rPr>
        <w:t xml:space="preserve">The obligation to carry out risk-based ex post audits in accordance with an audit plan of ALTUM. These audits shall verify: i) that the control systems are effective, including the detection of fraud, corruption, and conflict of interests; ii) compliance with the DNSH principle and the State Aid rules;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1E0EC7DB" w14:textId="77777777" w:rsidR="004E39F6" w:rsidRPr="00E60E42" w:rsidRDefault="00A35BEA" w:rsidP="0048758A">
      <w:pPr>
        <w:spacing w:before="120" w:after="12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Reform: 3.1.2.r. Access to social and employment services in support of the minimum income reform</w:t>
      </w:r>
    </w:p>
    <w:p w14:paraId="1E0EC7DC" w14:textId="77777777" w:rsidR="004E39F6" w:rsidRPr="00E60E42" w:rsidRDefault="00A35BEA" w:rsidP="0048758A">
      <w:pPr>
        <w:spacing w:before="120" w:after="120" w:line="240" w:lineRule="auto"/>
        <w:jc w:val="both"/>
        <w:rPr>
          <w:rFonts w:ascii="Times New Roman" w:eastAsia="Times New Roman"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general objective of this reform is to reduce inequality, improve the social safety net, foster social integration and inclusion in Latvia.</w:t>
      </w:r>
    </w:p>
    <w:p w14:paraId="1E0EC7DD" w14:textId="77777777" w:rsidR="004E39F6" w:rsidRPr="00E60E42" w:rsidRDefault="00A35BEA" w:rsidP="0048758A">
      <w:pPr>
        <w:spacing w:before="120" w:after="120" w:line="240" w:lineRule="auto"/>
        <w:jc w:val="both"/>
        <w:rPr>
          <w:rFonts w:ascii="Times New Roman" w:eastAsia="Times New Roman"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measure consists of two main steps. The first step is the adoption of a plan for improvement of the minimum income support system for 2022-2024 to strengthen the methodology for calculating the minimum income; the adoption of Social Protection and Labour Market Guidelines 2021-2027 to promote the social inclusion of the population, to reduce income inequality and poverty, develop accessible and tailored social services and promote a high level of employment in a quality work environment; the adoption of a Social Services Development Plan 2021-2023 aimed at improving the provision of community-based services; and the adoption of a Plan for the Promotion of Equal Opportunities for Persons with Disabilities 2021-2023, which aims to develop an integrated support system that meets the needs of persons with disabilities. The second step is the entry into force of legislative amendments by the national Parliament to improve the minimum income support system, including setting a floor of the minimum income of no less than 20% of the median income and establishing a procedure for annual positive indexation (as of 2023).</w:t>
      </w:r>
    </w:p>
    <w:p w14:paraId="1E0EC7DE" w14:textId="77777777" w:rsidR="004E39F6" w:rsidRPr="00E60E42" w:rsidRDefault="00A35BEA" w:rsidP="00E1758D">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implementation of the reform shall be completed by 31 December 2021.</w:t>
      </w:r>
    </w:p>
    <w:p w14:paraId="1E0EC7DF" w14:textId="77777777" w:rsidR="004E39F6" w:rsidRPr="00E60E42" w:rsidRDefault="00A35BEA" w:rsidP="00727532">
      <w:pPr>
        <w:keepNext/>
        <w:keepLines/>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u w:val="single"/>
          <w14:ligatures w14:val="none"/>
        </w:rPr>
        <w:t>Investment: 3.1.2.1.i. Measures to promote access to public services and employment for people with functional impairments</w:t>
      </w:r>
      <w:r w:rsidRPr="00E60E42">
        <w:rPr>
          <w:rFonts w:ascii="Times New Roman" w:eastAsia="Calibri" w:hAnsi="Times New Roman" w:cs="Arial"/>
          <w:noProof/>
          <w:kern w:val="0"/>
          <w14:ligatures w14:val="none"/>
        </w:rPr>
        <w:t xml:space="preserve"> </w:t>
      </w:r>
    </w:p>
    <w:p w14:paraId="1E0EC7E0"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facilitate accessibility of buildings for people with functional impairments, thereby contributing to their social inclusion.</w:t>
      </w:r>
    </w:p>
    <w:p w14:paraId="1E0EC7E1"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adapting state and local government buildings, and dwellings of persons with functional impairments.</w:t>
      </w:r>
    </w:p>
    <w:p w14:paraId="1E0EC7E2" w14:textId="77777777" w:rsidR="004E39F6" w:rsidRPr="00E60E42" w:rsidRDefault="00A35BEA" w:rsidP="00E1758D">
      <w:pPr>
        <w:keepNext/>
        <w:keepLines/>
        <w:spacing w:after="24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3.1.2.2.i. Development of a forecast tool</w:t>
      </w:r>
    </w:p>
    <w:p w14:paraId="1E0EC7E3" w14:textId="77777777" w:rsidR="004E39F6" w:rsidRPr="00E60E42" w:rsidRDefault="00A35BEA" w:rsidP="00727532">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upgrade the modelling capacity to assess the long-term sustainability of the social security system.</w:t>
      </w:r>
    </w:p>
    <w:p w14:paraId="1E0EC7E4" w14:textId="77777777" w:rsidR="004E39F6" w:rsidRPr="00E60E42" w:rsidRDefault="00A35BEA" w:rsidP="00E1758D">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developing an information system for long-term forecasting of social security, including pensions. </w:t>
      </w:r>
    </w:p>
    <w:p w14:paraId="1E0EC7E5" w14:textId="77777777" w:rsidR="004E39F6" w:rsidRPr="00E60E42" w:rsidRDefault="00A35BEA" w:rsidP="005C6C60">
      <w:pPr>
        <w:keepNext/>
        <w:keepLines/>
        <w:spacing w:before="120" w:after="120" w:line="240" w:lineRule="auto"/>
        <w:jc w:val="both"/>
        <w:rPr>
          <w:rFonts w:ascii="Times New Roman" w:eastAsia="Times New Roman"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3.1.2.3.i. Resilience and continuity of the long-term social care service</w:t>
      </w:r>
    </w:p>
    <w:p w14:paraId="1E0EC7E6" w14:textId="77777777" w:rsidR="004E39F6" w:rsidRPr="00E60E42" w:rsidRDefault="00A35BEA" w:rsidP="005C6C60">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enable a transition from institutional long-term care provision to a more community-based care model.</w:t>
      </w:r>
    </w:p>
    <w:p w14:paraId="1E0EC7E7" w14:textId="77777777" w:rsidR="004E39F6" w:rsidRPr="00E60E42" w:rsidRDefault="00A35BEA" w:rsidP="00E1758D">
      <w:pPr>
        <w:spacing w:after="240" w:line="240" w:lineRule="auto"/>
        <w:jc w:val="both"/>
        <w:rPr>
          <w:rFonts w:ascii="Times New Roman" w:eastAsia="Calibri" w:hAnsi="Times New Roman" w:cs="Times New Roman"/>
          <w:strike/>
          <w:noProof/>
          <w:kern w:val="0"/>
          <w14:ligatures w14:val="none"/>
        </w:rPr>
      </w:pPr>
      <w:r w:rsidRPr="00E60E42">
        <w:rPr>
          <w:rFonts w:ascii="Times New Roman" w:eastAsia="Calibri" w:hAnsi="Times New Roman" w:cs="Arial"/>
          <w:noProof/>
          <w:kern w:val="0"/>
          <w:szCs w:val="22"/>
          <w14:ligatures w14:val="none"/>
        </w:rPr>
        <w:t>The measure consists of developing a standard construction design for new long-term care facilities</w:t>
      </w:r>
      <w:r w:rsidRPr="00E60E42" w:rsidDel="00ED15C6">
        <w:rPr>
          <w:rFonts w:ascii="Times New Roman" w:eastAsia="Calibri" w:hAnsi="Times New Roman" w:cs="Arial"/>
          <w:noProof/>
          <w:kern w:val="0"/>
          <w:szCs w:val="22"/>
          <w14:ligatures w14:val="none"/>
        </w:rPr>
        <w:t xml:space="preserve">, </w:t>
      </w:r>
      <w:r w:rsidRPr="00E60E42">
        <w:rPr>
          <w:rFonts w:ascii="Times New Roman" w:eastAsia="Calibri" w:hAnsi="Times New Roman" w:cs="Arial"/>
          <w:noProof/>
          <w:kern w:val="0"/>
          <w:szCs w:val="22"/>
          <w14:ligatures w14:val="none"/>
        </w:rPr>
        <w:t xml:space="preserve">as well as the construction of long-term care facilities. </w:t>
      </w:r>
    </w:p>
    <w:p w14:paraId="1E0EC7E8" w14:textId="77777777" w:rsidR="004E39F6" w:rsidRPr="00E60E42" w:rsidRDefault="00A35BEA" w:rsidP="005C6C60">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 xml:space="preserve">Investment: 3.1.2.4.i. </w:t>
      </w:r>
      <w:r w:rsidRPr="00E60E42" w:rsidDel="00325400">
        <w:rPr>
          <w:rFonts w:ascii="Times New Roman" w:eastAsia="Calibri" w:hAnsi="Times New Roman" w:cs="Arial"/>
          <w:noProof/>
          <w:kern w:val="0"/>
          <w:szCs w:val="22"/>
          <w:u w:val="single"/>
          <w14:ligatures w14:val="none"/>
        </w:rPr>
        <w:t xml:space="preserve">Synergistic </w:t>
      </w:r>
      <w:r w:rsidRPr="00E60E42">
        <w:rPr>
          <w:rFonts w:ascii="Times New Roman" w:eastAsia="Calibri" w:hAnsi="Times New Roman" w:cs="Arial"/>
          <w:noProof/>
          <w:kern w:val="0"/>
          <w:u w:val="single"/>
          <w14:ligatures w14:val="none"/>
        </w:rPr>
        <w:t>development</w:t>
      </w:r>
      <w:r w:rsidRPr="00E60E42">
        <w:rPr>
          <w:rFonts w:ascii="Times New Roman" w:eastAsia="Calibri" w:hAnsi="Times New Roman" w:cs="Arial"/>
          <w:noProof/>
          <w:kern w:val="0"/>
          <w:szCs w:val="22"/>
          <w:u w:val="single"/>
          <w14:ligatures w14:val="none"/>
        </w:rPr>
        <w:t xml:space="preserve"> of social and vocational rehabilitation services for </w:t>
      </w:r>
      <w:r w:rsidRPr="00E60E42" w:rsidDel="00325400">
        <w:rPr>
          <w:rFonts w:ascii="Times New Roman" w:eastAsia="Calibri" w:hAnsi="Times New Roman" w:cs="Arial"/>
          <w:noProof/>
          <w:kern w:val="0"/>
          <w:szCs w:val="22"/>
          <w:u w:val="single"/>
          <w14:ligatures w14:val="none"/>
        </w:rPr>
        <w:t xml:space="preserve">the promotion of the resilience of </w:t>
      </w:r>
      <w:r w:rsidRPr="00E60E42">
        <w:rPr>
          <w:rFonts w:ascii="Times New Roman" w:eastAsia="Calibri" w:hAnsi="Times New Roman" w:cs="Arial"/>
          <w:noProof/>
          <w:kern w:val="0"/>
          <w:szCs w:val="22"/>
          <w:u w:val="single"/>
          <w14:ligatures w14:val="none"/>
        </w:rPr>
        <w:t>people with functional impairments</w:t>
      </w:r>
    </w:p>
    <w:p w14:paraId="1E0EC7E9" w14:textId="77777777" w:rsidR="004E39F6" w:rsidRPr="00E60E42" w:rsidRDefault="00A35BEA" w:rsidP="005C6C60">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objective of the measure is to improve the social inclusion and rehabilitation of persons with functional impairments. </w:t>
      </w:r>
    </w:p>
    <w:p w14:paraId="1E0EC7EA" w14:textId="77777777" w:rsidR="004E39F6" w:rsidRPr="00E60E42" w:rsidRDefault="00A35BEA" w:rsidP="00E1758D">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adoption of a vocational rehabilitation service standard for persons with functional impairments, and adaptation works for buildings in two addresses.</w:t>
      </w:r>
    </w:p>
    <w:p w14:paraId="1E0EC7EB" w14:textId="77777777" w:rsidR="004E39F6" w:rsidRPr="00E60E42" w:rsidRDefault="00A35BEA" w:rsidP="005C6C60">
      <w:pPr>
        <w:keepNext/>
        <w:keepLines/>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u w:val="single"/>
          <w14:ligatures w14:val="none"/>
        </w:rPr>
        <w:t>Investment: 3.1.2.5.i. Participation in the labour market of unemployed, jobseekers and people at risk of unemployment</w:t>
      </w:r>
    </w:p>
    <w:p w14:paraId="1E0EC7EC" w14:textId="77777777" w:rsidR="004E39F6" w:rsidRPr="00E60E42" w:rsidRDefault="00A35BEA" w:rsidP="005C6C60">
      <w:pPr>
        <w:spacing w:after="12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facilitate the acquisition of skills for the clients of the State Employment Agency.</w:t>
      </w:r>
    </w:p>
    <w:p w14:paraId="1E0EC7ED" w14:textId="77777777" w:rsidR="004E39F6" w:rsidRPr="00E60E42" w:rsidRDefault="00A35BEA" w:rsidP="00E1758D">
      <w:pPr>
        <w:spacing w:after="240" w:line="240" w:lineRule="auto"/>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w:t>
      </w:r>
      <w:r w:rsidRPr="00E60E42" w:rsidDel="001736BF">
        <w:rPr>
          <w:rFonts w:ascii="Times New Roman" w:eastAsia="Calibri" w:hAnsi="Times New Roman" w:cs="Arial"/>
          <w:noProof/>
          <w:kern w:val="0"/>
          <w14:ligatures w14:val="none"/>
        </w:rPr>
        <w:t xml:space="preserve">developing a </w:t>
      </w:r>
      <w:r w:rsidRPr="00E60E42">
        <w:rPr>
          <w:rFonts w:ascii="Times New Roman" w:eastAsia="Calibri" w:hAnsi="Times New Roman" w:cs="Arial"/>
          <w:noProof/>
          <w:kern w:val="0"/>
          <w14:ligatures w14:val="none"/>
        </w:rPr>
        <w:t xml:space="preserve">re-training and up-skilling </w:t>
      </w:r>
      <w:r w:rsidRPr="00E60E42" w:rsidDel="001736BF">
        <w:rPr>
          <w:rFonts w:ascii="Times New Roman" w:eastAsia="Calibri" w:hAnsi="Times New Roman" w:cs="Arial"/>
          <w:noProof/>
          <w:kern w:val="0"/>
          <w14:ligatures w14:val="none"/>
        </w:rPr>
        <w:t xml:space="preserve">offer </w:t>
      </w:r>
      <w:r w:rsidRPr="00E60E42">
        <w:rPr>
          <w:rFonts w:ascii="Times New Roman" w:eastAsia="Calibri" w:hAnsi="Times New Roman" w:cs="Arial"/>
          <w:noProof/>
          <w:kern w:val="0"/>
          <w14:ligatures w14:val="none"/>
        </w:rPr>
        <w:t>with a focus on digital skills and the provision of training.</w:t>
      </w:r>
    </w:p>
    <w:p w14:paraId="1E0EC7EE" w14:textId="77777777" w:rsidR="004E39F6" w:rsidRPr="00E60E42" w:rsidRDefault="00A35BEA" w:rsidP="005C6C60">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3.1.2.6.i. Facilitating the availability of technical aids</w:t>
      </w:r>
    </w:p>
    <w:p w14:paraId="1E0EC7EF" w14:textId="77777777" w:rsidR="004E39F6" w:rsidRPr="00E60E42" w:rsidRDefault="00A35BEA" w:rsidP="005C6C60">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improve access to mobility, self-care, function replacement or restoration and alternative communication technical aids for persons with functional impairments.</w:t>
      </w:r>
    </w:p>
    <w:p w14:paraId="1E0EC7F0" w14:textId="77777777" w:rsidR="004E39F6" w:rsidRPr="00E60E42" w:rsidRDefault="00A35BEA" w:rsidP="0048758A">
      <w:pPr>
        <w:spacing w:before="120"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measure consists of facilitating the availability of technical aids.</w:t>
      </w:r>
    </w:p>
    <w:p w14:paraId="1E0EC7F1"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sectPr w:rsidR="004E39F6" w:rsidRPr="00E60E42" w:rsidSect="0048758A">
          <w:headerReference w:type="even" r:id="rId41"/>
          <w:headerReference w:type="default" r:id="rId42"/>
          <w:footerReference w:type="even" r:id="rId43"/>
          <w:footerReference w:type="default" r:id="rId44"/>
          <w:headerReference w:type="first" r:id="rId45"/>
          <w:footerReference w:type="first" r:id="rId46"/>
          <w:pgSz w:w="11906" w:h="16838"/>
          <w:pgMar w:top="1134" w:right="1134" w:bottom="1134" w:left="1134" w:header="567" w:footer="567" w:gutter="0"/>
          <w:cols w:space="708"/>
          <w:docGrid w:linePitch="360"/>
        </w:sectPr>
      </w:pPr>
    </w:p>
    <w:p w14:paraId="1E0EC7F2" w14:textId="77777777" w:rsidR="004E39F6" w:rsidRPr="00E60E42" w:rsidRDefault="00A35BEA" w:rsidP="00E1758D">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C.2. Milestones, targets, indicators, and timetable for monitoring and implementation for non-repayable financial support</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4"/>
        <w:gridCol w:w="1134"/>
        <w:gridCol w:w="1701"/>
        <w:gridCol w:w="1418"/>
        <w:gridCol w:w="1134"/>
        <w:gridCol w:w="992"/>
        <w:gridCol w:w="992"/>
        <w:gridCol w:w="851"/>
        <w:gridCol w:w="709"/>
        <w:gridCol w:w="3512"/>
      </w:tblGrid>
      <w:tr w:rsidR="00E1758D" w:rsidRPr="00E60E42" w14:paraId="1E0EC7FB" w14:textId="77777777" w:rsidTr="005C6C60">
        <w:trPr>
          <w:trHeight w:val="300"/>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3" w14:textId="77777777" w:rsidR="004E39F6" w:rsidRPr="00E60E42" w:rsidRDefault="00A35BEA" w:rsidP="002A5857">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Nr</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4"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5" w14:textId="77777777" w:rsidR="004E39F6" w:rsidRPr="00E60E42" w:rsidRDefault="00A35BEA" w:rsidP="005C6C60">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6"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Name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7" w14:textId="333289FB"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Qualitative indicators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7F8" w14:textId="32E263B9"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Quantitative indicators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7F9"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Indicative timeline for completion</w:t>
            </w:r>
          </w:p>
        </w:tc>
        <w:tc>
          <w:tcPr>
            <w:tcW w:w="3512"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A" w14:textId="77777777" w:rsidR="004E39F6" w:rsidRPr="00E60E42" w:rsidRDefault="00A35BEA" w:rsidP="00E1758D">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Description of each milestone and target</w:t>
            </w:r>
          </w:p>
        </w:tc>
      </w:tr>
      <w:tr w:rsidR="00E1758D" w:rsidRPr="00E60E42" w14:paraId="1E0EC807" w14:textId="77777777" w:rsidTr="005C6C60">
        <w:trPr>
          <w:trHeight w:val="509"/>
          <w:tblHeader/>
          <w:jc w:val="center"/>
        </w:trPr>
        <w:tc>
          <w:tcPr>
            <w:tcW w:w="709" w:type="dxa"/>
            <w:vMerge/>
            <w:tcBorders>
              <w:top w:val="single" w:sz="4" w:space="0" w:color="auto"/>
              <w:left w:val="single" w:sz="4" w:space="0" w:color="auto"/>
              <w:bottom w:val="single" w:sz="4" w:space="0" w:color="auto"/>
              <w:right w:val="single" w:sz="4" w:space="0" w:color="auto"/>
            </w:tcBorders>
            <w:vAlign w:val="center"/>
          </w:tcPr>
          <w:p w14:paraId="1E0EC7FC" w14:textId="77777777" w:rsidR="004E39F6" w:rsidRPr="00E60E42" w:rsidRDefault="004E39F6" w:rsidP="002A5857">
            <w:pPr>
              <w:spacing w:before="120" w:after="120" w:line="240" w:lineRule="auto"/>
              <w:jc w:val="center"/>
              <w:rPr>
                <w:rFonts w:ascii="Times New Roman" w:eastAsia="Calibri" w:hAnsi="Times New Roman" w:cs="Times New Roman"/>
                <w:noProof/>
                <w:kern w:val="0"/>
                <w:sz w:val="18"/>
                <w:szCs w:val="18"/>
                <w14:ligatures w14:val="none"/>
              </w:rPr>
            </w:pPr>
          </w:p>
        </w:tc>
        <w:tc>
          <w:tcPr>
            <w:tcW w:w="1554" w:type="dxa"/>
            <w:vMerge/>
            <w:tcBorders>
              <w:top w:val="single" w:sz="4" w:space="0" w:color="auto"/>
              <w:left w:val="single" w:sz="4" w:space="0" w:color="auto"/>
              <w:bottom w:val="single" w:sz="4" w:space="0" w:color="auto"/>
              <w:right w:val="single" w:sz="4" w:space="0" w:color="auto"/>
            </w:tcBorders>
            <w:vAlign w:val="center"/>
          </w:tcPr>
          <w:p w14:paraId="1E0EC7FD" w14:textId="77777777" w:rsidR="004E39F6" w:rsidRPr="00E60E42" w:rsidRDefault="004E39F6" w:rsidP="0048758A">
            <w:pPr>
              <w:spacing w:before="120" w:after="120" w:line="240" w:lineRule="auto"/>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E0EC7FE" w14:textId="77777777" w:rsidR="004E39F6" w:rsidRPr="00E60E42" w:rsidRDefault="004E39F6" w:rsidP="005C6C60">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E0EC7FF" w14:textId="77777777" w:rsidR="004E39F6" w:rsidRPr="00E60E42" w:rsidRDefault="004E39F6" w:rsidP="0048758A">
            <w:pPr>
              <w:spacing w:before="120" w:after="120" w:line="240" w:lineRule="auto"/>
              <w:rPr>
                <w:rFonts w:ascii="Times New Roman" w:eastAsia="Calibri" w:hAnsi="Times New Roman" w:cs="Times New Roman"/>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1E0EC800" w14:textId="77777777" w:rsidR="004E39F6" w:rsidRPr="00E60E42" w:rsidRDefault="004E39F6" w:rsidP="0048758A">
            <w:pPr>
              <w:spacing w:before="120" w:after="120" w:line="240" w:lineRule="auto"/>
              <w:rPr>
                <w:rFonts w:ascii="Times New Roman" w:eastAsia="Calibri" w:hAnsi="Times New Roman" w:cs="Times New Roman"/>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1"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2"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Baseline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3"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4"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5"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Year</w:t>
            </w:r>
          </w:p>
        </w:tc>
        <w:tc>
          <w:tcPr>
            <w:tcW w:w="3512" w:type="dxa"/>
            <w:vMerge/>
            <w:tcBorders>
              <w:top w:val="single" w:sz="4" w:space="0" w:color="auto"/>
              <w:left w:val="single" w:sz="4" w:space="0" w:color="auto"/>
              <w:bottom w:val="single" w:sz="4" w:space="0" w:color="auto"/>
              <w:right w:val="single" w:sz="4" w:space="0" w:color="auto"/>
            </w:tcBorders>
            <w:vAlign w:val="center"/>
          </w:tcPr>
          <w:p w14:paraId="1E0EC806" w14:textId="77777777" w:rsidR="004E39F6" w:rsidRPr="00E60E42" w:rsidRDefault="004E39F6" w:rsidP="00E1758D">
            <w:pPr>
              <w:spacing w:before="120" w:after="120" w:line="240" w:lineRule="auto"/>
              <w:jc w:val="both"/>
              <w:rPr>
                <w:rFonts w:ascii="Times New Roman" w:eastAsia="Calibri" w:hAnsi="Times New Roman" w:cs="Times New Roman"/>
                <w:noProof/>
                <w:kern w:val="0"/>
                <w:sz w:val="18"/>
                <w:szCs w:val="18"/>
                <w14:ligatures w14:val="none"/>
              </w:rPr>
            </w:pPr>
          </w:p>
        </w:tc>
      </w:tr>
      <w:tr w:rsidR="0048758A" w:rsidRPr="00E60E42" w14:paraId="1E0EC813"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0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0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3.1.1.r. Administrative territorial reform</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0A" w14:textId="646F1AED"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0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 new “Municipality Law”</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0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new “Municipality Law”</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0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0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0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1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12"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“Municipality Law” which shall review the functions and tasks of local governments, to align them with the outcome of the administrative territorial reform (replacing the Law on Local Government of 19.05.1994). It shall ensure improved governance after the administrative territorial reform of the municipalities, promoting democratisation and a clearer separation of the decision-making power from the executive, establishing a clear division of competences and functions, reducing the concentration of powers and increasing the participation of the local community on a regular basis.</w:t>
            </w:r>
          </w:p>
        </w:tc>
      </w:tr>
      <w:tr w:rsidR="0048758A" w:rsidRPr="00E60E42" w14:paraId="1E0EC81F"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1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3.1.1.1.i. Improvement of the network of regional and local roads</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16" w14:textId="1568E080"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1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Renovated or rebuilt regional and local roads for the safe accessibility of the county administrative centres and their services and jobs and for the full functioning of the new municipalities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1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1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1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1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1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1E"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state regional and local roads have been renovated or rebuilt for the accessibility to the administrative centres of the counties and their services and jobs and for the full functioning of the new municipalities. Road construction works shall involve investments that improve road safety. </w:t>
            </w:r>
          </w:p>
        </w:tc>
      </w:tr>
      <w:tr w:rsidR="0048758A" w:rsidRPr="00E60E42" w14:paraId="1E0EC82B"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2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3.1.1.1.i. Improvement of the network of regional and local roads</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2" w14:textId="73793F4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2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Renovated or rebuilt regional and local roads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2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2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2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2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2A"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sidDel="00053577">
              <w:rPr>
                <w:rFonts w:ascii="Times New Roman" w:eastAsia="Calibri" w:hAnsi="Times New Roman" w:cs="Arial"/>
                <w:noProof/>
                <w:kern w:val="0"/>
                <w:sz w:val="18"/>
                <w:szCs w:val="18"/>
                <w14:ligatures w14:val="none"/>
              </w:rPr>
              <w:t>The state r</w:t>
            </w:r>
            <w:r w:rsidRPr="00E60E42">
              <w:rPr>
                <w:rFonts w:ascii="Times New Roman" w:eastAsia="Calibri" w:hAnsi="Times New Roman" w:cs="Arial"/>
                <w:noProof/>
                <w:kern w:val="0"/>
                <w:sz w:val="18"/>
                <w:szCs w:val="18"/>
                <w14:ligatures w14:val="none"/>
              </w:rPr>
              <w:t>egional and local roads have been renovated or rebuilt</w:t>
            </w:r>
            <w:r w:rsidRPr="00E60E42" w:rsidDel="00221152">
              <w:rPr>
                <w:rFonts w:ascii="Times New Roman" w:eastAsia="Calibri" w:hAnsi="Times New Roman" w:cs="Arial"/>
                <w:noProof/>
                <w:kern w:val="0"/>
                <w:sz w:val="18"/>
                <w:szCs w:val="18"/>
                <w14:ligatures w14:val="none"/>
              </w:rPr>
              <w:t xml:space="preserve"> for the accessibility to the administrative centres of the counties</w:t>
            </w:r>
            <w:r w:rsidRPr="00E60E42" w:rsidDel="00053577">
              <w:rPr>
                <w:rFonts w:ascii="Times New Roman" w:eastAsia="Calibri" w:hAnsi="Times New Roman" w:cs="Arial"/>
                <w:noProof/>
                <w:kern w:val="0"/>
                <w:sz w:val="18"/>
                <w:szCs w:val="18"/>
                <w14:ligatures w14:val="none"/>
              </w:rPr>
              <w:t xml:space="preserve"> and their services and jobs and for the full functioning of the new municipalities</w:t>
            </w:r>
            <w:r w:rsidRPr="00E60E42">
              <w:rPr>
                <w:rFonts w:ascii="Times New Roman" w:eastAsia="Calibri" w:hAnsi="Times New Roman" w:cs="Arial"/>
                <w:noProof/>
                <w:kern w:val="0"/>
                <w:sz w:val="18"/>
                <w:szCs w:val="18"/>
                <w14:ligatures w14:val="none"/>
              </w:rPr>
              <w:t>. Road construction works shall involve investments that improve road safety.</w:t>
            </w:r>
          </w:p>
        </w:tc>
      </w:tr>
      <w:tr w:rsidR="0048758A" w:rsidRPr="00E60E42" w14:paraId="1E0EC83B"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89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2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3.1.1.2.i. Strengthening the capacity of municipalities to improve service efficiency and quality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E" w14:textId="0D7D6A2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2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legal basis for implementing support for capacity building of local governments has been adopted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30"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Regulations of the Cabinet of Ministers have been adopted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3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3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3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3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3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3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Cabinet Regulations have been adopted for the implementation of support for capacity building of local governments, including:</w:t>
            </w:r>
          </w:p>
          <w:p w14:paraId="1E0EC837"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defining the scope and parameters of the capacity building actions in the municipalities; </w:t>
            </w:r>
          </w:p>
          <w:p w14:paraId="1E0EC838"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(b) municipal public service assessments; </w:t>
            </w:r>
          </w:p>
          <w:p w14:paraId="1E0EC839"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 provision of methodological support and capacity-building; </w:t>
            </w:r>
          </w:p>
          <w:p w14:paraId="1E0EC83A"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 piloting ways of planning and providing municipal public services. </w:t>
            </w:r>
          </w:p>
        </w:tc>
      </w:tr>
      <w:tr w:rsidR="0048758A" w:rsidRPr="00E60E42" w14:paraId="1E0EC847"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3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3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3.1.1.2.i. Strengthening the capacity of municipalities to improve service efficiency and quality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3E" w14:textId="1F5E0840"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3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Assessment of local government public services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40"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Assessment finalised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4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4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4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Assessment of the efficiency of the provision of local government public services finalised. </w:t>
            </w:r>
          </w:p>
        </w:tc>
      </w:tr>
      <w:tr w:rsidR="0048758A" w:rsidRPr="00E60E42" w14:paraId="1E0EC853"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4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4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3.1.1.2.i. Strengthening the capacity of municipalities to improve service efficiency and quality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4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People trained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4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1 300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5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52"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MS Mincho" w:hAnsi="Times New Roman" w:cs="Times New Roman"/>
                <w:noProof/>
                <w:kern w:val="0"/>
                <w:sz w:val="18"/>
                <w:szCs w:val="18"/>
                <w14:ligatures w14:val="none"/>
              </w:rPr>
              <w:t>Number o</w:t>
            </w:r>
            <w:r w:rsidRPr="00E60E42">
              <w:rPr>
                <w:rFonts w:ascii="Times New Roman" w:eastAsia="Times New Roman" w:hAnsi="Times New Roman" w:cs="Times New Roman"/>
                <w:noProof/>
                <w:kern w:val="0"/>
                <w:sz w:val="18"/>
                <w:szCs w:val="18"/>
                <w14:ligatures w14:val="none"/>
              </w:rPr>
              <w:t>f people having participated in capacity building activities (for example trainings, study visits, experience/good practice exchanges, conferences, workshops, fora).</w:t>
            </w:r>
          </w:p>
        </w:tc>
      </w:tr>
      <w:tr w:rsidR="0048758A" w:rsidRPr="00E60E42" w14:paraId="1E0EC85F"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5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3.1.1.3.i. Investments in </w:t>
            </w:r>
            <w:r w:rsidRPr="00E60E42">
              <w:rPr>
                <w:rFonts w:ascii="Times New Roman" w:eastAsia="Calibri" w:hAnsi="Times New Roman" w:cs="Arial"/>
                <w:b/>
                <w:bCs/>
                <w:noProof/>
                <w:kern w:val="0"/>
                <w:sz w:val="18"/>
                <w:szCs w:val="18"/>
                <w14:ligatures w14:val="none"/>
              </w:rPr>
              <w:t xml:space="preserve">public </w:t>
            </w:r>
            <w:r w:rsidRPr="00E60E42">
              <w:rPr>
                <w:rFonts w:ascii="Times New Roman" w:eastAsia="Calibri" w:hAnsi="Times New Roman" w:cs="Arial"/>
                <w:b/>
                <w:noProof/>
                <w:kern w:val="0"/>
                <w:sz w:val="18"/>
                <w:szCs w:val="18"/>
                <w14:ligatures w14:val="none"/>
              </w:rPr>
              <w:t>infrastructure to develop industrial parks in the regions</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56" w14:textId="756F4DEC"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5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support programme for the development of industrial parks and territories in the regions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5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Cabinet Regulations and coordinated aid programme adopted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5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5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5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5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5E"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Regulations of the Cabinet of Ministers laying down the conditions and criteria for the provision of aid to industrial areas have been drawn up and adopted.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48758A" w:rsidRPr="00E60E42" w14:paraId="1E0EC86B"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6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3.1.1.3.i. Investments in public infrastructure to develop industrial parks in the regions</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2" w14:textId="4A0D4C4C"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6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Award of contracts for the development of industrial parks in the regions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6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Award of contracts for the projects’ implementation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6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6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6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6A"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Award of contracts for the development of industrial parks in the regions to private or public sector beneficiaries who have developed an industrial park development strategy or business plan.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48758A" w:rsidRPr="00E60E42" w14:paraId="1E0EC877"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6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3.1.1.3.i. Investments in public infrastructure to develop industrial parks in the regions</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E" w14:textId="7B34D94C"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6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Industrial parks and territories in the regions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7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7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7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7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color w:val="000000"/>
                <w:kern w:val="0"/>
                <w:sz w:val="18"/>
                <w:szCs w:val="18"/>
                <w14:ligatures w14:val="none"/>
              </w:rPr>
              <w:t>C</w:t>
            </w:r>
            <w:r w:rsidRPr="00E60E42">
              <w:rPr>
                <w:rFonts w:ascii="Times New Roman" w:eastAsia="Segoe UI" w:hAnsi="Times New Roman" w:cs="Times New Roman"/>
                <w:noProof/>
                <w:color w:val="000000"/>
                <w:kern w:val="0"/>
                <w:sz w:val="18"/>
                <w:szCs w:val="18"/>
                <w14:ligatures w14:val="none"/>
              </w:rPr>
              <w:t>ertificate(s) of readiness for operation of engineering construction or building</w:t>
            </w:r>
            <w:r w:rsidRPr="00E60E42">
              <w:rPr>
                <w:rFonts w:ascii="Times New Roman" w:eastAsia="Segoe UI" w:hAnsi="Times New Roman" w:cs="Times New Roman"/>
                <w:i/>
                <w:noProof/>
                <w:color w:val="000000"/>
                <w:kern w:val="0"/>
                <w:sz w:val="18"/>
                <w:szCs w:val="18"/>
                <w14:ligatures w14:val="none"/>
              </w:rPr>
              <w:t xml:space="preserve"> </w:t>
            </w:r>
            <w:r w:rsidRPr="00E60E42">
              <w:rPr>
                <w:rFonts w:ascii="Times New Roman" w:eastAsia="Calibri" w:hAnsi="Times New Roman" w:cs="Times New Roman"/>
                <w:noProof/>
                <w:color w:val="000000"/>
                <w:kern w:val="0"/>
                <w:sz w:val="18"/>
                <w:szCs w:val="18"/>
                <w14:ligatures w14:val="none"/>
              </w:rPr>
              <w:t>signed</w:t>
            </w:r>
            <w:r w:rsidRPr="00E60E42">
              <w:rPr>
                <w:rFonts w:ascii="Times New Roman" w:eastAsia="Calibri" w:hAnsi="Times New Roman" w:cs="Arial"/>
                <w:noProof/>
                <w:color w:val="000000"/>
                <w:kern w:val="0"/>
                <w:sz w:val="18"/>
                <w:szCs w:val="18"/>
                <w14:ligatures w14:val="none"/>
              </w:rPr>
              <w:t xml:space="preserve"> for the construction of at least four industrial parks and territories in the regions, including connections (for example to heating, water and sewerage, electricity), renewal or installation of access roads, and letter(s) of intent or contract(s) signed by industrial park operators and/or potential investors to execute investments of EUR 85 000 000.</w:t>
            </w:r>
          </w:p>
        </w:tc>
      </w:tr>
      <w:tr w:rsidR="0048758A" w:rsidRPr="00E60E42" w14:paraId="1E0EC883"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7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7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3.1.1.4.i. Establishing a financing fund for the construction of low-rent housing</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A" w14:textId="358122B5"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7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the law balancing the rights of tenants and landlords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7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the Rental Law of housing premises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8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82"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 new legal framework for rents to ensure a fair balance between the interests of the tenant and the landlord and to speed up the resolution of disputes over the term of the rent and the settlement of rents, which is particularly important in order to promote the construction of renting housing and consequently to facilitate affordability of housing.</w:t>
            </w:r>
          </w:p>
        </w:tc>
      </w:tr>
      <w:tr w:rsidR="0048758A" w:rsidRPr="00E60E42" w14:paraId="1E0EC88F"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99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8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86" w14:textId="361D5B63"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8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housing affordability strategy</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8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government has adopted housing, affordability strategy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8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8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8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8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8E" w14:textId="77777777" w:rsidR="004E39F6" w:rsidRPr="00E60E42" w:rsidRDefault="00A35BEA" w:rsidP="002A5857">
            <w:pPr>
              <w:spacing w:after="120" w:line="240" w:lineRule="auto"/>
              <w:jc w:val="both"/>
              <w:rPr>
                <w:rFonts w:ascii="Times New Roman" w:eastAsia="MS Mincho"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 xml:space="preserve">The housing affordability strategy shall include directions of action, policy indicators and set of tasks for promoting access to housing, providing solutions for providing housing affordability support to households of different types and income levels, including the lowest-income households, and that support mechanisms and regulations promote both the repair of the existing housing stock and the development of a new housing stock. </w:t>
            </w:r>
          </w:p>
        </w:tc>
      </w:tr>
      <w:tr w:rsidR="0048758A" w:rsidRPr="00E60E42" w14:paraId="1E0EC89B"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9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9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Government regulation on the construction of low-rent dwellings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9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government regulation on construction of low-rent dwellings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9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9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9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9A" w14:textId="77777777" w:rsidR="004E39F6" w:rsidRPr="00E60E42" w:rsidRDefault="00A35BEA" w:rsidP="002A5857">
            <w:pPr>
              <w:spacing w:after="120" w:line="240" w:lineRule="auto"/>
              <w:jc w:val="both"/>
              <w:rPr>
                <w:rFonts w:ascii="Times New Roman" w:eastAsia="MS Mincho"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 xml:space="preserve">Regulation of the Cabinet of Ministers on the construction of low-rent dwellings has entered into force in order to define size, scope and type of support and criteria for beneficiaries. </w:t>
            </w:r>
          </w:p>
        </w:tc>
      </w:tr>
      <w:tr w:rsidR="0048758A" w:rsidRPr="00E60E42" w14:paraId="1E0EC8A8"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9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E" w14:textId="1F47B271"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9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Number of apartments within approved projects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A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A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A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A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funding shall have been approved by national development institution ALTUM for projects of at least 300 apartments.</w:t>
            </w:r>
          </w:p>
          <w:p w14:paraId="1E0EC8A7" w14:textId="6F6541DD"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As part of the approved projects, housing shall be provided for a low rent (indicatively, EUR</w:t>
            </w:r>
            <w:r w:rsidR="002A5857" w:rsidRPr="00E60E42">
              <w:rPr>
                <w:rFonts w:ascii="Times New Roman" w:eastAsia="Calibri" w:hAnsi="Times New Roman" w:cs="Arial"/>
                <w:noProof/>
                <w:kern w:val="0"/>
                <w:sz w:val="18"/>
                <w:szCs w:val="18"/>
                <w14:ligatures w14:val="none"/>
              </w:rPr>
              <w:t> </w:t>
            </w:r>
            <w:r w:rsidRPr="00E60E42">
              <w:rPr>
                <w:rFonts w:ascii="Times New Roman" w:eastAsia="Calibri" w:hAnsi="Times New Roman" w:cs="Arial"/>
                <w:noProof/>
                <w:kern w:val="0"/>
                <w:sz w:val="18"/>
                <w:szCs w:val="18"/>
                <w14:ligatures w14:val="none"/>
              </w:rPr>
              <w:t xml:space="preserve">4.40/m²). The approved projects shall meet high quality requirements: (1) the building shall be a nearly zero-energy building; (2) Appropriate quality tests (acoustic measurements, building air permeability test) shall be carried out at the time of entry into service. </w:t>
            </w:r>
          </w:p>
        </w:tc>
      </w:tr>
      <w:tr w:rsidR="0048758A" w:rsidRPr="00E60E42" w14:paraId="1E0EC8B5"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A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highlight w:val="green"/>
                <w14:ligatures w14:val="none"/>
              </w:rPr>
            </w:pPr>
            <w:r w:rsidRPr="00E60E42">
              <w:rPr>
                <w:rFonts w:ascii="Times New Roman" w:eastAsia="Calibri" w:hAnsi="Times New Roman" w:cs="Arial"/>
                <w:noProof/>
                <w:kern w:val="0"/>
                <w:sz w:val="18"/>
                <w:szCs w:val="18"/>
                <w14:ligatures w14:val="none"/>
              </w:rPr>
              <w:t>102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AA"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B" w14:textId="1C956BD9"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A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Number of apartments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A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467</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B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B3"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funding shall have been approved by the national development institution ALTUM for projects of at least 467 apartments.</w:t>
            </w:r>
          </w:p>
          <w:p w14:paraId="1E0EC8B4"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approved projects shall meet the following quality requirements: (1) the building shall be a nearly zero-energy building; (2) quality tests (acoustic measurements, building air permeability test) at the time of entry into service of the buildings shall be made mandatory.</w:t>
            </w:r>
          </w:p>
        </w:tc>
      </w:tr>
      <w:tr w:rsidR="0048758A" w:rsidRPr="00E60E42" w14:paraId="1E0EC8C1"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B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3.1.1.4.i. Establishing a financing fund for the construction of low-rent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B8" w14:textId="2B5732A8"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B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Number of apartments ready for operation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B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B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B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C0"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300 apartments shall be ready for operation.</w:t>
            </w:r>
          </w:p>
        </w:tc>
      </w:tr>
      <w:tr w:rsidR="0048758A" w:rsidRPr="00E60E42" w14:paraId="1E0EC8CD"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C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3.1.1.5.i. Development of infrastructure and equipment of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C4" w14:textId="4B3F342B"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C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Definition of qualitative and quantitative criteria adopted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C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legal framework has entered into force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C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C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C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C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CC"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 legal framework adopted by the government promoting the provision of high-quality education by promoting a comprehensive offer of educational programmes at regional level, as well as by creating a network of general secondary education institutions in line with the demographic situation. The legal framework shall establish minimum quantitative and qualitative criteria (such as minimum number of learners, availability of infrastructure, etc.) for general secondary education institutions.</w:t>
            </w:r>
          </w:p>
        </w:tc>
      </w:tr>
      <w:tr w:rsidR="0048758A" w:rsidRPr="00E60E42" w14:paraId="1E0EC8D9"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C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3.1.1.5.i. Development of infrastructure and equipment of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0" w14:textId="52C126FE"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D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decisions by local councils on the reorganisation of at least 20 general secondary education institutions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D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decisions by local councils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D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D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D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D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D8"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Reorganisation decisions (mergers, change of education level) of at least 20 general secondary education institutions adopted by local governments. </w:t>
            </w:r>
          </w:p>
        </w:tc>
      </w:tr>
      <w:tr w:rsidR="0048758A" w:rsidRPr="00E60E42" w14:paraId="1E0EC8E5"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D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D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3.1.1.5.i. Development of infrastructure and equipment of educational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C" w14:textId="5701C22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D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Upgrade schools’ infrastructure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D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E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E4"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Segoe UI" w:hAnsi="Times New Roman" w:cs="Times New Roman"/>
                <w:noProof/>
                <w:color w:val="000000"/>
                <w:kern w:val="0"/>
                <w:sz w:val="18"/>
                <w:szCs w:val="18"/>
                <w14:ligatures w14:val="none"/>
              </w:rPr>
              <w:t xml:space="preserve">Upgrade of 21 schools’ infrastructures established by local governments </w:t>
            </w:r>
            <w:r w:rsidRPr="00E60E42">
              <w:rPr>
                <w:rFonts w:ascii="Times New Roman" w:eastAsia="Calibri" w:hAnsi="Times New Roman" w:cs="Arial"/>
                <w:noProof/>
                <w:color w:val="000000"/>
                <w:kern w:val="0"/>
                <w:sz w:val="18"/>
                <w:szCs w:val="18"/>
                <w14:ligatures w14:val="none"/>
              </w:rPr>
              <w:t xml:space="preserve">(for example: ventilation systems, energy </w:t>
            </w:r>
            <w:r w:rsidRPr="00E60E42">
              <w:rPr>
                <w:rFonts w:ascii="Times New Roman" w:eastAsia="Calibri" w:hAnsi="Times New Roman" w:cs="Arial"/>
                <w:noProof/>
                <w:kern w:val="0"/>
                <w:sz w:val="18"/>
                <w:szCs w:val="18"/>
                <w14:ligatures w14:val="none"/>
              </w:rPr>
              <w:t>efficient lighting, purchase of information technology and equipment for the teaching of science, technology, engineering or mathematics).</w:t>
            </w:r>
          </w:p>
        </w:tc>
      </w:tr>
      <w:tr w:rsidR="0048758A" w:rsidRPr="00E60E42" w14:paraId="1E0EC8F1"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E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3.1.1.6.i. Purchase of electric school buses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E8" w14:textId="798230E0"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E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support programme has been adopted for local governments for the purchase of electric buses for the performance of the municipal functions and related services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EA"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government regulation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E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E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F0"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Cabinet Regulations laying down implementing conditions for providing support to local governments for the purchase of electric buses for the performance of the municipal functions and related services.</w:t>
            </w:r>
          </w:p>
        </w:tc>
      </w:tr>
      <w:tr w:rsidR="0048758A" w:rsidRPr="00E60E42" w14:paraId="1E0EC8FD"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F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3.1.1.6.i. Purchase of electric school buses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F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F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Number of electric school buses under contracts awarded for the purchase of electric buses for the performance of the municipal functions and related services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F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F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F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F9" w14:textId="77777777" w:rsidR="004E39F6" w:rsidRPr="00E60E42" w:rsidRDefault="00A35BEA" w:rsidP="002A5857">
            <w:pPr>
              <w:spacing w:after="12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color w:val="000000"/>
                <w:kern w:val="0"/>
                <w:sz w:val="18"/>
                <w:szCs w:val="18"/>
                <w14:ligatures w14:val="none"/>
              </w:rPr>
              <w:t>15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F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FC"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Award of contracts for the purchase of 15 electric buses for the performance of municipal functions and related services.</w:t>
            </w:r>
          </w:p>
        </w:tc>
      </w:tr>
      <w:tr w:rsidR="0048758A" w:rsidRPr="00E60E42" w14:paraId="1E0EC909"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F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bCs/>
                <w:noProof/>
                <w:kern w:val="0"/>
                <w:sz w:val="18"/>
                <w:szCs w:val="18"/>
                <w14:ligatures w14:val="none"/>
              </w:rPr>
              <w:t>3.1.1.6.i. Purchase of electric school buses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0" w14:textId="1299F1FF"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0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Electric school buses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0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0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0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0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0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08"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Transfer act(s) for the delivery of 15 electric school buses to municipalities have been issued.</w:t>
            </w:r>
          </w:p>
        </w:tc>
      </w:tr>
      <w:tr w:rsidR="0048758A" w:rsidRPr="00E60E42" w14:paraId="1E0EC915"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0A"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109a</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0B" w14:textId="77777777" w:rsidR="004E39F6" w:rsidRPr="00E60E42" w:rsidRDefault="00A35BEA" w:rsidP="002A5857">
            <w:pPr>
              <w:spacing w:after="20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3.1.1.7.i. Loans to real estate developers for the construction of low-rent dwellings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C"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0D" w14:textId="77777777" w:rsidR="004E39F6" w:rsidRPr="00E60E42" w:rsidRDefault="00A35BEA" w:rsidP="002A5857">
            <w:pP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color w:val="000000"/>
                <w:kern w:val="0"/>
                <w:sz w:val="18"/>
                <w:szCs w:val="18"/>
                <w14:ligatures w14:val="none"/>
              </w:rPr>
              <w:t>Implementing Agreement and completion of the investment</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0E" w14:textId="77777777" w:rsidR="004E39F6" w:rsidRPr="00E60E42" w:rsidRDefault="00A35BEA" w:rsidP="002A5857">
            <w:pPr>
              <w:spacing w:after="20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color w:val="000000"/>
                <w:kern w:val="0"/>
                <w:sz w:val="18"/>
                <w:szCs w:val="18"/>
                <w14:ligatures w14:val="none"/>
              </w:rPr>
              <w:t>Entry into force of Implementing Agreement and certificate of transfer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F"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0"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1"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12" w14:textId="77777777" w:rsidR="004E39F6" w:rsidRPr="00E60E42" w:rsidRDefault="00A35BEA" w:rsidP="002A5857">
            <w:pPr>
              <w:spacing w:after="20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3"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14" w14:textId="77777777" w:rsidR="004E39F6" w:rsidRPr="00E60E42" w:rsidRDefault="00A35BEA" w:rsidP="002A5857">
            <w:pPr>
              <w:jc w:val="both"/>
              <w:rPr>
                <w:rFonts w:ascii="Times New Roman" w:eastAsia="Times New Roman" w:hAnsi="Times New Roman" w:cs="Times New Roman"/>
                <w:noProof/>
                <w:color w:val="000000"/>
                <w:kern w:val="0"/>
                <w:sz w:val="18"/>
                <w:szCs w:val="18"/>
                <w14:ligatures w14:val="none"/>
              </w:rPr>
            </w:pPr>
            <w:r w:rsidRPr="00E60E42">
              <w:rPr>
                <w:rFonts w:ascii="Times New Roman" w:eastAsia="Calibri" w:hAnsi="Times New Roman" w:cs="Arial"/>
                <w:noProof/>
                <w:color w:val="000000"/>
                <w:kern w:val="0"/>
                <w:sz w:val="18"/>
                <w:szCs w:val="18"/>
                <w14:ligatures w14:val="none"/>
              </w:rPr>
              <w:t>Implementing Agreement shall enter into force, and Latvia shall transfer EUR 41 278 441 to ALTUM for the Facility.</w:t>
            </w:r>
          </w:p>
        </w:tc>
      </w:tr>
      <w:tr w:rsidR="0048758A" w:rsidRPr="00E60E42" w14:paraId="1E0EC921"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6"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109b</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17" w14:textId="77777777" w:rsidR="004E39F6" w:rsidRPr="00E60E42" w:rsidRDefault="00A35BEA" w:rsidP="002A5857">
            <w:pPr>
              <w:spacing w:after="200" w:line="240" w:lineRule="auto"/>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3.1.1.7.i. Loans to real estate developers for the construction of low-rent dwellings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18"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19" w14:textId="77777777" w:rsidR="004E39F6" w:rsidRPr="00E60E42" w:rsidRDefault="00A35BEA" w:rsidP="002A5857">
            <w:pP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Legal agreements signed with final beneficiaries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1A"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1B"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Percentage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C"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D"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1E"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F" w14:textId="77777777" w:rsidR="004E39F6" w:rsidRPr="00E60E42" w:rsidRDefault="00A35BEA" w:rsidP="002A5857">
            <w:pPr>
              <w:spacing w:after="20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20" w14:textId="77777777" w:rsidR="004E39F6" w:rsidRPr="00E60E42" w:rsidRDefault="00A35BEA" w:rsidP="002A5857">
            <w:pPr>
              <w:spacing w:after="200"/>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ALTUM shall have entered into legal financing agreements with final beneficiaries for an amount necessary to use 100% of the RRF investment into the Facility (taking into account management fees).</w:t>
            </w:r>
          </w:p>
        </w:tc>
      </w:tr>
      <w:tr w:rsidR="0048758A" w:rsidRPr="00E60E42" w14:paraId="1E0EC931"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2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2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3.1.2.r. Access to social and employment services in support of the minimum income reform</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24" w14:textId="36E5776A"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2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the strategic framework for further development of the minimum income support system</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2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strategic framework for further development of the minimum income support system has been approved by the Cabinet of Ministers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2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2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2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2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2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2C"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strategic framework for further development of the minimum income support system has been developed and approved by the Cabinet of Ministers, which shall include at least: </w:t>
            </w:r>
          </w:p>
          <w:p w14:paraId="1E0EC92D"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Plan for improvement of the minimum income support system for 2022-2024, with a view to strengthening the methodology for calculating the minimum income;</w:t>
            </w:r>
          </w:p>
          <w:p w14:paraId="1E0EC92E"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Social Protection and Labour Market Guidelines 2021-2027 to promote the social inclusion of the population, reduce income inequalities and poverty, develop accessible and tailored social services and promote a high level of employment in a quality work environment;</w:t>
            </w:r>
          </w:p>
          <w:p w14:paraId="1E0EC92F"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Social Services Development Plan 2021-2023, aimed at improving the provision of community-based services;</w:t>
            </w:r>
          </w:p>
          <w:p w14:paraId="1E0EC930"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 The Plan for the Promotion of Equal Opportunities for Persons with Disabilities 2021-2023, which aims to develop an integrated support system that meets the needs of persons with disabilities. </w:t>
            </w:r>
          </w:p>
        </w:tc>
      </w:tr>
      <w:tr w:rsidR="0048758A" w:rsidRPr="00E60E42" w14:paraId="1E0EC93F"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3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3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3.1.2.r. Access to social and employment services in support of the minimum income reform</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34" w14:textId="1C22E4B1"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3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legislative amendments to improve the minimum income support system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3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legislative amendments to improve the minimum income support system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3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3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3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3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3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3C"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legislative amendments to improve the minimum income support system, which shall include: </w:t>
            </w:r>
          </w:p>
          <w:p w14:paraId="1E0EC93D"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 a floor of the minimum income threshold of not less than 20% of the median income; </w:t>
            </w:r>
          </w:p>
          <w:p w14:paraId="1E0EC93E"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 the procedure for revising the minimum income thresholds, which is to take place on an annual basis (from 2023), on the basis of changes in the median income and ensuring that the minimum income thresholds are not changed in the event of a decrease in the median income. </w:t>
            </w:r>
          </w:p>
        </w:tc>
      </w:tr>
      <w:tr w:rsidR="0048758A" w:rsidRPr="00E60E42" w14:paraId="1E0EC94B"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41"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3.1.2.1.i. Measures to promote access to public services and employment for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2" w14:textId="01AC2336"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4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Selection of state and local government buildings where environmental adaptations shall be carried out</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4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a list of 63 selected buildings of public and local authorities in which investments to adapt the environment shall be made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4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4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4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4A" w14:textId="77777777" w:rsidR="004E39F6" w:rsidRPr="00E60E42" w:rsidRDefault="00A35BEA" w:rsidP="002A5857">
            <w:pPr>
              <w:spacing w:after="120" w:line="240" w:lineRule="auto"/>
              <w:jc w:val="both"/>
              <w:rPr>
                <w:rFonts w:ascii="Times New Roman" w:eastAsia="Times New Roman" w:hAnsi="Times New Roman" w:cs="Times New Roman"/>
                <w:noProof/>
                <w:color w:val="000000"/>
                <w:kern w:val="0"/>
                <w:sz w:val="18"/>
                <w:szCs w:val="18"/>
                <w14:ligatures w14:val="none"/>
              </w:rPr>
            </w:pPr>
            <w:r w:rsidRPr="00E60E42">
              <w:rPr>
                <w:rFonts w:ascii="Times New Roman" w:eastAsia="Calibri" w:hAnsi="Times New Roman" w:cs="Arial"/>
                <w:noProof/>
                <w:kern w:val="0"/>
                <w:sz w:val="18"/>
                <w:szCs w:val="18"/>
                <w14:ligatures w14:val="none"/>
              </w:rPr>
              <w:t xml:space="preserve">For the implementation of environmental accessibility measures, 63 state and local government buildings providing welfare sector public services or municipal social services shall be selected (these buildings shall be included in the regulations of the Cabinet of Ministers). </w:t>
            </w:r>
            <w:r w:rsidRPr="00E60E42">
              <w:rPr>
                <w:rFonts w:ascii="Times New Roman" w:eastAsia="Calibri" w:hAnsi="Times New Roman" w:cs="Arial"/>
                <w:noProof/>
                <w:color w:val="000000"/>
                <w:kern w:val="0"/>
                <w:sz w:val="18"/>
                <w:szCs w:val="18"/>
                <w14:ligatures w14:val="none"/>
              </w:rPr>
              <w:t xml:space="preserve">The investment shall include measures to implement a minimum accessibility standard: ensure access to the environment and information for persons with functional impairments and persons with disabilities. </w:t>
            </w:r>
          </w:p>
        </w:tc>
      </w:tr>
      <w:tr w:rsidR="0048758A" w:rsidRPr="00E60E42" w14:paraId="1E0EC957"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4D"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3.1.2.1.i. Measures to promote access to public services and employment for people with</w:t>
            </w:r>
            <w:r w:rsidRPr="00E60E42">
              <w:rPr>
                <w:rFonts w:ascii="Times New Roman" w:eastAsia="Calibri" w:hAnsi="Times New Roman" w:cs="Arial"/>
                <w:noProof/>
                <w:kern w:val="0"/>
                <w:sz w:val="18"/>
                <w:szCs w:val="18"/>
                <w14:ligatures w14:val="none"/>
              </w:rPr>
              <w:t xml:space="preserve"> </w:t>
            </w:r>
            <w:r w:rsidRPr="00E60E42">
              <w:rPr>
                <w:rFonts w:ascii="Times New Roman" w:eastAsia="Calibri" w:hAnsi="Times New Roman" w:cs="Arial"/>
                <w:b/>
                <w:noProof/>
                <w:kern w:val="0"/>
                <w:sz w:val="18"/>
                <w:szCs w:val="18"/>
                <w14:ligatures w14:val="none"/>
              </w:rPr>
              <w:t>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E" w14:textId="43CF77FA"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4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Adaptation of state</w:t>
            </w:r>
            <w:r w:rsidRPr="00E60E42" w:rsidDel="0098541A">
              <w:rPr>
                <w:rFonts w:ascii="Times New Roman" w:eastAsia="Calibri" w:hAnsi="Times New Roman" w:cs="Arial"/>
                <w:noProof/>
                <w:kern w:val="0"/>
                <w:sz w:val="18"/>
                <w:szCs w:val="18"/>
                <w14:ligatures w14:val="none"/>
              </w:rPr>
              <w:t xml:space="preserve"> and local government </w:t>
            </w:r>
            <w:r w:rsidRPr="00E60E42">
              <w:rPr>
                <w:rFonts w:ascii="Times New Roman" w:eastAsia="Calibri" w:hAnsi="Times New Roman" w:cs="Arial"/>
                <w:noProof/>
                <w:kern w:val="0"/>
                <w:sz w:val="18"/>
                <w:szCs w:val="18"/>
                <w14:ligatures w14:val="none"/>
              </w:rPr>
              <w:t xml:space="preserve">buildings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50" w14:textId="47CE4256"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buildings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63</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5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5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5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Adaptation of the accessibility of 63 state and local government buildings.</w:t>
            </w:r>
          </w:p>
        </w:tc>
      </w:tr>
      <w:tr w:rsidR="0048758A" w:rsidRPr="00E60E42" w14:paraId="1E0EC963"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5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59"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3.1.2.1.i. Measures to promote access to public services and employment for people with</w:t>
            </w:r>
            <w:r w:rsidRPr="00E60E42">
              <w:rPr>
                <w:rFonts w:ascii="Times New Roman" w:eastAsia="Calibri" w:hAnsi="Times New Roman" w:cs="Arial"/>
                <w:noProof/>
                <w:kern w:val="0"/>
                <w:sz w:val="18"/>
                <w:szCs w:val="18"/>
                <w14:ligatures w14:val="none"/>
              </w:rPr>
              <w:t xml:space="preserve"> </w:t>
            </w:r>
            <w:r w:rsidRPr="00E60E42">
              <w:rPr>
                <w:rFonts w:ascii="Times New Roman" w:eastAsia="Calibri" w:hAnsi="Times New Roman" w:cs="Arial"/>
                <w:b/>
                <w:noProof/>
                <w:kern w:val="0"/>
                <w:sz w:val="18"/>
                <w:szCs w:val="18"/>
                <w14:ligatures w14:val="none"/>
              </w:rPr>
              <w:t>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A" w14:textId="093A95DB"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5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Selection of target group to adapt their dwelling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5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Decisions by municipalities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6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62"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Decisions adopted by municipalities for</w:t>
            </w:r>
            <w:r w:rsidRPr="00E60E42" w:rsidDel="002B41A7">
              <w:rPr>
                <w:rFonts w:ascii="Times New Roman" w:eastAsia="Calibri" w:hAnsi="Times New Roman" w:cs="Arial"/>
                <w:noProof/>
                <w:kern w:val="0"/>
                <w:sz w:val="18"/>
                <w:szCs w:val="18"/>
                <w14:ligatures w14:val="none"/>
              </w:rPr>
              <w:t xml:space="preserve"> </w:t>
            </w:r>
            <w:r w:rsidRPr="00E60E42">
              <w:rPr>
                <w:rFonts w:ascii="Times New Roman" w:eastAsia="Calibri" w:hAnsi="Times New Roman" w:cs="Arial"/>
                <w:noProof/>
                <w:kern w:val="0"/>
                <w:sz w:val="18"/>
                <w:szCs w:val="18"/>
                <w14:ligatures w14:val="none"/>
              </w:rPr>
              <w:t xml:space="preserve">250 persons (adults with severe or very severe disabilities or children with disabilities) selected to adapt their dwelling. </w:t>
            </w:r>
          </w:p>
        </w:tc>
      </w:tr>
      <w:tr w:rsidR="0048758A" w:rsidRPr="00E60E42" w14:paraId="1E0EC96F"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65"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3.1.2.1.i. Measures to promote access to public services and employment for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66" w14:textId="2793A97C"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6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Adaptation of dwelling</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6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6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persons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6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6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228</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6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6E"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Adaptation of the accessibility of the dwellings of 228 persons. </w:t>
            </w:r>
          </w:p>
        </w:tc>
      </w:tr>
      <w:tr w:rsidR="0048758A" w:rsidRPr="00E60E42" w14:paraId="1E0EC984"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7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7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3.1.2.2.i. Development of a forecast tool</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72" w14:textId="66D9B2FE"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7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Conclusion of contract for the development of algorithms for the forecasting model, the development of technical specifications for information system and the supervision of system development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7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Development of technical specifications and conclusion of a contract for the consultancy service involving Latvian and foreign econometric and mathematical modelling experts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7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7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7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7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7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7A" w14:textId="77777777" w:rsidR="004E39F6" w:rsidRPr="00E60E42" w:rsidRDefault="00A35BEA" w:rsidP="002A5857">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Award of a contract following a competition to:</w:t>
            </w:r>
          </w:p>
          <w:p w14:paraId="01A2FAF6" w14:textId="77777777" w:rsidR="005C6C60" w:rsidRPr="00E60E42" w:rsidRDefault="00A35BEA" w:rsidP="002A5857">
            <w:pPr>
              <w:pStyle w:val="ListParagraph"/>
              <w:numPr>
                <w:ilvl w:val="0"/>
                <w:numId w:val="25"/>
              </w:numPr>
              <w:spacing w:after="120" w:line="240" w:lineRule="auto"/>
              <w:ind w:left="178" w:hanging="178"/>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develop an econometric model and a methodology for the long-term forecasting of social support, including pensions;</w:t>
            </w:r>
          </w:p>
          <w:p w14:paraId="0E6D970F" w14:textId="77777777" w:rsidR="005C6C60" w:rsidRPr="00E60E42" w:rsidRDefault="00A35BEA" w:rsidP="002A5857">
            <w:pPr>
              <w:pStyle w:val="ListParagraph"/>
              <w:numPr>
                <w:ilvl w:val="0"/>
                <w:numId w:val="25"/>
              </w:numPr>
              <w:spacing w:after="120" w:line="240" w:lineRule="auto"/>
              <w:ind w:left="178" w:hanging="178"/>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draw up technical specifications for the development of an information system;</w:t>
            </w:r>
          </w:p>
          <w:p w14:paraId="1E0EC97D" w14:textId="466AE8B1" w:rsidR="004E39F6" w:rsidRPr="00E60E42" w:rsidRDefault="00A35BEA" w:rsidP="002A5857">
            <w:pPr>
              <w:pStyle w:val="ListParagraph"/>
              <w:numPr>
                <w:ilvl w:val="0"/>
                <w:numId w:val="25"/>
              </w:numPr>
              <w:spacing w:after="120" w:line="240" w:lineRule="auto"/>
              <w:ind w:left="178" w:hanging="178"/>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monitor the development of the system.</w:t>
            </w:r>
          </w:p>
          <w:p w14:paraId="54407ED0" w14:textId="77777777" w:rsidR="005C6C60"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contract concluded shall include a timetable for the following deliverables:</w:t>
            </w:r>
          </w:p>
          <w:p w14:paraId="7E697C4A" w14:textId="77777777" w:rsidR="005C6C60" w:rsidRPr="00E60E42" w:rsidRDefault="00A35BEA" w:rsidP="002A5857">
            <w:pPr>
              <w:pStyle w:val="ListParagraph"/>
              <w:numPr>
                <w:ilvl w:val="0"/>
                <w:numId w:val="26"/>
              </w:numPr>
              <w:spacing w:after="120" w:line="240" w:lineRule="auto"/>
              <w:ind w:left="176" w:hanging="176"/>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an evaluation report on the current situation;</w:t>
            </w:r>
          </w:p>
          <w:p w14:paraId="45BD586E" w14:textId="77777777" w:rsidR="005C6C60" w:rsidRPr="00E60E42" w:rsidRDefault="00A35BEA" w:rsidP="002A5857">
            <w:pPr>
              <w:pStyle w:val="ListParagraph"/>
              <w:numPr>
                <w:ilvl w:val="0"/>
                <w:numId w:val="26"/>
              </w:numPr>
              <w:spacing w:after="120" w:line="240" w:lineRule="auto"/>
              <w:ind w:left="176" w:hanging="176"/>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mathematical model for pension forecasting;</w:t>
            </w:r>
          </w:p>
          <w:p w14:paraId="2219DA39" w14:textId="77777777" w:rsidR="005C6C60" w:rsidRPr="00E60E42" w:rsidRDefault="00A35BEA" w:rsidP="002A5857">
            <w:pPr>
              <w:pStyle w:val="ListParagraph"/>
              <w:numPr>
                <w:ilvl w:val="0"/>
                <w:numId w:val="26"/>
              </w:numPr>
              <w:spacing w:after="120" w:line="240" w:lineRule="auto"/>
              <w:ind w:left="176" w:hanging="176"/>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evaluation of the current forecasting tool and its potential;</w:t>
            </w:r>
          </w:p>
          <w:p w14:paraId="7E369C6A" w14:textId="77777777" w:rsidR="005C6C60" w:rsidRPr="00E60E42" w:rsidRDefault="00A35BEA" w:rsidP="002A5857">
            <w:pPr>
              <w:pStyle w:val="ListParagraph"/>
              <w:numPr>
                <w:ilvl w:val="0"/>
                <w:numId w:val="26"/>
              </w:numPr>
              <w:spacing w:after="120" w:line="240" w:lineRule="auto"/>
              <w:ind w:left="176" w:hanging="176"/>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technical specifications for the development of an information system;</w:t>
            </w:r>
          </w:p>
          <w:p w14:paraId="1E0EC983" w14:textId="3FC4DBF2" w:rsidR="004E39F6" w:rsidRPr="00E60E42" w:rsidRDefault="00A35BEA" w:rsidP="002A5857">
            <w:pPr>
              <w:pStyle w:val="ListParagraph"/>
              <w:numPr>
                <w:ilvl w:val="0"/>
                <w:numId w:val="26"/>
              </w:numPr>
              <w:spacing w:after="120" w:line="240" w:lineRule="auto"/>
              <w:ind w:left="176" w:hanging="176"/>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monitoring of the information system development throughout the project.</w:t>
            </w:r>
          </w:p>
        </w:tc>
      </w:tr>
      <w:tr w:rsidR="0048758A" w:rsidRPr="00E60E42" w14:paraId="1E0EC992"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8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119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8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3.1.2.2.i. Development of a forecast tool</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87" w14:textId="48B495E9"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8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Completion of technical specifications for social security forecasting tool information system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8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Technical specifications approved by the Ministry of Welfare and ready for submission to the information system developer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8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8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8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8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8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654EDA0F" w14:textId="77777777" w:rsidR="005C6C60"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Completion of technical specifications for a new social security forecasting tool information system. The technical specifications shall include:</w:t>
            </w:r>
          </w:p>
          <w:p w14:paraId="745FC5D0" w14:textId="77777777" w:rsidR="005C6C60" w:rsidRPr="00E60E42" w:rsidRDefault="005C6C60"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 </w:t>
            </w:r>
            <w:r w:rsidR="00A35BEA" w:rsidRPr="00E60E42">
              <w:rPr>
                <w:rFonts w:ascii="Times New Roman" w:eastAsia="Calibri" w:hAnsi="Times New Roman" w:cs="Arial"/>
                <w:noProof/>
                <w:kern w:val="0"/>
                <w:sz w:val="18"/>
                <w:szCs w:val="18"/>
                <w14:ligatures w14:val="none"/>
              </w:rPr>
              <w:t>an evaluation report on the current forecasting tool and its options and recommendations for the development of the new forecasting tool;</w:t>
            </w:r>
          </w:p>
          <w:p w14:paraId="1E0EC991" w14:textId="15C1F95C" w:rsidR="004E39F6" w:rsidRPr="00E60E42" w:rsidRDefault="005C6C60"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 </w:t>
            </w:r>
            <w:r w:rsidR="00A35BEA" w:rsidRPr="00E60E42">
              <w:rPr>
                <w:rFonts w:ascii="Times New Roman" w:eastAsia="Calibri" w:hAnsi="Times New Roman" w:cs="Arial"/>
                <w:noProof/>
                <w:kern w:val="0"/>
                <w:sz w:val="18"/>
                <w:szCs w:val="18"/>
                <w14:ligatures w14:val="none"/>
              </w:rPr>
              <w:t>technical specifications for the development of system (the technical specification shall also include a requirement for the application of the Agile methodology during the system development phases).</w:t>
            </w:r>
          </w:p>
        </w:tc>
      </w:tr>
      <w:tr w:rsidR="0048758A" w:rsidRPr="00E60E42" w14:paraId="1E0EC99E"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9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3.1.2.2.i. Development of a forecast tool</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95" w14:textId="52E7EB1A"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9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Development of a forecasting tool</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9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Information system for long-term forecasting of the social security system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9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9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9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9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9D"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handover act between the Ministry of Welfare and the software developer shall be signed for an information system for long-term forecasting of the social security system.</w:t>
            </w:r>
          </w:p>
        </w:tc>
      </w:tr>
      <w:tr w:rsidR="0048758A" w:rsidRPr="00E60E42" w14:paraId="1E0EC9AD"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A0"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3.1.2.3.i. Resilience and continuity of the long-term social care service</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A1" w14:textId="26332E05"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A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Development of standard construction design</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A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Requirements of the design task and standard construction design developed for the provision of long-term care services close to family environment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A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A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A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A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A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A9"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standard construction design for the construction of buildings necessary for the provision of long-term care services close to the family environment has been adopted by the Ministry of Welfare.</w:t>
            </w:r>
          </w:p>
          <w:p w14:paraId="1E0EC9AA"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construction design shall be intended for the construction of highly energy-efficient buildings (nearly zero-energy buildings).</w:t>
            </w:r>
          </w:p>
          <w:p w14:paraId="1E0EC9AB"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Municipalities shall be in possession of a standard construction project already ready, thus reducing project costs.</w:t>
            </w:r>
          </w:p>
          <w:p w14:paraId="1E0EC9AC"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Simpler project implementation for municipalities shall reduce risks for delays in project implementation</w:t>
            </w:r>
            <w:r w:rsidRPr="00E60E42">
              <w:rPr>
                <w:rFonts w:ascii="Times New Roman" w:eastAsia="Calibri" w:hAnsi="Times New Roman" w:cs="Arial"/>
                <w:noProof/>
                <w:color w:val="2B579A"/>
                <w:kern w:val="0"/>
                <w:sz w:val="18"/>
                <w:szCs w:val="18"/>
                <w14:ligatures w14:val="none"/>
              </w:rPr>
              <w:t>.</w:t>
            </w:r>
          </w:p>
        </w:tc>
      </w:tr>
      <w:tr w:rsidR="0048758A" w:rsidRPr="00E60E42" w14:paraId="1E0EC9B9"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A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A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3.1.2.3.i. Resilience and continuity of the long-term social care service</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0" w14:textId="14794D09"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B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Conclusion of contracts on the implementation of projects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B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contracts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B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B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B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B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B8"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Central Finance and Contracting Agency has concluded at least 6 contracts on the establishment of new places for the provision of long-term care services close to the family environment.</w:t>
            </w:r>
          </w:p>
        </w:tc>
      </w:tr>
      <w:tr w:rsidR="0048758A" w:rsidRPr="00E60E42" w14:paraId="1E0EC9C5"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B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BB" w14:textId="77777777" w:rsidR="004E39F6" w:rsidRPr="00E60E42" w:rsidRDefault="00A35BEA" w:rsidP="002A5857">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3.1.2.3.i. Resilience and continuity of the long-term social care service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B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Provision of places for long-term care services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B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places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312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C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C4"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readiness for the construction of buildings to provide 312 long-term care service places.</w:t>
            </w:r>
          </w:p>
        </w:tc>
      </w:tr>
      <w:tr w:rsidR="0048758A" w:rsidRPr="00E60E42" w14:paraId="1E0EC9D1"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C7"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3.1.2.4.i. Synergistic development of social and vocational rehabilitation services for the promotion of the resilience of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C8" w14:textId="0C8D163C"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C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Description of the vocational rehabilitation service adopted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CA"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a description of the vocational rehabilitation services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C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C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D0"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Advisory Council of the State Agency for Social Integration has adopted and the Agency for Social Integration has approved the description of a vocational rehabilitation service that promotes the maintenance, renewal and acquisition of new education or skills for re-employment as soon as possible, promoting the safety of customers.</w:t>
            </w:r>
          </w:p>
        </w:tc>
      </w:tr>
      <w:tr w:rsidR="0048758A" w:rsidRPr="00E60E42" w14:paraId="1E0EC9DD"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D3"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3.1.2.4.i. Synergistic development of social and vocational rehabilitation services for the promotion of the resilience of people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D4" w14:textId="1B9AA59C"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D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Adaptation of buildings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D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Adaptation of buildings at two addresses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D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D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D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D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DC" w14:textId="77777777" w:rsidR="004E39F6" w:rsidRPr="00E60E42" w:rsidRDefault="00A35BEA" w:rsidP="002A5857">
            <w:pPr>
              <w:spacing w:after="12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Adaptation of buildings at two addresses, including accessibility and energy efficiency; and delivery of the equipment.</w:t>
            </w:r>
          </w:p>
        </w:tc>
      </w:tr>
      <w:tr w:rsidR="0048758A" w:rsidRPr="00E60E42" w14:paraId="1E0EC9E9"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DF" w14:textId="77777777" w:rsidR="004E39F6" w:rsidRPr="00E60E42" w:rsidRDefault="00A35BEA" w:rsidP="002A5857">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3.1.2.5.i. Participation in the labour market of unemployed, jobseekers and people at risk of unemployment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0" w14:textId="16D012CA"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E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retraining and up-skilling offer, with a focus on digital skills, has been established to clients (unemployed, jobseekers, persons at risk of unemployment) of the State Employment Agency for the job-rich recovery of the economy by implementing active labour market policy measures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E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a new retraining and upskilling offer (including digital skills) for the State Employment Agency clients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E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E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E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E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E8"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An offer of retraining and up-skilling programmes to clients of the Latvian Employment Service (unemployed, jobseekers, persons at risk of unemployment) has been adopted at the meeting of the Latvian Training Commission in accordance with the measures of active labour market policy for the recovery of the job-friendly economy. </w:t>
            </w:r>
          </w:p>
        </w:tc>
      </w:tr>
      <w:tr w:rsidR="0048758A" w:rsidRPr="00E60E42" w14:paraId="1E0EC9F6"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E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128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EB" w14:textId="77777777" w:rsidR="004E39F6" w:rsidRPr="00E60E42" w:rsidRDefault="00A35BEA" w:rsidP="002A5857">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3.1.2.5.i. Participation in the labour market of unemployed, jobseekers and people at risk of unemployment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C" w14:textId="476D7CF0"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ED" w14:textId="77777777" w:rsidR="004E39F6" w:rsidRPr="00E60E42" w:rsidRDefault="00A35BEA" w:rsidP="002A5857">
            <w:pPr>
              <w:spacing w:after="120" w:line="240" w:lineRule="auto"/>
              <w:rPr>
                <w:rFonts w:ascii="Times New Roman" w:eastAsia="Calibri" w:hAnsi="Times New Roman" w:cs="Times New Roman"/>
                <w:noProof/>
                <w:kern w:val="0"/>
                <w:sz w:val="18"/>
                <w:szCs w:val="18"/>
                <w:highlight w:val="green"/>
                <w14:ligatures w14:val="none"/>
              </w:rPr>
            </w:pPr>
            <w:r w:rsidRPr="00E60E42">
              <w:rPr>
                <w:rFonts w:ascii="Times New Roman" w:eastAsia="Calibri" w:hAnsi="Times New Roman" w:cs="Arial"/>
                <w:noProof/>
                <w:kern w:val="0"/>
                <w:sz w:val="18"/>
                <w:szCs w:val="18"/>
                <w14:ligatures w14:val="none"/>
              </w:rPr>
              <w:t>Development of a digital tool for skills assessment</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EE"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Digital tool developed and implemented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F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F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F4"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State Employment Agency has developed and implemented a digital assessment tool for an improved skills profiling system, which shall ensure the assessment of the skills and competences of the agency clients, to complete an appropriate offer of retraining and acquisition of skills, depending on the individual’s level of knowledge and skills. </w:t>
            </w:r>
          </w:p>
          <w:p w14:paraId="1E0EC9F5"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client profiling method currently used by the agency shall be supplemented by a digital skills assessment tool (tests) and the results of the tests shall be used in the client career advice process and in the preparation of the individual training offer. </w:t>
            </w:r>
          </w:p>
        </w:tc>
      </w:tr>
      <w:tr w:rsidR="0048758A" w:rsidRPr="00E60E42" w14:paraId="1E0ECA02"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F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F8" w14:textId="77777777" w:rsidR="004E39F6" w:rsidRPr="00E60E42" w:rsidRDefault="00A35BEA" w:rsidP="002A5857">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3.1.2.5.i. Participation in the labour market of unemployed, jobseekers and people at risk of unemployment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F9" w14:textId="4E5EEDCF"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FA"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Persons participating in training</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F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F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persons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D" w14:textId="77777777" w:rsidR="004E39F6" w:rsidRPr="00E60E42" w:rsidRDefault="00A35BEA" w:rsidP="002A5857">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20 450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F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A01" w14:textId="77777777" w:rsidR="004E39F6" w:rsidRPr="00E60E42" w:rsidRDefault="00A35BEA" w:rsidP="002A5857">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20 450 persons have participated in training.</w:t>
            </w:r>
          </w:p>
        </w:tc>
      </w:tr>
      <w:tr w:rsidR="0048758A" w:rsidRPr="00E60E42" w14:paraId="1E0ECA0E" w14:textId="77777777" w:rsidTr="005C6C60">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130a</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A04" w14:textId="77777777" w:rsidR="004E39F6" w:rsidRPr="00E60E42" w:rsidRDefault="00A35BEA" w:rsidP="002A5857">
            <w:pPr>
              <w:spacing w:after="120" w:line="240" w:lineRule="auto"/>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3.1.2.6.i. Facilitating the availability of technical aids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A0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A0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EUR 7.6 million paid to NRC “Vaivari” to facilitate the availability of technical aids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A0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A0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EUR, million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A0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A0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7.6</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A0B" w14:textId="77777777" w:rsidR="004E39F6" w:rsidRPr="00E60E42" w:rsidRDefault="00A35BEA" w:rsidP="002A5857">
            <w:pPr>
              <w:spacing w:after="120" w:line="240" w:lineRule="auto"/>
              <w:jc w:val="center"/>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A0D"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 letter from the Central Finance and Contracting Agency informing of payments made to the recipient(s) and a report from the Cohesion Policy Fund Management Information System confirming the amount paid by the Central Finance and Contracting Agency.</w:t>
            </w:r>
          </w:p>
        </w:tc>
      </w:tr>
    </w:tbl>
    <w:p w14:paraId="1E0ECA0F"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sectPr w:rsidR="004E39F6" w:rsidRPr="00E60E42" w:rsidSect="0048758A">
          <w:headerReference w:type="even" r:id="rId47"/>
          <w:headerReference w:type="default" r:id="rId48"/>
          <w:footerReference w:type="even" r:id="rId49"/>
          <w:footerReference w:type="default" r:id="rId50"/>
          <w:headerReference w:type="first" r:id="rId51"/>
          <w:footerReference w:type="first" r:id="rId52"/>
          <w:pgSz w:w="16838" w:h="11906" w:orient="landscape"/>
          <w:pgMar w:top="1134" w:right="1134" w:bottom="1134" w:left="1134" w:header="567" w:footer="567" w:gutter="0"/>
          <w:cols w:space="708"/>
          <w:docGrid w:linePitch="360"/>
        </w:sectPr>
      </w:pPr>
    </w:p>
    <w:p w14:paraId="1E0ECA10" w14:textId="77777777" w:rsidR="004E39F6" w:rsidRPr="00E60E42" w:rsidRDefault="00A35BEA" w:rsidP="0029439F">
      <w:pPr>
        <w:keepNext/>
        <w:spacing w:before="240" w:after="240" w:line="240" w:lineRule="auto"/>
        <w:outlineLvl w:val="0"/>
        <w:rPr>
          <w:rFonts w:ascii="Times New Roman" w:eastAsia="MS Gothic" w:hAnsi="Times New Roman" w:cs="Times New Roman"/>
          <w:b/>
          <w:smallCaps/>
          <w:noProof/>
          <w:kern w:val="0"/>
          <w:szCs w:val="28"/>
          <w14:ligatures w14:val="none"/>
        </w:rPr>
      </w:pPr>
      <w:r w:rsidRPr="00E60E42">
        <w:rPr>
          <w:rFonts w:ascii="Times New Roman" w:eastAsia="Calibri" w:hAnsi="Times New Roman" w:cs="Arial"/>
          <w:b/>
          <w:smallCaps/>
          <w:noProof/>
          <w:kern w:val="0"/>
          <w:szCs w:val="22"/>
          <w14:ligatures w14:val="none"/>
        </w:rPr>
        <w:t xml:space="preserve">D. COMPONENT 4: HEALTH </w:t>
      </w:r>
    </w:p>
    <w:p w14:paraId="1E0ECA11" w14:textId="77777777" w:rsidR="004E39F6" w:rsidRPr="00E60E42" w:rsidRDefault="00A35BEA" w:rsidP="0029439F">
      <w:pPr>
        <w:spacing w:before="120" w:after="120" w:line="240" w:lineRule="auto"/>
        <w:jc w:val="both"/>
        <w:rPr>
          <w:rFonts w:ascii="Times New Roman" w:eastAsia="Times New Roman"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This component of the Latvian recovery and resilience plan contributes to addressing the challenges related to the resilience, accessibility, quality and cost-effectiveness of the health system and its human resources. Timely and equal access to healthcare is limited, especially for vulnerable groups. Latvia reports high unmet needs for healthcare and significant out-of-pocket payments. Unhealthy lifestyles are another important reason for the poor health outcomes. The shortage of health workers hinders the provision of public health care and threatens the success of health care reforms. These challenges have been exacerbated in particular by the crisis caused by the COVID-19 pandemic.</w:t>
      </w:r>
    </w:p>
    <w:p w14:paraId="1E0ECA12" w14:textId="77777777" w:rsidR="004E39F6" w:rsidRPr="00E60E42" w:rsidRDefault="00A35BEA" w:rsidP="0029439F">
      <w:pPr>
        <w:spacing w:after="120" w:line="240" w:lineRule="auto"/>
        <w:jc w:val="both"/>
        <w:rPr>
          <w:rFonts w:ascii="Times New Roman" w:eastAsia="Calibri" w:hAnsi="Times New Roman" w:cs="Times New Roman"/>
          <w:iCs/>
          <w:noProof/>
          <w:kern w:val="0"/>
          <w:szCs w:val="22"/>
          <w14:ligatures w14:val="none"/>
        </w:rPr>
      </w:pPr>
      <w:r w:rsidRPr="00E60E42">
        <w:rPr>
          <w:rFonts w:ascii="Times New Roman" w:eastAsia="Calibri" w:hAnsi="Times New Roman" w:cs="Arial"/>
          <w:noProof/>
          <w:kern w:val="0"/>
          <w:szCs w:val="22"/>
          <w14:ligatures w14:val="none"/>
        </w:rPr>
        <w:t>The objectives of the component are to improve the resilience and accessibility of health care by (i) developing a framework and necessary infrastructure for the provision of integrated health services, ensuring the capacity of health institutions to adapt to crisis situations, (ii) developing improved service delivery models and (iii) improving the provision of human resources and the professional development system for health professionals.</w:t>
      </w:r>
    </w:p>
    <w:p w14:paraId="1E0ECA13" w14:textId="77777777" w:rsidR="004E39F6" w:rsidRPr="00E60E42" w:rsidRDefault="00A35BEA" w:rsidP="0029439F">
      <w:pPr>
        <w:spacing w:after="120" w:line="240" w:lineRule="auto"/>
        <w:jc w:val="both"/>
        <w:rPr>
          <w:rFonts w:ascii="Times New Roman" w:eastAsia="Calibri" w:hAnsi="Times New Roman" w:cs="Times New Roman"/>
          <w:iCs/>
          <w:noProof/>
          <w:kern w:val="0"/>
          <w14:ligatures w14:val="none"/>
        </w:rPr>
      </w:pPr>
      <w:r w:rsidRPr="00E60E42">
        <w:rPr>
          <w:rFonts w:ascii="Times New Roman" w:eastAsia="Calibri" w:hAnsi="Times New Roman" w:cs="Arial"/>
          <w:noProof/>
          <w:kern w:val="0"/>
          <w:szCs w:val="22"/>
          <w14:ligatures w14:val="none"/>
        </w:rPr>
        <w:t xml:space="preserve">The component supports addressing the Country Specific Recommendations to strengthen the resilience and accessibility of the health system including by providing additional human and financial resources (Country Specific Recommendation 1, 2020) and to increase the accessibility, quality and cost-effectiveness of the healthcare system (Country Specific Recommendation 2, 2019). </w:t>
      </w:r>
    </w:p>
    <w:p w14:paraId="1E0ECA14" w14:textId="77777777" w:rsidR="004E39F6" w:rsidRPr="00E60E42" w:rsidRDefault="00A35BEA" w:rsidP="0029439F">
      <w:pPr>
        <w:spacing w:after="0" w:line="240" w:lineRule="auto"/>
        <w:jc w:val="both"/>
        <w:rPr>
          <w:rFonts w:ascii="Times New Roman" w:eastAsia="Calibri" w:hAnsi="Times New Roman" w:cs="Arial"/>
          <w:noProof/>
          <w:kern w:val="0"/>
          <w:szCs w:val="22"/>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E0B3424" w14:textId="77777777" w:rsidR="0029439F" w:rsidRPr="00E60E42" w:rsidRDefault="0029439F" w:rsidP="0029439F">
      <w:pPr>
        <w:spacing w:after="0" w:line="240" w:lineRule="auto"/>
        <w:jc w:val="both"/>
        <w:rPr>
          <w:rFonts w:ascii="Times New Roman" w:eastAsia="Times New Roman" w:hAnsi="Times New Roman" w:cs="Times New Roman"/>
          <w:noProof/>
          <w:kern w:val="0"/>
          <w14:ligatures w14:val="none"/>
        </w:rPr>
      </w:pPr>
    </w:p>
    <w:p w14:paraId="1E0ECA15" w14:textId="77777777" w:rsidR="004E39F6" w:rsidRPr="00E60E42" w:rsidRDefault="00A35BEA" w:rsidP="00E1758D">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E60E42">
        <w:rPr>
          <w:rFonts w:ascii="Times New Roman" w:eastAsia="Calibri" w:hAnsi="Times New Roman" w:cs="Arial"/>
          <w:b/>
          <w:noProof/>
          <w:kern w:val="0"/>
          <w:szCs w:val="22"/>
          <w:u w:val="single"/>
          <w14:ligatures w14:val="none"/>
        </w:rPr>
        <w:t>D.1. Description of the reforms and investments for non-repayable financial support</w:t>
      </w:r>
    </w:p>
    <w:p w14:paraId="1E0ECA16" w14:textId="77777777" w:rsidR="004E39F6" w:rsidRPr="00E60E42" w:rsidRDefault="00A35BEA" w:rsidP="00951342">
      <w:pPr>
        <w:keepNext/>
        <w:keepLines/>
        <w:spacing w:after="120" w:line="240" w:lineRule="auto"/>
        <w:jc w:val="both"/>
        <w:rPr>
          <w:rFonts w:ascii="Times New Roman" w:eastAsia="Times New Roman" w:hAnsi="Times New Roman" w:cs="Times New Roman"/>
          <w:bCs/>
          <w:noProof/>
          <w:kern w:val="0"/>
          <w:szCs w:val="22"/>
          <w:u w:val="single"/>
          <w14:ligatures w14:val="none"/>
        </w:rPr>
      </w:pPr>
      <w:r w:rsidRPr="00E60E42">
        <w:rPr>
          <w:rFonts w:ascii="Times New Roman" w:eastAsia="Calibri" w:hAnsi="Times New Roman" w:cs="Arial"/>
          <w:noProof/>
          <w:kern w:val="0"/>
          <w:szCs w:val="22"/>
          <w:u w:val="single"/>
          <w14:ligatures w14:val="none"/>
        </w:rPr>
        <w:t xml:space="preserve">Reform: 4.1.1.r. Sustainability and resilience of a human-centred, comprehensive, integrated healthcare system </w:t>
      </w:r>
    </w:p>
    <w:p w14:paraId="1E0ECA17" w14:textId="77777777" w:rsidR="004E39F6" w:rsidRPr="00E60E42" w:rsidRDefault="00A35BEA" w:rsidP="00951342">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move towards a human-centred, comprehensive, and integrated healthcare system, and ensure its sustainability and resilience. </w:t>
      </w:r>
    </w:p>
    <w:p w14:paraId="1E0ECA18"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adoption of a digital health strategy, the development of an integrated healthcare delivery model, the establishment of a genome reference, and the introduction of new methodological management in oncology.</w:t>
      </w:r>
    </w:p>
    <w:p w14:paraId="1E0ECA19" w14:textId="77777777" w:rsidR="004E39F6" w:rsidRPr="00E60E42" w:rsidRDefault="00A35BEA" w:rsidP="00951342">
      <w:pPr>
        <w:keepNext/>
        <w:keepLines/>
        <w:spacing w:after="120" w:line="240" w:lineRule="auto"/>
        <w:jc w:val="both"/>
        <w:rPr>
          <w:rFonts w:ascii="Times New Roman" w:eastAsia="Calibri" w:hAnsi="Times New Roman" w:cs="Times New Roman"/>
          <w:iCs/>
          <w:noProof/>
          <w:kern w:val="0"/>
          <w:u w:val="single"/>
          <w14:ligatures w14:val="none"/>
        </w:rPr>
      </w:pPr>
      <w:r w:rsidRPr="00E60E42">
        <w:rPr>
          <w:rFonts w:ascii="Times New Roman" w:eastAsia="Calibri" w:hAnsi="Times New Roman" w:cs="Arial"/>
          <w:noProof/>
          <w:kern w:val="0"/>
          <w:szCs w:val="22"/>
          <w:u w:val="single"/>
          <w14:ligatures w14:val="none"/>
        </w:rPr>
        <w:t>Investment: 4.1.1.1.i. Support for public health research</w:t>
      </w:r>
    </w:p>
    <w:p w14:paraId="1E0ECA1A" w14:textId="77777777" w:rsidR="004E39F6" w:rsidRPr="00E60E42" w:rsidRDefault="00A35BEA" w:rsidP="00951342">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objective of the measure is to revise public health policies.</w:t>
      </w:r>
    </w:p>
    <w:p w14:paraId="1E0ECA1B" w14:textId="77777777" w:rsidR="004E39F6" w:rsidRPr="00E60E42" w:rsidRDefault="00A35BEA" w:rsidP="00951342">
      <w:pPr>
        <w:spacing w:after="120" w:line="240" w:lineRule="auto"/>
        <w:jc w:val="both"/>
        <w:rPr>
          <w:rFonts w:ascii="Times New Roman" w:eastAsia="Calibri" w:hAnsi="Times New Roman" w:cs="Arial"/>
          <w:noProof/>
          <w:kern w:val="0"/>
          <w:highlight w:val="cyan"/>
          <w14:ligatures w14:val="none"/>
        </w:rPr>
      </w:pPr>
      <w:r w:rsidRPr="00E60E42">
        <w:rPr>
          <w:rFonts w:ascii="Times New Roman" w:eastAsia="Calibri" w:hAnsi="Times New Roman" w:cs="Arial"/>
          <w:noProof/>
          <w:kern w:val="0"/>
          <w14:ligatures w14:val="none"/>
        </w:rPr>
        <w:t>The measure consists of the entry into force of legal act(s) and the publication of recommendations related to public health policies, as well as the publication of studies on anti-microbial resistance, on reasons for non-vaccination and on infectious diseases.</w:t>
      </w:r>
    </w:p>
    <w:p w14:paraId="1E0ECA1C" w14:textId="77777777" w:rsidR="004E39F6" w:rsidRPr="00E60E42" w:rsidRDefault="00A35BEA" w:rsidP="00951342">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 xml:space="preserve">Investment: 4.1.1.2.i. Support for infrastructure or equipment of hospitals </w:t>
      </w:r>
    </w:p>
    <w:p w14:paraId="1E0ECA1D" w14:textId="77777777" w:rsidR="004E39F6" w:rsidRPr="00E60E42" w:rsidRDefault="00A35BEA" w:rsidP="00951342">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objective of the measure is to increase the resilience of the health sector and the availability of services. </w:t>
      </w:r>
    </w:p>
    <w:p w14:paraId="1E0ECA1E" w14:textId="77777777" w:rsidR="004E39F6" w:rsidRPr="00E60E42" w:rsidRDefault="00A35BEA" w:rsidP="00951342">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measure consists of investments in </w:t>
      </w:r>
      <w:r w:rsidRPr="00E60E42" w:rsidDel="003A4030">
        <w:rPr>
          <w:rFonts w:ascii="Times New Roman" w:eastAsia="Calibri" w:hAnsi="Times New Roman" w:cs="Arial"/>
          <w:noProof/>
          <w:kern w:val="0"/>
          <w14:ligatures w14:val="none"/>
        </w:rPr>
        <w:t>hospital</w:t>
      </w:r>
      <w:r w:rsidRPr="00E60E42">
        <w:rPr>
          <w:rFonts w:ascii="Times New Roman" w:eastAsia="Calibri" w:hAnsi="Times New Roman" w:cs="Arial"/>
          <w:noProof/>
          <w:kern w:val="0"/>
          <w14:ligatures w14:val="none"/>
        </w:rPr>
        <w:t xml:space="preserve"> infrastructure </w:t>
      </w:r>
      <w:r w:rsidRPr="00E60E42" w:rsidDel="00AF5CF6">
        <w:rPr>
          <w:rFonts w:ascii="Times New Roman" w:eastAsia="Calibri" w:hAnsi="Times New Roman" w:cs="Arial"/>
          <w:noProof/>
          <w:kern w:val="0"/>
          <w14:ligatures w14:val="none"/>
        </w:rPr>
        <w:t xml:space="preserve">or </w:t>
      </w:r>
      <w:r w:rsidRPr="00E60E42">
        <w:rPr>
          <w:rFonts w:ascii="Times New Roman" w:eastAsia="Calibri" w:hAnsi="Times New Roman" w:cs="Arial"/>
          <w:noProof/>
          <w:kern w:val="0"/>
          <w14:ligatures w14:val="none"/>
        </w:rPr>
        <w:t>equipment.</w:t>
      </w:r>
    </w:p>
    <w:p w14:paraId="1E0ECA1F"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RRF shall support part of the costs of the investment in hospitals, which may also receive support from other Union programmes or instruments for costs that are not supported by the RRF. </w:t>
      </w:r>
    </w:p>
    <w:p w14:paraId="1E0ECA20" w14:textId="77777777" w:rsidR="004E39F6" w:rsidRPr="00E60E42" w:rsidRDefault="00A35BEA" w:rsidP="00951342">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 xml:space="preserve">Investment: 4.1.1.3.i. Support for infrastructure or equipment of secondary outpatient healthcare service providers </w:t>
      </w:r>
    </w:p>
    <w:p w14:paraId="1E0ECA21" w14:textId="77777777" w:rsidR="004E39F6" w:rsidRPr="00E60E42" w:rsidRDefault="00A35BEA" w:rsidP="00951342">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reinforce the infrastructure or equipment of secondary outpatient service providers. </w:t>
      </w:r>
    </w:p>
    <w:p w14:paraId="1E0ECA22" w14:textId="77777777" w:rsidR="004E39F6" w:rsidRPr="00E60E42" w:rsidRDefault="00A35BEA" w:rsidP="00E1758D">
      <w:pPr>
        <w:spacing w:after="240" w:line="240" w:lineRule="auto"/>
        <w:jc w:val="both"/>
        <w:rPr>
          <w:rFonts w:ascii="Times New Roman" w:eastAsia="Calibri" w:hAnsi="Times New Roman" w:cs="Times New Roman"/>
          <w:b/>
          <w:bCs/>
          <w:noProof/>
          <w:kern w:val="0"/>
          <w14:ligatures w14:val="none"/>
        </w:rPr>
      </w:pPr>
      <w:r w:rsidRPr="00E60E42">
        <w:rPr>
          <w:rFonts w:ascii="Times New Roman" w:eastAsia="Calibri" w:hAnsi="Times New Roman" w:cs="Arial"/>
          <w:noProof/>
          <w:kern w:val="0"/>
          <w14:ligatures w14:val="none"/>
        </w:rPr>
        <w:t xml:space="preserve">The measure consists of investments in infrastructure or equipment for secondary outpatient healthcare service providers. </w:t>
      </w:r>
    </w:p>
    <w:p w14:paraId="1E0ECA23" w14:textId="77777777" w:rsidR="004E39F6" w:rsidRPr="00E60E42" w:rsidRDefault="00A35BEA" w:rsidP="00951342">
      <w:pPr>
        <w:keepNext/>
        <w:keepLines/>
        <w:spacing w:after="120" w:line="240" w:lineRule="auto"/>
        <w:jc w:val="both"/>
        <w:rPr>
          <w:rFonts w:ascii="Times New Roman" w:eastAsia="Calibri" w:hAnsi="Times New Roman" w:cs="Times New Roman"/>
          <w:iCs/>
          <w:noProof/>
          <w:kern w:val="0"/>
          <w:u w:val="single"/>
          <w14:ligatures w14:val="none"/>
        </w:rPr>
      </w:pPr>
      <w:r w:rsidRPr="00E60E42">
        <w:rPr>
          <w:rFonts w:ascii="Times New Roman" w:eastAsia="Calibri" w:hAnsi="Times New Roman" w:cs="Arial"/>
          <w:noProof/>
          <w:kern w:val="0"/>
          <w:szCs w:val="22"/>
          <w:u w:val="single"/>
          <w14:ligatures w14:val="none"/>
        </w:rPr>
        <w:t>Reform: 4.2.1.r. Provision of human resources and upskilling</w:t>
      </w:r>
    </w:p>
    <w:p w14:paraId="1E0ECA24" w14:textId="77777777" w:rsidR="004E39F6" w:rsidRPr="00E60E42" w:rsidRDefault="00A35BEA" w:rsidP="00951342">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revise the human resources management and support upskilling in the health sector.</w:t>
      </w:r>
    </w:p>
    <w:p w14:paraId="1E0ECA25"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development of a human resources strategy, the introduction of a new remuneration model for healthcare staff, and the adoption of a model for forecasting the need for healthcare staff.</w:t>
      </w:r>
    </w:p>
    <w:p w14:paraId="1E0ECA26" w14:textId="77777777" w:rsidR="004E39F6" w:rsidRPr="00E60E42" w:rsidRDefault="00A35BEA" w:rsidP="00951342">
      <w:pPr>
        <w:keepNext/>
        <w:keepLines/>
        <w:spacing w:after="120" w:line="240" w:lineRule="auto"/>
        <w:jc w:val="both"/>
        <w:rPr>
          <w:rFonts w:ascii="Times New Roman" w:eastAsia="Calibri" w:hAnsi="Times New Roman" w:cs="Times New Roman"/>
          <w:iCs/>
          <w:noProof/>
          <w:kern w:val="0"/>
          <w:u w:val="single"/>
          <w14:ligatures w14:val="none"/>
        </w:rPr>
      </w:pPr>
      <w:r w:rsidRPr="00E60E42">
        <w:rPr>
          <w:rFonts w:ascii="Times New Roman" w:eastAsia="Calibri" w:hAnsi="Times New Roman" w:cs="Arial"/>
          <w:noProof/>
          <w:kern w:val="0"/>
          <w:szCs w:val="22"/>
          <w:u w:val="single"/>
          <w14:ligatures w14:val="none"/>
        </w:rPr>
        <w:t>Investment: 4.2.1.1.i. Support for the implementation of the human resources development system</w:t>
      </w:r>
    </w:p>
    <w:p w14:paraId="1E0ECA27" w14:textId="77777777" w:rsidR="004E39F6" w:rsidRPr="00E60E42" w:rsidRDefault="00A35BEA" w:rsidP="00951342">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introduce a common approach for continuous education in health and to introduce a simulation approach in the health education system.</w:t>
      </w:r>
    </w:p>
    <w:p w14:paraId="1E0ECA28" w14:textId="77777777" w:rsidR="004E39F6" w:rsidRPr="00E60E42" w:rsidRDefault="00A35BEA" w:rsidP="00E1758D">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the establishment of a coordination mechanism for the management of the continuous education process, and the approval of a strategy for the introduction of simulations in medical education. </w:t>
      </w:r>
    </w:p>
    <w:p w14:paraId="1E0ECA29" w14:textId="77777777" w:rsidR="004E39F6" w:rsidRPr="00E60E42" w:rsidRDefault="00A35BEA" w:rsidP="001725BA">
      <w:pPr>
        <w:keepNext/>
        <w:keepLines/>
        <w:spacing w:after="120" w:line="240" w:lineRule="auto"/>
        <w:jc w:val="both"/>
        <w:rPr>
          <w:rFonts w:ascii="Times New Roman" w:eastAsia="Calibri" w:hAnsi="Times New Roman" w:cs="Times New Roman"/>
          <w:iCs/>
          <w:noProof/>
          <w:kern w:val="0"/>
          <w:u w:val="single"/>
          <w14:ligatures w14:val="none"/>
        </w:rPr>
      </w:pPr>
      <w:r w:rsidRPr="00E60E42">
        <w:rPr>
          <w:rFonts w:ascii="Times New Roman" w:eastAsia="Calibri" w:hAnsi="Times New Roman" w:cs="Arial"/>
          <w:noProof/>
          <w:kern w:val="0"/>
          <w:u w:val="single"/>
          <w14:ligatures w14:val="none"/>
        </w:rPr>
        <w:t>Reform: 4.3.1.r. Sustainability of healthcare and efficient use of health resources</w:t>
      </w:r>
    </w:p>
    <w:p w14:paraId="1E0ECA2A" w14:textId="77777777" w:rsidR="004E39F6" w:rsidRPr="00E60E42" w:rsidRDefault="00A35BEA" w:rsidP="001725BA">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the efficiency of the provision of state-funded health services.</w:t>
      </w:r>
    </w:p>
    <w:p w14:paraId="1E0ECA2B" w14:textId="77777777" w:rsidR="004E39F6" w:rsidRPr="00E60E42" w:rsidRDefault="00A35BEA" w:rsidP="001725BA">
      <w:pPr>
        <w:keepNext/>
        <w:keepLines/>
        <w:widowControl w:val="0"/>
        <w:spacing w:before="120" w:after="240" w:line="240" w:lineRule="auto"/>
        <w:contextualSpacing/>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measure consists of the establishment of a coordinating unit and of testing new healthcare service delivery models.</w:t>
      </w:r>
    </w:p>
    <w:p w14:paraId="517DE260" w14:textId="77777777" w:rsidR="001725BA" w:rsidRPr="00E60E42" w:rsidRDefault="001725BA" w:rsidP="001725BA">
      <w:pPr>
        <w:keepNext/>
        <w:keepLines/>
        <w:widowControl w:val="0"/>
        <w:spacing w:before="120" w:after="240" w:line="240" w:lineRule="auto"/>
        <w:contextualSpacing/>
        <w:jc w:val="both"/>
        <w:rPr>
          <w:rFonts w:ascii="Times New Roman" w:eastAsia="Calibri" w:hAnsi="Times New Roman" w:cs="Arial"/>
          <w:noProof/>
          <w:kern w:val="0"/>
          <w14:ligatures w14:val="none"/>
        </w:rPr>
      </w:pPr>
    </w:p>
    <w:p w14:paraId="1E0ECA2D" w14:textId="77777777" w:rsidR="004E39F6" w:rsidRPr="00E60E42" w:rsidRDefault="00A35BEA" w:rsidP="001725BA">
      <w:pPr>
        <w:keepNext/>
        <w:keepLines/>
        <w:widowControl w:val="0"/>
        <w:spacing w:before="240" w:after="120" w:line="240" w:lineRule="auto"/>
        <w:contextualSpacing/>
        <w:jc w:val="both"/>
        <w:rPr>
          <w:rFonts w:ascii="Times New Roman" w:eastAsia="Calibri" w:hAnsi="Times New Roman" w:cs="Times New Roman"/>
          <w:iCs/>
          <w:noProof/>
          <w:kern w:val="0"/>
          <w:u w:val="single"/>
          <w14:ligatures w14:val="none"/>
        </w:rPr>
      </w:pPr>
      <w:r w:rsidRPr="00E60E42">
        <w:rPr>
          <w:rFonts w:ascii="Times New Roman" w:eastAsia="Calibri" w:hAnsi="Times New Roman" w:cs="Arial"/>
          <w:noProof/>
          <w:kern w:val="0"/>
          <w:szCs w:val="22"/>
          <w:u w:val="single"/>
          <w14:ligatures w14:val="none"/>
        </w:rPr>
        <w:t>Investment: 4.3.1.1.i. Support for assessing and improving the quality and accessibility of non-hospital secondary healthcare</w:t>
      </w:r>
    </w:p>
    <w:p w14:paraId="1E0ECA2E"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identify the weak spots in the provision of the state paid non-hospital secondary healthcare services. </w:t>
      </w:r>
    </w:p>
    <w:p w14:paraId="1E0ECA2F" w14:textId="77777777" w:rsidR="004E39F6" w:rsidRPr="00E60E42" w:rsidRDefault="00A35BEA" w:rsidP="0048758A">
      <w:pPr>
        <w:spacing w:before="120"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measure consists of conducting a study on non-hospital secondary healthcare services, and amendments to legal act(s) related to public health policies and publication of recommendations and service delivery planning documents.</w:t>
      </w:r>
    </w:p>
    <w:p w14:paraId="1E0ECA30"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sectPr w:rsidR="004E39F6" w:rsidRPr="00E60E42" w:rsidSect="0048758A">
          <w:headerReference w:type="even" r:id="rId53"/>
          <w:headerReference w:type="default" r:id="rId54"/>
          <w:footerReference w:type="even" r:id="rId55"/>
          <w:footerReference w:type="default" r:id="rId56"/>
          <w:headerReference w:type="first" r:id="rId57"/>
          <w:footerReference w:type="first" r:id="rId58"/>
          <w:pgSz w:w="11906" w:h="16838"/>
          <w:pgMar w:top="1134" w:right="1134" w:bottom="1134" w:left="1134" w:header="567" w:footer="567" w:gutter="0"/>
          <w:cols w:space="708"/>
          <w:docGrid w:linePitch="360"/>
        </w:sectPr>
      </w:pPr>
    </w:p>
    <w:p w14:paraId="1E0ECA31" w14:textId="77777777" w:rsidR="004E39F6" w:rsidRPr="00E60E42" w:rsidRDefault="00A35BEA" w:rsidP="00E1758D">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D.2. Milestones, targets, indicators, and timetable for monitoring and implementation for non-repayable financial support</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1837"/>
        <w:gridCol w:w="986"/>
        <w:gridCol w:w="1843"/>
        <w:gridCol w:w="1701"/>
        <w:gridCol w:w="992"/>
        <w:gridCol w:w="992"/>
        <w:gridCol w:w="851"/>
        <w:gridCol w:w="850"/>
        <w:gridCol w:w="709"/>
        <w:gridCol w:w="3365"/>
        <w:gridCol w:w="6"/>
      </w:tblGrid>
      <w:tr w:rsidR="00611029" w:rsidRPr="00E60E42" w14:paraId="1E0ECA3A" w14:textId="77777777" w:rsidTr="001725BA">
        <w:trPr>
          <w:tblHeader/>
          <w:jc w:val="center"/>
        </w:trPr>
        <w:tc>
          <w:tcPr>
            <w:tcW w:w="716" w:type="dxa"/>
            <w:vMerge w:val="restart"/>
            <w:shd w:val="clear" w:color="auto" w:fill="BDD7EE"/>
            <w:vAlign w:val="center"/>
          </w:tcPr>
          <w:p w14:paraId="1E0ECA32"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Nr.</w:t>
            </w:r>
          </w:p>
        </w:tc>
        <w:tc>
          <w:tcPr>
            <w:tcW w:w="1837" w:type="dxa"/>
            <w:vMerge w:val="restart"/>
            <w:shd w:val="clear" w:color="auto" w:fill="BDD7EE"/>
            <w:vAlign w:val="center"/>
          </w:tcPr>
          <w:p w14:paraId="1E0ECA33"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Related Measure (Reform or Investment)</w:t>
            </w:r>
          </w:p>
        </w:tc>
        <w:tc>
          <w:tcPr>
            <w:tcW w:w="986" w:type="dxa"/>
            <w:vMerge w:val="restart"/>
            <w:shd w:val="clear" w:color="auto" w:fill="BDD7EE"/>
            <w:vAlign w:val="center"/>
          </w:tcPr>
          <w:p w14:paraId="1E0ECA34" w14:textId="77777777" w:rsidR="004E39F6" w:rsidRPr="00E60E42" w:rsidRDefault="00A35BEA" w:rsidP="001725B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Milestone / Target</w:t>
            </w:r>
          </w:p>
        </w:tc>
        <w:tc>
          <w:tcPr>
            <w:tcW w:w="1843" w:type="dxa"/>
            <w:vMerge w:val="restart"/>
            <w:shd w:val="clear" w:color="auto" w:fill="BDD7EE"/>
            <w:vAlign w:val="center"/>
          </w:tcPr>
          <w:p w14:paraId="1E0ECA35"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Name</w:t>
            </w:r>
          </w:p>
        </w:tc>
        <w:tc>
          <w:tcPr>
            <w:tcW w:w="1701" w:type="dxa"/>
            <w:vMerge w:val="restart"/>
            <w:shd w:val="clear" w:color="auto" w:fill="BDD7EE"/>
            <w:vAlign w:val="center"/>
          </w:tcPr>
          <w:p w14:paraId="1E0ECA36" w14:textId="6ACF38D0"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Qualitative indicators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milestones)</w:t>
            </w:r>
          </w:p>
        </w:tc>
        <w:tc>
          <w:tcPr>
            <w:tcW w:w="2835" w:type="dxa"/>
            <w:gridSpan w:val="3"/>
            <w:shd w:val="clear" w:color="auto" w:fill="BDD7EE"/>
            <w:vAlign w:val="center"/>
          </w:tcPr>
          <w:p w14:paraId="1E0ECA37" w14:textId="2AC382F1"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 xml:space="preserve">Quantitative indicators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targets)</w:t>
            </w:r>
          </w:p>
        </w:tc>
        <w:tc>
          <w:tcPr>
            <w:tcW w:w="1559" w:type="dxa"/>
            <w:gridSpan w:val="2"/>
            <w:shd w:val="clear" w:color="auto" w:fill="BDD7EE"/>
            <w:vAlign w:val="center"/>
          </w:tcPr>
          <w:p w14:paraId="1E0ECA38"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Indicative timeline for completion</w:t>
            </w:r>
          </w:p>
        </w:tc>
        <w:tc>
          <w:tcPr>
            <w:tcW w:w="3371" w:type="dxa"/>
            <w:gridSpan w:val="2"/>
            <w:vMerge w:val="restart"/>
            <w:shd w:val="clear" w:color="auto" w:fill="BDD7EE"/>
            <w:vAlign w:val="center"/>
          </w:tcPr>
          <w:p w14:paraId="1E0ECA39" w14:textId="77777777" w:rsidR="004E39F6" w:rsidRPr="00E60E42" w:rsidRDefault="00A35BEA" w:rsidP="00611029">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Description of each milestone and target</w:t>
            </w:r>
          </w:p>
        </w:tc>
      </w:tr>
      <w:tr w:rsidR="00611029" w:rsidRPr="00E60E42" w14:paraId="1E0ECA46" w14:textId="77777777" w:rsidTr="001725BA">
        <w:trPr>
          <w:tblHeader/>
          <w:jc w:val="center"/>
        </w:trPr>
        <w:tc>
          <w:tcPr>
            <w:tcW w:w="716" w:type="dxa"/>
            <w:vMerge/>
            <w:vAlign w:val="center"/>
          </w:tcPr>
          <w:p w14:paraId="1E0ECA3B" w14:textId="77777777" w:rsidR="004E39F6" w:rsidRPr="00E60E42" w:rsidRDefault="004E39F6"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837" w:type="dxa"/>
            <w:vMerge/>
            <w:vAlign w:val="center"/>
          </w:tcPr>
          <w:p w14:paraId="1E0ECA3C" w14:textId="77777777" w:rsidR="004E39F6" w:rsidRPr="00E60E42" w:rsidRDefault="004E39F6"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986" w:type="dxa"/>
            <w:vMerge/>
            <w:vAlign w:val="center"/>
          </w:tcPr>
          <w:p w14:paraId="1E0ECA3D" w14:textId="77777777" w:rsidR="004E39F6" w:rsidRPr="00E60E42" w:rsidRDefault="004E39F6" w:rsidP="001725BA">
            <w:pPr>
              <w:spacing w:before="120" w:after="120" w:line="240" w:lineRule="auto"/>
              <w:jc w:val="center"/>
              <w:rPr>
                <w:rFonts w:ascii="Times New Roman" w:eastAsia="Calibri" w:hAnsi="Times New Roman" w:cs="Times New Roman"/>
                <w:noProof/>
                <w:kern w:val="0"/>
                <w:sz w:val="18"/>
                <w:szCs w:val="18"/>
                <w14:ligatures w14:val="none"/>
              </w:rPr>
            </w:pPr>
          </w:p>
        </w:tc>
        <w:tc>
          <w:tcPr>
            <w:tcW w:w="1843" w:type="dxa"/>
            <w:vMerge/>
            <w:vAlign w:val="center"/>
          </w:tcPr>
          <w:p w14:paraId="1E0ECA3E" w14:textId="77777777" w:rsidR="004E39F6" w:rsidRPr="00E60E42" w:rsidRDefault="004E39F6"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1701" w:type="dxa"/>
            <w:vMerge/>
            <w:vAlign w:val="center"/>
          </w:tcPr>
          <w:p w14:paraId="1E0ECA3F" w14:textId="77777777" w:rsidR="004E39F6" w:rsidRPr="00E60E42" w:rsidRDefault="004E39F6" w:rsidP="0048758A">
            <w:pPr>
              <w:spacing w:before="120" w:after="120" w:line="240" w:lineRule="auto"/>
              <w:jc w:val="both"/>
              <w:rPr>
                <w:rFonts w:ascii="Times New Roman" w:eastAsia="Calibri" w:hAnsi="Times New Roman" w:cs="Times New Roman"/>
                <w:noProof/>
                <w:kern w:val="0"/>
                <w:sz w:val="18"/>
                <w:szCs w:val="18"/>
                <w14:ligatures w14:val="none"/>
              </w:rPr>
            </w:pPr>
          </w:p>
        </w:tc>
        <w:tc>
          <w:tcPr>
            <w:tcW w:w="992" w:type="dxa"/>
            <w:shd w:val="clear" w:color="auto" w:fill="BDD7EE"/>
            <w:vAlign w:val="center"/>
          </w:tcPr>
          <w:p w14:paraId="1E0ECA40"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Unit of measure</w:t>
            </w:r>
          </w:p>
        </w:tc>
        <w:tc>
          <w:tcPr>
            <w:tcW w:w="992" w:type="dxa"/>
            <w:shd w:val="clear" w:color="auto" w:fill="BDD7EE"/>
            <w:vAlign w:val="center"/>
          </w:tcPr>
          <w:p w14:paraId="1E0ECA41"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Baseline</w:t>
            </w:r>
          </w:p>
        </w:tc>
        <w:tc>
          <w:tcPr>
            <w:tcW w:w="851" w:type="dxa"/>
            <w:shd w:val="clear" w:color="auto" w:fill="BDD7EE"/>
            <w:vAlign w:val="center"/>
          </w:tcPr>
          <w:p w14:paraId="1E0ECA42"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Goal</w:t>
            </w:r>
          </w:p>
        </w:tc>
        <w:tc>
          <w:tcPr>
            <w:tcW w:w="850" w:type="dxa"/>
            <w:shd w:val="clear" w:color="auto" w:fill="BDD7EE"/>
            <w:vAlign w:val="center"/>
          </w:tcPr>
          <w:p w14:paraId="1E0ECA43"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Quarter</w:t>
            </w:r>
          </w:p>
        </w:tc>
        <w:tc>
          <w:tcPr>
            <w:tcW w:w="709" w:type="dxa"/>
            <w:shd w:val="clear" w:color="auto" w:fill="BDD7EE"/>
            <w:vAlign w:val="center"/>
          </w:tcPr>
          <w:p w14:paraId="1E0ECA44" w14:textId="77777777" w:rsidR="004E39F6" w:rsidRPr="00E60E42" w:rsidRDefault="00A35BEA" w:rsidP="0048758A">
            <w:pPr>
              <w:spacing w:before="120"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b/>
                <w:noProof/>
                <w:kern w:val="0"/>
                <w:sz w:val="18"/>
                <w:szCs w:val="18"/>
                <w14:ligatures w14:val="none"/>
              </w:rPr>
              <w:t>Year</w:t>
            </w:r>
          </w:p>
        </w:tc>
        <w:tc>
          <w:tcPr>
            <w:tcW w:w="3371" w:type="dxa"/>
            <w:gridSpan w:val="2"/>
            <w:vMerge/>
            <w:vAlign w:val="center"/>
          </w:tcPr>
          <w:p w14:paraId="1E0ECA45" w14:textId="77777777" w:rsidR="004E39F6" w:rsidRPr="00E60E42" w:rsidRDefault="004E39F6" w:rsidP="00E1758D">
            <w:pPr>
              <w:spacing w:before="120" w:after="120" w:line="240" w:lineRule="auto"/>
              <w:jc w:val="both"/>
              <w:rPr>
                <w:rFonts w:ascii="Times New Roman" w:eastAsia="Calibri" w:hAnsi="Times New Roman" w:cs="Times New Roman"/>
                <w:noProof/>
                <w:kern w:val="0"/>
                <w:sz w:val="18"/>
                <w:szCs w:val="18"/>
                <w14:ligatures w14:val="none"/>
              </w:rPr>
            </w:pPr>
          </w:p>
        </w:tc>
      </w:tr>
      <w:tr w:rsidR="0048758A" w:rsidRPr="00E60E42" w14:paraId="1E0ECA53" w14:textId="77777777" w:rsidTr="001725BA">
        <w:trPr>
          <w:gridAfter w:val="1"/>
          <w:wAfter w:w="6" w:type="dxa"/>
          <w:jc w:val="center"/>
        </w:trPr>
        <w:tc>
          <w:tcPr>
            <w:tcW w:w="716" w:type="dxa"/>
            <w:shd w:val="clear" w:color="auto" w:fill="C6EFCE"/>
          </w:tcPr>
          <w:p w14:paraId="1E0ECA4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131</w:t>
            </w:r>
          </w:p>
        </w:tc>
        <w:tc>
          <w:tcPr>
            <w:tcW w:w="1837" w:type="dxa"/>
            <w:shd w:val="clear" w:color="auto" w:fill="C6EFCE"/>
          </w:tcPr>
          <w:p w14:paraId="1E0ECA48"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4.1.1.r. </w:t>
            </w:r>
          </w:p>
          <w:p w14:paraId="1E0ECA49"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986" w:type="dxa"/>
            <w:shd w:val="clear" w:color="auto" w:fill="C6EFCE"/>
          </w:tcPr>
          <w:p w14:paraId="1E0ECA4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4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digital health strategy</w:t>
            </w:r>
          </w:p>
        </w:tc>
        <w:tc>
          <w:tcPr>
            <w:tcW w:w="1701" w:type="dxa"/>
            <w:shd w:val="clear" w:color="auto" w:fill="C6EFCE"/>
          </w:tcPr>
          <w:p w14:paraId="1E0ECA4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Digital health strategy adopted by the Ministry of Health</w:t>
            </w:r>
          </w:p>
        </w:tc>
        <w:tc>
          <w:tcPr>
            <w:tcW w:w="992" w:type="dxa"/>
            <w:shd w:val="clear" w:color="auto" w:fill="C6EFCE"/>
          </w:tcPr>
          <w:p w14:paraId="1E0ECA4D" w14:textId="53D8A477" w:rsidR="001725BA"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4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4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5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A5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365" w:type="dxa"/>
            <w:shd w:val="clear" w:color="auto" w:fill="C6EFCE"/>
          </w:tcPr>
          <w:p w14:paraId="1E0ECA52"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milestone shall be deemed to be reached after the digital health strategy has been approved by the Ministry of Health. The strategy shall be developed in line with the Public Health Guidelines 2021-2027 and Digital Transformation guidelines 2021-2027. The strategy shall contain an action plan and monitoring framework. The strategy shall cover such aspects as health care, use of data for research, common use of data, data management, public health sector IT systems and solutions, private IT systems, cross-border data exchange and digital skills.</w:t>
            </w:r>
          </w:p>
        </w:tc>
      </w:tr>
      <w:tr w:rsidR="0048758A" w:rsidRPr="00E60E42" w14:paraId="1E0ECA63" w14:textId="77777777" w:rsidTr="001725BA">
        <w:trPr>
          <w:gridAfter w:val="1"/>
          <w:wAfter w:w="6" w:type="dxa"/>
          <w:jc w:val="center"/>
        </w:trPr>
        <w:tc>
          <w:tcPr>
            <w:tcW w:w="716" w:type="dxa"/>
            <w:shd w:val="clear" w:color="auto" w:fill="C6EFCE"/>
          </w:tcPr>
          <w:p w14:paraId="1E0ECA5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132</w:t>
            </w:r>
          </w:p>
        </w:tc>
        <w:tc>
          <w:tcPr>
            <w:tcW w:w="1837" w:type="dxa"/>
            <w:shd w:val="clear" w:color="auto" w:fill="C6EFCE"/>
          </w:tcPr>
          <w:p w14:paraId="1E0ECA55"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4.1.1.r. </w:t>
            </w:r>
          </w:p>
          <w:p w14:paraId="1E0ECA56"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986" w:type="dxa"/>
            <w:shd w:val="clear" w:color="auto" w:fill="C6EFCE"/>
          </w:tcPr>
          <w:p w14:paraId="1E0ECA5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5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Development of a human-centred, comprehensive, integrated healthcare delivery model through the development of an investment strategy and recommendations for the development of integrated and epidemiologically safe health care</w:t>
            </w:r>
          </w:p>
        </w:tc>
        <w:tc>
          <w:tcPr>
            <w:tcW w:w="1701" w:type="dxa"/>
            <w:shd w:val="clear" w:color="auto" w:fill="C6EFCE"/>
          </w:tcPr>
          <w:p w14:paraId="1E0ECA5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Integrated healthcare model documents approved by the Ministry of Health </w:t>
            </w:r>
          </w:p>
        </w:tc>
        <w:tc>
          <w:tcPr>
            <w:tcW w:w="992" w:type="dxa"/>
            <w:shd w:val="clear" w:color="auto" w:fill="C6EFCE"/>
          </w:tcPr>
          <w:p w14:paraId="1E0ECA5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5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5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5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A5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365" w:type="dxa"/>
            <w:shd w:val="clear" w:color="auto" w:fill="C6EFCE"/>
          </w:tcPr>
          <w:p w14:paraId="1E0ECA5F"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integrated healthcare shall be established once the following documents are developed and approved by the Ministry of Health:</w:t>
            </w:r>
          </w:p>
          <w:p w14:paraId="1E0ECA60"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an investment strategy for infrastructure investments for the provision of publicly funded health services, including a hospital mapping shall be included to ensure the continuation of the reform of the hospital network, including taking into account the assessment of hospital levels;</w:t>
            </w:r>
          </w:p>
          <w:p w14:paraId="1E0ECA61"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recommendations for the implementation of the integrated care approach;</w:t>
            </w:r>
          </w:p>
          <w:p w14:paraId="1E0ECA62" w14:textId="77777777" w:rsidR="004E39F6" w:rsidRPr="00E60E42" w:rsidRDefault="00A35BEA" w:rsidP="002A5857">
            <w:pPr>
              <w:spacing w:after="120" w:line="240" w:lineRule="auto"/>
              <w:jc w:val="both"/>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3) a set of recommendations for epidemiological requirements</w:t>
            </w:r>
          </w:p>
        </w:tc>
      </w:tr>
      <w:tr w:rsidR="0048758A" w:rsidRPr="00E60E42" w14:paraId="1E0ECA71" w14:textId="77777777" w:rsidTr="001725BA">
        <w:trPr>
          <w:gridAfter w:val="1"/>
          <w:wAfter w:w="6" w:type="dxa"/>
          <w:jc w:val="center"/>
        </w:trPr>
        <w:tc>
          <w:tcPr>
            <w:tcW w:w="716" w:type="dxa"/>
            <w:shd w:val="clear" w:color="auto" w:fill="C6EFCE"/>
          </w:tcPr>
          <w:p w14:paraId="1E0ECA6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133</w:t>
            </w:r>
          </w:p>
        </w:tc>
        <w:tc>
          <w:tcPr>
            <w:tcW w:w="1837" w:type="dxa"/>
            <w:shd w:val="clear" w:color="auto" w:fill="C6EFCE"/>
          </w:tcPr>
          <w:p w14:paraId="1E0ECA65"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4.1.1.r. </w:t>
            </w:r>
          </w:p>
          <w:p w14:paraId="1E0ECA66"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986" w:type="dxa"/>
            <w:shd w:val="clear" w:color="auto" w:fill="C6EFCE"/>
          </w:tcPr>
          <w:p w14:paraId="1E0ECA6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6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Genome reference of the Latvian population </w:t>
            </w:r>
          </w:p>
        </w:tc>
        <w:tc>
          <w:tcPr>
            <w:tcW w:w="1701" w:type="dxa"/>
            <w:shd w:val="clear" w:color="auto" w:fill="C6EFCE"/>
          </w:tcPr>
          <w:p w14:paraId="1E0ECA69"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Genome reference established </w:t>
            </w:r>
          </w:p>
        </w:tc>
        <w:tc>
          <w:tcPr>
            <w:tcW w:w="992" w:type="dxa"/>
            <w:shd w:val="clear" w:color="auto" w:fill="C6EFCE"/>
          </w:tcPr>
          <w:p w14:paraId="1E0ECA6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6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6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6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shd w:val="clear" w:color="auto" w:fill="C6EFCE"/>
          </w:tcPr>
          <w:p w14:paraId="1E0ECA6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5" w:type="dxa"/>
            <w:shd w:val="clear" w:color="auto" w:fill="C6EFCE"/>
          </w:tcPr>
          <w:p w14:paraId="1E0ECA70" w14:textId="108F4234"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genomic design documentation demonstrating the establishment of the Latvian population genome reference shall be approved by the Ministry of Health.</w:t>
            </w:r>
          </w:p>
        </w:tc>
      </w:tr>
      <w:tr w:rsidR="0048758A" w:rsidRPr="00E60E42" w14:paraId="1E0ECA7F" w14:textId="77777777" w:rsidTr="001725BA">
        <w:trPr>
          <w:gridAfter w:val="1"/>
          <w:wAfter w:w="6" w:type="dxa"/>
          <w:jc w:val="center"/>
        </w:trPr>
        <w:tc>
          <w:tcPr>
            <w:tcW w:w="716" w:type="dxa"/>
            <w:shd w:val="clear" w:color="auto" w:fill="C6EFCE"/>
          </w:tcPr>
          <w:p w14:paraId="1E0ECA7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134</w:t>
            </w:r>
          </w:p>
        </w:tc>
        <w:tc>
          <w:tcPr>
            <w:tcW w:w="1837" w:type="dxa"/>
            <w:shd w:val="clear" w:color="auto" w:fill="C6EFCE"/>
          </w:tcPr>
          <w:p w14:paraId="1E0ECA73"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4.1.1.r. </w:t>
            </w:r>
          </w:p>
          <w:p w14:paraId="1E0ECA74"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Sustainability and resilience of a human-centred, comprehensive, integrated healthcare system</w:t>
            </w:r>
          </w:p>
        </w:tc>
        <w:tc>
          <w:tcPr>
            <w:tcW w:w="986" w:type="dxa"/>
            <w:shd w:val="clear" w:color="auto" w:fill="C6EFCE"/>
          </w:tcPr>
          <w:p w14:paraId="1E0ECA7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7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Methodological management in the field of oncology </w:t>
            </w:r>
          </w:p>
        </w:tc>
        <w:tc>
          <w:tcPr>
            <w:tcW w:w="1701" w:type="dxa"/>
            <w:shd w:val="clear" w:color="auto" w:fill="C6EFCE"/>
          </w:tcPr>
          <w:p w14:paraId="1E0ECA7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Methodological documents approved </w:t>
            </w:r>
          </w:p>
        </w:tc>
        <w:tc>
          <w:tcPr>
            <w:tcW w:w="992" w:type="dxa"/>
            <w:shd w:val="clear" w:color="auto" w:fill="C6EFCE"/>
          </w:tcPr>
          <w:p w14:paraId="1E0ECA7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7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7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7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A7C" w14:textId="77777777" w:rsidR="004E39F6" w:rsidRPr="00E60E42" w:rsidRDefault="00A35BEA" w:rsidP="002A5857">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5" w:type="dxa"/>
            <w:shd w:val="clear" w:color="auto" w:fill="C6EFCE"/>
          </w:tcPr>
          <w:p w14:paraId="1E0ECA7E" w14:textId="0A1EF675"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Documents introducing new methodological management in the field of oncology shall be approved.</w:t>
            </w:r>
          </w:p>
        </w:tc>
      </w:tr>
      <w:tr w:rsidR="0048758A" w:rsidRPr="00E60E42" w14:paraId="1E0ECA8C" w14:textId="77777777" w:rsidTr="001725BA">
        <w:trPr>
          <w:gridAfter w:val="1"/>
          <w:wAfter w:w="6" w:type="dxa"/>
          <w:jc w:val="center"/>
        </w:trPr>
        <w:tc>
          <w:tcPr>
            <w:tcW w:w="716" w:type="dxa"/>
            <w:shd w:val="clear" w:color="auto" w:fill="C6EFCE"/>
          </w:tcPr>
          <w:p w14:paraId="1E0ECA80"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135</w:t>
            </w:r>
          </w:p>
        </w:tc>
        <w:tc>
          <w:tcPr>
            <w:tcW w:w="1837" w:type="dxa"/>
            <w:shd w:val="clear" w:color="auto" w:fill="C6EFCE"/>
          </w:tcPr>
          <w:p w14:paraId="1E0ECA81"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4.1.1.1.i. </w:t>
            </w:r>
          </w:p>
          <w:p w14:paraId="1E0ECA82"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Support for public health research</w:t>
            </w:r>
          </w:p>
        </w:tc>
        <w:tc>
          <w:tcPr>
            <w:tcW w:w="986" w:type="dxa"/>
            <w:shd w:val="clear" w:color="auto" w:fill="C6EFCE"/>
          </w:tcPr>
          <w:p w14:paraId="1E0ECA8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8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methodology for three studies to improve public health policy planning and implementation in the field of antimicrobial resistance, vaccination and infectious diseases</w:t>
            </w:r>
          </w:p>
        </w:tc>
        <w:tc>
          <w:tcPr>
            <w:tcW w:w="1701" w:type="dxa"/>
            <w:shd w:val="clear" w:color="auto" w:fill="C6EFCE"/>
          </w:tcPr>
          <w:p w14:paraId="1E0ECA8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methodology by the Ministry of Health </w:t>
            </w:r>
          </w:p>
        </w:tc>
        <w:tc>
          <w:tcPr>
            <w:tcW w:w="992" w:type="dxa"/>
            <w:shd w:val="clear" w:color="auto" w:fill="C6EFCE"/>
          </w:tcPr>
          <w:p w14:paraId="1E0ECA8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8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8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8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A8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365" w:type="dxa"/>
            <w:shd w:val="clear" w:color="auto" w:fill="C6EFCE"/>
          </w:tcPr>
          <w:p w14:paraId="1E0ECA8B"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milestone shall be considered to be achieved following the development by a subordinate institution of the Ministry of Health and the adoption by the Ministry of Health of a harmonised methodology for research in the areas of anti-microbial resistance (AMR), vaccination and infection reduction.</w:t>
            </w:r>
          </w:p>
        </w:tc>
      </w:tr>
      <w:tr w:rsidR="0048758A" w:rsidRPr="00E60E42" w14:paraId="1E0ECA99" w14:textId="77777777" w:rsidTr="001725BA">
        <w:trPr>
          <w:gridAfter w:val="1"/>
          <w:wAfter w:w="6" w:type="dxa"/>
          <w:jc w:val="center"/>
        </w:trPr>
        <w:tc>
          <w:tcPr>
            <w:tcW w:w="716" w:type="dxa"/>
            <w:shd w:val="clear" w:color="auto" w:fill="C6EFCE"/>
          </w:tcPr>
          <w:p w14:paraId="1E0ECA8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137 </w:t>
            </w:r>
          </w:p>
        </w:tc>
        <w:tc>
          <w:tcPr>
            <w:tcW w:w="1837" w:type="dxa"/>
            <w:shd w:val="clear" w:color="auto" w:fill="C6EFCE"/>
          </w:tcPr>
          <w:p w14:paraId="1E0ECA8E"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4.1.1.1.i. </w:t>
            </w:r>
          </w:p>
          <w:p w14:paraId="1E0ECA8F"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Support for public health research</w:t>
            </w:r>
          </w:p>
        </w:tc>
        <w:tc>
          <w:tcPr>
            <w:tcW w:w="986" w:type="dxa"/>
            <w:shd w:val="clear" w:color="auto" w:fill="C6EFCE"/>
          </w:tcPr>
          <w:p w14:paraId="1E0ECA9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9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Public health policies and studies</w:t>
            </w:r>
          </w:p>
        </w:tc>
        <w:tc>
          <w:tcPr>
            <w:tcW w:w="1701" w:type="dxa"/>
            <w:shd w:val="clear" w:color="auto" w:fill="C6EFCE"/>
          </w:tcPr>
          <w:p w14:paraId="1E0ECA9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legal act(s) and publication of recommendations related to public health policies </w:t>
            </w:r>
          </w:p>
        </w:tc>
        <w:tc>
          <w:tcPr>
            <w:tcW w:w="992" w:type="dxa"/>
            <w:shd w:val="clear" w:color="auto" w:fill="C6EFCE"/>
          </w:tcPr>
          <w:p w14:paraId="1E0ECA9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9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9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9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A9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5" w:type="dxa"/>
            <w:shd w:val="clear" w:color="auto" w:fill="C6EFCE"/>
          </w:tcPr>
          <w:p w14:paraId="1E0ECA98"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legal act(s) and publication of recommendations related to public health policies. Studies on antimicrobial resistance (AMR), on reasons for non-vaccination and on infectious diseases shall be published. </w:t>
            </w:r>
          </w:p>
        </w:tc>
      </w:tr>
      <w:tr w:rsidR="0048758A" w:rsidRPr="00E60E42" w14:paraId="1E0ECAA6" w14:textId="77777777" w:rsidTr="001725BA">
        <w:trPr>
          <w:gridAfter w:val="1"/>
          <w:wAfter w:w="6" w:type="dxa"/>
          <w:jc w:val="center"/>
        </w:trPr>
        <w:tc>
          <w:tcPr>
            <w:tcW w:w="716" w:type="dxa"/>
            <w:shd w:val="clear" w:color="auto" w:fill="C6EFCE"/>
          </w:tcPr>
          <w:p w14:paraId="1E0ECA9A"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138</w:t>
            </w:r>
          </w:p>
        </w:tc>
        <w:tc>
          <w:tcPr>
            <w:tcW w:w="1837" w:type="dxa"/>
            <w:shd w:val="clear" w:color="auto" w:fill="C6EFCE"/>
          </w:tcPr>
          <w:p w14:paraId="1E0ECA9B"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4.1.1.2.i. </w:t>
            </w:r>
          </w:p>
          <w:p w14:paraId="1E0ECA9C"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Support for infrastructure </w:t>
            </w:r>
            <w:r w:rsidRPr="00E60E42">
              <w:rPr>
                <w:rFonts w:ascii="Times New Roman" w:eastAsia="Calibri" w:hAnsi="Times New Roman" w:cs="Arial"/>
                <w:b/>
                <w:bCs/>
                <w:noProof/>
                <w:kern w:val="0"/>
                <w:sz w:val="18"/>
                <w:szCs w:val="18"/>
                <w14:ligatures w14:val="none"/>
              </w:rPr>
              <w:t xml:space="preserve">or equipment </w:t>
            </w:r>
            <w:r w:rsidRPr="00E60E42">
              <w:rPr>
                <w:rFonts w:ascii="Times New Roman" w:eastAsia="Calibri" w:hAnsi="Times New Roman" w:cs="Arial"/>
                <w:b/>
                <w:noProof/>
                <w:kern w:val="0"/>
                <w:sz w:val="18"/>
                <w:szCs w:val="18"/>
                <w14:ligatures w14:val="none"/>
              </w:rPr>
              <w:t>of hospitals</w:t>
            </w:r>
          </w:p>
        </w:tc>
        <w:tc>
          <w:tcPr>
            <w:tcW w:w="986" w:type="dxa"/>
            <w:shd w:val="clear" w:color="auto" w:fill="C6EFCE"/>
          </w:tcPr>
          <w:p w14:paraId="1E0ECA9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843" w:type="dxa"/>
            <w:shd w:val="clear" w:color="auto" w:fill="C6EFCE"/>
          </w:tcPr>
          <w:p w14:paraId="1E0ECA9E"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projects which received a positive opinion of the Technology Commission on the eligibility of equipment for the provision of the relevant state-funded services</w:t>
            </w:r>
          </w:p>
        </w:tc>
        <w:tc>
          <w:tcPr>
            <w:tcW w:w="1701" w:type="dxa"/>
            <w:shd w:val="clear" w:color="auto" w:fill="C6EFCE"/>
          </w:tcPr>
          <w:p w14:paraId="1E0ECA9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A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tcPr>
          <w:p w14:paraId="1E0ECAA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851" w:type="dxa"/>
            <w:shd w:val="clear" w:color="auto" w:fill="C6EFCE"/>
          </w:tcPr>
          <w:p w14:paraId="1E0ECAA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w:t>
            </w:r>
          </w:p>
        </w:tc>
        <w:tc>
          <w:tcPr>
            <w:tcW w:w="850" w:type="dxa"/>
            <w:shd w:val="clear" w:color="auto" w:fill="C6EFCE"/>
          </w:tcPr>
          <w:p w14:paraId="1E0ECAA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AA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365" w:type="dxa"/>
            <w:shd w:val="clear" w:color="auto" w:fill="C6EFCE"/>
          </w:tcPr>
          <w:p w14:paraId="1E0ECAA5"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target shall be considered to be achieved with the positive decision of the Ministry of Health on the harmonisation of the acquisition of medical technology in each of the ten projects supporting health infrastructure of university and regional hospitals. This decision shall be prepared for all projects. If such acquisitions are not planned, a decision to that effect is required. If a project involves the purchase of medical technology, it requires a positive opinion from the Technology Commission.</w:t>
            </w:r>
          </w:p>
        </w:tc>
      </w:tr>
      <w:tr w:rsidR="0048758A" w:rsidRPr="00E60E42" w14:paraId="1E0ECAB3" w14:textId="77777777" w:rsidTr="001725BA">
        <w:trPr>
          <w:gridAfter w:val="1"/>
          <w:wAfter w:w="6" w:type="dxa"/>
          <w:jc w:val="center"/>
        </w:trPr>
        <w:tc>
          <w:tcPr>
            <w:tcW w:w="716" w:type="dxa"/>
            <w:shd w:val="clear" w:color="auto" w:fill="C6EFCE"/>
          </w:tcPr>
          <w:p w14:paraId="1E0ECAA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140</w:t>
            </w:r>
          </w:p>
        </w:tc>
        <w:tc>
          <w:tcPr>
            <w:tcW w:w="1837" w:type="dxa"/>
            <w:shd w:val="clear" w:color="auto" w:fill="C6EFCE"/>
          </w:tcPr>
          <w:p w14:paraId="1E0ECAA8"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4.1.1.2.i.</w:t>
            </w:r>
          </w:p>
          <w:p w14:paraId="1E0ECAA9"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Support for infrastructure </w:t>
            </w:r>
            <w:r w:rsidRPr="00E60E42">
              <w:rPr>
                <w:rFonts w:ascii="Times New Roman" w:eastAsia="Calibri" w:hAnsi="Times New Roman" w:cs="Arial"/>
                <w:b/>
                <w:bCs/>
                <w:noProof/>
                <w:kern w:val="0"/>
                <w:sz w:val="18"/>
                <w:szCs w:val="18"/>
                <w14:ligatures w14:val="none"/>
              </w:rPr>
              <w:t xml:space="preserve">or equipment </w:t>
            </w:r>
            <w:r w:rsidRPr="00E60E42">
              <w:rPr>
                <w:rFonts w:ascii="Times New Roman" w:eastAsia="Calibri" w:hAnsi="Times New Roman" w:cs="Arial"/>
                <w:b/>
                <w:noProof/>
                <w:kern w:val="0"/>
                <w:sz w:val="18"/>
                <w:szCs w:val="18"/>
                <w14:ligatures w14:val="none"/>
              </w:rPr>
              <w:t>of hospitals</w:t>
            </w:r>
          </w:p>
        </w:tc>
        <w:tc>
          <w:tcPr>
            <w:tcW w:w="986" w:type="dxa"/>
            <w:shd w:val="clear" w:color="auto" w:fill="C6EFCE"/>
          </w:tcPr>
          <w:p w14:paraId="1E0ECAA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AB" w14:textId="77777777" w:rsidR="004E39F6" w:rsidRPr="00E60E42" w:rsidRDefault="00A35BEA" w:rsidP="002A5857">
            <w:pPr>
              <w:spacing w:after="12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Hospital infrastructure or equipment</w:t>
            </w:r>
          </w:p>
        </w:tc>
        <w:tc>
          <w:tcPr>
            <w:tcW w:w="1701" w:type="dxa"/>
            <w:shd w:val="clear" w:color="auto" w:fill="C6EFCE"/>
          </w:tcPr>
          <w:p w14:paraId="1E0ECAAC" w14:textId="77777777" w:rsidR="004E39F6" w:rsidRPr="00E60E42" w:rsidRDefault="00A35BEA" w:rsidP="002A5857">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Letters of completion</w:t>
            </w:r>
          </w:p>
        </w:tc>
        <w:tc>
          <w:tcPr>
            <w:tcW w:w="992" w:type="dxa"/>
            <w:shd w:val="clear" w:color="auto" w:fill="C6EFCE"/>
          </w:tcPr>
          <w:p w14:paraId="1E0ECAA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A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A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B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AB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5" w:type="dxa"/>
            <w:shd w:val="clear" w:color="auto" w:fill="C6EFCE"/>
          </w:tcPr>
          <w:p w14:paraId="1E0ECAB2" w14:textId="77777777" w:rsidR="004E39F6" w:rsidRPr="00E60E42" w:rsidRDefault="00A35BEA" w:rsidP="002A5857">
            <w:pPr>
              <w:spacing w:after="120" w:line="240" w:lineRule="auto"/>
              <w:jc w:val="both"/>
              <w:rPr>
                <w:rFonts w:ascii="Times New Roman" w:eastAsia="Times New Roman" w:hAnsi="Times New Roman" w:cs="Times New Roman"/>
                <w:noProof/>
                <w:color w:val="D13438"/>
                <w:kern w:val="0"/>
                <w:sz w:val="18"/>
                <w:szCs w:val="18"/>
                <w:u w:val="single"/>
                <w14:ligatures w14:val="none"/>
              </w:rPr>
            </w:pPr>
            <w:r w:rsidRPr="00E60E42">
              <w:rPr>
                <w:rFonts w:ascii="Times New Roman" w:eastAsia="Calibri" w:hAnsi="Times New Roman" w:cs="Arial"/>
                <w:noProof/>
                <w:kern w:val="0"/>
                <w:sz w:val="18"/>
                <w:szCs w:val="18"/>
                <w14:ligatures w14:val="none"/>
              </w:rPr>
              <w:t>Letters of completion issued by the Central Finance and Contracting Agency for projects finalised in 15 hospitals, concerning infrastructure and equipment, corresponding to contracts financed by the RRF.</w:t>
            </w:r>
          </w:p>
        </w:tc>
      </w:tr>
      <w:tr w:rsidR="0048758A" w:rsidRPr="00E60E42" w14:paraId="1E0ECAC0" w14:textId="77777777" w:rsidTr="001725BA">
        <w:trPr>
          <w:gridAfter w:val="1"/>
          <w:wAfter w:w="6" w:type="dxa"/>
          <w:jc w:val="center"/>
        </w:trPr>
        <w:tc>
          <w:tcPr>
            <w:tcW w:w="716" w:type="dxa"/>
            <w:shd w:val="clear" w:color="auto" w:fill="C6EFCE"/>
          </w:tcPr>
          <w:p w14:paraId="1E0ECAB4"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141</w:t>
            </w:r>
          </w:p>
        </w:tc>
        <w:tc>
          <w:tcPr>
            <w:tcW w:w="1837" w:type="dxa"/>
            <w:shd w:val="clear" w:color="auto" w:fill="C6EFCE"/>
          </w:tcPr>
          <w:p w14:paraId="1E0ECAB5"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bookmarkStart w:id="4" w:name="_Hlk187937416"/>
            <w:r w:rsidRPr="00E60E42">
              <w:rPr>
                <w:rFonts w:ascii="Times New Roman" w:eastAsia="Calibri" w:hAnsi="Times New Roman" w:cs="Arial"/>
                <w:b/>
                <w:bCs/>
                <w:noProof/>
                <w:kern w:val="0"/>
                <w:sz w:val="18"/>
                <w:szCs w:val="18"/>
                <w14:ligatures w14:val="none"/>
              </w:rPr>
              <w:t xml:space="preserve">4.1.1.3.i. </w:t>
            </w:r>
          </w:p>
          <w:bookmarkEnd w:id="4"/>
          <w:p w14:paraId="1E0ECAB6"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Support for infrastructure or equipment of secondary outpatient healthcare service providers</w:t>
            </w:r>
          </w:p>
        </w:tc>
        <w:tc>
          <w:tcPr>
            <w:tcW w:w="986" w:type="dxa"/>
            <w:shd w:val="clear" w:color="auto" w:fill="C6EFCE"/>
          </w:tcPr>
          <w:p w14:paraId="1E0ECAB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843" w:type="dxa"/>
            <w:shd w:val="clear" w:color="auto" w:fill="C6EFCE"/>
          </w:tcPr>
          <w:p w14:paraId="1E0ECAB8" w14:textId="77777777" w:rsidR="004E39F6" w:rsidRPr="00E60E42" w:rsidRDefault="00A35BEA" w:rsidP="002A5857">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Secondary outpatient healthcare service providers</w:t>
            </w:r>
          </w:p>
        </w:tc>
        <w:tc>
          <w:tcPr>
            <w:tcW w:w="1701" w:type="dxa"/>
            <w:shd w:val="clear" w:color="auto" w:fill="C6EFCE"/>
          </w:tcPr>
          <w:p w14:paraId="1E0ECAB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B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tcPr>
          <w:p w14:paraId="1E0ECAB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851" w:type="dxa"/>
            <w:shd w:val="clear" w:color="auto" w:fill="C6EFCE"/>
          </w:tcPr>
          <w:p w14:paraId="1E0ECAB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w:t>
            </w:r>
          </w:p>
        </w:tc>
        <w:tc>
          <w:tcPr>
            <w:tcW w:w="850" w:type="dxa"/>
            <w:shd w:val="clear" w:color="auto" w:fill="C6EFCE"/>
          </w:tcPr>
          <w:p w14:paraId="1E0ECAB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AB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5" w:type="dxa"/>
            <w:shd w:val="clear" w:color="auto" w:fill="C6EFCE"/>
          </w:tcPr>
          <w:p w14:paraId="1E0ECABF" w14:textId="77777777" w:rsidR="004E39F6" w:rsidRPr="00E60E42" w:rsidRDefault="00A35BEA" w:rsidP="002A5857">
            <w:pPr>
              <w:spacing w:after="120" w:line="240" w:lineRule="auto"/>
              <w:jc w:val="both"/>
              <w:rPr>
                <w:rFonts w:ascii="Times New Roman" w:eastAsia="Times New Roman" w:hAnsi="Times New Roman" w:cs="Times New Roman"/>
                <w:noProof/>
                <w:color w:val="751D20"/>
                <w:kern w:val="0"/>
                <w:sz w:val="18"/>
                <w:szCs w:val="18"/>
                <w:u w:val="single"/>
                <w14:ligatures w14:val="none"/>
              </w:rPr>
            </w:pPr>
            <w:r w:rsidRPr="00E60E42">
              <w:rPr>
                <w:rFonts w:ascii="Times New Roman" w:eastAsia="Calibri" w:hAnsi="Times New Roman" w:cs="Arial"/>
                <w:noProof/>
                <w:kern w:val="0"/>
                <w:sz w:val="18"/>
                <w:szCs w:val="18"/>
                <w14:ligatures w14:val="none"/>
              </w:rPr>
              <w:t xml:space="preserve">Letters of completion issued by the Central Finance and Contracting Agency for projects </w:t>
            </w:r>
            <w:r w:rsidRPr="00E60E42" w:rsidDel="008164F2">
              <w:rPr>
                <w:rFonts w:ascii="Times New Roman" w:eastAsia="Calibri" w:hAnsi="Times New Roman" w:cs="Arial"/>
                <w:noProof/>
                <w:kern w:val="0"/>
                <w:sz w:val="18"/>
                <w:szCs w:val="18"/>
                <w14:ligatures w14:val="none"/>
              </w:rPr>
              <w:t>finalised</w:t>
            </w:r>
            <w:r w:rsidRPr="00E60E42">
              <w:rPr>
                <w:rFonts w:ascii="Times New Roman" w:eastAsia="Calibri" w:hAnsi="Times New Roman" w:cs="Arial"/>
                <w:noProof/>
                <w:kern w:val="0"/>
                <w:sz w:val="18"/>
                <w:szCs w:val="18"/>
                <w14:ligatures w14:val="none"/>
              </w:rPr>
              <w:t xml:space="preserve"> in 20 secondary outpatient service providers, concerning infrastructure and equipment.</w:t>
            </w:r>
          </w:p>
        </w:tc>
      </w:tr>
      <w:tr w:rsidR="0048758A" w:rsidRPr="00E60E42" w14:paraId="1E0ECACD" w14:textId="77777777" w:rsidTr="001725BA">
        <w:trPr>
          <w:gridAfter w:val="1"/>
          <w:wAfter w:w="6" w:type="dxa"/>
          <w:jc w:val="center"/>
        </w:trPr>
        <w:tc>
          <w:tcPr>
            <w:tcW w:w="716" w:type="dxa"/>
            <w:shd w:val="clear" w:color="auto" w:fill="C6EFCE"/>
          </w:tcPr>
          <w:p w14:paraId="1E0ECAC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142</w:t>
            </w:r>
          </w:p>
        </w:tc>
        <w:tc>
          <w:tcPr>
            <w:tcW w:w="1837" w:type="dxa"/>
            <w:shd w:val="clear" w:color="auto" w:fill="C6EFCE"/>
          </w:tcPr>
          <w:p w14:paraId="1E0ECAC2"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4.1.1.3.i. </w:t>
            </w:r>
          </w:p>
          <w:p w14:paraId="1E0ECAC3"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Support for infrastructure or equipment of secondary outpatient healthcare service providers</w:t>
            </w:r>
          </w:p>
        </w:tc>
        <w:tc>
          <w:tcPr>
            <w:tcW w:w="986" w:type="dxa"/>
            <w:shd w:val="clear" w:color="auto" w:fill="C6EFCE"/>
          </w:tcPr>
          <w:p w14:paraId="1E0ECAC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843" w:type="dxa"/>
            <w:shd w:val="clear" w:color="auto" w:fill="C6EFCE"/>
          </w:tcPr>
          <w:p w14:paraId="1E0ECAC5" w14:textId="77777777" w:rsidR="004E39F6" w:rsidRPr="00E60E42" w:rsidRDefault="00A35BEA" w:rsidP="002A5857">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Secondary outpatient healthcare service providers</w:t>
            </w:r>
          </w:p>
        </w:tc>
        <w:tc>
          <w:tcPr>
            <w:tcW w:w="1701" w:type="dxa"/>
            <w:shd w:val="clear" w:color="auto" w:fill="C6EFCE"/>
          </w:tcPr>
          <w:p w14:paraId="1E0ECAC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C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tcPr>
          <w:p w14:paraId="1E0ECAC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w:t>
            </w:r>
          </w:p>
        </w:tc>
        <w:tc>
          <w:tcPr>
            <w:tcW w:w="851" w:type="dxa"/>
            <w:shd w:val="clear" w:color="auto" w:fill="C6EFCE"/>
          </w:tcPr>
          <w:p w14:paraId="1E0ECAC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40</w:t>
            </w:r>
          </w:p>
        </w:tc>
        <w:tc>
          <w:tcPr>
            <w:tcW w:w="850" w:type="dxa"/>
            <w:shd w:val="clear" w:color="auto" w:fill="C6EFCE"/>
          </w:tcPr>
          <w:p w14:paraId="1E0ECAC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AC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5" w:type="dxa"/>
            <w:shd w:val="clear" w:color="auto" w:fill="C6EFCE"/>
          </w:tcPr>
          <w:p w14:paraId="1E0ECACC" w14:textId="77777777" w:rsidR="004E39F6" w:rsidRPr="00E60E42" w:rsidRDefault="00A35BEA" w:rsidP="002A5857">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 xml:space="preserve">Letters of completion issued by the Central Finance and Contracting Agency for projects </w:t>
            </w:r>
            <w:r w:rsidRPr="00E60E42" w:rsidDel="008164F2">
              <w:rPr>
                <w:rFonts w:ascii="Times New Roman" w:eastAsia="Calibri" w:hAnsi="Times New Roman" w:cs="Arial"/>
                <w:noProof/>
                <w:kern w:val="0"/>
                <w:sz w:val="18"/>
                <w:szCs w:val="18"/>
                <w14:ligatures w14:val="none"/>
              </w:rPr>
              <w:t>finalised</w:t>
            </w:r>
            <w:r w:rsidRPr="00E60E42">
              <w:rPr>
                <w:rFonts w:ascii="Times New Roman" w:eastAsia="Calibri" w:hAnsi="Times New Roman" w:cs="Arial"/>
                <w:noProof/>
                <w:kern w:val="0"/>
                <w:sz w:val="18"/>
                <w:szCs w:val="18"/>
                <w14:ligatures w14:val="none"/>
              </w:rPr>
              <w:t xml:space="preserve"> in 20 secondary outpatient service providers, concerning infrastructure and equipment.</w:t>
            </w:r>
          </w:p>
        </w:tc>
      </w:tr>
      <w:tr w:rsidR="0048758A" w:rsidRPr="00E60E42" w14:paraId="1E0ECADB" w14:textId="77777777" w:rsidTr="001725BA">
        <w:trPr>
          <w:gridAfter w:val="1"/>
          <w:wAfter w:w="6" w:type="dxa"/>
          <w:jc w:val="center"/>
        </w:trPr>
        <w:tc>
          <w:tcPr>
            <w:tcW w:w="716" w:type="dxa"/>
            <w:shd w:val="clear" w:color="auto" w:fill="C6EFCE"/>
          </w:tcPr>
          <w:p w14:paraId="1E0ECACE"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143</w:t>
            </w:r>
          </w:p>
        </w:tc>
        <w:tc>
          <w:tcPr>
            <w:tcW w:w="1837" w:type="dxa"/>
            <w:shd w:val="clear" w:color="auto" w:fill="C6EFCE"/>
          </w:tcPr>
          <w:p w14:paraId="1E0ECACF"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4.2.1.r. </w:t>
            </w:r>
          </w:p>
          <w:p w14:paraId="1E0ECAD0"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Provision of human resources and upskilling</w:t>
            </w:r>
          </w:p>
        </w:tc>
        <w:tc>
          <w:tcPr>
            <w:tcW w:w="986" w:type="dxa"/>
            <w:shd w:val="clear" w:color="auto" w:fill="C6EFCE"/>
          </w:tcPr>
          <w:p w14:paraId="1E0ECAD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D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Human resources development strategy</w:t>
            </w:r>
          </w:p>
        </w:tc>
        <w:tc>
          <w:tcPr>
            <w:tcW w:w="1701" w:type="dxa"/>
            <w:shd w:val="clear" w:color="auto" w:fill="C6EFCE"/>
          </w:tcPr>
          <w:p w14:paraId="1E0ECAD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Latvian authorities have adopted a comprehensive health workforce strategy, which includes models for lifelong learning and for health workforce planning</w:t>
            </w:r>
          </w:p>
        </w:tc>
        <w:tc>
          <w:tcPr>
            <w:tcW w:w="992" w:type="dxa"/>
            <w:shd w:val="clear" w:color="auto" w:fill="C6EFCE"/>
          </w:tcPr>
          <w:p w14:paraId="1E0ECAD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D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D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D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shd w:val="clear" w:color="auto" w:fill="C6EFCE"/>
          </w:tcPr>
          <w:p w14:paraId="1E0ECAD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365" w:type="dxa"/>
            <w:shd w:val="clear" w:color="auto" w:fill="C6EFCE"/>
          </w:tcPr>
          <w:p w14:paraId="1E0ECAD9"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human resources development strategy has been adopted, in consultation with social partners and other stakeholders, in accordance with the Cabinet of Ministers’ Rules of Procedure.</w:t>
            </w:r>
          </w:p>
          <w:p w14:paraId="1E0ECADA"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health workforce strategy shall provide a framework for the development of health workforce planning mechanism, including needs for under-graduate and post-graduate study places, a robust information system that shall include up-to-date information at individual level on the development of the skills and competences of medical practitioners during their career and an effective lifelong learning planning and management. The strategy shall also lay out the principles of the healthcare remuneration model.</w:t>
            </w:r>
          </w:p>
        </w:tc>
      </w:tr>
      <w:tr w:rsidR="0048758A" w:rsidRPr="00E60E42" w14:paraId="1E0ECAEA" w14:textId="77777777" w:rsidTr="001725BA">
        <w:trPr>
          <w:gridAfter w:val="1"/>
          <w:wAfter w:w="6" w:type="dxa"/>
          <w:jc w:val="center"/>
        </w:trPr>
        <w:tc>
          <w:tcPr>
            <w:tcW w:w="716" w:type="dxa"/>
            <w:shd w:val="clear" w:color="auto" w:fill="C6EFCE"/>
          </w:tcPr>
          <w:p w14:paraId="1E0ECAD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144</w:t>
            </w:r>
          </w:p>
        </w:tc>
        <w:tc>
          <w:tcPr>
            <w:tcW w:w="1837" w:type="dxa"/>
            <w:shd w:val="clear" w:color="auto" w:fill="C6EFCE"/>
          </w:tcPr>
          <w:p w14:paraId="1E0ECADD"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4.2.1.r. </w:t>
            </w:r>
          </w:p>
          <w:p w14:paraId="1E0ECADE"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Provision of human resources and upskilling</w:t>
            </w:r>
          </w:p>
        </w:tc>
        <w:tc>
          <w:tcPr>
            <w:tcW w:w="986" w:type="dxa"/>
            <w:shd w:val="clear" w:color="auto" w:fill="C6EFCE"/>
          </w:tcPr>
          <w:p w14:paraId="1E0ECAD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E0"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Human Resources Mapping in Healthcare </w:t>
            </w:r>
          </w:p>
        </w:tc>
        <w:tc>
          <w:tcPr>
            <w:tcW w:w="1701" w:type="dxa"/>
            <w:shd w:val="clear" w:color="auto" w:fill="C6EFCE"/>
          </w:tcPr>
          <w:p w14:paraId="1E0ECAE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Human resources mapping developed and approved by the Ministry of Health</w:t>
            </w:r>
          </w:p>
        </w:tc>
        <w:tc>
          <w:tcPr>
            <w:tcW w:w="992" w:type="dxa"/>
            <w:shd w:val="clear" w:color="auto" w:fill="C6EFCE"/>
          </w:tcPr>
          <w:p w14:paraId="1E0ECAE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E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E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E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AE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365" w:type="dxa"/>
            <w:shd w:val="clear" w:color="auto" w:fill="C6EFCE"/>
          </w:tcPr>
          <w:p w14:paraId="1E0ECAE7" w14:textId="77777777" w:rsidR="004E39F6" w:rsidRPr="00E60E42" w:rsidRDefault="00A35BEA" w:rsidP="002A5857">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human resources in healthcare mapping has been completed. </w:t>
            </w:r>
          </w:p>
          <w:p w14:paraId="1E0ECAE8" w14:textId="77777777" w:rsidR="004E39F6" w:rsidRPr="00E60E42" w:rsidRDefault="00A35BEA" w:rsidP="002A5857">
            <w:pPr>
              <w:spacing w:after="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mapping shall include detailed information on the number of health professionals working in different disciplines, in the public and in the private sector, at all levels of care. </w:t>
            </w:r>
          </w:p>
          <w:p w14:paraId="1E0ECAE9" w14:textId="77777777" w:rsidR="004E39F6" w:rsidRPr="00E60E42" w:rsidRDefault="00A35BEA" w:rsidP="002A5857">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mapping shall also include detailed information on the workload borne by health professionals and on continuous training, highlighting the criticalities in the assessed levels of qualification and in the readiness to deal with technological and organisational innovation. </w:t>
            </w:r>
          </w:p>
        </w:tc>
      </w:tr>
      <w:tr w:rsidR="0048758A" w:rsidRPr="00E60E42" w14:paraId="1E0ECAF7" w14:textId="77777777" w:rsidTr="001725BA">
        <w:trPr>
          <w:gridAfter w:val="1"/>
          <w:wAfter w:w="6" w:type="dxa"/>
          <w:jc w:val="center"/>
        </w:trPr>
        <w:tc>
          <w:tcPr>
            <w:tcW w:w="716" w:type="dxa"/>
            <w:shd w:val="clear" w:color="auto" w:fill="C6EFCE"/>
          </w:tcPr>
          <w:p w14:paraId="1E0ECAE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145</w:t>
            </w:r>
          </w:p>
        </w:tc>
        <w:tc>
          <w:tcPr>
            <w:tcW w:w="1837" w:type="dxa"/>
            <w:shd w:val="clear" w:color="auto" w:fill="C6EFCE"/>
          </w:tcPr>
          <w:p w14:paraId="1E0ECAEC"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4.2.1.r. </w:t>
            </w:r>
          </w:p>
          <w:p w14:paraId="1E0ECAED"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Provision of human resources and upskilling</w:t>
            </w:r>
          </w:p>
        </w:tc>
        <w:tc>
          <w:tcPr>
            <w:tcW w:w="986" w:type="dxa"/>
            <w:shd w:val="clear" w:color="auto" w:fill="C6EFCE"/>
          </w:tcPr>
          <w:p w14:paraId="1E0ECAE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E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New remuneration model for healthcare staff </w:t>
            </w:r>
          </w:p>
        </w:tc>
        <w:tc>
          <w:tcPr>
            <w:tcW w:w="1701" w:type="dxa"/>
            <w:shd w:val="clear" w:color="auto" w:fill="C6EFCE"/>
          </w:tcPr>
          <w:p w14:paraId="1E0ECAF0" w14:textId="77777777" w:rsidR="004E39F6" w:rsidRPr="00E60E42" w:rsidRDefault="00A35BEA" w:rsidP="002A5857">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Entry into force of legal act(s)</w:t>
            </w:r>
          </w:p>
        </w:tc>
        <w:tc>
          <w:tcPr>
            <w:tcW w:w="992" w:type="dxa"/>
            <w:shd w:val="clear" w:color="auto" w:fill="C6EFCE"/>
          </w:tcPr>
          <w:p w14:paraId="1E0ECAF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F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AF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AF4" w14:textId="77777777" w:rsidR="004E39F6" w:rsidRPr="00E60E42" w:rsidRDefault="00A35BEA" w:rsidP="002A5857">
            <w:pPr>
              <w:spacing w:after="120" w:line="240" w:lineRule="auto"/>
              <w:jc w:val="center"/>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shd w:val="clear" w:color="auto" w:fill="C6EFCE"/>
          </w:tcPr>
          <w:p w14:paraId="1E0ECAF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5" w:type="dxa"/>
            <w:shd w:val="clear" w:color="auto" w:fill="C6EFCE"/>
          </w:tcPr>
          <w:p w14:paraId="1E0ECAF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new remuneration model for healthcare staff shall include a transparent wage calculation mechanism and streamline the wages in state-funded inpatient healthcare services with the aim to ensure fairness. The minimum wage for healthcare staff shall be increased.</w:t>
            </w:r>
          </w:p>
        </w:tc>
      </w:tr>
      <w:tr w:rsidR="0048758A" w:rsidRPr="00E60E42" w14:paraId="1E0ECB07" w14:textId="77777777" w:rsidTr="001725BA">
        <w:trPr>
          <w:gridAfter w:val="1"/>
          <w:wAfter w:w="6" w:type="dxa"/>
          <w:jc w:val="center"/>
        </w:trPr>
        <w:tc>
          <w:tcPr>
            <w:tcW w:w="716" w:type="dxa"/>
            <w:shd w:val="clear" w:color="auto" w:fill="C6EFCE"/>
          </w:tcPr>
          <w:p w14:paraId="1E0ECAF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146</w:t>
            </w:r>
          </w:p>
        </w:tc>
        <w:tc>
          <w:tcPr>
            <w:tcW w:w="1837" w:type="dxa"/>
            <w:shd w:val="clear" w:color="auto" w:fill="C6EFCE"/>
          </w:tcPr>
          <w:p w14:paraId="1E0ECAF9"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4.2.1.r. </w:t>
            </w:r>
          </w:p>
          <w:p w14:paraId="1E0ECAFA"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Provision of human resources and upskilling</w:t>
            </w:r>
          </w:p>
        </w:tc>
        <w:tc>
          <w:tcPr>
            <w:tcW w:w="986" w:type="dxa"/>
            <w:shd w:val="clear" w:color="auto" w:fill="C6EFCE"/>
          </w:tcPr>
          <w:p w14:paraId="1E0ECAFB" w14:textId="6322436B"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AF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model for health workforce planning</w:t>
            </w:r>
          </w:p>
        </w:tc>
        <w:tc>
          <w:tcPr>
            <w:tcW w:w="1701" w:type="dxa"/>
            <w:shd w:val="clear" w:color="auto" w:fill="C6EFCE"/>
          </w:tcPr>
          <w:p w14:paraId="1E0ECAF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and deployment of a model for forecasting future health workforce needs </w:t>
            </w:r>
          </w:p>
        </w:tc>
        <w:tc>
          <w:tcPr>
            <w:tcW w:w="992" w:type="dxa"/>
            <w:shd w:val="clear" w:color="auto" w:fill="C6EFCE"/>
          </w:tcPr>
          <w:p w14:paraId="1E0ECAF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AF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0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0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B0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5" w:type="dxa"/>
            <w:shd w:val="clear" w:color="auto" w:fill="C6EFCE"/>
          </w:tcPr>
          <w:p w14:paraId="1E0ECB03"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model (IT tool) to forecast the future needs of health workforce delivered and approved by the Ministry of Health. The model is to be used for planning purposes. The model shall provide estimates, based on projected population health care needs and the organisation of healthcare service delivery, on: </w:t>
            </w:r>
          </w:p>
          <w:p w14:paraId="1E0ECB04" w14:textId="77777777" w:rsidR="004E39F6" w:rsidRPr="00E60E42" w:rsidRDefault="00A35BEA" w:rsidP="002A5857">
            <w:pPr>
              <w:numPr>
                <w:ilvl w:val="0"/>
                <w:numId w:val="27"/>
              </w:numPr>
              <w:spacing w:after="200" w:line="259" w:lineRule="auto"/>
              <w:ind w:left="165" w:hanging="142"/>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need for healthcare professionals, by specialty and geographic area / place of practice; </w:t>
            </w:r>
          </w:p>
          <w:p w14:paraId="1E0ECB05" w14:textId="77777777" w:rsidR="004E39F6" w:rsidRPr="00E60E42" w:rsidRDefault="00A35BEA" w:rsidP="002A5857">
            <w:pPr>
              <w:numPr>
                <w:ilvl w:val="0"/>
                <w:numId w:val="27"/>
              </w:numPr>
              <w:spacing w:after="200" w:line="259" w:lineRule="auto"/>
              <w:ind w:left="163" w:hanging="142"/>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need for professional development of health professionals,</w:t>
            </w:r>
          </w:p>
          <w:p w14:paraId="1E0ECB06" w14:textId="77777777" w:rsidR="004E39F6" w:rsidRPr="00E60E42" w:rsidRDefault="00A35BEA" w:rsidP="002A5857">
            <w:pPr>
              <w:numPr>
                <w:ilvl w:val="0"/>
                <w:numId w:val="27"/>
              </w:numPr>
              <w:spacing w:after="200" w:line="259" w:lineRule="auto"/>
              <w:ind w:left="163" w:hanging="142"/>
              <w:contextualSpacing/>
              <w:jc w:val="both"/>
              <w:rPr>
                <w:rFonts w:ascii="Times New Roman" w:eastAsia="MS Mincho"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Expected gaps in workforce supply.</w:t>
            </w:r>
          </w:p>
        </w:tc>
      </w:tr>
      <w:tr w:rsidR="0048758A" w:rsidRPr="00E60E42" w14:paraId="1E0ECB15" w14:textId="77777777" w:rsidTr="001725BA">
        <w:trPr>
          <w:gridAfter w:val="1"/>
          <w:wAfter w:w="6" w:type="dxa"/>
          <w:jc w:val="center"/>
        </w:trPr>
        <w:tc>
          <w:tcPr>
            <w:tcW w:w="716" w:type="dxa"/>
            <w:shd w:val="clear" w:color="auto" w:fill="C6EFCE"/>
          </w:tcPr>
          <w:p w14:paraId="1E0ECB0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147</w:t>
            </w:r>
          </w:p>
        </w:tc>
        <w:tc>
          <w:tcPr>
            <w:tcW w:w="1837" w:type="dxa"/>
            <w:shd w:val="clear" w:color="auto" w:fill="C6EFCE"/>
          </w:tcPr>
          <w:p w14:paraId="1E0ECB09"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4.2.1.1.i. </w:t>
            </w:r>
          </w:p>
          <w:p w14:paraId="1E0ECB0A"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Support for the implementation of the human resources development system</w:t>
            </w:r>
          </w:p>
        </w:tc>
        <w:tc>
          <w:tcPr>
            <w:tcW w:w="986" w:type="dxa"/>
            <w:shd w:val="clear" w:color="auto" w:fill="C6EFCE"/>
          </w:tcPr>
          <w:p w14:paraId="1E0ECB0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B0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coordinating mechanism for health workforce training established</w:t>
            </w:r>
          </w:p>
        </w:tc>
        <w:tc>
          <w:tcPr>
            <w:tcW w:w="1701" w:type="dxa"/>
            <w:shd w:val="clear" w:color="auto" w:fill="C6EFCE"/>
          </w:tcPr>
          <w:p w14:paraId="1E0ECB0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coordination mechanism for continuous health workforce training ensuring cooperation between the involved institutions, methodological management and quality control established by the Ministry of Health </w:t>
            </w:r>
          </w:p>
        </w:tc>
        <w:tc>
          <w:tcPr>
            <w:tcW w:w="992" w:type="dxa"/>
            <w:shd w:val="clear" w:color="auto" w:fill="C6EFCE"/>
          </w:tcPr>
          <w:p w14:paraId="1E0ECB0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0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1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1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B1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365" w:type="dxa"/>
            <w:shd w:val="clear" w:color="auto" w:fill="C6EFCE"/>
          </w:tcPr>
          <w:p w14:paraId="1E0ECB13"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establishment of a coordination mechanism for the management of the continuous education process, as evidenced by the relevant supporting documents of the Ministry of Health (e.g. orders, decisions). </w:t>
            </w:r>
          </w:p>
          <w:p w14:paraId="1E0ECB14"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organisational model for continuing training shall be developed, focusing on the content of the training, the form of training, the necessary facilities and equipment (e.g. simulations, use of virtual reality, etc.), as well as cooperation mechanisms between educational institutions, clinical university hospitals, regional hospitals and other key stakeholders. The organisational model, a governance structure and clear lines of responsibility and accountability shall be established. Guidelines for the procurement of training services, as well as quality standards for training and system for monitoring and evaluating.</w:t>
            </w:r>
          </w:p>
        </w:tc>
      </w:tr>
      <w:tr w:rsidR="0048758A" w:rsidRPr="00E60E42" w14:paraId="1E0ECB22" w14:textId="77777777" w:rsidTr="001725BA">
        <w:trPr>
          <w:gridAfter w:val="1"/>
          <w:wAfter w:w="6" w:type="dxa"/>
          <w:jc w:val="center"/>
        </w:trPr>
        <w:tc>
          <w:tcPr>
            <w:tcW w:w="716" w:type="dxa"/>
            <w:shd w:val="clear" w:color="auto" w:fill="C6EFCE"/>
          </w:tcPr>
          <w:p w14:paraId="1E0ECB16"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sidDel="00416E9A">
              <w:rPr>
                <w:rFonts w:ascii="Times New Roman" w:eastAsia="Calibri" w:hAnsi="Times New Roman" w:cs="Arial"/>
                <w:noProof/>
                <w:kern w:val="0"/>
                <w:sz w:val="18"/>
                <w:szCs w:val="18"/>
                <w14:ligatures w14:val="none"/>
              </w:rPr>
              <w:t>148</w:t>
            </w:r>
          </w:p>
        </w:tc>
        <w:tc>
          <w:tcPr>
            <w:tcW w:w="1837" w:type="dxa"/>
            <w:shd w:val="clear" w:color="auto" w:fill="C6EFCE"/>
          </w:tcPr>
          <w:p w14:paraId="1E0ECB17" w14:textId="77777777" w:rsidR="004E39F6" w:rsidRPr="00E60E42" w:rsidDel="00416E9A"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sidDel="00416E9A">
              <w:rPr>
                <w:rFonts w:ascii="Times New Roman" w:eastAsia="Calibri" w:hAnsi="Times New Roman" w:cs="Arial"/>
                <w:b/>
                <w:noProof/>
                <w:kern w:val="0"/>
                <w:sz w:val="18"/>
                <w:szCs w:val="18"/>
                <w14:ligatures w14:val="none"/>
              </w:rPr>
              <w:t xml:space="preserve">4.2.1.1.i. </w:t>
            </w:r>
          </w:p>
          <w:p w14:paraId="1E0ECB18"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sidDel="00416E9A">
              <w:rPr>
                <w:rFonts w:ascii="Times New Roman" w:eastAsia="Calibri" w:hAnsi="Times New Roman" w:cs="Arial"/>
                <w:b/>
                <w:noProof/>
                <w:kern w:val="0"/>
                <w:sz w:val="18"/>
                <w:szCs w:val="18"/>
                <w14:ligatures w14:val="none"/>
              </w:rPr>
              <w:t>Support for the implementation of the human resources development system</w:t>
            </w:r>
          </w:p>
        </w:tc>
        <w:tc>
          <w:tcPr>
            <w:tcW w:w="986" w:type="dxa"/>
            <w:shd w:val="clear" w:color="auto" w:fill="C6EFCE"/>
          </w:tcPr>
          <w:p w14:paraId="1E0ECB1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sidDel="00416E9A">
              <w:rPr>
                <w:rFonts w:ascii="Times New Roman" w:eastAsia="Calibri" w:hAnsi="Times New Roman" w:cs="Arial"/>
                <w:noProof/>
                <w:kern w:val="0"/>
                <w:sz w:val="18"/>
                <w:szCs w:val="18"/>
                <w14:ligatures w14:val="none"/>
              </w:rPr>
              <w:t>Milestone</w:t>
            </w:r>
          </w:p>
        </w:tc>
        <w:tc>
          <w:tcPr>
            <w:tcW w:w="1843" w:type="dxa"/>
            <w:shd w:val="clear" w:color="auto" w:fill="C6EFCE"/>
          </w:tcPr>
          <w:p w14:paraId="1E0ECB1A"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sidDel="00416E9A">
              <w:rPr>
                <w:rFonts w:ascii="Times New Roman" w:eastAsia="Calibri" w:hAnsi="Times New Roman" w:cs="Arial"/>
                <w:noProof/>
                <w:kern w:val="0"/>
                <w:sz w:val="18"/>
                <w:szCs w:val="18"/>
                <w14:ligatures w14:val="none"/>
              </w:rPr>
              <w:t>Simulation</w:t>
            </w:r>
            <w:r w:rsidRPr="00E60E42">
              <w:rPr>
                <w:rFonts w:ascii="Times New Roman" w:eastAsia="Calibri" w:hAnsi="Times New Roman" w:cs="Arial"/>
                <w:noProof/>
                <w:kern w:val="0"/>
                <w:sz w:val="18"/>
                <w:szCs w:val="18"/>
                <w14:ligatures w14:val="none"/>
              </w:rPr>
              <w:t>s in medical education</w:t>
            </w:r>
          </w:p>
        </w:tc>
        <w:tc>
          <w:tcPr>
            <w:tcW w:w="1701" w:type="dxa"/>
            <w:shd w:val="clear" w:color="auto" w:fill="C6EFCE"/>
          </w:tcPr>
          <w:p w14:paraId="1E0ECB1B" w14:textId="77777777" w:rsidR="004E39F6" w:rsidRPr="00E60E42" w:rsidRDefault="00A35BEA" w:rsidP="002A5857">
            <w:pPr>
              <w:spacing w:after="12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Strategy approved</w:t>
            </w:r>
          </w:p>
        </w:tc>
        <w:tc>
          <w:tcPr>
            <w:tcW w:w="992" w:type="dxa"/>
            <w:shd w:val="clear" w:color="auto" w:fill="C6EFCE"/>
          </w:tcPr>
          <w:p w14:paraId="1E0ECB1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1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1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1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sidDel="00416E9A">
              <w:rPr>
                <w:rFonts w:ascii="Times New Roman" w:eastAsia="Calibri" w:hAnsi="Times New Roman" w:cs="Arial"/>
                <w:noProof/>
                <w:kern w:val="0"/>
                <w:sz w:val="18"/>
                <w:szCs w:val="18"/>
                <w14:ligatures w14:val="none"/>
              </w:rPr>
              <w:t>Q3</w:t>
            </w:r>
          </w:p>
        </w:tc>
        <w:tc>
          <w:tcPr>
            <w:tcW w:w="709" w:type="dxa"/>
            <w:shd w:val="clear" w:color="auto" w:fill="C6EFCE"/>
          </w:tcPr>
          <w:p w14:paraId="1E0ECB2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5" w:type="dxa"/>
            <w:shd w:val="clear" w:color="auto" w:fill="C6EFCE"/>
          </w:tcPr>
          <w:p w14:paraId="1E0ECB21" w14:textId="77777777" w:rsidR="004E39F6" w:rsidRPr="00E60E42" w:rsidRDefault="00A35BEA" w:rsidP="002A5857">
            <w:pPr>
              <w:spacing w:after="12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The strategy for the introduction of simulations in medical education shall be approved by the Ministry of Health.</w:t>
            </w:r>
          </w:p>
        </w:tc>
      </w:tr>
      <w:tr w:rsidR="0048758A" w:rsidRPr="00E60E42" w14:paraId="1E0ECB30" w14:textId="77777777" w:rsidTr="001725BA">
        <w:trPr>
          <w:gridAfter w:val="1"/>
          <w:wAfter w:w="6" w:type="dxa"/>
          <w:jc w:val="center"/>
        </w:trPr>
        <w:tc>
          <w:tcPr>
            <w:tcW w:w="716" w:type="dxa"/>
            <w:shd w:val="clear" w:color="auto" w:fill="C6EFCE"/>
          </w:tcPr>
          <w:p w14:paraId="1E0ECB2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149</w:t>
            </w:r>
          </w:p>
        </w:tc>
        <w:tc>
          <w:tcPr>
            <w:tcW w:w="1837" w:type="dxa"/>
            <w:shd w:val="clear" w:color="auto" w:fill="C6EFCE"/>
          </w:tcPr>
          <w:p w14:paraId="1E0ECB24"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4.3.1.r.</w:t>
            </w:r>
          </w:p>
          <w:p w14:paraId="1E0ECB25"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Sustainability of healthcare and efficient use of health resources</w:t>
            </w:r>
          </w:p>
        </w:tc>
        <w:tc>
          <w:tcPr>
            <w:tcW w:w="986" w:type="dxa"/>
            <w:shd w:val="clear" w:color="auto" w:fill="C6EFCE"/>
          </w:tcPr>
          <w:p w14:paraId="1E0ECB2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B27"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Coordination mechanism approved to assess, develop and implement new healthcare service delivery models services</w:t>
            </w:r>
          </w:p>
        </w:tc>
        <w:tc>
          <w:tcPr>
            <w:tcW w:w="1701" w:type="dxa"/>
            <w:shd w:val="clear" w:color="auto" w:fill="C6EFCE"/>
          </w:tcPr>
          <w:p w14:paraId="1E0ECB2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Coordination mechanism to assess and implement new healthcare service delivery models developed and approved by the Ministry of Health</w:t>
            </w:r>
          </w:p>
        </w:tc>
        <w:tc>
          <w:tcPr>
            <w:tcW w:w="992" w:type="dxa"/>
            <w:shd w:val="clear" w:color="auto" w:fill="C6EFCE"/>
          </w:tcPr>
          <w:p w14:paraId="1E0ECB2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2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2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2C"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B2D"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365" w:type="dxa"/>
            <w:shd w:val="clear" w:color="auto" w:fill="C6EFCE"/>
          </w:tcPr>
          <w:p w14:paraId="1E0ECB2E"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coordinating unit within the Ministry of Health or its subordinate body is in place. It shall ensure that industry representatives are involved in the development of proposals as experts (e.g. a working group or supervisory board).</w:t>
            </w:r>
          </w:p>
          <w:p w14:paraId="1E0ECB2F"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aim of the unit is to coordinate the work to develop, implement and assess new healthcare service delivery models aimed to provide improved and more efficient provision of state-funded health services at all levels, ensuring availability and quality of services through the establishment of a system change mechanism for state-paid services.</w:t>
            </w:r>
          </w:p>
        </w:tc>
      </w:tr>
      <w:tr w:rsidR="0048758A" w:rsidRPr="00E60E42" w14:paraId="1E0ECB3D" w14:textId="77777777" w:rsidTr="001725BA">
        <w:trPr>
          <w:gridAfter w:val="1"/>
          <w:wAfter w:w="6" w:type="dxa"/>
          <w:jc w:val="center"/>
        </w:trPr>
        <w:tc>
          <w:tcPr>
            <w:tcW w:w="716" w:type="dxa"/>
            <w:shd w:val="clear" w:color="auto" w:fill="C6EFCE"/>
          </w:tcPr>
          <w:p w14:paraId="1E0ECB31"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150</w:t>
            </w:r>
          </w:p>
        </w:tc>
        <w:tc>
          <w:tcPr>
            <w:tcW w:w="1837" w:type="dxa"/>
            <w:shd w:val="clear" w:color="auto" w:fill="C6EFCE"/>
          </w:tcPr>
          <w:p w14:paraId="1E0ECB32" w14:textId="77777777" w:rsidR="004E39F6" w:rsidRPr="00E60E42" w:rsidRDefault="00A35BEA" w:rsidP="002A5857">
            <w:pPr>
              <w:spacing w:after="120" w:line="240" w:lineRule="auto"/>
              <w:contextualSpacing/>
              <w:rPr>
                <w:rFonts w:ascii="Times New Roman" w:eastAsia="Calibri"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4.3.1.r. </w:t>
            </w:r>
          </w:p>
          <w:p w14:paraId="1E0ECB33"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Sustainability of healthcare and efficient use of health resources</w:t>
            </w:r>
          </w:p>
        </w:tc>
        <w:tc>
          <w:tcPr>
            <w:tcW w:w="986" w:type="dxa"/>
            <w:shd w:val="clear" w:color="auto" w:fill="C6EFCE"/>
          </w:tcPr>
          <w:p w14:paraId="1E0ECB3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843" w:type="dxa"/>
            <w:shd w:val="clear" w:color="auto" w:fill="C6EFCE"/>
          </w:tcPr>
          <w:p w14:paraId="1E0ECB35"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New healthcare service delivery models</w:t>
            </w:r>
          </w:p>
        </w:tc>
        <w:tc>
          <w:tcPr>
            <w:tcW w:w="1701" w:type="dxa"/>
            <w:shd w:val="clear" w:color="auto" w:fill="C6EFCE"/>
          </w:tcPr>
          <w:p w14:paraId="1E0ECB3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3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tcPr>
          <w:p w14:paraId="1E0ECB3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851" w:type="dxa"/>
            <w:shd w:val="clear" w:color="auto" w:fill="C6EFCE"/>
          </w:tcPr>
          <w:p w14:paraId="1E0ECB39"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w:t>
            </w:r>
          </w:p>
        </w:tc>
        <w:tc>
          <w:tcPr>
            <w:tcW w:w="850" w:type="dxa"/>
            <w:shd w:val="clear" w:color="auto" w:fill="C6EFCE"/>
          </w:tcPr>
          <w:p w14:paraId="1E0ECB3A"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9" w:type="dxa"/>
            <w:shd w:val="clear" w:color="auto" w:fill="C6EFCE"/>
          </w:tcPr>
          <w:p w14:paraId="1E0ECB3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5" w:type="dxa"/>
            <w:shd w:val="clear" w:color="auto" w:fill="C6EFCE"/>
          </w:tcPr>
          <w:p w14:paraId="1E0ECB3C"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For each of the ten new models of healthcare service delivery, a report demonstrating that the model has been tested shall be prepared. </w:t>
            </w:r>
          </w:p>
        </w:tc>
      </w:tr>
      <w:tr w:rsidR="0048758A" w:rsidRPr="00E60E42" w14:paraId="1E0ECB4A" w14:textId="77777777" w:rsidTr="001725BA">
        <w:trPr>
          <w:gridAfter w:val="1"/>
          <w:wAfter w:w="6" w:type="dxa"/>
          <w:jc w:val="center"/>
        </w:trPr>
        <w:tc>
          <w:tcPr>
            <w:tcW w:w="716" w:type="dxa"/>
            <w:shd w:val="clear" w:color="auto" w:fill="C6EFCE"/>
          </w:tcPr>
          <w:p w14:paraId="1E0ECB3E"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151</w:t>
            </w:r>
          </w:p>
        </w:tc>
        <w:tc>
          <w:tcPr>
            <w:tcW w:w="1837" w:type="dxa"/>
            <w:shd w:val="clear" w:color="auto" w:fill="C6EFCE"/>
          </w:tcPr>
          <w:p w14:paraId="1E0ECB3F"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4.3.1.1.i. </w:t>
            </w:r>
          </w:p>
          <w:p w14:paraId="1E0ECB40"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Support for assessing and improving the quality and accessibility of non-hospital secondary healthcare</w:t>
            </w:r>
          </w:p>
        </w:tc>
        <w:tc>
          <w:tcPr>
            <w:tcW w:w="986" w:type="dxa"/>
            <w:shd w:val="clear" w:color="auto" w:fill="C6EFCE"/>
          </w:tcPr>
          <w:p w14:paraId="1E0ECB4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B42"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a methodology for the study on the quality and availability of non-hospital secondary healthcare </w:t>
            </w:r>
          </w:p>
        </w:tc>
        <w:tc>
          <w:tcPr>
            <w:tcW w:w="1701" w:type="dxa"/>
            <w:shd w:val="clear" w:color="auto" w:fill="C6EFCE"/>
          </w:tcPr>
          <w:p w14:paraId="1E0ECB43"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methodology by the Ministry of Health</w:t>
            </w:r>
          </w:p>
        </w:tc>
        <w:tc>
          <w:tcPr>
            <w:tcW w:w="992" w:type="dxa"/>
            <w:shd w:val="clear" w:color="auto" w:fill="C6EFCE"/>
          </w:tcPr>
          <w:p w14:paraId="1E0ECB4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4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46"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47"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B48"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365" w:type="dxa"/>
            <w:shd w:val="clear" w:color="auto" w:fill="C6EFCE"/>
          </w:tcPr>
          <w:p w14:paraId="1E0ECB49"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milestone shall be considered to be achieved after the approval by the Ministry of Health of a methodology required for carrying out the study aimed to assess the quality and accessibility of health care, including non-hospital secondary health service level mapping and the impact of the administrative territorial reform</w:t>
            </w:r>
          </w:p>
        </w:tc>
      </w:tr>
      <w:tr w:rsidR="0048758A" w:rsidRPr="00E60E42" w14:paraId="1E0ECB57" w14:textId="77777777" w:rsidTr="001725BA">
        <w:trPr>
          <w:gridAfter w:val="1"/>
          <w:wAfter w:w="6" w:type="dxa"/>
          <w:jc w:val="center"/>
        </w:trPr>
        <w:tc>
          <w:tcPr>
            <w:tcW w:w="716" w:type="dxa"/>
            <w:shd w:val="clear" w:color="auto" w:fill="C6EFCE"/>
          </w:tcPr>
          <w:p w14:paraId="1E0ECB4B"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152</w:t>
            </w:r>
          </w:p>
        </w:tc>
        <w:tc>
          <w:tcPr>
            <w:tcW w:w="1837" w:type="dxa"/>
            <w:shd w:val="clear" w:color="auto" w:fill="C6EFCE"/>
          </w:tcPr>
          <w:p w14:paraId="1E0ECB4C"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4.3.1.1.i.</w:t>
            </w:r>
          </w:p>
          <w:p w14:paraId="1E0ECB4D"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Support for assessing and improving the quality and accessibility of non-hospital secondary healthcare</w:t>
            </w:r>
          </w:p>
        </w:tc>
        <w:tc>
          <w:tcPr>
            <w:tcW w:w="986" w:type="dxa"/>
            <w:shd w:val="clear" w:color="auto" w:fill="C6EFCE"/>
          </w:tcPr>
          <w:p w14:paraId="1E0ECB4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B4F"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Study on the quality, accessibility and availability of non-hospital secondary healthcare </w:t>
            </w:r>
          </w:p>
        </w:tc>
        <w:tc>
          <w:tcPr>
            <w:tcW w:w="1701" w:type="dxa"/>
            <w:shd w:val="clear" w:color="auto" w:fill="C6EFCE"/>
          </w:tcPr>
          <w:p w14:paraId="1E0ECB50"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study on the quality accessibility and availability of non-hospital secondary healthcare published by the Ministry of Health </w:t>
            </w:r>
          </w:p>
        </w:tc>
        <w:tc>
          <w:tcPr>
            <w:tcW w:w="992" w:type="dxa"/>
            <w:shd w:val="clear" w:color="auto" w:fill="C6EFCE"/>
          </w:tcPr>
          <w:p w14:paraId="1E0ECB5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5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53"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54"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B55"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365" w:type="dxa"/>
            <w:shd w:val="clear" w:color="auto" w:fill="C6EFCE"/>
          </w:tcPr>
          <w:p w14:paraId="1E0ECB56"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Study carried out and published by the Ministry of Health that covers the assessment of the quality, availability and accessibility of non-hospital secondary care, including non-hospital secondary health service level mapping and the impact of the administrative territorial reform. The study includes health system assessment and proposals for systemic improvement.</w:t>
            </w:r>
          </w:p>
        </w:tc>
      </w:tr>
      <w:tr w:rsidR="0048758A" w:rsidRPr="00E60E42" w14:paraId="1E0ECB64" w14:textId="77777777" w:rsidTr="001725BA">
        <w:trPr>
          <w:gridAfter w:val="1"/>
          <w:wAfter w:w="6" w:type="dxa"/>
          <w:jc w:val="center"/>
        </w:trPr>
        <w:tc>
          <w:tcPr>
            <w:tcW w:w="716" w:type="dxa"/>
            <w:shd w:val="clear" w:color="auto" w:fill="C6EFCE"/>
          </w:tcPr>
          <w:p w14:paraId="1E0ECB58"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153</w:t>
            </w:r>
          </w:p>
        </w:tc>
        <w:tc>
          <w:tcPr>
            <w:tcW w:w="1837" w:type="dxa"/>
            <w:shd w:val="clear" w:color="auto" w:fill="C6EFCE"/>
          </w:tcPr>
          <w:p w14:paraId="1E0ECB59"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 xml:space="preserve">4.3.1.1.i. </w:t>
            </w:r>
          </w:p>
          <w:p w14:paraId="1E0ECB5A" w14:textId="77777777" w:rsidR="004E39F6" w:rsidRPr="00E60E42" w:rsidRDefault="00A35BEA" w:rsidP="002A5857">
            <w:pPr>
              <w:spacing w:after="120" w:line="240" w:lineRule="auto"/>
              <w:contextualSpacing/>
              <w:rPr>
                <w:rFonts w:ascii="Times New Roman" w:eastAsia="Calibri"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Support for assessing and improving the quality and accessibility of non-hospital secondary healthcare</w:t>
            </w:r>
          </w:p>
        </w:tc>
        <w:tc>
          <w:tcPr>
            <w:tcW w:w="986" w:type="dxa"/>
            <w:shd w:val="clear" w:color="auto" w:fill="C6EFCE"/>
          </w:tcPr>
          <w:p w14:paraId="1E0ECB5B"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843" w:type="dxa"/>
            <w:shd w:val="clear" w:color="auto" w:fill="C6EFCE"/>
          </w:tcPr>
          <w:p w14:paraId="1E0ECB5C"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Public health policies</w:t>
            </w:r>
          </w:p>
        </w:tc>
        <w:tc>
          <w:tcPr>
            <w:tcW w:w="1701" w:type="dxa"/>
            <w:shd w:val="clear" w:color="auto" w:fill="C6EFCE"/>
          </w:tcPr>
          <w:p w14:paraId="1E0ECB5D" w14:textId="77777777" w:rsidR="004E39F6" w:rsidRPr="00E60E42" w:rsidRDefault="00A35BEA" w:rsidP="002A5857">
            <w:pPr>
              <w:spacing w:after="120" w:line="240" w:lineRule="auto"/>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amendments to legal act(s), and publication of recommendations and service delivery planning documents </w:t>
            </w:r>
          </w:p>
        </w:tc>
        <w:tc>
          <w:tcPr>
            <w:tcW w:w="992" w:type="dxa"/>
            <w:shd w:val="clear" w:color="auto" w:fill="C6EFCE"/>
          </w:tcPr>
          <w:p w14:paraId="1E0ECB5E"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tcPr>
          <w:p w14:paraId="1E0ECB5F"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tcPr>
          <w:p w14:paraId="1E0ECB60"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shd w:val="clear" w:color="auto" w:fill="C6EFCE"/>
          </w:tcPr>
          <w:p w14:paraId="1E0ECB61"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shd w:val="clear" w:color="auto" w:fill="C6EFCE"/>
          </w:tcPr>
          <w:p w14:paraId="1E0ECB62" w14:textId="77777777" w:rsidR="004E39F6" w:rsidRPr="00E60E42" w:rsidRDefault="00A35BEA" w:rsidP="002A5857">
            <w:pPr>
              <w:spacing w:after="12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5" w:type="dxa"/>
            <w:shd w:val="clear" w:color="auto" w:fill="C6EFCE"/>
          </w:tcPr>
          <w:p w14:paraId="1E0ECB63" w14:textId="77777777" w:rsidR="004E39F6" w:rsidRPr="00E60E42" w:rsidRDefault="00A35BEA" w:rsidP="002A5857">
            <w:pPr>
              <w:spacing w:after="12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Based on the results of the research on quality, availability and accessibility of non-hospital secondary care, entry into force of amendments to legal act(s) related to public health policies, and publication of recommendations for hospitals and service delivery planning documents.</w:t>
            </w:r>
          </w:p>
        </w:tc>
      </w:tr>
    </w:tbl>
    <w:p w14:paraId="1E0ECB65"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pPr>
    </w:p>
    <w:p w14:paraId="1E0ECB66"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sectPr w:rsidR="004E39F6" w:rsidRPr="00E60E42" w:rsidSect="0048758A">
          <w:headerReference w:type="even" r:id="rId59"/>
          <w:headerReference w:type="default" r:id="rId60"/>
          <w:footerReference w:type="even" r:id="rId61"/>
          <w:footerReference w:type="default" r:id="rId62"/>
          <w:headerReference w:type="first" r:id="rId63"/>
          <w:footerReference w:type="first" r:id="rId64"/>
          <w:pgSz w:w="16838" w:h="11906" w:orient="landscape"/>
          <w:pgMar w:top="1134" w:right="1134" w:bottom="1134" w:left="1134" w:header="567" w:footer="567" w:gutter="0"/>
          <w:cols w:space="708"/>
          <w:docGrid w:linePitch="360"/>
        </w:sectPr>
      </w:pPr>
    </w:p>
    <w:p w14:paraId="1E0ECB67" w14:textId="77777777" w:rsidR="004E39F6" w:rsidRPr="00E60E42" w:rsidRDefault="00A35BEA" w:rsidP="00611029">
      <w:pPr>
        <w:keepNext/>
        <w:spacing w:after="240" w:line="240" w:lineRule="auto"/>
        <w:outlineLvl w:val="0"/>
        <w:rPr>
          <w:rFonts w:ascii="Times New Roman" w:eastAsia="MS Gothic" w:hAnsi="Times New Roman" w:cs="Times New Roman"/>
          <w:b/>
          <w:smallCaps/>
          <w:noProof/>
          <w:kern w:val="0"/>
          <w:szCs w:val="28"/>
          <w14:ligatures w14:val="none"/>
        </w:rPr>
      </w:pPr>
      <w:r w:rsidRPr="00E60E42">
        <w:rPr>
          <w:rFonts w:ascii="Times New Roman" w:eastAsia="Calibri" w:hAnsi="Times New Roman" w:cs="Arial"/>
          <w:b/>
          <w:smallCaps/>
          <w:noProof/>
          <w:kern w:val="0"/>
          <w:szCs w:val="22"/>
          <w14:ligatures w14:val="none"/>
        </w:rPr>
        <w:t xml:space="preserve">E. COMPONENT 5: ECONOMIC TRANSFORMATION AND PRODUCTIVITY REFORM </w:t>
      </w:r>
    </w:p>
    <w:p w14:paraId="1E0ECB68" w14:textId="77777777" w:rsidR="004E39F6" w:rsidRPr="00E60E42" w:rsidRDefault="00A35BEA" w:rsidP="001725BA">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This component of the Latvian recovery and resilience plan consists of two subparts addressing the key challenges in innovation and higher education, respectively. The key innovation-related challenges are the low innovation investment, particularly in the private sector, weak science-business links, the shortage of highly skilled human resources, and the fragmentation of innovation system governance. The key higher education-related challenge is a fragmented higher education landscape, comprised of a relatively large number of small institutions whose funding is both insufficient and ineffective. This means most higher education institutions (HEIs) lack resources to deliver good quality education and to create critical mass for high quality research. Moreover, there is a suboptimal university governance model with a poor representation of external stakeholders and a lack of attractive academic career opportunities, limiting human resources for education, research and innovation.</w:t>
      </w:r>
    </w:p>
    <w:p w14:paraId="1E0ECB69" w14:textId="77777777" w:rsidR="004E39F6" w:rsidRPr="00E60E42" w:rsidRDefault="00A35BEA" w:rsidP="001725BA">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objectives of the component are to increase productivity through higher R&amp;D investments, boost competitiveness and foster cooperation between the public sector, businesses, academia and research institutions. The changes to the governance of the innovation system and their accompanying support schemes for private R&amp;D investments are aimed at creating sustainable innovation ecosystems thereby fostering higher overall investment in innovation. The broad-ranging reform of the higher education aims to boost the quality and efficiency of higher education, the competitiveness of Latvia’s research and to deliver better skills to Latvia’s population in the long term. </w:t>
      </w:r>
    </w:p>
    <w:p w14:paraId="1E0ECB6A" w14:textId="77777777" w:rsidR="004E39F6" w:rsidRPr="00E60E42" w:rsidRDefault="00A35BEA" w:rsidP="001725BA">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component supports addressing the Country Specific Recommendations to focus investment-related economic policy on innovation (Country Specific Recommendation 3, 2019, Country Specific Recommendation 3, 2020) and to increase the quality and efficiency of education and training (Country Specific Recommendation 2, 2019). </w:t>
      </w:r>
    </w:p>
    <w:p w14:paraId="1E0ECB6B" w14:textId="77777777" w:rsidR="004E39F6" w:rsidRPr="00E60E42" w:rsidRDefault="00A35BEA" w:rsidP="00611029">
      <w:pPr>
        <w:spacing w:after="240" w:line="256"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0ECB6C" w14:textId="77777777" w:rsidR="004E39F6" w:rsidRPr="00E60E42" w:rsidRDefault="00A35BEA" w:rsidP="00611029">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E60E42">
        <w:rPr>
          <w:rFonts w:ascii="Times New Roman" w:eastAsia="Calibri" w:hAnsi="Times New Roman" w:cs="Arial"/>
          <w:b/>
          <w:noProof/>
          <w:kern w:val="0"/>
          <w:szCs w:val="22"/>
          <w:u w:val="single"/>
          <w14:ligatures w14:val="none"/>
        </w:rPr>
        <w:t>E.1.</w:t>
      </w:r>
      <w:r w:rsidRPr="00E60E42">
        <w:rPr>
          <w:rFonts w:ascii="Calibri" w:eastAsia="Calibri" w:hAnsi="Calibri" w:cs="Arial"/>
          <w:noProof/>
          <w:kern w:val="0"/>
          <w:sz w:val="22"/>
          <w:szCs w:val="22"/>
          <w:u w:val="single"/>
          <w14:ligatures w14:val="none"/>
        </w:rPr>
        <w:tab/>
      </w:r>
      <w:r w:rsidRPr="00E60E42">
        <w:rPr>
          <w:rFonts w:ascii="Times New Roman" w:eastAsia="Calibri" w:hAnsi="Times New Roman" w:cs="Arial"/>
          <w:b/>
          <w:noProof/>
          <w:kern w:val="0"/>
          <w:szCs w:val="22"/>
          <w:u w:val="single"/>
          <w14:ligatures w14:val="none"/>
        </w:rPr>
        <w:t>Description of the reforms and investments for non-repayable financial support</w:t>
      </w:r>
    </w:p>
    <w:p w14:paraId="1E0ECB6D" w14:textId="77777777" w:rsidR="004E39F6" w:rsidRPr="00E60E42" w:rsidRDefault="00A35BEA" w:rsidP="00611029">
      <w:pPr>
        <w:keepNext/>
        <w:keepLines/>
        <w:spacing w:after="120" w:line="240" w:lineRule="auto"/>
        <w:jc w:val="both"/>
        <w:rPr>
          <w:rFonts w:ascii="Times New Roman" w:eastAsia="Calibri" w:hAnsi="Times New Roman" w:cs="Times New Roman"/>
          <w:iCs/>
          <w:noProof/>
          <w:kern w:val="0"/>
          <w:u w:val="single"/>
          <w14:ligatures w14:val="none"/>
        </w:rPr>
      </w:pPr>
      <w:r w:rsidRPr="00E60E42">
        <w:rPr>
          <w:rFonts w:ascii="Times New Roman" w:eastAsia="Calibri" w:hAnsi="Times New Roman" w:cs="Arial"/>
          <w:noProof/>
          <w:kern w:val="0"/>
          <w:u w:val="single"/>
          <w14:ligatures w14:val="none"/>
        </w:rPr>
        <w:t>Reform: 5.1.r. Innovation system governance and private research and development investment motivation</w:t>
      </w:r>
    </w:p>
    <w:p w14:paraId="1E0ECB6E" w14:textId="77777777" w:rsidR="004E39F6" w:rsidRPr="00E60E42" w:rsidRDefault="00A35BEA" w:rsidP="00611029">
      <w:pPr>
        <w:spacing w:after="120" w:line="256"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the measure is to introduce an ecosystem approach in innovation governance. It aims to introduce a support instrument that shall enable increased R&amp;D capacity in enterprises, promote cross-sectoral cooperation, increase the share of innovative enterprises and thereby promote increased private investment in innovation. </w:t>
      </w:r>
    </w:p>
    <w:p w14:paraId="1E0ECB6F" w14:textId="77777777" w:rsidR="004E39F6" w:rsidRPr="00E60E42" w:rsidRDefault="00A35BEA" w:rsidP="00611029">
      <w:pPr>
        <w:spacing w:after="120" w:line="256"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reform consists of the creation of an innovation governance model which shall mean assigning specific tasks to the involved institutions representing the government, the industry and the academia. The key tasks of the innovation system shall be strategy determination, management of innovation fund, data gathering, performance measurement and monitoring, as well as periodical re-assessment of the governance model. </w:t>
      </w:r>
    </w:p>
    <w:p w14:paraId="1E0ECB70" w14:textId="77777777" w:rsidR="004E39F6" w:rsidRPr="00E60E42" w:rsidRDefault="00A35BEA" w:rsidP="00611029">
      <w:pPr>
        <w:spacing w:after="240" w:line="256"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reform shall be implemented by 31 December 2022. </w:t>
      </w:r>
    </w:p>
    <w:p w14:paraId="1E0ECB71"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5.1.1.1.i. Support for a fully-fledged innovation system governance model</w:t>
      </w:r>
    </w:p>
    <w:p w14:paraId="1E0ECB72" w14:textId="77777777" w:rsidR="004E39F6" w:rsidRPr="00E60E42" w:rsidRDefault="00A35BEA" w:rsidP="00611029">
      <w:pPr>
        <w:spacing w:after="120" w:line="256"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objective of the measure is to support the new model for the governance of the innovation system. </w:t>
      </w:r>
    </w:p>
    <w:p w14:paraId="1E0ECB73" w14:textId="77777777" w:rsidR="004E39F6" w:rsidRPr="00E60E42" w:rsidRDefault="00A35BEA" w:rsidP="00611029">
      <w:pPr>
        <w:spacing w:after="120" w:line="256"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appointing people for the performance of the innovation system governance model, and the publication of monitoring reports.</w:t>
      </w:r>
    </w:p>
    <w:p w14:paraId="1E0ECB74"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 xml:space="preserve">Investment: 5.1.1.2.i. Support instrument for research and internationalization </w:t>
      </w:r>
    </w:p>
    <w:p w14:paraId="1E0ECB75" w14:textId="77777777" w:rsidR="004E39F6" w:rsidRPr="00E60E42" w:rsidRDefault="00A35BEA" w:rsidP="00611029">
      <w:pPr>
        <w:tabs>
          <w:tab w:val="left" w:pos="709"/>
        </w:tabs>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stimulate private R&amp;D investments as well as knowledge transfer within the economy.</w:t>
      </w:r>
    </w:p>
    <w:p w14:paraId="1E0ECB76" w14:textId="77777777" w:rsidR="004E39F6" w:rsidRPr="00E60E42" w:rsidRDefault="00A35BEA" w:rsidP="00611029">
      <w:pPr>
        <w:tabs>
          <w:tab w:val="left" w:pos="709"/>
        </w:tabs>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four programmes relating to i) competence centres, ii) research, iii) cooperation networks, and iv) participation in Important Projects of Common European Interest (IPCEI). </w:t>
      </w:r>
    </w:p>
    <w:p w14:paraId="1E0ECB77"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Reform: 5.2.1.r. Reform of Higher Education and Scientific Excellence and Governance</w:t>
      </w:r>
    </w:p>
    <w:p w14:paraId="1E0ECB78" w14:textId="77777777" w:rsidR="004E39F6" w:rsidRPr="00E60E42" w:rsidRDefault="00A35BEA" w:rsidP="00611029">
      <w:pPr>
        <w:tabs>
          <w:tab w:val="left" w:pos="709"/>
        </w:tabs>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w:t>
      </w:r>
      <w:r w:rsidRPr="00E60E42" w:rsidDel="00044C59">
        <w:rPr>
          <w:rFonts w:ascii="Times New Roman" w:eastAsia="Calibri" w:hAnsi="Times New Roman" w:cs="Arial"/>
          <w:noProof/>
          <w:kern w:val="0"/>
          <w:szCs w:val="22"/>
          <w14:ligatures w14:val="none"/>
        </w:rPr>
        <w:t xml:space="preserve"> </w:t>
      </w:r>
      <w:r w:rsidRPr="00E60E42">
        <w:rPr>
          <w:rFonts w:ascii="Times New Roman" w:eastAsia="Calibri" w:hAnsi="Times New Roman" w:cs="Arial"/>
          <w:noProof/>
          <w:kern w:val="0"/>
          <w:szCs w:val="22"/>
          <w14:ligatures w14:val="none"/>
        </w:rPr>
        <w:t xml:space="preserve">to increase the international competitiveness of higher education institutions. </w:t>
      </w:r>
    </w:p>
    <w:p w14:paraId="1E0ECB79" w14:textId="77777777" w:rsidR="004E39F6" w:rsidRPr="00E60E42" w:rsidRDefault="00A35BEA" w:rsidP="00611029">
      <w:pPr>
        <w:tabs>
          <w:tab w:val="left" w:pos="709"/>
        </w:tabs>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measure consists of a reform that links funding of universities to the results achieved; developing a new and unified career model for academic staff; introduction of a new doctoral model; and a reform of the governance of higher education institutions.</w:t>
      </w:r>
    </w:p>
    <w:p w14:paraId="1E0ECB7A"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5.2.1.1.i. Research, development and consolidation grants</w:t>
      </w:r>
    </w:p>
    <w:p w14:paraId="1E0ECB7B" w14:textId="77777777" w:rsidR="004E39F6" w:rsidRPr="00E60E42" w:rsidRDefault="00A35BEA" w:rsidP="00611029">
      <w:pPr>
        <w:tabs>
          <w:tab w:val="left" w:pos="709"/>
        </w:tabs>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objective of the measure is to make structural changes in higher education institutions and scientific institutes by consolidating them.</w:t>
      </w:r>
    </w:p>
    <w:p w14:paraId="1E0ECB7C" w14:textId="77777777" w:rsidR="004E39F6" w:rsidRPr="00E60E42" w:rsidRDefault="00A35BEA" w:rsidP="00611029">
      <w:pPr>
        <w:tabs>
          <w:tab w:val="left" w:pos="709"/>
        </w:tabs>
        <w:spacing w:after="120" w:line="240" w:lineRule="auto"/>
        <w:jc w:val="both"/>
        <w:rPr>
          <w:rFonts w:ascii="Times New Roman" w:eastAsia="Calibri" w:hAnsi="Times New Roman" w:cs="Times New Roman"/>
          <w:iCs/>
          <w:noProof/>
          <w:kern w:val="0"/>
          <w:szCs w:val="22"/>
          <w14:ligatures w14:val="none"/>
        </w:rPr>
      </w:pPr>
      <w:r w:rsidRPr="00E60E42">
        <w:rPr>
          <w:rFonts w:ascii="Times New Roman" w:eastAsia="Calibri" w:hAnsi="Times New Roman" w:cs="Arial"/>
          <w:noProof/>
          <w:kern w:val="0"/>
          <w:szCs w:val="22"/>
          <w14:ligatures w14:val="none"/>
        </w:rPr>
        <w:t xml:space="preserve">The measure consists of consolidating four higher education institutions or scientific institutions and signing grant agreements. </w:t>
      </w:r>
    </w:p>
    <w:p w14:paraId="1E0ECB7D"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sectPr w:rsidR="004E39F6" w:rsidRPr="00E60E42" w:rsidSect="0048758A">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1E0ECB7E" w14:textId="77777777" w:rsidR="004E39F6" w:rsidRPr="00E60E42" w:rsidRDefault="00A35BEA" w:rsidP="00611029">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E.2. Milestones, targets, indicators, and timetable for monitoring and implementation for non-repayable financial support</w:t>
      </w:r>
    </w:p>
    <w:tbl>
      <w:tblPr>
        <w:tblW w:w="53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812"/>
        <w:gridCol w:w="992"/>
        <w:gridCol w:w="1843"/>
        <w:gridCol w:w="1701"/>
        <w:gridCol w:w="1418"/>
        <w:gridCol w:w="992"/>
        <w:gridCol w:w="850"/>
        <w:gridCol w:w="851"/>
        <w:gridCol w:w="709"/>
        <w:gridCol w:w="3696"/>
      </w:tblGrid>
      <w:tr w:rsidR="0048758A" w:rsidRPr="00E60E42" w14:paraId="1E0ECB87" w14:textId="77777777" w:rsidTr="008368C7">
        <w:trPr>
          <w:tblHeader/>
          <w:jc w:val="center"/>
        </w:trPr>
        <w:tc>
          <w:tcPr>
            <w:tcW w:w="593" w:type="dxa"/>
            <w:vMerge w:val="restart"/>
            <w:shd w:val="clear" w:color="auto" w:fill="BDD7EE"/>
            <w:vAlign w:val="center"/>
            <w:hideMark/>
          </w:tcPr>
          <w:p w14:paraId="1E0ECB7F" w14:textId="77777777" w:rsidR="004E39F6" w:rsidRPr="00E60E42" w:rsidRDefault="00A35BEA" w:rsidP="002A5857">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Nr</w:t>
            </w:r>
          </w:p>
        </w:tc>
        <w:tc>
          <w:tcPr>
            <w:tcW w:w="1812" w:type="dxa"/>
            <w:vMerge w:val="restart"/>
            <w:shd w:val="clear" w:color="auto" w:fill="BDD7EE"/>
            <w:vAlign w:val="center"/>
            <w:hideMark/>
          </w:tcPr>
          <w:p w14:paraId="1E0ECB80"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Related measure (reform or investment)</w:t>
            </w:r>
          </w:p>
        </w:tc>
        <w:tc>
          <w:tcPr>
            <w:tcW w:w="992" w:type="dxa"/>
            <w:vMerge w:val="restart"/>
            <w:shd w:val="clear" w:color="auto" w:fill="BDD7EE"/>
            <w:vAlign w:val="center"/>
            <w:hideMark/>
          </w:tcPr>
          <w:p w14:paraId="1E0ECB81" w14:textId="614A91A8" w:rsidR="004E39F6" w:rsidRPr="00E60E42" w:rsidRDefault="00A35BEA" w:rsidP="00BE2788">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Milestone /</w:t>
            </w:r>
            <w:r w:rsidR="008368C7" w:rsidRPr="00E60E42">
              <w:rPr>
                <w:rFonts w:ascii="Times New Roman" w:eastAsia="Calibri" w:hAnsi="Times New Roman" w:cs="Times New Roman"/>
                <w:b/>
                <w:noProof/>
                <w:kern w:val="0"/>
                <w:sz w:val="18"/>
                <w:szCs w:val="18"/>
                <w14:ligatures w14:val="none"/>
              </w:rPr>
              <w:t>T</w:t>
            </w:r>
            <w:r w:rsidRPr="00E60E42">
              <w:rPr>
                <w:rFonts w:ascii="Times New Roman" w:eastAsia="Calibri" w:hAnsi="Times New Roman" w:cs="Times New Roman"/>
                <w:b/>
                <w:noProof/>
                <w:kern w:val="0"/>
                <w:sz w:val="18"/>
                <w:szCs w:val="18"/>
                <w14:ligatures w14:val="none"/>
              </w:rPr>
              <w:t>arget</w:t>
            </w:r>
          </w:p>
        </w:tc>
        <w:tc>
          <w:tcPr>
            <w:tcW w:w="1843" w:type="dxa"/>
            <w:vMerge w:val="restart"/>
            <w:shd w:val="clear" w:color="auto" w:fill="BDD7EE"/>
            <w:vAlign w:val="center"/>
            <w:hideMark/>
          </w:tcPr>
          <w:p w14:paraId="1E0ECB82"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Name</w:t>
            </w:r>
          </w:p>
        </w:tc>
        <w:tc>
          <w:tcPr>
            <w:tcW w:w="1701" w:type="dxa"/>
            <w:vMerge w:val="restart"/>
            <w:shd w:val="clear" w:color="auto" w:fill="BDD7EE"/>
            <w:vAlign w:val="center"/>
            <w:hideMark/>
          </w:tcPr>
          <w:p w14:paraId="1E0ECB83"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Qualitative indicators</w:t>
            </w:r>
            <w:r w:rsidRPr="00E60E42">
              <w:rPr>
                <w:rFonts w:ascii="Times New Roman" w:eastAsia="Calibri" w:hAnsi="Times New Roman" w:cs="Times New Roman"/>
                <w:noProof/>
                <w:kern w:val="0"/>
                <w:sz w:val="18"/>
                <w:szCs w:val="18"/>
                <w14:ligatures w14:val="none"/>
              </w:rPr>
              <w:t xml:space="preserve"> </w:t>
            </w:r>
            <w:r w:rsidRPr="00E60E42">
              <w:rPr>
                <w:rFonts w:ascii="Times New Roman" w:eastAsia="Calibri" w:hAnsi="Times New Roman" w:cs="Times New Roman"/>
                <w:noProof/>
                <w:kern w:val="0"/>
                <w:sz w:val="18"/>
                <w:szCs w:val="18"/>
                <w14:ligatures w14:val="none"/>
              </w:rPr>
              <w:br/>
            </w:r>
            <w:r w:rsidRPr="00E60E42">
              <w:rPr>
                <w:rFonts w:ascii="Times New Roman" w:eastAsia="Calibri" w:hAnsi="Times New Roman" w:cs="Times New Roman"/>
                <w:b/>
                <w:noProof/>
                <w:kern w:val="0"/>
                <w:sz w:val="18"/>
                <w:szCs w:val="18"/>
                <w14:ligatures w14:val="none"/>
              </w:rPr>
              <w:t>(for milestones)</w:t>
            </w:r>
          </w:p>
        </w:tc>
        <w:tc>
          <w:tcPr>
            <w:tcW w:w="3260" w:type="dxa"/>
            <w:gridSpan w:val="3"/>
            <w:shd w:val="clear" w:color="auto" w:fill="BDD7EE"/>
            <w:vAlign w:val="center"/>
            <w:hideMark/>
          </w:tcPr>
          <w:p w14:paraId="1E0ECB84"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Times New Roman"/>
                <w:b/>
                <w:noProof/>
                <w:kern w:val="0"/>
                <w:sz w:val="18"/>
                <w:szCs w:val="18"/>
                <w14:ligatures w14:val="none"/>
              </w:rPr>
              <w:t>Quantitative indicators</w:t>
            </w:r>
            <w:r w:rsidRPr="00E60E42">
              <w:rPr>
                <w:rFonts w:ascii="Times New Roman" w:eastAsia="Calibri" w:hAnsi="Times New Roman" w:cs="Times New Roman"/>
                <w:noProof/>
                <w:kern w:val="0"/>
                <w:sz w:val="18"/>
                <w:szCs w:val="18"/>
                <w14:ligatures w14:val="none"/>
              </w:rPr>
              <w:t xml:space="preserve"> </w:t>
            </w:r>
            <w:r w:rsidRPr="00E60E42">
              <w:rPr>
                <w:rFonts w:ascii="Times New Roman" w:eastAsia="Calibri" w:hAnsi="Times New Roman" w:cs="Times New Roman"/>
                <w:noProof/>
                <w:kern w:val="0"/>
                <w:sz w:val="18"/>
                <w:szCs w:val="18"/>
                <w14:ligatures w14:val="none"/>
              </w:rPr>
              <w:br/>
            </w:r>
            <w:r w:rsidRPr="00E60E42">
              <w:rPr>
                <w:rFonts w:ascii="Times New Roman" w:eastAsia="Calibri" w:hAnsi="Times New Roman" w:cs="Times New Roman"/>
                <w:b/>
                <w:noProof/>
                <w:kern w:val="0"/>
                <w:sz w:val="18"/>
                <w:szCs w:val="18"/>
                <w14:ligatures w14:val="none"/>
              </w:rPr>
              <w:t>(for targets)</w:t>
            </w:r>
          </w:p>
        </w:tc>
        <w:tc>
          <w:tcPr>
            <w:tcW w:w="1560" w:type="dxa"/>
            <w:gridSpan w:val="2"/>
            <w:shd w:val="clear" w:color="auto" w:fill="BDD7EE"/>
            <w:vAlign w:val="center"/>
            <w:hideMark/>
          </w:tcPr>
          <w:p w14:paraId="1E0ECB85"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Indicative timeline for completion</w:t>
            </w:r>
          </w:p>
        </w:tc>
        <w:tc>
          <w:tcPr>
            <w:tcW w:w="3696" w:type="dxa"/>
            <w:vMerge w:val="restart"/>
            <w:shd w:val="clear" w:color="auto" w:fill="BDD7EE"/>
            <w:vAlign w:val="center"/>
            <w:hideMark/>
          </w:tcPr>
          <w:p w14:paraId="1E0ECB86" w14:textId="77777777" w:rsidR="004E39F6" w:rsidRPr="00E60E42" w:rsidRDefault="00A35BEA" w:rsidP="00611029">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Description and clear definition of each milestone and Target</w:t>
            </w:r>
          </w:p>
        </w:tc>
      </w:tr>
      <w:tr w:rsidR="0048758A" w:rsidRPr="00E60E42" w14:paraId="1E0ECB93" w14:textId="77777777" w:rsidTr="008368C7">
        <w:trPr>
          <w:tblHeader/>
          <w:jc w:val="center"/>
        </w:trPr>
        <w:tc>
          <w:tcPr>
            <w:tcW w:w="593" w:type="dxa"/>
            <w:vMerge/>
            <w:vAlign w:val="center"/>
            <w:hideMark/>
          </w:tcPr>
          <w:p w14:paraId="1E0ECB88" w14:textId="77777777" w:rsidR="004E39F6" w:rsidRPr="00E60E42" w:rsidRDefault="004E39F6" w:rsidP="002A5857">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812" w:type="dxa"/>
            <w:vMerge/>
            <w:vAlign w:val="center"/>
            <w:hideMark/>
          </w:tcPr>
          <w:p w14:paraId="1E0ECB89"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992" w:type="dxa"/>
            <w:vMerge/>
            <w:vAlign w:val="center"/>
            <w:hideMark/>
          </w:tcPr>
          <w:p w14:paraId="1E0ECB8A" w14:textId="77777777" w:rsidR="004E39F6" w:rsidRPr="00E60E42" w:rsidRDefault="004E39F6" w:rsidP="00BE2788">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843" w:type="dxa"/>
            <w:vMerge/>
            <w:vAlign w:val="center"/>
            <w:hideMark/>
          </w:tcPr>
          <w:p w14:paraId="1E0ECB8B"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01" w:type="dxa"/>
            <w:vMerge/>
            <w:vAlign w:val="center"/>
            <w:hideMark/>
          </w:tcPr>
          <w:p w14:paraId="1E0ECB8C"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418" w:type="dxa"/>
            <w:shd w:val="clear" w:color="auto" w:fill="BDD7EE"/>
            <w:vAlign w:val="center"/>
            <w:hideMark/>
          </w:tcPr>
          <w:p w14:paraId="1E0ECB8D"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Unit of measure</w:t>
            </w:r>
          </w:p>
        </w:tc>
        <w:tc>
          <w:tcPr>
            <w:tcW w:w="992" w:type="dxa"/>
            <w:shd w:val="clear" w:color="auto" w:fill="BDD7EE"/>
            <w:vAlign w:val="center"/>
            <w:hideMark/>
          </w:tcPr>
          <w:p w14:paraId="1E0ECB8E"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Baseline</w:t>
            </w:r>
          </w:p>
        </w:tc>
        <w:tc>
          <w:tcPr>
            <w:tcW w:w="850" w:type="dxa"/>
            <w:shd w:val="clear" w:color="auto" w:fill="BDD7EE"/>
            <w:vAlign w:val="center"/>
            <w:hideMark/>
          </w:tcPr>
          <w:p w14:paraId="1E0ECB8F"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Goal</w:t>
            </w:r>
          </w:p>
        </w:tc>
        <w:tc>
          <w:tcPr>
            <w:tcW w:w="851" w:type="dxa"/>
            <w:shd w:val="clear" w:color="auto" w:fill="BDD7EE"/>
            <w:vAlign w:val="center"/>
            <w:hideMark/>
          </w:tcPr>
          <w:p w14:paraId="1E0ECB90"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Quarter</w:t>
            </w:r>
          </w:p>
        </w:tc>
        <w:tc>
          <w:tcPr>
            <w:tcW w:w="709" w:type="dxa"/>
            <w:shd w:val="clear" w:color="auto" w:fill="BDD7EE"/>
            <w:vAlign w:val="center"/>
            <w:hideMark/>
          </w:tcPr>
          <w:p w14:paraId="1E0ECB91"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Year</w:t>
            </w:r>
          </w:p>
        </w:tc>
        <w:tc>
          <w:tcPr>
            <w:tcW w:w="3696" w:type="dxa"/>
            <w:vMerge/>
            <w:vAlign w:val="center"/>
            <w:hideMark/>
          </w:tcPr>
          <w:p w14:paraId="1E0ECB92" w14:textId="77777777" w:rsidR="004E39F6" w:rsidRPr="00E60E42" w:rsidRDefault="004E39F6" w:rsidP="00611029">
            <w:pPr>
              <w:spacing w:after="0" w:line="240" w:lineRule="auto"/>
              <w:jc w:val="both"/>
              <w:rPr>
                <w:rFonts w:ascii="Times New Roman" w:eastAsia="Times New Roman" w:hAnsi="Times New Roman" w:cs="Times New Roman"/>
                <w:b/>
                <w:bCs/>
                <w:noProof/>
                <w:kern w:val="0"/>
                <w:sz w:val="18"/>
                <w:szCs w:val="18"/>
                <w:lang w:eastAsia="en-GB"/>
                <w14:ligatures w14:val="none"/>
              </w:rPr>
            </w:pPr>
          </w:p>
        </w:tc>
      </w:tr>
      <w:tr w:rsidR="0048758A" w:rsidRPr="00E60E42" w14:paraId="1E0ECBAE" w14:textId="77777777" w:rsidTr="008368C7">
        <w:trPr>
          <w:jc w:val="center"/>
        </w:trPr>
        <w:tc>
          <w:tcPr>
            <w:tcW w:w="593" w:type="dxa"/>
            <w:shd w:val="clear" w:color="auto" w:fill="C6EFCE"/>
            <w:hideMark/>
          </w:tcPr>
          <w:p w14:paraId="1E0ECB94"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154</w:t>
            </w:r>
          </w:p>
        </w:tc>
        <w:tc>
          <w:tcPr>
            <w:tcW w:w="1812" w:type="dxa"/>
            <w:shd w:val="clear" w:color="auto" w:fill="C6EFCE"/>
            <w:hideMark/>
          </w:tcPr>
          <w:p w14:paraId="1E0ECB9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5.1.r. Innovation system governance and private research and development investment motivation</w:t>
            </w:r>
          </w:p>
        </w:tc>
        <w:tc>
          <w:tcPr>
            <w:tcW w:w="992" w:type="dxa"/>
            <w:shd w:val="clear" w:color="auto" w:fill="C6EFCE"/>
            <w:hideMark/>
          </w:tcPr>
          <w:p w14:paraId="1E0ECB96"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843" w:type="dxa"/>
            <w:shd w:val="clear" w:color="auto" w:fill="C6EFCE"/>
            <w:hideMark/>
          </w:tcPr>
          <w:p w14:paraId="1E0ECB9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Development of a long-term national strategy for each of the RIS3 areas and establishment of a Strategic Steering Board for each of the RIS3 areas</w:t>
            </w:r>
          </w:p>
        </w:tc>
        <w:tc>
          <w:tcPr>
            <w:tcW w:w="1701" w:type="dxa"/>
            <w:shd w:val="clear" w:color="auto" w:fill="C6EFCE"/>
            <w:hideMark/>
          </w:tcPr>
          <w:p w14:paraId="1E0ECB9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strategy has been agreed with all stakeholders and approved. The Strategic Steering Boards for RIS3 have been established and their representatives elected.</w:t>
            </w:r>
          </w:p>
        </w:tc>
        <w:tc>
          <w:tcPr>
            <w:tcW w:w="1418" w:type="dxa"/>
            <w:shd w:val="clear" w:color="auto" w:fill="C6EFCE"/>
            <w:hideMark/>
          </w:tcPr>
          <w:p w14:paraId="1E0ECB9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shd w:val="clear" w:color="auto" w:fill="C6EFCE"/>
            <w:hideMark/>
          </w:tcPr>
          <w:p w14:paraId="1E0ECB9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0" w:type="dxa"/>
            <w:shd w:val="clear" w:color="auto" w:fill="C6EFCE"/>
            <w:hideMark/>
          </w:tcPr>
          <w:p w14:paraId="1E0ECB9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shd w:val="clear" w:color="auto" w:fill="C6EFCE"/>
            <w:hideMark/>
          </w:tcPr>
          <w:p w14:paraId="1E0ECB9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shd w:val="clear" w:color="auto" w:fill="C6EFCE"/>
            <w:hideMark/>
          </w:tcPr>
          <w:p w14:paraId="1E0ECB9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2022</w:t>
            </w:r>
          </w:p>
        </w:tc>
        <w:tc>
          <w:tcPr>
            <w:tcW w:w="3696" w:type="dxa"/>
            <w:shd w:val="clear" w:color="auto" w:fill="C6EFCE"/>
            <w:hideMark/>
          </w:tcPr>
          <w:p w14:paraId="1E0ECB9F" w14:textId="76C51271" w:rsidR="004E39F6" w:rsidRPr="00E60E42" w:rsidRDefault="00A35BEA" w:rsidP="00611029">
            <w:pPr>
              <w:spacing w:after="0" w:line="240" w:lineRule="auto"/>
              <w:jc w:val="both"/>
              <w:rPr>
                <w:rFonts w:ascii="Times New Roman" w:eastAsia="Times New Roman" w:hAnsi="Times New Roman" w:cs="Times New Roman"/>
                <w:b/>
                <w:bCs/>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Amendments to the relevant legislation giving the following functions to the relevant institutions shall enter into force:</w:t>
            </w:r>
          </w:p>
          <w:p w14:paraId="1E0ECBA0"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Investment and Development Agency of Latvia (LIDA) shall be responsible for:</w:t>
            </w:r>
          </w:p>
          <w:p w14:paraId="1E0ECBA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Developing long-term strategies at national level in each of the RIS3 areas;</w:t>
            </w:r>
          </w:p>
          <w:p w14:paraId="1E0ECBA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Developing annual action plans for each of the RIS3 areas</w:t>
            </w:r>
          </w:p>
          <w:p w14:paraId="1E0ECBA3"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The establishment of a Strategic Steering Board for each of the RIS3 areas;</w:t>
            </w:r>
          </w:p>
          <w:p w14:paraId="1E0ECBA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Leadership and coordination of established councils;</w:t>
            </w:r>
          </w:p>
          <w:p w14:paraId="1E0ECBA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Developing a methodology for the selection of asset value chains, including the establishment of quantitative criteria for the elimination of value chains.</w:t>
            </w:r>
          </w:p>
          <w:p w14:paraId="1E0ECBA6" w14:textId="77777777" w:rsidR="004E39F6" w:rsidRPr="00E60E42" w:rsidRDefault="004E39F6" w:rsidP="00611029">
            <w:pPr>
              <w:spacing w:after="0" w:line="240" w:lineRule="auto"/>
              <w:jc w:val="both"/>
              <w:rPr>
                <w:rFonts w:ascii="Times New Roman" w:eastAsia="Times New Roman" w:hAnsi="Times New Roman" w:cs="Times New Roman"/>
                <w:bCs/>
                <w:noProof/>
                <w:kern w:val="0"/>
                <w:sz w:val="18"/>
                <w:szCs w:val="18"/>
                <w:lang w:eastAsia="en-GB"/>
                <w14:ligatures w14:val="none"/>
              </w:rPr>
            </w:pPr>
          </w:p>
          <w:p w14:paraId="1E0ECBA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Strategic Steering Board for each RIS3 area:</w:t>
            </w:r>
          </w:p>
          <w:p w14:paraId="1E0ECBA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Ensure the compatibility of planned investments with RIS3 specialisation strategies, national competitive advantages;</w:t>
            </w:r>
          </w:p>
          <w:p w14:paraId="1E0ECBA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shall be made up of key private, public and research actors;</w:t>
            </w:r>
          </w:p>
          <w:p w14:paraId="1E0ECBA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is elected by LIDA in agreement with the ministries involved. The Strategic Steering Board is re-elected once a year;</w:t>
            </w:r>
          </w:p>
          <w:p w14:paraId="1E0ECBAB" w14:textId="77777777" w:rsidR="004E39F6" w:rsidRPr="00E60E42" w:rsidRDefault="00A35BEA" w:rsidP="00611029">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The Strategic Steering Board shall be responsible for approving the strategies for the RIS3 specialisation areas.</w:t>
            </w:r>
          </w:p>
          <w:p w14:paraId="1E0ECBAC"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The Ministry of Economics shall be responsible for: </w:t>
            </w:r>
          </w:p>
          <w:p w14:paraId="1E0ECBAD"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development of analytics and monitoring system for the business sector in RIS3 specialisation areas, development of monitoring reports.</w:t>
            </w:r>
          </w:p>
        </w:tc>
      </w:tr>
      <w:tr w:rsidR="0048758A" w:rsidRPr="00E60E42" w14:paraId="1E0ECBBA" w14:textId="77777777" w:rsidTr="008368C7">
        <w:trPr>
          <w:jc w:val="center"/>
        </w:trPr>
        <w:tc>
          <w:tcPr>
            <w:tcW w:w="593" w:type="dxa"/>
            <w:shd w:val="clear" w:color="auto" w:fill="C6EFCE"/>
            <w:hideMark/>
          </w:tcPr>
          <w:p w14:paraId="1E0ECBAF"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155</w:t>
            </w:r>
          </w:p>
        </w:tc>
        <w:tc>
          <w:tcPr>
            <w:tcW w:w="1812" w:type="dxa"/>
            <w:shd w:val="clear" w:color="auto" w:fill="C6EFCE"/>
            <w:hideMark/>
          </w:tcPr>
          <w:p w14:paraId="1E0ECBB0"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5.1.1.1.i. Support for a fully-fledged innovation system governance model</w:t>
            </w:r>
          </w:p>
        </w:tc>
        <w:tc>
          <w:tcPr>
            <w:tcW w:w="992" w:type="dxa"/>
            <w:shd w:val="clear" w:color="auto" w:fill="C6EFCE"/>
            <w:hideMark/>
          </w:tcPr>
          <w:p w14:paraId="1E0ECBB1" w14:textId="4D61905A"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843" w:type="dxa"/>
            <w:shd w:val="clear" w:color="auto" w:fill="C6EFCE"/>
            <w:hideMark/>
          </w:tcPr>
          <w:p w14:paraId="1E0ECBB2"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Contracting or appointing the human resources needed</w:t>
            </w:r>
          </w:p>
        </w:tc>
        <w:tc>
          <w:tcPr>
            <w:tcW w:w="1701" w:type="dxa"/>
            <w:shd w:val="clear" w:color="auto" w:fill="C6EFCE"/>
            <w:hideMark/>
          </w:tcPr>
          <w:p w14:paraId="1E0ECBB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418" w:type="dxa"/>
            <w:shd w:val="clear" w:color="auto" w:fill="C6EFCE"/>
            <w:hideMark/>
          </w:tcPr>
          <w:p w14:paraId="1E0ECBB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 of people</w:t>
            </w:r>
          </w:p>
        </w:tc>
        <w:tc>
          <w:tcPr>
            <w:tcW w:w="992" w:type="dxa"/>
            <w:shd w:val="clear" w:color="auto" w:fill="C6EFCE"/>
            <w:hideMark/>
          </w:tcPr>
          <w:p w14:paraId="1E0ECBB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850" w:type="dxa"/>
            <w:shd w:val="clear" w:color="auto" w:fill="C6EFCE"/>
            <w:hideMark/>
          </w:tcPr>
          <w:p w14:paraId="1E0ECBB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19</w:t>
            </w:r>
          </w:p>
        </w:tc>
        <w:tc>
          <w:tcPr>
            <w:tcW w:w="851" w:type="dxa"/>
            <w:shd w:val="clear" w:color="auto" w:fill="C6EFCE"/>
            <w:hideMark/>
          </w:tcPr>
          <w:p w14:paraId="1E0ECBB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shd w:val="clear" w:color="auto" w:fill="C6EFCE"/>
            <w:hideMark/>
          </w:tcPr>
          <w:p w14:paraId="1E0ECBB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2023</w:t>
            </w:r>
          </w:p>
        </w:tc>
        <w:tc>
          <w:tcPr>
            <w:tcW w:w="3696" w:type="dxa"/>
            <w:shd w:val="clear" w:color="auto" w:fill="C6EFCE"/>
            <w:hideMark/>
          </w:tcPr>
          <w:p w14:paraId="1E0ECBB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Ministry of Economics and the Latvian Investment and Development Agency shall contract or appoint at least 19 people for ensuring the performance of the functions assigned to these institutions in relation to the innovation governance.</w:t>
            </w:r>
          </w:p>
        </w:tc>
      </w:tr>
      <w:tr w:rsidR="0048758A" w:rsidRPr="00E60E42" w14:paraId="1E0ECBC8" w14:textId="77777777" w:rsidTr="008368C7">
        <w:trPr>
          <w:jc w:val="center"/>
        </w:trPr>
        <w:tc>
          <w:tcPr>
            <w:tcW w:w="593" w:type="dxa"/>
            <w:shd w:val="clear" w:color="auto" w:fill="C6EFCE"/>
            <w:hideMark/>
          </w:tcPr>
          <w:p w14:paraId="1E0ECBBB"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156</w:t>
            </w:r>
          </w:p>
        </w:tc>
        <w:tc>
          <w:tcPr>
            <w:tcW w:w="1812" w:type="dxa"/>
            <w:shd w:val="clear" w:color="auto" w:fill="C6EFCE"/>
            <w:hideMark/>
          </w:tcPr>
          <w:p w14:paraId="1E0ECBBC"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5.1.1.1.i. Support for a fully-fledged innovation system governance model</w:t>
            </w:r>
          </w:p>
        </w:tc>
        <w:tc>
          <w:tcPr>
            <w:tcW w:w="992" w:type="dxa"/>
            <w:shd w:val="clear" w:color="auto" w:fill="C6EFCE"/>
            <w:hideMark/>
          </w:tcPr>
          <w:p w14:paraId="1E0ECBBD"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843" w:type="dxa"/>
            <w:shd w:val="clear" w:color="auto" w:fill="C6EFCE"/>
            <w:hideMark/>
          </w:tcPr>
          <w:p w14:paraId="1E0ECBBE"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Monitoring reports </w:t>
            </w:r>
          </w:p>
        </w:tc>
        <w:tc>
          <w:tcPr>
            <w:tcW w:w="1701" w:type="dxa"/>
            <w:shd w:val="clear" w:color="auto" w:fill="C6EFCE"/>
            <w:hideMark/>
          </w:tcPr>
          <w:p w14:paraId="1E0ECBB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Monitoring reports published </w:t>
            </w:r>
          </w:p>
        </w:tc>
        <w:tc>
          <w:tcPr>
            <w:tcW w:w="1418" w:type="dxa"/>
            <w:shd w:val="clear" w:color="auto" w:fill="C6EFCE"/>
            <w:hideMark/>
          </w:tcPr>
          <w:p w14:paraId="1E0ECBC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shd w:val="clear" w:color="auto" w:fill="C6EFCE"/>
            <w:hideMark/>
          </w:tcPr>
          <w:p w14:paraId="1E0ECBC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0" w:type="dxa"/>
            <w:shd w:val="clear" w:color="auto" w:fill="C6EFCE"/>
            <w:hideMark/>
          </w:tcPr>
          <w:p w14:paraId="1E0ECBC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shd w:val="clear" w:color="auto" w:fill="C6EFCE"/>
            <w:hideMark/>
          </w:tcPr>
          <w:p w14:paraId="1E0ECBC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shd w:val="clear" w:color="auto" w:fill="C6EFCE"/>
            <w:hideMark/>
          </w:tcPr>
          <w:p w14:paraId="1E0ECBC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696" w:type="dxa"/>
            <w:shd w:val="clear" w:color="auto" w:fill="C6EFCE"/>
            <w:hideMark/>
          </w:tcPr>
          <w:p w14:paraId="1E0ECBC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Ministry of Economics shall publish:</w:t>
            </w:r>
          </w:p>
          <w:p w14:paraId="1E0ECBC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two reports on RIS3 areas, at least one of which shall also include an evaluation of the Innovation Support Programme;</w:t>
            </w:r>
          </w:p>
          <w:p w14:paraId="1E0ECBC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one report containing an assessment of the performance of intermediaries selected for the research support programme or the cooperation networks support programme, as well as analysis of the innovation governance model.</w:t>
            </w:r>
          </w:p>
        </w:tc>
      </w:tr>
      <w:tr w:rsidR="0048758A" w:rsidRPr="00E60E42" w14:paraId="1E0ECBD7" w14:textId="77777777" w:rsidTr="008368C7">
        <w:trPr>
          <w:jc w:val="center"/>
        </w:trPr>
        <w:tc>
          <w:tcPr>
            <w:tcW w:w="593" w:type="dxa"/>
            <w:shd w:val="clear" w:color="auto" w:fill="C6EFCE"/>
            <w:hideMark/>
          </w:tcPr>
          <w:p w14:paraId="1E0ECBC9"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157</w:t>
            </w:r>
          </w:p>
        </w:tc>
        <w:tc>
          <w:tcPr>
            <w:tcW w:w="1812" w:type="dxa"/>
            <w:shd w:val="clear" w:color="auto" w:fill="C6EFCE"/>
            <w:hideMark/>
          </w:tcPr>
          <w:p w14:paraId="1E0ECBCA"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5.1.1.2.i. Support instrument for research and internationalization</w:t>
            </w:r>
          </w:p>
        </w:tc>
        <w:tc>
          <w:tcPr>
            <w:tcW w:w="992" w:type="dxa"/>
            <w:shd w:val="clear" w:color="auto" w:fill="C6EFCE"/>
            <w:hideMark/>
          </w:tcPr>
          <w:p w14:paraId="1E0ECBCB"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843" w:type="dxa"/>
            <w:shd w:val="clear" w:color="auto" w:fill="C6EFCE"/>
            <w:hideMark/>
          </w:tcPr>
          <w:p w14:paraId="1E0ECBCC"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legal act(s) governing four support programmes</w:t>
            </w:r>
          </w:p>
        </w:tc>
        <w:tc>
          <w:tcPr>
            <w:tcW w:w="1701" w:type="dxa"/>
            <w:shd w:val="clear" w:color="auto" w:fill="C6EFCE"/>
            <w:hideMark/>
          </w:tcPr>
          <w:p w14:paraId="1E0ECBCD"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legal act(s)</w:t>
            </w:r>
          </w:p>
        </w:tc>
        <w:tc>
          <w:tcPr>
            <w:tcW w:w="1418" w:type="dxa"/>
            <w:shd w:val="clear" w:color="auto" w:fill="C6EFCE"/>
            <w:hideMark/>
          </w:tcPr>
          <w:p w14:paraId="1E0ECBC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N/A</w:t>
            </w:r>
          </w:p>
        </w:tc>
        <w:tc>
          <w:tcPr>
            <w:tcW w:w="992" w:type="dxa"/>
            <w:shd w:val="clear" w:color="auto" w:fill="C6EFCE"/>
            <w:hideMark/>
          </w:tcPr>
          <w:p w14:paraId="1E0ECBC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N/A</w:t>
            </w:r>
          </w:p>
        </w:tc>
        <w:tc>
          <w:tcPr>
            <w:tcW w:w="850" w:type="dxa"/>
            <w:shd w:val="clear" w:color="auto" w:fill="C6EFCE"/>
            <w:hideMark/>
          </w:tcPr>
          <w:p w14:paraId="1E0ECBD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N/A</w:t>
            </w:r>
          </w:p>
        </w:tc>
        <w:tc>
          <w:tcPr>
            <w:tcW w:w="851" w:type="dxa"/>
            <w:shd w:val="clear" w:color="auto" w:fill="C6EFCE"/>
            <w:hideMark/>
          </w:tcPr>
          <w:p w14:paraId="1E0ECBD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Q1</w:t>
            </w:r>
          </w:p>
        </w:tc>
        <w:tc>
          <w:tcPr>
            <w:tcW w:w="709" w:type="dxa"/>
            <w:shd w:val="clear" w:color="auto" w:fill="C6EFCE"/>
            <w:hideMark/>
          </w:tcPr>
          <w:p w14:paraId="1E0ECBD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2024</w:t>
            </w:r>
          </w:p>
        </w:tc>
        <w:tc>
          <w:tcPr>
            <w:tcW w:w="3696" w:type="dxa"/>
            <w:shd w:val="clear" w:color="auto" w:fill="C6EFCE"/>
            <w:hideMark/>
          </w:tcPr>
          <w:p w14:paraId="1E0ECBD3"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Legal act(s) governing i) competence centres support programme, ii) research support programme, iii) cooperation networks support programme and iv) IPCEI participation support programme shall enter into force, and shall:</w:t>
            </w:r>
          </w:p>
          <w:p w14:paraId="1E0ECBD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include indicators for measuring the performance of the selected intermediaries, for example attracted private R&amp;D investment, increased exports among beneficiaries, number of products developed; and</w:t>
            </w:r>
          </w:p>
          <w:p w14:paraId="1E0ECBD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 define the responsibility of intermediaries for collecting data from the final beneficiaries of the programme.</w:t>
            </w:r>
          </w:p>
          <w:p w14:paraId="1E0ECBD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legal act(s) shall establish that the selection of intermediaries for the research support programme and cooperation networks support programme shall take into account their compliance with the RIS3 specialisation strategy.</w:t>
            </w:r>
          </w:p>
        </w:tc>
      </w:tr>
      <w:tr w:rsidR="0048758A" w:rsidRPr="00E60E42" w14:paraId="1E0ECBE3" w14:textId="77777777" w:rsidTr="008368C7">
        <w:trPr>
          <w:jc w:val="center"/>
        </w:trPr>
        <w:tc>
          <w:tcPr>
            <w:tcW w:w="593" w:type="dxa"/>
            <w:shd w:val="clear" w:color="auto" w:fill="C6EFCE"/>
            <w:hideMark/>
          </w:tcPr>
          <w:p w14:paraId="1E0ECBD8"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158</w:t>
            </w:r>
          </w:p>
        </w:tc>
        <w:tc>
          <w:tcPr>
            <w:tcW w:w="1812" w:type="dxa"/>
            <w:shd w:val="clear" w:color="auto" w:fill="C6EFCE"/>
            <w:hideMark/>
          </w:tcPr>
          <w:p w14:paraId="1E0ECBD9"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5.1.1.2.i. Support instrument for research and internationalization</w:t>
            </w:r>
          </w:p>
        </w:tc>
        <w:tc>
          <w:tcPr>
            <w:tcW w:w="992" w:type="dxa"/>
            <w:shd w:val="clear" w:color="auto" w:fill="C6EFCE"/>
            <w:hideMark/>
          </w:tcPr>
          <w:p w14:paraId="1E0ECBDA"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843" w:type="dxa"/>
            <w:shd w:val="clear" w:color="auto" w:fill="C6EFCE"/>
            <w:hideMark/>
          </w:tcPr>
          <w:p w14:paraId="1E0ECBD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Commitment of funding</w:t>
            </w:r>
          </w:p>
        </w:tc>
        <w:tc>
          <w:tcPr>
            <w:tcW w:w="1701" w:type="dxa"/>
            <w:shd w:val="clear" w:color="auto" w:fill="C6EFCE"/>
            <w:hideMark/>
          </w:tcPr>
          <w:p w14:paraId="1E0ECBD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418" w:type="dxa"/>
            <w:shd w:val="clear" w:color="auto" w:fill="C6EFCE"/>
            <w:hideMark/>
          </w:tcPr>
          <w:p w14:paraId="1E0ECBD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EUR million</w:t>
            </w:r>
          </w:p>
        </w:tc>
        <w:tc>
          <w:tcPr>
            <w:tcW w:w="992" w:type="dxa"/>
            <w:shd w:val="clear" w:color="auto" w:fill="C6EFCE"/>
            <w:hideMark/>
          </w:tcPr>
          <w:p w14:paraId="1E0ECBD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850" w:type="dxa"/>
            <w:shd w:val="clear" w:color="auto" w:fill="C6EFCE"/>
            <w:hideMark/>
          </w:tcPr>
          <w:p w14:paraId="1E0ECBD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98</w:t>
            </w:r>
          </w:p>
        </w:tc>
        <w:tc>
          <w:tcPr>
            <w:tcW w:w="851" w:type="dxa"/>
            <w:shd w:val="clear" w:color="auto" w:fill="C6EFCE"/>
            <w:hideMark/>
          </w:tcPr>
          <w:p w14:paraId="1E0ECBE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Q2</w:t>
            </w:r>
          </w:p>
        </w:tc>
        <w:tc>
          <w:tcPr>
            <w:tcW w:w="709" w:type="dxa"/>
            <w:shd w:val="clear" w:color="auto" w:fill="C6EFCE"/>
            <w:hideMark/>
          </w:tcPr>
          <w:p w14:paraId="1E0ECBE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2025</w:t>
            </w:r>
          </w:p>
        </w:tc>
        <w:tc>
          <w:tcPr>
            <w:tcW w:w="3696" w:type="dxa"/>
            <w:shd w:val="clear" w:color="auto" w:fill="C6EFCE"/>
          </w:tcPr>
          <w:p w14:paraId="1E0ECBE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Signature of contracts showing commitment by the </w:t>
            </w:r>
            <w:r w:rsidRPr="00E60E42">
              <w:rPr>
                <w:rFonts w:ascii="Times New Roman" w:eastAsia="Times New Roman" w:hAnsi="Times New Roman" w:cs="Times New Roman"/>
                <w:noProof/>
                <w:kern w:val="0"/>
                <w:sz w:val="18"/>
                <w:szCs w:val="18"/>
                <w14:ligatures w14:val="none"/>
              </w:rPr>
              <w:t>Central Finance and Contracting Agency</w:t>
            </w:r>
            <w:r w:rsidRPr="00E60E42">
              <w:rPr>
                <w:rFonts w:ascii="Times New Roman" w:eastAsia="Calibri" w:hAnsi="Times New Roman" w:cs="Times New Roman"/>
                <w:noProof/>
                <w:kern w:val="0"/>
                <w:sz w:val="18"/>
                <w:szCs w:val="18"/>
                <w14:ligatures w14:val="none"/>
              </w:rPr>
              <w:t xml:space="preserve"> of at least EUR 98 million for projects related to R&amp;D, cooperation and internationalisation, or IPCEI. </w:t>
            </w:r>
          </w:p>
        </w:tc>
      </w:tr>
      <w:tr w:rsidR="0048758A" w:rsidRPr="00E60E42" w14:paraId="1E0ECBF3" w14:textId="77777777" w:rsidTr="008368C7">
        <w:trPr>
          <w:jc w:val="center"/>
        </w:trPr>
        <w:tc>
          <w:tcPr>
            <w:tcW w:w="593" w:type="dxa"/>
            <w:shd w:val="clear" w:color="auto" w:fill="C6EFCE"/>
            <w:hideMark/>
          </w:tcPr>
          <w:p w14:paraId="1E0ECBE4"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159</w:t>
            </w:r>
          </w:p>
        </w:tc>
        <w:tc>
          <w:tcPr>
            <w:tcW w:w="1812" w:type="dxa"/>
            <w:shd w:val="clear" w:color="auto" w:fill="C6EFCE"/>
            <w:hideMark/>
          </w:tcPr>
          <w:p w14:paraId="1E0ECBE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5.2.1.r. Reform of Higher Education and Scientific Excellence and Governance</w:t>
            </w:r>
          </w:p>
        </w:tc>
        <w:tc>
          <w:tcPr>
            <w:tcW w:w="992" w:type="dxa"/>
            <w:shd w:val="clear" w:color="auto" w:fill="C6EFCE"/>
            <w:hideMark/>
          </w:tcPr>
          <w:p w14:paraId="1E0ECBE6"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843" w:type="dxa"/>
            <w:shd w:val="clear" w:color="auto" w:fill="C6EFCE"/>
            <w:hideMark/>
          </w:tcPr>
          <w:p w14:paraId="1E0ECBE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Reform of the governance of higher education institutions</w:t>
            </w:r>
          </w:p>
        </w:tc>
        <w:tc>
          <w:tcPr>
            <w:tcW w:w="1701" w:type="dxa"/>
            <w:shd w:val="clear" w:color="auto" w:fill="C6EFCE"/>
            <w:hideMark/>
          </w:tcPr>
          <w:p w14:paraId="1E0ECBE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Legislative amendments entered into force in line with the reform of governance of higher education institutions</w:t>
            </w:r>
          </w:p>
        </w:tc>
        <w:tc>
          <w:tcPr>
            <w:tcW w:w="1418" w:type="dxa"/>
            <w:shd w:val="clear" w:color="auto" w:fill="C6EFCE"/>
            <w:hideMark/>
          </w:tcPr>
          <w:p w14:paraId="1E0ECBE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shd w:val="clear" w:color="auto" w:fill="C6EFCE"/>
            <w:hideMark/>
          </w:tcPr>
          <w:p w14:paraId="1E0ECBE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0" w:type="dxa"/>
            <w:shd w:val="clear" w:color="auto" w:fill="C6EFCE"/>
            <w:hideMark/>
          </w:tcPr>
          <w:p w14:paraId="1E0ECBE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shd w:val="clear" w:color="auto" w:fill="C6EFCE"/>
            <w:hideMark/>
          </w:tcPr>
          <w:p w14:paraId="1E0ECBE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Q4</w:t>
            </w:r>
          </w:p>
        </w:tc>
        <w:tc>
          <w:tcPr>
            <w:tcW w:w="709" w:type="dxa"/>
            <w:shd w:val="clear" w:color="auto" w:fill="C6EFCE"/>
            <w:hideMark/>
          </w:tcPr>
          <w:p w14:paraId="1E0ECBE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2022</w:t>
            </w:r>
          </w:p>
        </w:tc>
        <w:tc>
          <w:tcPr>
            <w:tcW w:w="3696" w:type="dxa"/>
            <w:shd w:val="clear" w:color="auto" w:fill="C6EFCE"/>
          </w:tcPr>
          <w:p w14:paraId="1E0ECBE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regulatory framework for implementing the reform of the governance of the higher education system has entered into force, including:</w:t>
            </w:r>
          </w:p>
          <w:p w14:paraId="1E0ECBEF"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University typologies and criteria for qualifying for a particular type;</w:t>
            </w:r>
          </w:p>
          <w:p w14:paraId="1E0ECBF0"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the procedure for the establishment and approval of university councils, the competence of the councils, while clarifying the competences of the Senate, the Rector and the Constitutional Assembly;</w:t>
            </w:r>
          </w:p>
          <w:p w14:paraId="1E0ECBF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the procedure for selecting and approving new university rectors;</w:t>
            </w:r>
          </w:p>
          <w:p w14:paraId="1E0ECBF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Defining the strategic specialisation of universities.</w:t>
            </w:r>
          </w:p>
        </w:tc>
      </w:tr>
      <w:tr w:rsidR="0048758A" w:rsidRPr="00E60E42" w14:paraId="1E0ECC05" w14:textId="77777777" w:rsidTr="008368C7">
        <w:trPr>
          <w:jc w:val="center"/>
        </w:trPr>
        <w:tc>
          <w:tcPr>
            <w:tcW w:w="593" w:type="dxa"/>
            <w:shd w:val="clear" w:color="auto" w:fill="C6EFCE"/>
            <w:hideMark/>
          </w:tcPr>
          <w:p w14:paraId="1E0ECBF4"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160</w:t>
            </w:r>
          </w:p>
        </w:tc>
        <w:tc>
          <w:tcPr>
            <w:tcW w:w="1812" w:type="dxa"/>
            <w:shd w:val="clear" w:color="auto" w:fill="C6EFCE"/>
            <w:hideMark/>
          </w:tcPr>
          <w:p w14:paraId="1E0ECBF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5.2.1.r. Reform of Higher Education and Scientific Excellence and Governance</w:t>
            </w:r>
          </w:p>
        </w:tc>
        <w:tc>
          <w:tcPr>
            <w:tcW w:w="992" w:type="dxa"/>
            <w:shd w:val="clear" w:color="auto" w:fill="C6EFCE"/>
            <w:hideMark/>
          </w:tcPr>
          <w:p w14:paraId="1E0ECBF6"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Milestone</w:t>
            </w:r>
          </w:p>
        </w:tc>
        <w:tc>
          <w:tcPr>
            <w:tcW w:w="1843" w:type="dxa"/>
            <w:shd w:val="clear" w:color="auto" w:fill="C6EFCE"/>
            <w:hideMark/>
          </w:tcPr>
          <w:p w14:paraId="1E0ECBF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Higher education reform</w:t>
            </w:r>
          </w:p>
        </w:tc>
        <w:tc>
          <w:tcPr>
            <w:tcW w:w="1701" w:type="dxa"/>
            <w:shd w:val="clear" w:color="auto" w:fill="C6EFCE"/>
            <w:hideMark/>
          </w:tcPr>
          <w:p w14:paraId="1E0ECBF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Entry into force of legal act(s) </w:t>
            </w:r>
          </w:p>
        </w:tc>
        <w:tc>
          <w:tcPr>
            <w:tcW w:w="1418" w:type="dxa"/>
            <w:shd w:val="clear" w:color="auto" w:fill="C6EFCE"/>
            <w:hideMark/>
          </w:tcPr>
          <w:p w14:paraId="1E0ECBF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992" w:type="dxa"/>
            <w:shd w:val="clear" w:color="auto" w:fill="C6EFCE"/>
            <w:hideMark/>
          </w:tcPr>
          <w:p w14:paraId="1E0ECBF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0" w:type="dxa"/>
            <w:shd w:val="clear" w:color="auto" w:fill="C6EFCE"/>
            <w:hideMark/>
          </w:tcPr>
          <w:p w14:paraId="1E0ECBF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851" w:type="dxa"/>
            <w:shd w:val="clear" w:color="auto" w:fill="C6EFCE"/>
            <w:hideMark/>
          </w:tcPr>
          <w:p w14:paraId="1E0ECBF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shd w:val="clear" w:color="auto" w:fill="C6EFCE"/>
            <w:hideMark/>
          </w:tcPr>
          <w:p w14:paraId="1E0ECBF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696" w:type="dxa"/>
            <w:shd w:val="clear" w:color="auto" w:fill="C6EFCE"/>
            <w:hideMark/>
          </w:tcPr>
          <w:p w14:paraId="1E0ECBFE" w14:textId="77777777" w:rsidR="004E39F6" w:rsidRPr="00E60E42" w:rsidRDefault="00A35BEA" w:rsidP="00611029">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Entry into force of legal act(s) introducing:</w:t>
            </w:r>
          </w:p>
          <w:p w14:paraId="1E0ECBFF" w14:textId="248F7F15" w:rsidR="004E39F6" w:rsidRPr="00E60E42" w:rsidRDefault="00A35BEA" w:rsidP="00611029">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(i) </w:t>
            </w:r>
            <w:r w:rsidR="00932E5D" w:rsidRPr="00E60E42">
              <w:rPr>
                <w:rFonts w:ascii="Times New Roman" w:eastAsia="Calibri" w:hAnsi="Times New Roman" w:cs="Times New Roman"/>
                <w:noProof/>
                <w:kern w:val="0"/>
                <w:sz w:val="18"/>
                <w:szCs w:val="18"/>
                <w14:ligatures w14:val="none"/>
              </w:rPr>
              <w:t>the establishment and functions of doctoral schools, as well as the requirements and conditions applicable to the employment of doctoral students, including procedures for calculating their remuneration</w:t>
            </w:r>
            <w:r w:rsidRPr="00E60E42">
              <w:rPr>
                <w:rFonts w:ascii="Times New Roman" w:eastAsia="Calibri" w:hAnsi="Times New Roman" w:cs="Times New Roman"/>
                <w:noProof/>
                <w:kern w:val="0"/>
                <w:sz w:val="18"/>
                <w:szCs w:val="18"/>
                <w14:ligatures w14:val="none"/>
              </w:rPr>
              <w:t>;</w:t>
            </w:r>
          </w:p>
          <w:p w14:paraId="1E0ECC00" w14:textId="21916F90"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(ii) </w:t>
            </w:r>
            <w:r w:rsidR="00162B3E" w:rsidRPr="00E60E42">
              <w:rPr>
                <w:rFonts w:ascii="Times New Roman" w:eastAsia="Calibri" w:hAnsi="Times New Roman" w:cs="Times New Roman"/>
                <w:noProof/>
                <w:kern w:val="0"/>
                <w:sz w:val="18"/>
                <w:szCs w:val="18"/>
                <w14:ligatures w14:val="none"/>
              </w:rPr>
              <w:t>Latvian language requirements for academic personnel, as well as provisions on the possibility for higher education institutions to form a tenure</w:t>
            </w:r>
            <w:r w:rsidRPr="00E60E42">
              <w:rPr>
                <w:rFonts w:ascii="Times New Roman" w:eastAsia="Calibri" w:hAnsi="Times New Roman" w:cs="Times New Roman"/>
                <w:noProof/>
                <w:kern w:val="0"/>
                <w:sz w:val="18"/>
                <w:szCs w:val="18"/>
                <w14:ligatures w14:val="none"/>
              </w:rPr>
              <w:t xml:space="preserve">; </w:t>
            </w:r>
          </w:p>
          <w:p w14:paraId="1E0ECC01" w14:textId="310AEC31"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(iii) </w:t>
            </w:r>
            <w:r w:rsidR="00456949" w:rsidRPr="00E60E42">
              <w:rPr>
                <w:rFonts w:ascii="Times New Roman" w:eastAsia="Calibri" w:hAnsi="Times New Roman" w:cs="Times New Roman"/>
                <w:noProof/>
                <w:kern w:val="0"/>
                <w:sz w:val="18"/>
                <w:szCs w:val="18"/>
                <w14:ligatures w14:val="none"/>
              </w:rPr>
              <w:t>requirements and procedures for the pilot accreditation of higher education institutions</w:t>
            </w:r>
            <w:r w:rsidRPr="00E60E42">
              <w:rPr>
                <w:rFonts w:ascii="Times New Roman" w:eastAsia="Calibri" w:hAnsi="Times New Roman" w:cs="Times New Roman"/>
                <w:noProof/>
                <w:kern w:val="0"/>
                <w:sz w:val="18"/>
                <w:szCs w:val="18"/>
                <w14:ligatures w14:val="none"/>
              </w:rPr>
              <w:t>;</w:t>
            </w:r>
          </w:p>
          <w:p w14:paraId="1E0ECC0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(iv) scholarships of excellence, social scholarships and field-of-study scholarships;</w:t>
            </w:r>
          </w:p>
          <w:p w14:paraId="1E0ECC03" w14:textId="1C9057EA"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(v) an increase</w:t>
            </w:r>
            <w:r w:rsidR="00F62670" w:rsidRPr="00E60E42">
              <w:rPr>
                <w:rFonts w:ascii="Times New Roman" w:eastAsia="Calibri" w:hAnsi="Times New Roman" w:cs="Times New Roman"/>
                <w:noProof/>
                <w:kern w:val="0"/>
                <w:sz w:val="18"/>
                <w:szCs w:val="18"/>
                <w14:ligatures w14:val="none"/>
              </w:rPr>
              <w:t xml:space="preserve"> </w:t>
            </w:r>
            <w:r w:rsidR="005B0420" w:rsidRPr="00E60E42">
              <w:rPr>
                <w:rFonts w:ascii="Times New Roman" w:eastAsia="Calibri" w:hAnsi="Times New Roman" w:cs="Times New Roman"/>
                <w:noProof/>
                <w:kern w:val="0"/>
                <w:sz w:val="18"/>
                <w:szCs w:val="18"/>
                <w14:ligatures w14:val="none"/>
              </w:rPr>
              <w:t>in funding for the programme “Development of Scientific Activity in Higher Education Institutions and Colleges” in 2023 and 2024 compared to 2022 and new indicators for performance-based funding</w:t>
            </w:r>
            <w:r w:rsidRPr="00E60E42">
              <w:rPr>
                <w:rFonts w:ascii="Times New Roman" w:eastAsia="Calibri" w:hAnsi="Times New Roman" w:cs="Times New Roman"/>
                <w:noProof/>
                <w:kern w:val="0"/>
                <w:sz w:val="18"/>
                <w:szCs w:val="18"/>
                <w14:ligatures w14:val="none"/>
              </w:rPr>
              <w:t>;</w:t>
            </w:r>
          </w:p>
          <w:p w14:paraId="1E0ECC04" w14:textId="04128C08" w:rsidR="004E39F6" w:rsidRPr="00E60E42" w:rsidRDefault="00A35BEA" w:rsidP="00611029">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(vi) the linking of public funding </w:t>
            </w:r>
            <w:r w:rsidR="00731C6D" w:rsidRPr="00E60E42">
              <w:rPr>
                <w:rFonts w:ascii="Times New Roman" w:eastAsia="Calibri" w:hAnsi="Times New Roman" w:cs="Times New Roman"/>
                <w:noProof/>
                <w:kern w:val="0"/>
                <w:sz w:val="18"/>
                <w:szCs w:val="18"/>
                <w14:ligatures w14:val="none"/>
              </w:rPr>
              <w:t xml:space="preserve">for scientific </w:t>
            </w:r>
            <w:r w:rsidR="00ED525F" w:rsidRPr="00E60E42">
              <w:rPr>
                <w:rFonts w:ascii="Times New Roman" w:eastAsia="Calibri" w:hAnsi="Times New Roman" w:cs="Times New Roman"/>
                <w:noProof/>
                <w:kern w:val="0"/>
                <w:sz w:val="18"/>
                <w:szCs w:val="18"/>
                <w14:ligatures w14:val="none"/>
              </w:rPr>
              <w:t xml:space="preserve">activity </w:t>
            </w:r>
            <w:r w:rsidRPr="00E60E42">
              <w:rPr>
                <w:rFonts w:ascii="Times New Roman" w:eastAsia="Calibri" w:hAnsi="Times New Roman" w:cs="Times New Roman"/>
                <w:noProof/>
                <w:kern w:val="0"/>
                <w:sz w:val="18"/>
                <w:szCs w:val="18"/>
                <w14:ligatures w14:val="none"/>
              </w:rPr>
              <w:t>to the results of the international evaluation of scientific institutions.</w:t>
            </w:r>
          </w:p>
        </w:tc>
      </w:tr>
      <w:tr w:rsidR="0048758A" w:rsidRPr="00E60E42" w14:paraId="1E0ECC1B" w14:textId="77777777" w:rsidTr="008368C7">
        <w:trPr>
          <w:trHeight w:val="1082"/>
          <w:jc w:val="center"/>
        </w:trPr>
        <w:tc>
          <w:tcPr>
            <w:tcW w:w="593" w:type="dxa"/>
            <w:tcBorders>
              <w:top w:val="single" w:sz="4" w:space="0" w:color="auto"/>
              <w:left w:val="single" w:sz="4" w:space="0" w:color="auto"/>
              <w:bottom w:val="single" w:sz="4" w:space="0" w:color="auto"/>
              <w:right w:val="single" w:sz="4" w:space="0" w:color="auto"/>
            </w:tcBorders>
            <w:shd w:val="clear" w:color="auto" w:fill="C6EFCE"/>
            <w:hideMark/>
          </w:tcPr>
          <w:p w14:paraId="1E0ECC06"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161</w:t>
            </w:r>
          </w:p>
        </w:tc>
        <w:tc>
          <w:tcPr>
            <w:tcW w:w="1812" w:type="dxa"/>
            <w:tcBorders>
              <w:top w:val="single" w:sz="4" w:space="0" w:color="auto"/>
              <w:left w:val="single" w:sz="4" w:space="0" w:color="auto"/>
              <w:bottom w:val="single" w:sz="4" w:space="0" w:color="auto"/>
              <w:right w:val="single" w:sz="4" w:space="0" w:color="auto"/>
            </w:tcBorders>
            <w:shd w:val="clear" w:color="auto" w:fill="C6EFCE"/>
            <w:hideMark/>
          </w:tcPr>
          <w:p w14:paraId="1E0ECC0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5.2.1.r. Reform of Higher Education and Scientific Excellence and Governance</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C08"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hideMark/>
          </w:tcPr>
          <w:p w14:paraId="1E0ECC0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Consolidation of higher education institutions</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1E0ECC0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1E0ECC0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C0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1E0ECC0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E0ECC0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1E0ECC0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2023</w:t>
            </w:r>
          </w:p>
        </w:tc>
        <w:tc>
          <w:tcPr>
            <w:tcW w:w="3696" w:type="dxa"/>
            <w:tcBorders>
              <w:top w:val="single" w:sz="4" w:space="0" w:color="auto"/>
              <w:left w:val="single" w:sz="4" w:space="0" w:color="auto"/>
              <w:bottom w:val="single" w:sz="4" w:space="0" w:color="auto"/>
              <w:right w:val="single" w:sz="4" w:space="0" w:color="auto"/>
            </w:tcBorders>
            <w:shd w:val="clear" w:color="auto" w:fill="C6EFCE"/>
          </w:tcPr>
          <w:p w14:paraId="1E0ECC10"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Consolidation plans of institutions of higher education approved by Ministry of Education, including:</w:t>
            </w:r>
          </w:p>
          <w:p w14:paraId="1E0ECC1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an investment plan and consolidation grant amount;</w:t>
            </w:r>
          </w:p>
          <w:p w14:paraId="1E0ECC1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Times New Roman"/>
                <w:noProof/>
                <w:kern w:val="0"/>
                <w:sz w:val="18"/>
                <w:szCs w:val="18"/>
                <w14:ligatures w14:val="none"/>
              </w:rPr>
              <w:t>- modalities and timeframe for achieving an internal or external consolidation of two or more institutions of higher education, including through the formation of consortia, if necessary for the implementation of external consolidation.</w:t>
            </w:r>
          </w:p>
          <w:p w14:paraId="1E0ECC13"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following investments shall be eligible for financing from consolidation grants:</w:t>
            </w:r>
          </w:p>
          <w:p w14:paraId="1E0ECC1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 grants for structural change;</w:t>
            </w:r>
          </w:p>
          <w:p w14:paraId="1E0ECC1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 “Exit” grants for termination of employment with academic staff over 65 years of age;</w:t>
            </w:r>
          </w:p>
          <w:p w14:paraId="1E0ECC1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3) Digitalisation, technological development, improvement of research and education infrastructure (excluding construction);</w:t>
            </w:r>
          </w:p>
          <w:p w14:paraId="1E0ECC1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 Creation of new programmes of excellence.</w:t>
            </w:r>
          </w:p>
          <w:p w14:paraId="1E0ECC1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The assessment criteria for approval of consolidation plans shall include:</w:t>
            </w:r>
          </w:p>
          <w:p w14:paraId="1E0ECC1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whether there is a common development strategy, sharing of resources, development of study programmes, creation of common platforms;</w:t>
            </w:r>
          </w:p>
          <w:p w14:paraId="1E0ECC1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whether there is a commitment to internal or external consolidation, including through the formation of consortia, with a clear timeframe.</w:t>
            </w:r>
          </w:p>
        </w:tc>
      </w:tr>
      <w:tr w:rsidR="0048758A" w:rsidRPr="00E60E42" w14:paraId="1E0ECC27" w14:textId="77777777" w:rsidTr="008368C7">
        <w:trPr>
          <w:jc w:val="center"/>
        </w:trPr>
        <w:tc>
          <w:tcPr>
            <w:tcW w:w="593" w:type="dxa"/>
            <w:shd w:val="clear" w:color="auto" w:fill="C6EFCE"/>
            <w:hideMark/>
          </w:tcPr>
          <w:p w14:paraId="1E0ECC1C"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162</w:t>
            </w:r>
          </w:p>
        </w:tc>
        <w:tc>
          <w:tcPr>
            <w:tcW w:w="1812" w:type="dxa"/>
            <w:shd w:val="clear" w:color="auto" w:fill="C6EFCE"/>
            <w:hideMark/>
          </w:tcPr>
          <w:p w14:paraId="1E0ECC1D"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5.2.1.r. Reform of Higher Education and Scientific Excellence and Governance</w:t>
            </w:r>
          </w:p>
        </w:tc>
        <w:tc>
          <w:tcPr>
            <w:tcW w:w="992" w:type="dxa"/>
            <w:shd w:val="clear" w:color="auto" w:fill="C6EFCE"/>
            <w:hideMark/>
          </w:tcPr>
          <w:p w14:paraId="1E0ECC1E"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843" w:type="dxa"/>
            <w:shd w:val="clear" w:color="auto" w:fill="C6EFCE"/>
            <w:hideMark/>
          </w:tcPr>
          <w:p w14:paraId="1E0ECC1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Governance changes in public universities</w:t>
            </w:r>
          </w:p>
        </w:tc>
        <w:tc>
          <w:tcPr>
            <w:tcW w:w="1701" w:type="dxa"/>
            <w:shd w:val="clear" w:color="auto" w:fill="C6EFCE"/>
            <w:hideMark/>
          </w:tcPr>
          <w:p w14:paraId="1E0ECC2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418" w:type="dxa"/>
            <w:shd w:val="clear" w:color="auto" w:fill="C6EFCE"/>
            <w:hideMark/>
          </w:tcPr>
          <w:p w14:paraId="1E0ECC2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w:t>
            </w:r>
          </w:p>
        </w:tc>
        <w:tc>
          <w:tcPr>
            <w:tcW w:w="992" w:type="dxa"/>
            <w:shd w:val="clear" w:color="auto" w:fill="C6EFCE"/>
            <w:hideMark/>
          </w:tcPr>
          <w:p w14:paraId="1E0ECC2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850" w:type="dxa"/>
            <w:shd w:val="clear" w:color="auto" w:fill="C6EFCE"/>
            <w:hideMark/>
          </w:tcPr>
          <w:p w14:paraId="1E0ECC2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10</w:t>
            </w:r>
          </w:p>
        </w:tc>
        <w:tc>
          <w:tcPr>
            <w:tcW w:w="851" w:type="dxa"/>
            <w:shd w:val="clear" w:color="auto" w:fill="C6EFCE"/>
            <w:hideMark/>
          </w:tcPr>
          <w:p w14:paraId="1E0ECC24" w14:textId="77777777" w:rsidR="004E39F6" w:rsidRPr="00E60E42" w:rsidRDefault="00A35BEA" w:rsidP="0048758A">
            <w:pPr>
              <w:spacing w:after="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shd w:val="clear" w:color="auto" w:fill="C6EFCE"/>
            <w:hideMark/>
          </w:tcPr>
          <w:p w14:paraId="1E0ECC2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696" w:type="dxa"/>
            <w:shd w:val="clear" w:color="auto" w:fill="C6EFCE"/>
            <w:hideMark/>
          </w:tcPr>
          <w:p w14:paraId="1E0ECC2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Governance documents (for example statutes) of 10 public universities shall be created or updated. They shall include (i) procedures for the election of the rector, and (ii) the division of responsibilities across internal governing bodies, including the separation of academic decision making and strategic decision making.</w:t>
            </w:r>
          </w:p>
        </w:tc>
      </w:tr>
      <w:tr w:rsidR="0048758A" w:rsidRPr="00E60E42" w14:paraId="1E0ECC33" w14:textId="77777777" w:rsidTr="008368C7">
        <w:trPr>
          <w:jc w:val="center"/>
        </w:trPr>
        <w:tc>
          <w:tcPr>
            <w:tcW w:w="593" w:type="dxa"/>
            <w:shd w:val="clear" w:color="auto" w:fill="C6EFCE"/>
            <w:hideMark/>
          </w:tcPr>
          <w:p w14:paraId="1E0ECC28"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163</w:t>
            </w:r>
          </w:p>
        </w:tc>
        <w:tc>
          <w:tcPr>
            <w:tcW w:w="1812" w:type="dxa"/>
            <w:shd w:val="clear" w:color="auto" w:fill="C6EFCE"/>
            <w:hideMark/>
          </w:tcPr>
          <w:p w14:paraId="1E0ECC29"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5.2.1.1.i. Research, development and consolidation grants</w:t>
            </w:r>
          </w:p>
        </w:tc>
        <w:tc>
          <w:tcPr>
            <w:tcW w:w="992" w:type="dxa"/>
            <w:shd w:val="clear" w:color="auto" w:fill="C6EFCE"/>
            <w:hideMark/>
          </w:tcPr>
          <w:p w14:paraId="1E0ECC2A"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843" w:type="dxa"/>
            <w:shd w:val="clear" w:color="auto" w:fill="C6EFCE"/>
            <w:hideMark/>
          </w:tcPr>
          <w:p w14:paraId="1E0ECC2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 xml:space="preserve">Final payment decisions for consolidation plans </w:t>
            </w:r>
          </w:p>
        </w:tc>
        <w:tc>
          <w:tcPr>
            <w:tcW w:w="1701" w:type="dxa"/>
            <w:shd w:val="clear" w:color="auto" w:fill="C6EFCE"/>
            <w:hideMark/>
          </w:tcPr>
          <w:p w14:paraId="1E0ECC2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418" w:type="dxa"/>
            <w:shd w:val="clear" w:color="auto" w:fill="C6EFCE"/>
            <w:hideMark/>
          </w:tcPr>
          <w:p w14:paraId="1E0ECC2D" w14:textId="77777777" w:rsidR="004E39F6" w:rsidRPr="00E60E42" w:rsidRDefault="00A35BEA" w:rsidP="008368C7">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 of final payment decisions for consolidation plans</w:t>
            </w:r>
          </w:p>
        </w:tc>
        <w:tc>
          <w:tcPr>
            <w:tcW w:w="992" w:type="dxa"/>
            <w:shd w:val="clear" w:color="auto" w:fill="C6EFCE"/>
            <w:hideMark/>
          </w:tcPr>
          <w:p w14:paraId="1E0ECC2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850" w:type="dxa"/>
            <w:shd w:val="clear" w:color="auto" w:fill="C6EFCE"/>
            <w:hideMark/>
          </w:tcPr>
          <w:p w14:paraId="1E0ECC2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w:t>
            </w:r>
          </w:p>
        </w:tc>
        <w:tc>
          <w:tcPr>
            <w:tcW w:w="851" w:type="dxa"/>
            <w:shd w:val="clear" w:color="auto" w:fill="C6EFCE"/>
            <w:hideMark/>
          </w:tcPr>
          <w:p w14:paraId="1E0ECC30" w14:textId="77777777" w:rsidR="004E39F6" w:rsidRPr="00E60E42" w:rsidRDefault="00A35BEA" w:rsidP="0048758A">
            <w:pPr>
              <w:spacing w:after="0" w:line="240" w:lineRule="auto"/>
              <w:jc w:val="center"/>
              <w:rPr>
                <w:rFonts w:ascii="Times New Roman" w:eastAsia="Calibri"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shd w:val="clear" w:color="auto" w:fill="C6EFCE"/>
            <w:hideMark/>
          </w:tcPr>
          <w:p w14:paraId="1E0ECC3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696" w:type="dxa"/>
            <w:shd w:val="clear" w:color="auto" w:fill="C6EFCE"/>
            <w:hideMark/>
          </w:tcPr>
          <w:p w14:paraId="1E0ECC3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Final payment decisions issued by the Central Finance and Contracting Agency for the consolidation of four higher education institutions or scientific institutions.</w:t>
            </w:r>
          </w:p>
        </w:tc>
      </w:tr>
      <w:tr w:rsidR="0048758A" w:rsidRPr="00E60E42" w14:paraId="1E0ECC3F" w14:textId="77777777" w:rsidTr="008368C7">
        <w:trPr>
          <w:jc w:val="center"/>
        </w:trPr>
        <w:tc>
          <w:tcPr>
            <w:tcW w:w="593" w:type="dxa"/>
            <w:shd w:val="clear" w:color="auto" w:fill="C6EFCE"/>
            <w:hideMark/>
          </w:tcPr>
          <w:p w14:paraId="1E0ECC34" w14:textId="77777777" w:rsidR="004E39F6" w:rsidRPr="00E60E42" w:rsidRDefault="00A35BEA" w:rsidP="002A5857">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164</w:t>
            </w:r>
          </w:p>
        </w:tc>
        <w:tc>
          <w:tcPr>
            <w:tcW w:w="1812" w:type="dxa"/>
            <w:shd w:val="clear" w:color="auto" w:fill="C6EFCE"/>
            <w:hideMark/>
          </w:tcPr>
          <w:p w14:paraId="1E0ECC3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Times New Roman"/>
                <w:b/>
                <w:noProof/>
                <w:kern w:val="0"/>
                <w:sz w:val="18"/>
                <w:szCs w:val="18"/>
                <w14:ligatures w14:val="none"/>
              </w:rPr>
              <w:t>5.2.1.1.i. Research, development and consolidation grants</w:t>
            </w:r>
          </w:p>
        </w:tc>
        <w:tc>
          <w:tcPr>
            <w:tcW w:w="992" w:type="dxa"/>
            <w:shd w:val="clear" w:color="auto" w:fill="C6EFCE"/>
            <w:hideMark/>
          </w:tcPr>
          <w:p w14:paraId="1E0ECC36" w14:textId="77777777" w:rsidR="004E39F6" w:rsidRPr="00E60E42" w:rsidRDefault="00A35BEA" w:rsidP="00BE2788">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Target</w:t>
            </w:r>
          </w:p>
        </w:tc>
        <w:tc>
          <w:tcPr>
            <w:tcW w:w="1843" w:type="dxa"/>
            <w:shd w:val="clear" w:color="auto" w:fill="C6EFCE"/>
            <w:hideMark/>
          </w:tcPr>
          <w:p w14:paraId="1E0ECC3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Academic career and research grant agreements signed</w:t>
            </w:r>
          </w:p>
        </w:tc>
        <w:tc>
          <w:tcPr>
            <w:tcW w:w="1701" w:type="dxa"/>
            <w:shd w:val="clear" w:color="auto" w:fill="C6EFCE"/>
            <w:hideMark/>
          </w:tcPr>
          <w:p w14:paraId="1E0ECC3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N/A</w:t>
            </w:r>
          </w:p>
        </w:tc>
        <w:tc>
          <w:tcPr>
            <w:tcW w:w="1418" w:type="dxa"/>
            <w:shd w:val="clear" w:color="auto" w:fill="C6EFCE"/>
            <w:hideMark/>
          </w:tcPr>
          <w:p w14:paraId="1E0ECC39" w14:textId="77777777" w:rsidR="004E39F6" w:rsidRPr="00E60E42" w:rsidRDefault="00A35BEA" w:rsidP="008368C7">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Number of academic career and research grant agreements signed</w:t>
            </w:r>
          </w:p>
        </w:tc>
        <w:tc>
          <w:tcPr>
            <w:tcW w:w="992" w:type="dxa"/>
            <w:shd w:val="clear" w:color="auto" w:fill="C6EFCE"/>
            <w:hideMark/>
          </w:tcPr>
          <w:p w14:paraId="1E0ECC3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0</w:t>
            </w:r>
          </w:p>
        </w:tc>
        <w:tc>
          <w:tcPr>
            <w:tcW w:w="850" w:type="dxa"/>
            <w:shd w:val="clear" w:color="auto" w:fill="C6EFCE"/>
            <w:hideMark/>
          </w:tcPr>
          <w:p w14:paraId="1E0ECC3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405</w:t>
            </w:r>
          </w:p>
        </w:tc>
        <w:tc>
          <w:tcPr>
            <w:tcW w:w="851" w:type="dxa"/>
            <w:shd w:val="clear" w:color="auto" w:fill="C6EFCE"/>
            <w:hideMark/>
          </w:tcPr>
          <w:p w14:paraId="1E0ECC3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Q3</w:t>
            </w:r>
          </w:p>
        </w:tc>
        <w:tc>
          <w:tcPr>
            <w:tcW w:w="709" w:type="dxa"/>
            <w:shd w:val="clear" w:color="auto" w:fill="C6EFCE"/>
            <w:hideMark/>
          </w:tcPr>
          <w:p w14:paraId="1E0ECC3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2026</w:t>
            </w:r>
          </w:p>
        </w:tc>
        <w:tc>
          <w:tcPr>
            <w:tcW w:w="3696" w:type="dxa"/>
            <w:shd w:val="clear" w:color="auto" w:fill="C6EFCE"/>
            <w:hideMark/>
          </w:tcPr>
          <w:p w14:paraId="1E0ECC3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Times New Roman"/>
                <w:noProof/>
                <w:kern w:val="0"/>
                <w:sz w:val="18"/>
                <w:szCs w:val="18"/>
                <w14:ligatures w14:val="none"/>
              </w:rPr>
              <w:t>Higher education institutions or research institutes have signed 315 academic career grant agreements and 90 grant agreements for research.</w:t>
            </w:r>
          </w:p>
        </w:tc>
      </w:tr>
    </w:tbl>
    <w:p w14:paraId="1E0ECC40"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sectPr w:rsidR="004E39F6" w:rsidRPr="00E60E42" w:rsidSect="0048758A">
          <w:headerReference w:type="even" r:id="rId71"/>
          <w:headerReference w:type="default" r:id="rId72"/>
          <w:footerReference w:type="even" r:id="rId73"/>
          <w:footerReference w:type="default" r:id="rId74"/>
          <w:headerReference w:type="first" r:id="rId75"/>
          <w:footerReference w:type="first" r:id="rId76"/>
          <w:pgSz w:w="16838" w:h="11906" w:orient="landscape"/>
          <w:pgMar w:top="1134" w:right="1134" w:bottom="1134" w:left="1134" w:header="567" w:footer="567" w:gutter="0"/>
          <w:cols w:space="708"/>
          <w:docGrid w:linePitch="360"/>
        </w:sectPr>
      </w:pPr>
    </w:p>
    <w:p w14:paraId="1E0ECC41" w14:textId="77777777" w:rsidR="004E39F6" w:rsidRPr="00E60E42" w:rsidRDefault="00A35BEA" w:rsidP="00611029">
      <w:pPr>
        <w:keepNext/>
        <w:spacing w:after="240" w:line="240" w:lineRule="auto"/>
        <w:outlineLvl w:val="0"/>
        <w:rPr>
          <w:rFonts w:ascii="Times New Roman" w:eastAsia="MS Gothic" w:hAnsi="Times New Roman" w:cs="Times New Roman"/>
          <w:b/>
          <w:smallCaps/>
          <w:noProof/>
          <w:kern w:val="0"/>
          <w:szCs w:val="28"/>
          <w14:ligatures w14:val="none"/>
        </w:rPr>
      </w:pPr>
      <w:r w:rsidRPr="00E60E42">
        <w:rPr>
          <w:rFonts w:ascii="Times New Roman" w:eastAsia="Calibri" w:hAnsi="Times New Roman" w:cs="Arial"/>
          <w:b/>
          <w:smallCaps/>
          <w:noProof/>
          <w:kern w:val="0"/>
          <w:szCs w:val="22"/>
          <w14:ligatures w14:val="none"/>
        </w:rPr>
        <w:t>F. COMPONENT 6: RULE OF LAW</w:t>
      </w:r>
    </w:p>
    <w:p w14:paraId="1E0ECC42"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This component of the Latvian recovery and resilience plan consists of four subparts that address the key challenges in tax compliance, law enforcement dealing with economic crime, public administration and public procurement. The key addressed challenges related to tax compliance are undeclared wages and employment, tax fraud, and smuggling. The key challenges related to economic crime are shortage of investigators, prosecutors and judges with specific knowledge in areas of economic crime. Key challenges related to public administration are the need to strengthen and improve its capacities, efficiency, transparency and accountability. While overall, Latvia’s performance in the area of public procurement is satisfactory, there are several challenges that require further attention, namely the need to increase the efficiency, transparency and quality of public procurement procedures, foster the competition and strengthen human and analytical capacities, including, professional qualifications of procurers. </w:t>
      </w:r>
    </w:p>
    <w:p w14:paraId="1E0ECC43"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objectives of the component are to reduce the shadow economy and foster a fairer business environment, to improve the quality and efficiency of the judicial system, particularly with respect to fighting economic crime, to modernise the public administration as well as to improve the quality, efficiency and integrity of public procurement.</w:t>
      </w:r>
    </w:p>
    <w:p w14:paraId="1E0ECC44"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component supports addressing the Country Specific Recommendations to improve tax compliance (Country Specific Recommendation 1 2019), to strengthen the accountability and efficiency of public administration (Country Specific Recommendation 4 2019), and to continue progress on the anti-money laundering framework (Country Specific Recommendation 4 2020). </w:t>
      </w:r>
    </w:p>
    <w:p w14:paraId="1E0ECC45" w14:textId="77777777" w:rsidR="004E39F6" w:rsidRPr="00E60E42" w:rsidRDefault="00A35BEA" w:rsidP="00611029">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E0ECC46" w14:textId="77777777" w:rsidR="004E39F6" w:rsidRPr="00E60E42" w:rsidRDefault="00A35BEA" w:rsidP="00611029">
      <w:pPr>
        <w:keepNext/>
        <w:keepLines/>
        <w:spacing w:after="240" w:line="240" w:lineRule="auto"/>
        <w:jc w:val="both"/>
        <w:outlineLvl w:val="1"/>
        <w:rPr>
          <w:rFonts w:ascii="Times New Roman" w:eastAsia="Calibri" w:hAnsi="Times New Roman" w:cs="Times New Roman"/>
          <w:b/>
          <w:noProof/>
          <w:kern w:val="0"/>
          <w:szCs w:val="22"/>
          <w:u w:val="single"/>
          <w14:ligatures w14:val="none"/>
        </w:rPr>
      </w:pPr>
      <w:r w:rsidRPr="00E60E42">
        <w:rPr>
          <w:rFonts w:ascii="Times New Roman" w:eastAsia="Calibri" w:hAnsi="Times New Roman" w:cs="Arial"/>
          <w:b/>
          <w:noProof/>
          <w:kern w:val="0"/>
          <w:szCs w:val="22"/>
          <w:u w:val="single"/>
          <w14:ligatures w14:val="none"/>
        </w:rPr>
        <w:t>F.1. Description of the reforms and investments for non-repayable financial support</w:t>
      </w:r>
    </w:p>
    <w:p w14:paraId="1E0ECC47"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6.1.1.r. Strengthening analytics and developing data management in the field of tax administration and customs</w:t>
      </w:r>
    </w:p>
    <w:p w14:paraId="1E0ECC48"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this measure is to improve the quality and efficiency of compliance risk management and other activities related to fight against shadow economy through a broad set of measures, including the adoption of a comprehensive action plan for fighting the shadow economy, introducing a new taxpayer segmentation system and adjusting the audit and control practices to better target the risk of non-compliance. The measure also includes investment in research of taxpayer behaviour that shall be used to design a more effective policy response to tax avoidance and evasion.</w:t>
      </w:r>
    </w:p>
    <w:p w14:paraId="1E0ECC49"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consists of: a) adoption of a national work plan to restrain the shadow economy for 2021 – 2022, b) the establishment of a taxpayer rating system and the related optimisation of audits and controls and tailoring of state revenue service (SRS) services, c) development of a handbook for recognising risks of undeclared wages, d) commissioning of research and policy recommendations in the area of the shadow economy.</w:t>
      </w:r>
    </w:p>
    <w:p w14:paraId="1E0ECC4A" w14:textId="77777777" w:rsidR="004E39F6" w:rsidRPr="00E60E42" w:rsidRDefault="00A35BEA" w:rsidP="00611029">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shall be implemented by 30 June 2024.</w:t>
      </w:r>
    </w:p>
    <w:p w14:paraId="1E0ECC4B"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6.1.1.1.i. Modernisation of existing analytical solutions</w:t>
      </w:r>
    </w:p>
    <w:p w14:paraId="1E0ECC4C" w14:textId="77777777" w:rsidR="004E39F6" w:rsidRPr="00E60E42" w:rsidRDefault="00A35BEA" w:rsidP="00611029">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objective of the measure is to modernise the information technology (IT) infrastructure in the tax administration. </w:t>
      </w:r>
    </w:p>
    <w:p w14:paraId="1E0ECC4D" w14:textId="77777777" w:rsidR="004E39F6" w:rsidRPr="00E60E42" w:rsidRDefault="00A35BEA" w:rsidP="00611029">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14:ligatures w14:val="none"/>
        </w:rPr>
        <w:t xml:space="preserve">The measure consists of changing several IT systems. </w:t>
      </w:r>
    </w:p>
    <w:p w14:paraId="1E0ECC4E"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6.1.1.2.i. Development of new analytical systems</w:t>
      </w:r>
    </w:p>
    <w:p w14:paraId="1E0ECC4F" w14:textId="77777777" w:rsidR="004E39F6" w:rsidRPr="00E60E42" w:rsidRDefault="00A35BEA" w:rsidP="00611029">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objective of the measure is to increase tax compliance through greater transparency. </w:t>
      </w:r>
    </w:p>
    <w:p w14:paraId="1E0ECC50"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the creation of a new taxpayer segmentation system and its integration with the 360-degree system of taxpayer analysis. </w:t>
      </w:r>
    </w:p>
    <w:p w14:paraId="1E0ECC51"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6.1.1.3.i. Personnel training to work with an analytical platform and consultancy</w:t>
      </w:r>
    </w:p>
    <w:p w14:paraId="1E0ECC52"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this measure is to provide training for SRS specialists to work with the SAP HANA technology platform. </w:t>
      </w:r>
    </w:p>
    <w:p w14:paraId="1E0ECC53"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investment consists of training 50 SRS specialists for working with SAP HANA platform. The training shall be aimed at risks analysts and system administrators.</w:t>
      </w:r>
    </w:p>
    <w:p w14:paraId="1E0ECC54" w14:textId="77777777" w:rsidR="004E39F6" w:rsidRPr="00E60E42" w:rsidRDefault="00A35BEA" w:rsidP="00611029">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investment shall be implemented by 31 December 2023.</w:t>
      </w:r>
    </w:p>
    <w:p w14:paraId="1E0ECC55" w14:textId="77777777" w:rsidR="004E39F6" w:rsidRPr="00E60E42" w:rsidRDefault="00A35BEA" w:rsidP="00611029">
      <w:pPr>
        <w:keepNext/>
        <w:keepLines/>
        <w:spacing w:after="12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Investment: 6.1.2.1.i. Connecting railway scanners to BAXE and creating x-ray image analysis platform</w:t>
      </w:r>
    </w:p>
    <w:p w14:paraId="1E0ECC56"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ensure the ability to perform analysis of railway cargo images scanned at customs control points in Indra and Karsava remotely. </w:t>
      </w:r>
    </w:p>
    <w:p w14:paraId="1E0ECC57"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 connecting railway scanners at customs control points in Indra and Karsava to the BAXE information system and b) creating an x-ray image analysis platform.</w:t>
      </w:r>
    </w:p>
    <w:p w14:paraId="1E0ECC58"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6.1.2.2.i. Capacity building of the Customs Laboratory</w:t>
      </w:r>
    </w:p>
    <w:p w14:paraId="1E0ECC59"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objective of this measure is to allow the customs to control smuggling, counterfeit products and illegal substances more effectively. </w:t>
      </w:r>
    </w:p>
    <w:p w14:paraId="1E0ECC5A"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investment consists of equipping the customs laboratory and the customs control point at Riga airport with a spectrophotometer. </w:t>
      </w:r>
    </w:p>
    <w:p w14:paraId="1E0ECC5B" w14:textId="77777777" w:rsidR="004E39F6" w:rsidRPr="00E60E42" w:rsidRDefault="00A35BEA" w:rsidP="00611029">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investment shall be implemented by 31 December 2022.</w:t>
      </w:r>
    </w:p>
    <w:p w14:paraId="1E0ECC5C"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6.1.2.3.i. Improvement of customs control of received postal items at Airport customs control point</w:t>
      </w:r>
    </w:p>
    <w:p w14:paraId="1E0ECC5D"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increase the control efficiency of incoming postal consignments received at Riga airport customs control point. </w:t>
      </w:r>
    </w:p>
    <w:p w14:paraId="1E0ECC5E"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the installation of a mail scanning and sorting line at Riga airport. </w:t>
      </w:r>
    </w:p>
    <w:p w14:paraId="1E0ECC5F" w14:textId="77777777" w:rsidR="004E39F6" w:rsidRPr="00E60E42" w:rsidRDefault="00A35BEA" w:rsidP="00611029">
      <w:pPr>
        <w:keepNext/>
        <w:keepLines/>
        <w:spacing w:after="240" w:line="240" w:lineRule="auto"/>
        <w:jc w:val="both"/>
        <w:rPr>
          <w:rFonts w:ascii="Times New Roman" w:eastAsia="Calibri" w:hAnsi="Times New Roman" w:cs="Times New Roman"/>
          <w:iCs/>
          <w:noProof/>
          <w:kern w:val="0"/>
          <w:szCs w:val="22"/>
          <w:u w:val="single"/>
          <w14:ligatures w14:val="none"/>
        </w:rPr>
      </w:pPr>
      <w:r w:rsidRPr="00E60E42">
        <w:rPr>
          <w:rFonts w:ascii="Times New Roman" w:eastAsia="Calibri" w:hAnsi="Times New Roman" w:cs="Arial"/>
          <w:noProof/>
          <w:kern w:val="0"/>
          <w:szCs w:val="22"/>
          <w:u w:val="single"/>
          <w14:ligatures w14:val="none"/>
        </w:rPr>
        <w:t>Investment: 6.1.2.4.i. Creation of infrastructure for the performance of control services in Kundziņsala</w:t>
      </w:r>
    </w:p>
    <w:p w14:paraId="1E0ECC60"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the measure is to increase the efficiency of customs controls, reduce the administrative burden on the control service users, and eliminate wasteful traffic of heavy-duty transport between the port and the control facilities. </w:t>
      </w:r>
    </w:p>
    <w:p w14:paraId="1E0ECC61" w14:textId="77777777" w:rsidR="004E39F6" w:rsidRPr="00E60E42" w:rsidRDefault="00A35BEA" w:rsidP="00611029">
      <w:pPr>
        <w:spacing w:after="24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measure consists of the construction of the building’s bearing and enclosing structures; and the delivery of cargo control x-ray equipment. </w:t>
      </w:r>
    </w:p>
    <w:p w14:paraId="1E0ECC62"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6.2.1.r. Modernisation of the process of identifying money laundering, investigating economic crimes and judicial proceedings</w:t>
      </w:r>
    </w:p>
    <w:p w14:paraId="1E0ECC63"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this measure is to improve the efficiency of the system for reporting suspicious transactions.</w:t>
      </w:r>
    </w:p>
    <w:p w14:paraId="1E0ECC64"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reform consists of a) amending the Law on the prevention of money laundering and terrorist and proliferation financing to eliminate parallel reporting of suspicious transactions to both the Financial Intelligence Unit and the State Revenue Service and to introduce provisions for new data reception and analysis system, b) adoption of a regulation by the Cabinet of Ministers prescribing procedure and content of suspicious transaction reports and threshold declarations.</w:t>
      </w:r>
    </w:p>
    <w:p w14:paraId="1E0ECC65"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reform shall be implemented by 30 June 2021.</w:t>
      </w:r>
    </w:p>
    <w:p w14:paraId="1E0ECC66"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6.2.1.1.i. Establishment of AML Innovation Hub to improve the identification of money laundering</w:t>
      </w:r>
    </w:p>
    <w:p w14:paraId="1E0ECC67"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objective of the measure is to facilitate research and information sharing between the institutions involved in fight against money laundering. </w:t>
      </w:r>
    </w:p>
    <w:p w14:paraId="1E0ECC68"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the establishment of information systems, rooms for knowledge sharing and cooperation, inter-system connections for data exchange, and data processing infrastructure.</w:t>
      </w:r>
    </w:p>
    <w:p w14:paraId="1E0ECC69"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6.2.1.2.i. Strengthening the capacity to investigate economic crime</w:t>
      </w:r>
    </w:p>
    <w:p w14:paraId="1E0ECC6A"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the measure is to increase the availability and capacity of law enforcement officials dealing with economic crime.</w:t>
      </w:r>
    </w:p>
    <w:p w14:paraId="1E0ECC6B"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training law enforcement officials on investigations of money laundering and purchasing of equipment.</w:t>
      </w:r>
    </w:p>
    <w:p w14:paraId="1E0ECC6C" w14:textId="77777777" w:rsidR="004E39F6" w:rsidRPr="00E60E42" w:rsidRDefault="00A35BEA" w:rsidP="006B1C55">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 xml:space="preserve">Investment: 6.2.1.3.i. Establishment of a training centre </w:t>
      </w:r>
    </w:p>
    <w:p w14:paraId="1E0ECC6D" w14:textId="77777777" w:rsidR="004E39F6" w:rsidRPr="00E60E42" w:rsidRDefault="00A35BEA" w:rsidP="006B1C55">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objective of the measure is to increase the qualifications of the human resources of the judicial system. </w:t>
      </w:r>
    </w:p>
    <w:p w14:paraId="1E0ECC6E" w14:textId="77777777" w:rsidR="004E39F6" w:rsidRPr="00E60E42" w:rsidRDefault="00A35BEA" w:rsidP="006B1C55">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creating a training centre and ten training modules. </w:t>
      </w:r>
    </w:p>
    <w:p w14:paraId="1E0ECC6F"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6.3.1.r. Modernisation of public administration</w:t>
      </w:r>
    </w:p>
    <w:p w14:paraId="1E0ECC70"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take the first step in modernizing the public administration, which means making it more efficient and innovative and a more attractive place to work to deliver better policy and services to citizens as well as addressing the new challenges that have emerged in the context of the COVID-19 crisis. </w:t>
      </w:r>
    </w:p>
    <w:p w14:paraId="1E0ECC71" w14:textId="77777777" w:rsidR="004E39F6" w:rsidRPr="00E60E42" w:rsidRDefault="00A35BEA" w:rsidP="00611029">
      <w:pPr>
        <w:spacing w:after="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 adoption of a plan for the modernisation of public administration, b) development of a concept and its gradual implementation of a single service centre, starting the centralization of public administration support functions, which is part of the modernization plan.</w:t>
      </w:r>
    </w:p>
    <w:p w14:paraId="1E0ECC72" w14:textId="77777777" w:rsidR="004E39F6" w:rsidRPr="00E60E42" w:rsidRDefault="00A35BEA" w:rsidP="00611029">
      <w:pPr>
        <w:spacing w:after="240" w:line="240" w:lineRule="auto"/>
        <w:jc w:val="both"/>
        <w:rPr>
          <w:rFonts w:ascii="Times New Roman" w:eastAsia="Calibri" w:hAnsi="Times New Roman" w:cs="Times New Roman"/>
          <w:noProof/>
          <w:kern w:val="0"/>
          <w:szCs w:val="22"/>
          <w:u w:val="single"/>
          <w14:ligatures w14:val="none"/>
        </w:rPr>
      </w:pPr>
      <w:r w:rsidRPr="00E60E42">
        <w:rPr>
          <w:rFonts w:ascii="Times New Roman" w:eastAsia="Calibri" w:hAnsi="Times New Roman" w:cs="Arial"/>
          <w:noProof/>
          <w:kern w:val="0"/>
          <w:szCs w:val="22"/>
          <w14:ligatures w14:val="none"/>
        </w:rPr>
        <w:t>The reform shall be implemented by 31 August 2026.</w:t>
      </w:r>
    </w:p>
    <w:p w14:paraId="1E0ECC73"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6.3.1.1.i. Open, transparent, fair and accountable public administration</w:t>
      </w:r>
    </w:p>
    <w:p w14:paraId="1E0ECC74"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objective of the measure is to increase public officials’ competences in the areas of ethics, anti-corruption, prevention of fraud and conflict of interest.</w:t>
      </w:r>
    </w:p>
    <w:p w14:paraId="1E0ECC75"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setting up a competence framework in the areas of ethics, anti-corruption, prevention of fraud and conflict of interest.</w:t>
      </w:r>
    </w:p>
    <w:p w14:paraId="1E0ECC76" w14:textId="77777777" w:rsidR="004E39F6" w:rsidRPr="00E60E42" w:rsidRDefault="00A35BEA" w:rsidP="00611029">
      <w:pPr>
        <w:keepNext/>
        <w:keepLines/>
        <w:spacing w:after="120" w:line="240" w:lineRule="auto"/>
        <w:jc w:val="both"/>
        <w:rPr>
          <w:rFonts w:ascii="Times New Roman" w:eastAsia="Calibri" w:hAnsi="Times New Roman" w:cs="Arial"/>
          <w:noProof/>
          <w:kern w:val="0"/>
          <w:u w:val="single"/>
          <w14:ligatures w14:val="none"/>
        </w:rPr>
      </w:pPr>
      <w:r w:rsidRPr="00E60E42">
        <w:rPr>
          <w:rFonts w:ascii="Times New Roman" w:eastAsia="Calibri" w:hAnsi="Times New Roman" w:cs="Arial"/>
          <w:noProof/>
          <w:kern w:val="0"/>
          <w:u w:val="single"/>
          <w14:ligatures w14:val="none"/>
        </w:rPr>
        <w:t xml:space="preserve">Investment: 6.3.1.2.i. Professional, open and accountable public administration </w:t>
      </w:r>
    </w:p>
    <w:p w14:paraId="1E0ECC77"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 of the measure is to increase public officials’ competences.</w:t>
      </w:r>
    </w:p>
    <w:p w14:paraId="1E0ECC78"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establishing competence development and training programmes, and attending trainings in areas for example customer service, development of leadership, basic competences of public administration, management of public procurement, human resources, legal practice, policy planning, ethics, anti-corruption, prevention of fraud and conflict of interest. </w:t>
      </w:r>
    </w:p>
    <w:p w14:paraId="1E0ECC79" w14:textId="77777777" w:rsidR="004E39F6" w:rsidRPr="00E60E42" w:rsidRDefault="00A35BEA" w:rsidP="00917B10">
      <w:pPr>
        <w:keepNext/>
        <w:keepLines/>
        <w:spacing w:after="120" w:line="240" w:lineRule="auto"/>
        <w:jc w:val="both"/>
        <w:rPr>
          <w:rFonts w:ascii="Times New Roman" w:eastAsia="Calibri" w:hAnsi="Times New Roman" w:cs="Times New Roman"/>
          <w:noProof/>
          <w:kern w:val="0"/>
          <w:szCs w:val="22"/>
          <w:u w:val="single"/>
          <w14:ligatures w14:val="none"/>
        </w:rPr>
      </w:pPr>
      <w:r w:rsidRPr="00E60E42">
        <w:rPr>
          <w:rFonts w:ascii="Times New Roman" w:eastAsia="Calibri" w:hAnsi="Times New Roman" w:cs="Arial"/>
          <w:noProof/>
          <w:kern w:val="0"/>
          <w:szCs w:val="22"/>
          <w:u w:val="single"/>
          <w14:ligatures w14:val="none"/>
        </w:rPr>
        <w:t xml:space="preserve">Investment: 6.3.1.3.i. </w:t>
      </w:r>
      <w:r w:rsidRPr="00E60E42" w:rsidDel="00EE2569">
        <w:rPr>
          <w:rFonts w:ascii="Times New Roman" w:eastAsia="Calibri" w:hAnsi="Times New Roman" w:cs="Arial"/>
          <w:noProof/>
          <w:kern w:val="0"/>
          <w:szCs w:val="22"/>
          <w:u w:val="single"/>
          <w14:ligatures w14:val="none"/>
        </w:rPr>
        <w:t>Development of the innovation ecosystem of public administration</w:t>
      </w:r>
      <w:r w:rsidRPr="00E60E42">
        <w:rPr>
          <w:rFonts w:ascii="Times New Roman" w:eastAsia="Calibri" w:hAnsi="Times New Roman" w:cs="Arial"/>
          <w:noProof/>
          <w:kern w:val="0"/>
          <w:szCs w:val="22"/>
          <w:u w:val="single"/>
          <w14:ligatures w14:val="none"/>
        </w:rPr>
        <w:t xml:space="preserve"> </w:t>
      </w:r>
    </w:p>
    <w:p w14:paraId="1E0ECC7A" w14:textId="77777777" w:rsidR="004E39F6" w:rsidRPr="00E60E42" w:rsidRDefault="00A35BEA" w:rsidP="00917B10">
      <w:pPr>
        <w:spacing w:before="120"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the measure is to foster the innovation culture and increase the innovation output within public administration. </w:t>
      </w:r>
    </w:p>
    <w:p w14:paraId="1E0ECC7B" w14:textId="77777777" w:rsidR="004E39F6" w:rsidRPr="00E60E42" w:rsidRDefault="00A35BEA" w:rsidP="00917B10">
      <w:pPr>
        <w:spacing w:before="120"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a) the approval of the informative report and b) renovation of premises. </w:t>
      </w:r>
    </w:p>
    <w:p w14:paraId="1E0ECC7C" w14:textId="77777777" w:rsidR="004E39F6" w:rsidRPr="00E60E42" w:rsidRDefault="00A35BEA" w:rsidP="006B1C55">
      <w:pPr>
        <w:keepNext/>
        <w:keepLines/>
        <w:spacing w:before="120"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6.3.1.4.i. Growth of non-governmental organisations to strengthen social security representation and monitor public interests</w:t>
      </w:r>
    </w:p>
    <w:p w14:paraId="1E0ECC7D"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the measure is to support public initiatives and dialogue in the areas of social resilience and advocacy of public interest. </w:t>
      </w:r>
    </w:p>
    <w:p w14:paraId="1E0ECC7E" w14:textId="77777777" w:rsidR="004E39F6" w:rsidRPr="00E60E42" w:rsidRDefault="00A35BEA" w:rsidP="00611029">
      <w:pPr>
        <w:spacing w:after="24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measure consists of establishing support for non-governmental organisations. </w:t>
      </w:r>
    </w:p>
    <w:p w14:paraId="1E0ECC7F"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Reform: 6.4.1.r. Creation of a register of public procurement contracts</w:t>
      </w:r>
    </w:p>
    <w:p w14:paraId="1E0ECC80"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objective of this measure is to increase the transparency and availability of information regarding the execution and actual performance of contracts concluded thus improving the conduct of procurers and suppliers and reducing corruption risks during the implementation phase of public procurement.</w:t>
      </w:r>
    </w:p>
    <w:p w14:paraId="1E0ECC81"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reform consists of a) amending the law of public procurement mandating the publication of the relevant additional information and b) development of a technical solution for the register of public procurement contracts and making it available online.</w:t>
      </w:r>
    </w:p>
    <w:p w14:paraId="1E0ECC82" w14:textId="77777777" w:rsidR="004E39F6" w:rsidRPr="00E60E42" w:rsidRDefault="00A35BEA" w:rsidP="00611029">
      <w:pPr>
        <w:spacing w:after="240" w:line="240" w:lineRule="auto"/>
        <w:jc w:val="both"/>
        <w:rPr>
          <w:rFonts w:ascii="Times New Roman" w:eastAsia="Calibri" w:hAnsi="Times New Roman" w:cs="Times New Roman"/>
          <w:noProof/>
          <w:kern w:val="0"/>
          <w:szCs w:val="22"/>
          <w:u w:val="single"/>
          <w14:ligatures w14:val="none"/>
        </w:rPr>
      </w:pPr>
      <w:r w:rsidRPr="00E60E42">
        <w:rPr>
          <w:rFonts w:ascii="Times New Roman" w:eastAsia="Calibri" w:hAnsi="Times New Roman" w:cs="Arial"/>
          <w:noProof/>
          <w:kern w:val="0"/>
          <w:szCs w:val="22"/>
          <w14:ligatures w14:val="none"/>
        </w:rPr>
        <w:t>The reform shall be implemented by 31 December 2022.</w:t>
      </w:r>
    </w:p>
    <w:p w14:paraId="1E0ECC83" w14:textId="77777777" w:rsidR="004E39F6" w:rsidRPr="00E60E42" w:rsidRDefault="00A35BEA" w:rsidP="00611029">
      <w:pPr>
        <w:keepNext/>
        <w:keepLines/>
        <w:spacing w:after="24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6.4.2.r. Improvement of the Competition Environment</w:t>
      </w:r>
    </w:p>
    <w:p w14:paraId="1E0ECC84"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this measure is to improve the competition and reduce conflict of interest and risks of corruption in public tenders as well as to make value-for-money criteria more broadly used in public procurement. </w:t>
      </w:r>
    </w:p>
    <w:p w14:paraId="1E0ECC85"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reform consists of amending the rules with respect to conflict of interest requirements of for procurement commissions, mandating a broader use of qualitative criteria for contract award, mandating a broader use of market consultations, and broadening exclusion criteria for bidders. </w:t>
      </w:r>
    </w:p>
    <w:p w14:paraId="1E0ECC86" w14:textId="77777777" w:rsidR="004E39F6" w:rsidRPr="00E60E42" w:rsidRDefault="00A35BEA" w:rsidP="00611029">
      <w:pPr>
        <w:spacing w:after="240" w:line="240" w:lineRule="auto"/>
        <w:jc w:val="both"/>
        <w:rPr>
          <w:rFonts w:ascii="Times New Roman" w:eastAsia="Calibri" w:hAnsi="Times New Roman" w:cs="Times New Roman"/>
          <w:noProof/>
          <w:kern w:val="0"/>
          <w:szCs w:val="22"/>
          <w:u w:val="single"/>
          <w14:ligatures w14:val="none"/>
        </w:rPr>
      </w:pPr>
      <w:r w:rsidRPr="00E60E42">
        <w:rPr>
          <w:rFonts w:ascii="Times New Roman" w:eastAsia="Calibri" w:hAnsi="Times New Roman" w:cs="Arial"/>
          <w:noProof/>
          <w:kern w:val="0"/>
          <w:szCs w:val="22"/>
          <w14:ligatures w14:val="none"/>
        </w:rPr>
        <w:t>The reform shall be implemented by 31 December 2021.</w:t>
      </w:r>
    </w:p>
    <w:p w14:paraId="1E0ECC87"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 xml:space="preserve">Reform: 6.4.3.r. Development and implementation of a professionalisation strategy </w:t>
      </w:r>
    </w:p>
    <w:p w14:paraId="1E0ECC88"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 xml:space="preserve">The objective of the measure is to increase the quality and efficiency of public procurement while optimising resources used by developing competencies, skills and capacities of public procurers. </w:t>
      </w:r>
    </w:p>
    <w:p w14:paraId="1E0ECC89" w14:textId="77777777" w:rsidR="004E39F6" w:rsidRPr="00E60E42" w:rsidRDefault="00A35BEA" w:rsidP="00611029">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a) establishing standardised qualification requirements for suppliers of certain services, which are yet to be specified, b) requiring the use of standardised acceptance-transfer documents in construction procurements, c) developing a unified training programme for public procurers, d) setting requirements for procurement commission competence in procurements reaching a certain threshold of contract prices.</w:t>
      </w:r>
    </w:p>
    <w:p w14:paraId="1E0ECC8A" w14:textId="77777777" w:rsidR="004E39F6" w:rsidRPr="00E60E42" w:rsidRDefault="00A35BEA" w:rsidP="00611029">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Reform: 6.4.4.r. IUB IT and analytical capacity building</w:t>
      </w:r>
    </w:p>
    <w:p w14:paraId="1E0ECC8B" w14:textId="77777777" w:rsidR="004E39F6" w:rsidRPr="00E60E42" w:rsidRDefault="00A35BEA" w:rsidP="00611029">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objective of the measure is to review preventive measures to ensure a timely identification of risky public procurement. </w:t>
      </w:r>
    </w:p>
    <w:p w14:paraId="1E0ECC8C" w14:textId="77777777" w:rsidR="004E39F6" w:rsidRPr="00E60E42" w:rsidRDefault="00A35BEA" w:rsidP="00611029">
      <w:pPr>
        <w:spacing w:after="120" w:line="240" w:lineRule="auto"/>
        <w:jc w:val="both"/>
        <w:rPr>
          <w:rFonts w:ascii="Times New Roman" w:eastAsia="Calibri" w:hAnsi="Times New Roman" w:cs="Times New Roman"/>
          <w:noProof/>
          <w:kern w:val="0"/>
          <w:szCs w:val="22"/>
          <w14:ligatures w14:val="none"/>
        </w:rPr>
      </w:pPr>
      <w:r w:rsidRPr="00E60E42">
        <w:rPr>
          <w:rFonts w:ascii="Times New Roman" w:eastAsia="Calibri" w:hAnsi="Times New Roman" w:cs="Arial"/>
          <w:noProof/>
          <w:kern w:val="0"/>
          <w:szCs w:val="22"/>
          <w14:ligatures w14:val="none"/>
        </w:rPr>
        <w:t>The measure consists of a) establishing criteria for identifying risky market sectors, customers and purchases, and b) making available a publications management system.</w:t>
      </w:r>
    </w:p>
    <w:p w14:paraId="1E0ECC8D"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sectPr w:rsidR="004E39F6" w:rsidRPr="00E60E42" w:rsidSect="0048758A">
          <w:headerReference w:type="even" r:id="rId77"/>
          <w:headerReference w:type="default" r:id="rId78"/>
          <w:footerReference w:type="even" r:id="rId79"/>
          <w:footerReference w:type="default" r:id="rId80"/>
          <w:headerReference w:type="first" r:id="rId81"/>
          <w:footerReference w:type="first" r:id="rId82"/>
          <w:pgSz w:w="11906" w:h="16838"/>
          <w:pgMar w:top="1134" w:right="1134" w:bottom="1134" w:left="1134" w:header="567" w:footer="567" w:gutter="0"/>
          <w:cols w:space="708"/>
          <w:docGrid w:linePitch="360"/>
        </w:sectPr>
      </w:pPr>
    </w:p>
    <w:p w14:paraId="1E0ECC8E" w14:textId="77777777" w:rsidR="004E39F6" w:rsidRPr="00E60E42" w:rsidRDefault="00A35BEA" w:rsidP="00611029">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F.2. Milestones, targets, indicators, and timetable for monitoring and implementation for non-repayable financial support</w:t>
      </w:r>
    </w:p>
    <w:tbl>
      <w:tblPr>
        <w:tblW w:w="15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139"/>
        <w:gridCol w:w="1134"/>
        <w:gridCol w:w="1696"/>
        <w:gridCol w:w="1842"/>
        <w:gridCol w:w="1276"/>
        <w:gridCol w:w="992"/>
        <w:gridCol w:w="709"/>
        <w:gridCol w:w="851"/>
        <w:gridCol w:w="708"/>
        <w:gridCol w:w="3409"/>
      </w:tblGrid>
      <w:tr w:rsidR="0048758A" w:rsidRPr="00E60E42" w14:paraId="1E0ECC97" w14:textId="77777777" w:rsidTr="00917B10">
        <w:trPr>
          <w:trHeight w:val="300"/>
          <w:tblHeader/>
          <w:jc w:val="center"/>
        </w:trPr>
        <w:tc>
          <w:tcPr>
            <w:tcW w:w="555" w:type="dxa"/>
            <w:vMerge w:val="restart"/>
            <w:shd w:val="clear" w:color="auto" w:fill="BDD7EE"/>
            <w:vAlign w:val="center"/>
            <w:hideMark/>
          </w:tcPr>
          <w:p w14:paraId="1E0ECC8F"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Nr</w:t>
            </w:r>
          </w:p>
        </w:tc>
        <w:tc>
          <w:tcPr>
            <w:tcW w:w="2139" w:type="dxa"/>
            <w:vMerge w:val="restart"/>
            <w:shd w:val="clear" w:color="auto" w:fill="BDD7EE"/>
            <w:vAlign w:val="center"/>
            <w:hideMark/>
          </w:tcPr>
          <w:p w14:paraId="1E0ECC90"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Related measure (reform or investment)</w:t>
            </w:r>
          </w:p>
        </w:tc>
        <w:tc>
          <w:tcPr>
            <w:tcW w:w="1134" w:type="dxa"/>
            <w:vMerge w:val="restart"/>
            <w:shd w:val="clear" w:color="auto" w:fill="BDD7EE"/>
            <w:vAlign w:val="center"/>
            <w:hideMark/>
          </w:tcPr>
          <w:p w14:paraId="1E0ECC91" w14:textId="60526387" w:rsidR="004E39F6" w:rsidRPr="00E60E42" w:rsidRDefault="00A35BEA" w:rsidP="00917B10">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Milestone / </w:t>
            </w:r>
            <w:r w:rsidR="00917B10" w:rsidRPr="00E60E42">
              <w:rPr>
                <w:rFonts w:ascii="Times New Roman" w:eastAsia="Calibri" w:hAnsi="Times New Roman" w:cs="Arial"/>
                <w:b/>
                <w:noProof/>
                <w:kern w:val="0"/>
                <w:sz w:val="18"/>
                <w:szCs w:val="18"/>
                <w14:ligatures w14:val="none"/>
              </w:rPr>
              <w:t>T</w:t>
            </w:r>
            <w:r w:rsidRPr="00E60E42">
              <w:rPr>
                <w:rFonts w:ascii="Times New Roman" w:eastAsia="Calibri" w:hAnsi="Times New Roman" w:cs="Arial"/>
                <w:b/>
                <w:noProof/>
                <w:kern w:val="0"/>
                <w:sz w:val="18"/>
                <w:szCs w:val="18"/>
                <w14:ligatures w14:val="none"/>
              </w:rPr>
              <w:t>arget</w:t>
            </w:r>
          </w:p>
        </w:tc>
        <w:tc>
          <w:tcPr>
            <w:tcW w:w="1696" w:type="dxa"/>
            <w:vMerge w:val="restart"/>
            <w:shd w:val="clear" w:color="auto" w:fill="BDD7EE"/>
            <w:vAlign w:val="center"/>
            <w:hideMark/>
          </w:tcPr>
          <w:p w14:paraId="1E0ECC92"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Name</w:t>
            </w:r>
          </w:p>
        </w:tc>
        <w:tc>
          <w:tcPr>
            <w:tcW w:w="1842" w:type="dxa"/>
            <w:vMerge w:val="restart"/>
            <w:shd w:val="clear" w:color="auto" w:fill="BDD7EE"/>
            <w:vAlign w:val="center"/>
            <w:hideMark/>
          </w:tcPr>
          <w:p w14:paraId="1E0ECC93"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Qualitative indicators</w:t>
            </w:r>
            <w:r w:rsidRPr="00E60E42">
              <w:rPr>
                <w:rFonts w:ascii="Calibri" w:eastAsia="Calibri" w:hAnsi="Calibri" w:cs="Arial"/>
                <w:noProof/>
                <w:kern w:val="0"/>
                <w:sz w:val="18"/>
                <w:szCs w:val="18"/>
                <w14:ligatures w14:val="none"/>
              </w:rPr>
              <w:t xml:space="preserve">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milestones)</w:t>
            </w:r>
          </w:p>
        </w:tc>
        <w:tc>
          <w:tcPr>
            <w:tcW w:w="2977" w:type="dxa"/>
            <w:gridSpan w:val="3"/>
            <w:shd w:val="clear" w:color="auto" w:fill="BDD7EE"/>
            <w:vAlign w:val="center"/>
            <w:hideMark/>
          </w:tcPr>
          <w:p w14:paraId="1E0ECC94"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Quantitative indicators</w:t>
            </w:r>
            <w:r w:rsidRPr="00E60E42">
              <w:rPr>
                <w:rFonts w:ascii="Calibri" w:eastAsia="Calibri" w:hAnsi="Calibri" w:cs="Arial"/>
                <w:noProof/>
                <w:kern w:val="0"/>
                <w:sz w:val="18"/>
                <w:szCs w:val="18"/>
                <w14:ligatures w14:val="none"/>
              </w:rPr>
              <w:t xml:space="preserve">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targets)</w:t>
            </w:r>
          </w:p>
        </w:tc>
        <w:tc>
          <w:tcPr>
            <w:tcW w:w="1559" w:type="dxa"/>
            <w:gridSpan w:val="2"/>
            <w:shd w:val="clear" w:color="auto" w:fill="BDD7EE"/>
            <w:vAlign w:val="center"/>
            <w:hideMark/>
          </w:tcPr>
          <w:p w14:paraId="1E0ECC95"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Indicative timeline for completion</w:t>
            </w:r>
          </w:p>
        </w:tc>
        <w:tc>
          <w:tcPr>
            <w:tcW w:w="3409" w:type="dxa"/>
            <w:vMerge w:val="restart"/>
            <w:shd w:val="clear" w:color="auto" w:fill="BDD7EE"/>
            <w:vAlign w:val="center"/>
            <w:hideMark/>
          </w:tcPr>
          <w:p w14:paraId="1E0ECC96" w14:textId="77777777" w:rsidR="004E39F6" w:rsidRPr="00E60E42" w:rsidRDefault="00A35BEA" w:rsidP="00611029">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Description and clear definition of each milestone and target</w:t>
            </w:r>
          </w:p>
        </w:tc>
      </w:tr>
      <w:tr w:rsidR="0048758A" w:rsidRPr="00E60E42" w14:paraId="1E0ECCA3" w14:textId="77777777" w:rsidTr="00917B10">
        <w:trPr>
          <w:trHeight w:val="300"/>
          <w:tblHeader/>
          <w:jc w:val="center"/>
        </w:trPr>
        <w:tc>
          <w:tcPr>
            <w:tcW w:w="555" w:type="dxa"/>
            <w:vMerge/>
            <w:vAlign w:val="center"/>
            <w:hideMark/>
          </w:tcPr>
          <w:p w14:paraId="1E0ECC98" w14:textId="77777777" w:rsidR="004E39F6" w:rsidRPr="00E60E42" w:rsidRDefault="004E39F6" w:rsidP="0048758A">
            <w:pPr>
              <w:spacing w:after="0" w:line="240" w:lineRule="auto"/>
              <w:jc w:val="both"/>
              <w:rPr>
                <w:rFonts w:ascii="Times New Roman" w:eastAsia="Times New Roman" w:hAnsi="Times New Roman" w:cs="Times New Roman"/>
                <w:b/>
                <w:bCs/>
                <w:noProof/>
                <w:kern w:val="0"/>
                <w:sz w:val="18"/>
                <w:szCs w:val="18"/>
                <w:lang w:eastAsia="en-GB"/>
                <w14:ligatures w14:val="none"/>
              </w:rPr>
            </w:pPr>
          </w:p>
        </w:tc>
        <w:tc>
          <w:tcPr>
            <w:tcW w:w="2139" w:type="dxa"/>
            <w:vMerge/>
            <w:vAlign w:val="center"/>
            <w:hideMark/>
          </w:tcPr>
          <w:p w14:paraId="1E0ECC99"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34" w:type="dxa"/>
            <w:vMerge/>
            <w:vAlign w:val="center"/>
            <w:hideMark/>
          </w:tcPr>
          <w:p w14:paraId="1E0ECC9A" w14:textId="77777777" w:rsidR="004E39F6" w:rsidRPr="00E60E42" w:rsidRDefault="004E39F6" w:rsidP="00917B10">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696" w:type="dxa"/>
            <w:vMerge/>
            <w:vAlign w:val="center"/>
            <w:hideMark/>
          </w:tcPr>
          <w:p w14:paraId="1E0ECC9B"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842" w:type="dxa"/>
            <w:vMerge/>
            <w:vAlign w:val="center"/>
            <w:hideMark/>
          </w:tcPr>
          <w:p w14:paraId="1E0ECC9C"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276" w:type="dxa"/>
            <w:shd w:val="clear" w:color="auto" w:fill="BDD7EE"/>
            <w:vAlign w:val="center"/>
            <w:hideMark/>
          </w:tcPr>
          <w:p w14:paraId="1E0ECC9D"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Unit of measure</w:t>
            </w:r>
          </w:p>
        </w:tc>
        <w:tc>
          <w:tcPr>
            <w:tcW w:w="992" w:type="dxa"/>
            <w:shd w:val="clear" w:color="auto" w:fill="BDD7EE"/>
            <w:vAlign w:val="center"/>
            <w:hideMark/>
          </w:tcPr>
          <w:p w14:paraId="1E0ECC9E"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Baseline</w:t>
            </w:r>
          </w:p>
        </w:tc>
        <w:tc>
          <w:tcPr>
            <w:tcW w:w="709" w:type="dxa"/>
            <w:shd w:val="clear" w:color="auto" w:fill="BDD7EE"/>
            <w:vAlign w:val="center"/>
            <w:hideMark/>
          </w:tcPr>
          <w:p w14:paraId="1E0ECC9F"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Goal</w:t>
            </w:r>
          </w:p>
        </w:tc>
        <w:tc>
          <w:tcPr>
            <w:tcW w:w="851" w:type="dxa"/>
            <w:shd w:val="clear" w:color="auto" w:fill="BDD7EE"/>
            <w:vAlign w:val="center"/>
            <w:hideMark/>
          </w:tcPr>
          <w:p w14:paraId="1E0ECCA0"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Quarter</w:t>
            </w:r>
          </w:p>
        </w:tc>
        <w:tc>
          <w:tcPr>
            <w:tcW w:w="708" w:type="dxa"/>
            <w:shd w:val="clear" w:color="auto" w:fill="BDD7EE"/>
            <w:vAlign w:val="center"/>
            <w:hideMark/>
          </w:tcPr>
          <w:p w14:paraId="1E0ECCA1"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Year</w:t>
            </w:r>
          </w:p>
        </w:tc>
        <w:tc>
          <w:tcPr>
            <w:tcW w:w="3409" w:type="dxa"/>
            <w:vMerge/>
            <w:vAlign w:val="center"/>
            <w:hideMark/>
          </w:tcPr>
          <w:p w14:paraId="1E0ECCA2" w14:textId="77777777" w:rsidR="004E39F6" w:rsidRPr="00E60E42" w:rsidRDefault="004E39F6" w:rsidP="00611029">
            <w:pPr>
              <w:spacing w:after="0" w:line="240" w:lineRule="auto"/>
              <w:jc w:val="both"/>
              <w:rPr>
                <w:rFonts w:ascii="Times New Roman" w:eastAsia="Times New Roman" w:hAnsi="Times New Roman" w:cs="Times New Roman"/>
                <w:b/>
                <w:bCs/>
                <w:noProof/>
                <w:kern w:val="0"/>
                <w:sz w:val="18"/>
                <w:szCs w:val="18"/>
                <w:lang w:eastAsia="en-GB"/>
                <w14:ligatures w14:val="none"/>
              </w:rPr>
            </w:pPr>
          </w:p>
        </w:tc>
      </w:tr>
      <w:tr w:rsidR="0048758A" w:rsidRPr="00E60E42" w14:paraId="1E0ECCB5" w14:textId="77777777" w:rsidTr="00917B10">
        <w:trPr>
          <w:trHeight w:val="300"/>
          <w:jc w:val="center"/>
        </w:trPr>
        <w:tc>
          <w:tcPr>
            <w:tcW w:w="555" w:type="dxa"/>
            <w:shd w:val="clear" w:color="auto" w:fill="C6EFCE"/>
            <w:hideMark/>
          </w:tcPr>
          <w:p w14:paraId="1E0ECCA4"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166</w:t>
            </w:r>
          </w:p>
        </w:tc>
        <w:tc>
          <w:tcPr>
            <w:tcW w:w="2139" w:type="dxa"/>
            <w:shd w:val="clear" w:color="auto" w:fill="C6EFCE"/>
            <w:hideMark/>
          </w:tcPr>
          <w:p w14:paraId="1E0ECCA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E0ECCA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CA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work plan for public authorities to curb the shadow economy 2021-2022</w:t>
            </w:r>
          </w:p>
        </w:tc>
        <w:tc>
          <w:tcPr>
            <w:tcW w:w="1842" w:type="dxa"/>
            <w:shd w:val="clear" w:color="auto" w:fill="C6EFCE"/>
            <w:hideMark/>
          </w:tcPr>
          <w:p w14:paraId="1E0ECCA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Adoption of the work plan of the national authorities to limit the shadow economy for 2021-2022 </w:t>
            </w:r>
          </w:p>
        </w:tc>
        <w:tc>
          <w:tcPr>
            <w:tcW w:w="1276" w:type="dxa"/>
            <w:shd w:val="clear" w:color="auto" w:fill="C6EFCE"/>
            <w:hideMark/>
          </w:tcPr>
          <w:p w14:paraId="1E0ECCA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CA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CA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CA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CA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CA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National Institutions Work Plan for Restraining the Shadow Economy for 2021-2022 is adopted. It includes the following activities:</w:t>
            </w:r>
          </w:p>
          <w:p w14:paraId="1E0ECCAF" w14:textId="77777777" w:rsidR="004E39F6" w:rsidRPr="00E60E42" w:rsidRDefault="00A35BEA" w:rsidP="00346F2A">
            <w:pPr>
              <w:pStyle w:val="ListParagraph"/>
              <w:numPr>
                <w:ilvl w:val="0"/>
                <w:numId w:val="28"/>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Unregistered/illegal economic activity;</w:t>
            </w:r>
          </w:p>
          <w:p w14:paraId="1E0ECCB0" w14:textId="77777777" w:rsidR="004E39F6" w:rsidRPr="00E60E42" w:rsidRDefault="00A35BEA" w:rsidP="00346F2A">
            <w:pPr>
              <w:pStyle w:val="ListParagraph"/>
              <w:numPr>
                <w:ilvl w:val="0"/>
                <w:numId w:val="28"/>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Undeclared employment;</w:t>
            </w:r>
          </w:p>
          <w:p w14:paraId="1E0ECCB1" w14:textId="77777777" w:rsidR="004E39F6" w:rsidRPr="00E60E42" w:rsidRDefault="00A35BEA" w:rsidP="00346F2A">
            <w:pPr>
              <w:pStyle w:val="ListParagraph"/>
              <w:numPr>
                <w:ilvl w:val="0"/>
                <w:numId w:val="28"/>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Unrecorded transactions and illicit movement of goods;</w:t>
            </w:r>
          </w:p>
          <w:p w14:paraId="1E0ECCB2" w14:textId="77777777" w:rsidR="004E39F6" w:rsidRPr="00E60E42" w:rsidRDefault="00A35BEA" w:rsidP="00346F2A">
            <w:pPr>
              <w:pStyle w:val="ListParagraph"/>
              <w:numPr>
                <w:ilvl w:val="0"/>
                <w:numId w:val="28"/>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Unrecorded/uncontrolled movements of cash;</w:t>
            </w:r>
          </w:p>
          <w:p w14:paraId="1E0ECCB3" w14:textId="77777777" w:rsidR="004E39F6" w:rsidRPr="00E60E42" w:rsidRDefault="00A35BEA" w:rsidP="00346F2A">
            <w:pPr>
              <w:pStyle w:val="ListParagraph"/>
              <w:numPr>
                <w:ilvl w:val="0"/>
                <w:numId w:val="28"/>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Tax fraud.</w:t>
            </w:r>
          </w:p>
          <w:p w14:paraId="1E0ECCB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It shall focus on economic sectors with the highest shadow economy risk, such as construction, trade, services, security, catering and hospitality, transport.</w:t>
            </w:r>
          </w:p>
        </w:tc>
      </w:tr>
      <w:tr w:rsidR="0048758A" w:rsidRPr="00E60E42" w14:paraId="1E0ECCC3" w14:textId="77777777" w:rsidTr="00917B10">
        <w:trPr>
          <w:trHeight w:val="300"/>
          <w:jc w:val="center"/>
        </w:trPr>
        <w:tc>
          <w:tcPr>
            <w:tcW w:w="555" w:type="dxa"/>
            <w:shd w:val="clear" w:color="auto" w:fill="C6EFCE"/>
            <w:hideMark/>
          </w:tcPr>
          <w:p w14:paraId="1E0ECCB6"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167</w:t>
            </w:r>
          </w:p>
        </w:tc>
        <w:tc>
          <w:tcPr>
            <w:tcW w:w="2139" w:type="dxa"/>
            <w:shd w:val="clear" w:color="auto" w:fill="C6EFCE"/>
            <w:hideMark/>
          </w:tcPr>
          <w:p w14:paraId="1E0ECCB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E0ECCB8"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CB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operation of a taxpayer rating system, optimisation of controls</w:t>
            </w:r>
          </w:p>
        </w:tc>
        <w:tc>
          <w:tcPr>
            <w:tcW w:w="1842" w:type="dxa"/>
            <w:shd w:val="clear" w:color="auto" w:fill="C6EFCE"/>
            <w:hideMark/>
          </w:tcPr>
          <w:p w14:paraId="1E0ECCB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legal acts</w:t>
            </w:r>
          </w:p>
        </w:tc>
        <w:tc>
          <w:tcPr>
            <w:tcW w:w="1276" w:type="dxa"/>
            <w:shd w:val="clear" w:color="auto" w:fill="C6EFCE"/>
            <w:hideMark/>
          </w:tcPr>
          <w:p w14:paraId="1E0ECCB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CB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CB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CB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CB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CC0"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amendments to the legal acts, including:</w:t>
            </w:r>
          </w:p>
          <w:p w14:paraId="1E0ECCC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the legal framework of the taxpayer rating system has been included, providing the publishing of their assessment.</w:t>
            </w:r>
          </w:p>
          <w:p w14:paraId="1E0ECCC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optimised types of tax controls and inspections to improve the efficiency of tax controls and inspections.</w:t>
            </w:r>
          </w:p>
        </w:tc>
      </w:tr>
      <w:tr w:rsidR="0048758A" w:rsidRPr="00E60E42" w14:paraId="1E0ECCCF" w14:textId="77777777" w:rsidTr="00917B10">
        <w:trPr>
          <w:trHeight w:val="300"/>
          <w:jc w:val="center"/>
        </w:trPr>
        <w:tc>
          <w:tcPr>
            <w:tcW w:w="555" w:type="dxa"/>
            <w:shd w:val="clear" w:color="auto" w:fill="C6EFCE"/>
            <w:hideMark/>
          </w:tcPr>
          <w:p w14:paraId="1E0ECCC4"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168</w:t>
            </w:r>
          </w:p>
        </w:tc>
        <w:tc>
          <w:tcPr>
            <w:tcW w:w="2139" w:type="dxa"/>
            <w:shd w:val="clear" w:color="auto" w:fill="C6EFCE"/>
            <w:hideMark/>
          </w:tcPr>
          <w:p w14:paraId="1E0ECCC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E0ECCC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CC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operation of a basket of data-based services for each segmentation group of taxpayers</w:t>
            </w:r>
          </w:p>
        </w:tc>
        <w:tc>
          <w:tcPr>
            <w:tcW w:w="1842" w:type="dxa"/>
            <w:shd w:val="clear" w:color="auto" w:fill="C6EFCE"/>
            <w:hideMark/>
          </w:tcPr>
          <w:p w14:paraId="1E0ECCC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Changes to State Revenue Service’s internal rules and/or service provision platform(s)</w:t>
            </w:r>
          </w:p>
        </w:tc>
        <w:tc>
          <w:tcPr>
            <w:tcW w:w="1276" w:type="dxa"/>
            <w:shd w:val="clear" w:color="auto" w:fill="C6EFCE"/>
            <w:hideMark/>
          </w:tcPr>
          <w:p w14:paraId="1E0ECCC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CC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CC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CC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8" w:type="dxa"/>
            <w:shd w:val="clear" w:color="auto" w:fill="C6EFCE"/>
            <w:hideMark/>
          </w:tcPr>
          <w:p w14:paraId="1E0ECCC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CC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operation of a data-based basket of services for each segmentation group of taxpayers.</w:t>
            </w:r>
          </w:p>
        </w:tc>
      </w:tr>
      <w:tr w:rsidR="0048758A" w:rsidRPr="00E60E42" w14:paraId="1E0ECCDF" w14:textId="77777777" w:rsidTr="00917B10">
        <w:trPr>
          <w:trHeight w:val="300"/>
          <w:jc w:val="center"/>
        </w:trPr>
        <w:tc>
          <w:tcPr>
            <w:tcW w:w="555" w:type="dxa"/>
            <w:shd w:val="clear" w:color="auto" w:fill="C6EFCE"/>
            <w:hideMark/>
          </w:tcPr>
          <w:p w14:paraId="1E0ECCD0"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169</w:t>
            </w:r>
          </w:p>
        </w:tc>
        <w:tc>
          <w:tcPr>
            <w:tcW w:w="2139" w:type="dxa"/>
            <w:shd w:val="clear" w:color="auto" w:fill="C6EFCE"/>
            <w:hideMark/>
          </w:tcPr>
          <w:p w14:paraId="1E0ECCD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E0ECCD2"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CD3"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Publication of handbook for compliance risk management </w:t>
            </w:r>
          </w:p>
        </w:tc>
        <w:tc>
          <w:tcPr>
            <w:tcW w:w="1842" w:type="dxa"/>
            <w:shd w:val="clear" w:color="auto" w:fill="C6EFCE"/>
            <w:hideMark/>
          </w:tcPr>
          <w:p w14:paraId="1E0ECCD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Amendments to the State Revenue Service’s internal rules</w:t>
            </w:r>
          </w:p>
        </w:tc>
        <w:tc>
          <w:tcPr>
            <w:tcW w:w="1276" w:type="dxa"/>
            <w:shd w:val="clear" w:color="auto" w:fill="C6EFCE"/>
            <w:hideMark/>
          </w:tcPr>
          <w:p w14:paraId="1E0ECCD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CD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CD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CD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CD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CD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Handbook for methodological compliance risk management of undeclared wages has been published, including:</w:t>
            </w:r>
          </w:p>
          <w:p w14:paraId="1E0ECCD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risk assessment guidelines</w:t>
            </w:r>
          </w:p>
          <w:p w14:paraId="1E0ECCDC"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aspects of typologies of ‘envelope wage payers’</w:t>
            </w:r>
          </w:p>
          <w:p w14:paraId="1E0ECCDD"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aspects of available preventive and control tools</w:t>
            </w:r>
          </w:p>
          <w:p w14:paraId="1E0ECCD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analysis of court rulings in the area of undeclared wages.</w:t>
            </w:r>
          </w:p>
        </w:tc>
      </w:tr>
      <w:tr w:rsidR="0048758A" w:rsidRPr="00E60E42" w14:paraId="1E0ECCF0" w14:textId="77777777" w:rsidTr="00917B10">
        <w:trPr>
          <w:trHeight w:val="300"/>
          <w:jc w:val="center"/>
        </w:trPr>
        <w:tc>
          <w:tcPr>
            <w:tcW w:w="555" w:type="dxa"/>
            <w:shd w:val="clear" w:color="auto" w:fill="C6EFCE"/>
            <w:hideMark/>
          </w:tcPr>
          <w:p w14:paraId="1E0ECCE0"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170</w:t>
            </w:r>
          </w:p>
        </w:tc>
        <w:tc>
          <w:tcPr>
            <w:tcW w:w="2139" w:type="dxa"/>
            <w:shd w:val="clear" w:color="auto" w:fill="C6EFCE"/>
            <w:hideMark/>
          </w:tcPr>
          <w:p w14:paraId="1E0ECCE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E0ECCE2"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696" w:type="dxa"/>
            <w:shd w:val="clear" w:color="auto" w:fill="C6EFCE"/>
            <w:hideMark/>
          </w:tcPr>
          <w:p w14:paraId="1E0ECCE3"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Implementation of the national research programme “Reducing the shadow economy to ensure the sustainable development of the country”</w:t>
            </w:r>
          </w:p>
        </w:tc>
        <w:tc>
          <w:tcPr>
            <w:tcW w:w="1842" w:type="dxa"/>
            <w:shd w:val="clear" w:color="auto" w:fill="C6EFCE"/>
            <w:hideMark/>
          </w:tcPr>
          <w:p w14:paraId="1E0ECCE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CE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study reports</w:t>
            </w:r>
          </w:p>
        </w:tc>
        <w:tc>
          <w:tcPr>
            <w:tcW w:w="992" w:type="dxa"/>
            <w:shd w:val="clear" w:color="auto" w:fill="C6EFCE"/>
            <w:hideMark/>
          </w:tcPr>
          <w:p w14:paraId="1E0ECCE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709" w:type="dxa"/>
            <w:shd w:val="clear" w:color="auto" w:fill="C6EFCE"/>
            <w:hideMark/>
          </w:tcPr>
          <w:p w14:paraId="1E0ECCE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w:t>
            </w:r>
          </w:p>
        </w:tc>
        <w:tc>
          <w:tcPr>
            <w:tcW w:w="851" w:type="dxa"/>
            <w:shd w:val="clear" w:color="auto" w:fill="C6EFCE"/>
            <w:hideMark/>
          </w:tcPr>
          <w:p w14:paraId="1E0ECCE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CE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CE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following research in the area of tax compliance shall be delivered:</w:t>
            </w:r>
          </w:p>
          <w:p w14:paraId="1E0ECCEB" w14:textId="77777777" w:rsidR="004E39F6" w:rsidRPr="00E60E42" w:rsidRDefault="00A35BEA" w:rsidP="00346F2A">
            <w:pPr>
              <w:pStyle w:val="ListParagraph"/>
              <w:numPr>
                <w:ilvl w:val="0"/>
                <w:numId w:val="29"/>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Report on the factors influencing the shadow economy in Latvia, focusing on the most significant sectors;</w:t>
            </w:r>
          </w:p>
          <w:p w14:paraId="1E0ECCEC" w14:textId="77777777" w:rsidR="004E39F6" w:rsidRPr="00E60E42" w:rsidRDefault="00A35BEA" w:rsidP="00346F2A">
            <w:pPr>
              <w:pStyle w:val="ListParagraph"/>
              <w:numPr>
                <w:ilvl w:val="0"/>
                <w:numId w:val="29"/>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Report on the determinants of tax evasion by individuals, including an analysis of the impact of level of the shadow economy on tax compliance;</w:t>
            </w:r>
          </w:p>
          <w:p w14:paraId="1E0ECCED" w14:textId="77777777" w:rsidR="004E39F6" w:rsidRPr="00E60E42" w:rsidRDefault="00A35BEA" w:rsidP="00346F2A">
            <w:pPr>
              <w:pStyle w:val="ListParagraph"/>
              <w:numPr>
                <w:ilvl w:val="0"/>
                <w:numId w:val="29"/>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Report with policy recommendations for legislative, organisational, technological and other improvements to improve tax compliance, including an assessment of the financial impact of the proposed recommendations;</w:t>
            </w:r>
          </w:p>
          <w:p w14:paraId="1E0ECCEE" w14:textId="77777777" w:rsidR="004E39F6" w:rsidRPr="00E60E42" w:rsidRDefault="00A35BEA" w:rsidP="00346F2A">
            <w:pPr>
              <w:pStyle w:val="ListParagraph"/>
              <w:numPr>
                <w:ilvl w:val="0"/>
                <w:numId w:val="29"/>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Report assessing the forgone budgetary revenue resulting from illegal activities, including legislative recommendations for reducing the risks of illicit money circulation;</w:t>
            </w:r>
          </w:p>
          <w:p w14:paraId="1E0ECCEF" w14:textId="77777777" w:rsidR="004E39F6" w:rsidRPr="00E60E42" w:rsidRDefault="00A35BEA" w:rsidP="00346F2A">
            <w:pPr>
              <w:pStyle w:val="ListParagraph"/>
              <w:numPr>
                <w:ilvl w:val="0"/>
                <w:numId w:val="29"/>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Development of methodology for the measurement of shadow economy, using a dynamic "multi - indicator - multi - cause" model, including breakdown by tax types, company size and sectors. </w:t>
            </w:r>
          </w:p>
        </w:tc>
      </w:tr>
      <w:tr w:rsidR="0048758A" w:rsidRPr="00E60E42" w14:paraId="1E0ECCFC" w14:textId="77777777" w:rsidTr="00917B10">
        <w:trPr>
          <w:trHeight w:val="300"/>
          <w:jc w:val="center"/>
        </w:trPr>
        <w:tc>
          <w:tcPr>
            <w:tcW w:w="555" w:type="dxa"/>
            <w:shd w:val="clear" w:color="auto" w:fill="C6EFCE"/>
            <w:hideMark/>
          </w:tcPr>
          <w:p w14:paraId="1E0ECCF1"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171</w:t>
            </w:r>
          </w:p>
        </w:tc>
        <w:tc>
          <w:tcPr>
            <w:tcW w:w="2139" w:type="dxa"/>
            <w:shd w:val="clear" w:color="auto" w:fill="C6EFCE"/>
            <w:hideMark/>
          </w:tcPr>
          <w:p w14:paraId="1E0ECCF2"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6.1.1.r. Strengthening analytics and developing data management in the field of tax administration and customs</w:t>
            </w:r>
          </w:p>
        </w:tc>
        <w:tc>
          <w:tcPr>
            <w:tcW w:w="1134" w:type="dxa"/>
            <w:shd w:val="clear" w:color="auto" w:fill="C6EFCE"/>
            <w:hideMark/>
          </w:tcPr>
          <w:p w14:paraId="1E0ECCF3"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CF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Implementation of the research results</w:t>
            </w:r>
          </w:p>
        </w:tc>
        <w:tc>
          <w:tcPr>
            <w:tcW w:w="1842" w:type="dxa"/>
            <w:shd w:val="clear" w:color="auto" w:fill="C6EFCE"/>
            <w:hideMark/>
          </w:tcPr>
          <w:p w14:paraId="1E0ECCF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Published assessment report of the shadow economy</w:t>
            </w:r>
          </w:p>
        </w:tc>
        <w:tc>
          <w:tcPr>
            <w:tcW w:w="1276" w:type="dxa"/>
            <w:shd w:val="clear" w:color="auto" w:fill="C6EFCE"/>
            <w:hideMark/>
          </w:tcPr>
          <w:p w14:paraId="1E0ECCF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CF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CF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CF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CF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CF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first assessment report of the size of the shadow economy based on the methodology developed in 2022 shall be published.</w:t>
            </w:r>
          </w:p>
        </w:tc>
      </w:tr>
      <w:tr w:rsidR="0048758A" w:rsidRPr="00E60E42" w14:paraId="1E0ECD0B" w14:textId="77777777" w:rsidTr="00917B10">
        <w:trPr>
          <w:trHeight w:val="300"/>
          <w:jc w:val="center"/>
        </w:trPr>
        <w:tc>
          <w:tcPr>
            <w:tcW w:w="555" w:type="dxa"/>
            <w:shd w:val="clear" w:color="auto" w:fill="C6EFCE"/>
            <w:hideMark/>
          </w:tcPr>
          <w:p w14:paraId="1E0ECCFD"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172</w:t>
            </w:r>
          </w:p>
        </w:tc>
        <w:tc>
          <w:tcPr>
            <w:tcW w:w="2139" w:type="dxa"/>
            <w:shd w:val="clear" w:color="auto" w:fill="C6EFCE"/>
            <w:hideMark/>
          </w:tcPr>
          <w:p w14:paraId="1E0ECCFE"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6.1.1.1.i. Modernisation of existing analytical solutions</w:t>
            </w:r>
          </w:p>
        </w:tc>
        <w:tc>
          <w:tcPr>
            <w:tcW w:w="1134" w:type="dxa"/>
            <w:shd w:val="clear" w:color="auto" w:fill="C6EFCE"/>
            <w:hideMark/>
          </w:tcPr>
          <w:p w14:paraId="1E0ECCFF"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00"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Changes to IT systems </w:t>
            </w:r>
          </w:p>
        </w:tc>
        <w:tc>
          <w:tcPr>
            <w:tcW w:w="1842" w:type="dxa"/>
            <w:shd w:val="clear" w:color="auto" w:fill="C6EFCE"/>
            <w:hideMark/>
          </w:tcPr>
          <w:p w14:paraId="1E0ECD01"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Risk analysis systems migrated or created</w:t>
            </w:r>
          </w:p>
        </w:tc>
        <w:tc>
          <w:tcPr>
            <w:tcW w:w="1276" w:type="dxa"/>
            <w:shd w:val="clear" w:color="auto" w:fill="C6EFCE"/>
            <w:hideMark/>
          </w:tcPr>
          <w:p w14:paraId="1E0ECD0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0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0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0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8" w:type="dxa"/>
            <w:shd w:val="clear" w:color="auto" w:fill="C6EFCE"/>
            <w:hideMark/>
          </w:tcPr>
          <w:p w14:paraId="1E0ECD0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D0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Existing risk systems have been migrated to a single analytical platform.</w:t>
            </w:r>
          </w:p>
          <w:p w14:paraId="1E0ECD0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System of Risks for Individual Taxpayers has been created. </w:t>
            </w:r>
          </w:p>
          <w:p w14:paraId="1E0ECD0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Excise Tax Risk Management System has been created. </w:t>
            </w:r>
          </w:p>
          <w:p w14:paraId="1E0ECD0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ESKORT system has been transferred to the SAP HANA database.</w:t>
            </w:r>
          </w:p>
        </w:tc>
      </w:tr>
      <w:tr w:rsidR="0048758A" w:rsidRPr="00E60E42" w14:paraId="1E0ECD18" w14:textId="77777777" w:rsidTr="00917B10">
        <w:trPr>
          <w:trHeight w:val="300"/>
          <w:jc w:val="center"/>
        </w:trPr>
        <w:tc>
          <w:tcPr>
            <w:tcW w:w="555" w:type="dxa"/>
            <w:shd w:val="clear" w:color="auto" w:fill="C6EFCE"/>
            <w:hideMark/>
          </w:tcPr>
          <w:p w14:paraId="1E0ECD0C"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173</w:t>
            </w:r>
          </w:p>
        </w:tc>
        <w:tc>
          <w:tcPr>
            <w:tcW w:w="2139" w:type="dxa"/>
            <w:shd w:val="clear" w:color="auto" w:fill="C6EFCE"/>
            <w:hideMark/>
          </w:tcPr>
          <w:p w14:paraId="1E0ECD0D"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6.1.1.2.i. Development of new analytical systems</w:t>
            </w:r>
          </w:p>
        </w:tc>
        <w:tc>
          <w:tcPr>
            <w:tcW w:w="1134" w:type="dxa"/>
            <w:shd w:val="clear" w:color="auto" w:fill="C6EFCE"/>
            <w:hideMark/>
          </w:tcPr>
          <w:p w14:paraId="1E0ECD0E"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0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Taxpayer segmentation system</w:t>
            </w:r>
          </w:p>
        </w:tc>
        <w:tc>
          <w:tcPr>
            <w:tcW w:w="1842" w:type="dxa"/>
            <w:shd w:val="clear" w:color="auto" w:fill="C6EFCE"/>
            <w:hideMark/>
          </w:tcPr>
          <w:p w14:paraId="1E0ECD10"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New IT system created </w:t>
            </w:r>
          </w:p>
        </w:tc>
        <w:tc>
          <w:tcPr>
            <w:tcW w:w="1276" w:type="dxa"/>
            <w:shd w:val="clear" w:color="auto" w:fill="C6EFCE"/>
            <w:hideMark/>
          </w:tcPr>
          <w:p w14:paraId="1E0ECD1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1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1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1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8" w:type="dxa"/>
            <w:shd w:val="clear" w:color="auto" w:fill="C6EFCE"/>
            <w:hideMark/>
          </w:tcPr>
          <w:p w14:paraId="1E0ECD1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D1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An IT system for taxpayer segmentation shall be created. </w:t>
            </w:r>
          </w:p>
          <w:p w14:paraId="1E0ECD1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new system shall be integrated with the 360 degrees analysis of the taxpayer.</w:t>
            </w:r>
          </w:p>
        </w:tc>
      </w:tr>
      <w:tr w:rsidR="0048758A" w:rsidRPr="00E60E42" w14:paraId="1E0ECD25" w14:textId="77777777" w:rsidTr="00917B10">
        <w:trPr>
          <w:trHeight w:val="300"/>
          <w:jc w:val="center"/>
        </w:trPr>
        <w:tc>
          <w:tcPr>
            <w:tcW w:w="555" w:type="dxa"/>
            <w:shd w:val="clear" w:color="auto" w:fill="C6EFCE"/>
            <w:hideMark/>
          </w:tcPr>
          <w:p w14:paraId="1E0ECD19"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174</w:t>
            </w:r>
          </w:p>
        </w:tc>
        <w:tc>
          <w:tcPr>
            <w:tcW w:w="2139" w:type="dxa"/>
            <w:shd w:val="clear" w:color="auto" w:fill="C6EFCE"/>
            <w:hideMark/>
          </w:tcPr>
          <w:p w14:paraId="1E0ECD1A"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6.1.1.3.i. </w:t>
            </w:r>
          </w:p>
          <w:p w14:paraId="1E0ECD1B"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Personnel training with analytical platform and consultancy</w:t>
            </w:r>
          </w:p>
        </w:tc>
        <w:tc>
          <w:tcPr>
            <w:tcW w:w="1134" w:type="dxa"/>
            <w:shd w:val="clear" w:color="auto" w:fill="C6EFCE"/>
            <w:hideMark/>
          </w:tcPr>
          <w:p w14:paraId="1E0ECD1C"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696" w:type="dxa"/>
            <w:shd w:val="clear" w:color="auto" w:fill="C6EFCE"/>
            <w:hideMark/>
          </w:tcPr>
          <w:p w14:paraId="1E0ECD1D"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Training of staff to work with the analytical platform</w:t>
            </w:r>
          </w:p>
        </w:tc>
        <w:tc>
          <w:tcPr>
            <w:tcW w:w="1842" w:type="dxa"/>
            <w:shd w:val="clear" w:color="auto" w:fill="C6EFCE"/>
            <w:hideMark/>
          </w:tcPr>
          <w:p w14:paraId="1E0ECD1E"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D1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training certificates</w:t>
            </w:r>
          </w:p>
        </w:tc>
        <w:tc>
          <w:tcPr>
            <w:tcW w:w="992" w:type="dxa"/>
            <w:shd w:val="clear" w:color="auto" w:fill="C6EFCE"/>
            <w:hideMark/>
          </w:tcPr>
          <w:p w14:paraId="1E0ECD2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709" w:type="dxa"/>
            <w:shd w:val="clear" w:color="auto" w:fill="C6EFCE"/>
            <w:hideMark/>
          </w:tcPr>
          <w:p w14:paraId="1E0ECD2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50</w:t>
            </w:r>
          </w:p>
        </w:tc>
        <w:tc>
          <w:tcPr>
            <w:tcW w:w="851" w:type="dxa"/>
            <w:shd w:val="clear" w:color="auto" w:fill="C6EFCE"/>
            <w:hideMark/>
          </w:tcPr>
          <w:p w14:paraId="1E0ECD2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D2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D2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50 SRS specialists have been trained to work with SAP HANA platform. The training shall focus on the skills to work with SAP HANA framework and practical skills in system administration.</w:t>
            </w:r>
          </w:p>
        </w:tc>
      </w:tr>
      <w:tr w:rsidR="0048758A" w:rsidRPr="00E60E42" w14:paraId="1E0ECD32" w14:textId="77777777" w:rsidTr="00917B10">
        <w:trPr>
          <w:trHeight w:val="300"/>
          <w:jc w:val="center"/>
        </w:trPr>
        <w:tc>
          <w:tcPr>
            <w:tcW w:w="555" w:type="dxa"/>
            <w:shd w:val="clear" w:color="auto" w:fill="C6EFCE"/>
            <w:hideMark/>
          </w:tcPr>
          <w:p w14:paraId="1E0ECD26"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176</w:t>
            </w:r>
          </w:p>
        </w:tc>
        <w:tc>
          <w:tcPr>
            <w:tcW w:w="2139" w:type="dxa"/>
            <w:shd w:val="clear" w:color="auto" w:fill="C6EFCE"/>
            <w:hideMark/>
          </w:tcPr>
          <w:p w14:paraId="1E0ECD2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6.1.2.1.i. </w:t>
            </w:r>
          </w:p>
          <w:p w14:paraId="1E0ECD28"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Connecting railway scanners to BAXE and creating x-ray image analysis platform </w:t>
            </w:r>
          </w:p>
        </w:tc>
        <w:tc>
          <w:tcPr>
            <w:tcW w:w="1134" w:type="dxa"/>
            <w:shd w:val="clear" w:color="auto" w:fill="C6EFCE"/>
            <w:hideMark/>
          </w:tcPr>
          <w:p w14:paraId="1E0ECD29"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2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Railway scanners connected to BAXE information system</w:t>
            </w:r>
          </w:p>
        </w:tc>
        <w:tc>
          <w:tcPr>
            <w:tcW w:w="1842" w:type="dxa"/>
            <w:shd w:val="clear" w:color="auto" w:fill="C6EFCE"/>
            <w:hideMark/>
          </w:tcPr>
          <w:p w14:paraId="1E0ECD2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w:t>
            </w:r>
          </w:p>
        </w:tc>
        <w:tc>
          <w:tcPr>
            <w:tcW w:w="1276" w:type="dxa"/>
            <w:shd w:val="clear" w:color="auto" w:fill="C6EFCE"/>
            <w:hideMark/>
          </w:tcPr>
          <w:p w14:paraId="1E0ECD2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2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2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2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3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409" w:type="dxa"/>
            <w:shd w:val="clear" w:color="auto" w:fill="C6EFCE"/>
            <w:hideMark/>
          </w:tcPr>
          <w:p w14:paraId="1E0ECD3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 for connection of railway scanners at customs control points in Indra and Karsava to BAXE information system.</w:t>
            </w:r>
          </w:p>
        </w:tc>
      </w:tr>
      <w:tr w:rsidR="0048758A" w:rsidRPr="00E60E42" w14:paraId="1E0ECD3F" w14:textId="77777777" w:rsidTr="00917B10">
        <w:trPr>
          <w:trHeight w:val="300"/>
          <w:jc w:val="center"/>
        </w:trPr>
        <w:tc>
          <w:tcPr>
            <w:tcW w:w="555" w:type="dxa"/>
            <w:shd w:val="clear" w:color="auto" w:fill="C6EFCE"/>
            <w:hideMark/>
          </w:tcPr>
          <w:p w14:paraId="1E0ECD33"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177</w:t>
            </w:r>
          </w:p>
        </w:tc>
        <w:tc>
          <w:tcPr>
            <w:tcW w:w="2139" w:type="dxa"/>
            <w:shd w:val="clear" w:color="auto" w:fill="C6EFCE"/>
            <w:hideMark/>
          </w:tcPr>
          <w:p w14:paraId="1E0ECD34"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6.1.2.1.i. </w:t>
            </w:r>
          </w:p>
          <w:p w14:paraId="1E0ECD3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Connecting railway scanners to BAXE and creating x-ray image analysis platform</w:t>
            </w:r>
          </w:p>
        </w:tc>
        <w:tc>
          <w:tcPr>
            <w:tcW w:w="1134" w:type="dxa"/>
            <w:shd w:val="clear" w:color="auto" w:fill="C6EFCE"/>
            <w:hideMark/>
          </w:tcPr>
          <w:p w14:paraId="1E0ECD3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3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X-ray image analysis platform </w:t>
            </w:r>
          </w:p>
        </w:tc>
        <w:tc>
          <w:tcPr>
            <w:tcW w:w="1842" w:type="dxa"/>
            <w:shd w:val="clear" w:color="auto" w:fill="C6EFCE"/>
            <w:hideMark/>
          </w:tcPr>
          <w:p w14:paraId="1E0ECD3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w:t>
            </w:r>
          </w:p>
        </w:tc>
        <w:tc>
          <w:tcPr>
            <w:tcW w:w="1276" w:type="dxa"/>
            <w:shd w:val="clear" w:color="auto" w:fill="C6EFCE"/>
            <w:hideMark/>
          </w:tcPr>
          <w:p w14:paraId="1E0ECD3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3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3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3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3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409" w:type="dxa"/>
            <w:shd w:val="clear" w:color="auto" w:fill="C6EFCE"/>
            <w:hideMark/>
          </w:tcPr>
          <w:p w14:paraId="1E0ECD3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 for an automated x-ray image analysis platform.</w:t>
            </w:r>
          </w:p>
        </w:tc>
      </w:tr>
      <w:tr w:rsidR="0048758A" w:rsidRPr="00E60E42" w14:paraId="1E0ECD4C" w14:textId="77777777" w:rsidTr="00917B10">
        <w:trPr>
          <w:trHeight w:val="300"/>
          <w:jc w:val="center"/>
        </w:trPr>
        <w:tc>
          <w:tcPr>
            <w:tcW w:w="555" w:type="dxa"/>
            <w:shd w:val="clear" w:color="auto" w:fill="C6EFCE"/>
            <w:hideMark/>
          </w:tcPr>
          <w:p w14:paraId="1E0ECD40"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178</w:t>
            </w:r>
          </w:p>
        </w:tc>
        <w:tc>
          <w:tcPr>
            <w:tcW w:w="2139" w:type="dxa"/>
            <w:shd w:val="clear" w:color="auto" w:fill="C6EFCE"/>
            <w:hideMark/>
          </w:tcPr>
          <w:p w14:paraId="1E0ECD4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6.1.2.2.i. </w:t>
            </w:r>
          </w:p>
          <w:p w14:paraId="1E0ECD42"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Capacity building of the Customs Laboratory</w:t>
            </w:r>
          </w:p>
        </w:tc>
        <w:tc>
          <w:tcPr>
            <w:tcW w:w="1134" w:type="dxa"/>
            <w:shd w:val="clear" w:color="auto" w:fill="C6EFCE"/>
            <w:hideMark/>
          </w:tcPr>
          <w:p w14:paraId="1E0ECD43"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4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Purchased and installed spectrophotometer for use in the Customs Laboratory </w:t>
            </w:r>
          </w:p>
        </w:tc>
        <w:tc>
          <w:tcPr>
            <w:tcW w:w="1842" w:type="dxa"/>
            <w:shd w:val="clear" w:color="auto" w:fill="C6EFCE"/>
            <w:hideMark/>
          </w:tcPr>
          <w:p w14:paraId="1E0ECD4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Deed of acceptance signed</w:t>
            </w:r>
          </w:p>
        </w:tc>
        <w:tc>
          <w:tcPr>
            <w:tcW w:w="1276" w:type="dxa"/>
            <w:shd w:val="clear" w:color="auto" w:fill="C6EFCE"/>
            <w:hideMark/>
          </w:tcPr>
          <w:p w14:paraId="1E0ECD4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4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4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4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D4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D4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spectrophotometer is set up and in use at the Customs Laboratory.</w:t>
            </w:r>
          </w:p>
        </w:tc>
      </w:tr>
      <w:tr w:rsidR="0048758A" w:rsidRPr="00E60E42" w14:paraId="1E0ECD59" w14:textId="77777777" w:rsidTr="00917B10">
        <w:trPr>
          <w:trHeight w:val="300"/>
          <w:jc w:val="center"/>
        </w:trPr>
        <w:tc>
          <w:tcPr>
            <w:tcW w:w="555" w:type="dxa"/>
            <w:shd w:val="clear" w:color="auto" w:fill="C6EFCE"/>
            <w:hideMark/>
          </w:tcPr>
          <w:p w14:paraId="1E0ECD4D"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179</w:t>
            </w:r>
          </w:p>
        </w:tc>
        <w:tc>
          <w:tcPr>
            <w:tcW w:w="2139" w:type="dxa"/>
            <w:shd w:val="clear" w:color="auto" w:fill="C6EFCE"/>
            <w:hideMark/>
          </w:tcPr>
          <w:p w14:paraId="1E0ECD4E"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6.1.2.2.i. </w:t>
            </w:r>
          </w:p>
          <w:p w14:paraId="1E0ECD4F"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Capacity building of the Customs Laboratory</w:t>
            </w:r>
          </w:p>
        </w:tc>
        <w:tc>
          <w:tcPr>
            <w:tcW w:w="1134" w:type="dxa"/>
            <w:shd w:val="clear" w:color="auto" w:fill="C6EFCE"/>
            <w:hideMark/>
          </w:tcPr>
          <w:p w14:paraId="1E0ECD50"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51"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Purchased and installed spectrophotometer for use in Airport customs control point</w:t>
            </w:r>
          </w:p>
        </w:tc>
        <w:tc>
          <w:tcPr>
            <w:tcW w:w="1842" w:type="dxa"/>
            <w:shd w:val="clear" w:color="auto" w:fill="C6EFCE"/>
            <w:hideMark/>
          </w:tcPr>
          <w:p w14:paraId="1E0ECD52"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Deed of acceptance signed</w:t>
            </w:r>
          </w:p>
        </w:tc>
        <w:tc>
          <w:tcPr>
            <w:tcW w:w="1276" w:type="dxa"/>
            <w:shd w:val="clear" w:color="auto" w:fill="C6EFCE"/>
            <w:hideMark/>
          </w:tcPr>
          <w:p w14:paraId="1E0ECD5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5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5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5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D5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D5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spectrophotometer is set up and in use at the airport customs control point.</w:t>
            </w:r>
          </w:p>
        </w:tc>
      </w:tr>
      <w:tr w:rsidR="0048758A" w:rsidRPr="00E60E42" w14:paraId="1E0ECD65" w14:textId="77777777" w:rsidTr="00917B10">
        <w:trPr>
          <w:trHeight w:val="300"/>
          <w:jc w:val="center"/>
        </w:trPr>
        <w:tc>
          <w:tcPr>
            <w:tcW w:w="555" w:type="dxa"/>
            <w:shd w:val="clear" w:color="auto" w:fill="C6EFCE"/>
            <w:hideMark/>
          </w:tcPr>
          <w:p w14:paraId="1E0ECD5A"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180</w:t>
            </w:r>
          </w:p>
        </w:tc>
        <w:tc>
          <w:tcPr>
            <w:tcW w:w="2139" w:type="dxa"/>
            <w:shd w:val="clear" w:color="auto" w:fill="C6EFCE"/>
            <w:hideMark/>
          </w:tcPr>
          <w:p w14:paraId="1E0ECD5B"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6.1.2.3.i. Improvement of customs control of received postal items at Airport customs control point</w:t>
            </w:r>
          </w:p>
        </w:tc>
        <w:tc>
          <w:tcPr>
            <w:tcW w:w="1134" w:type="dxa"/>
            <w:shd w:val="clear" w:color="auto" w:fill="C6EFCE"/>
            <w:hideMark/>
          </w:tcPr>
          <w:p w14:paraId="1E0ECD5C"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5D"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Mail scanning and sorting line at Riga airport </w:t>
            </w:r>
          </w:p>
        </w:tc>
        <w:tc>
          <w:tcPr>
            <w:tcW w:w="1842" w:type="dxa"/>
            <w:shd w:val="clear" w:color="auto" w:fill="C6EFCE"/>
            <w:hideMark/>
          </w:tcPr>
          <w:p w14:paraId="1E0ECD5E"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w:t>
            </w:r>
          </w:p>
        </w:tc>
        <w:tc>
          <w:tcPr>
            <w:tcW w:w="1276" w:type="dxa"/>
            <w:shd w:val="clear" w:color="auto" w:fill="C6EFCE"/>
            <w:hideMark/>
          </w:tcPr>
          <w:p w14:paraId="1E0ECD5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6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6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6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6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409" w:type="dxa"/>
            <w:shd w:val="clear" w:color="auto" w:fill="C6EFCE"/>
            <w:hideMark/>
          </w:tcPr>
          <w:p w14:paraId="1E0ECD6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 for the installation of a mail scanning and sorting line at the Riga airport customs control point.</w:t>
            </w:r>
          </w:p>
        </w:tc>
      </w:tr>
      <w:tr w:rsidR="0048758A" w:rsidRPr="00E60E42" w14:paraId="1E0ECD72" w14:textId="77777777" w:rsidTr="00917B10">
        <w:trPr>
          <w:trHeight w:val="300"/>
          <w:jc w:val="center"/>
        </w:trPr>
        <w:tc>
          <w:tcPr>
            <w:tcW w:w="555" w:type="dxa"/>
            <w:shd w:val="clear" w:color="auto" w:fill="C6EFCE"/>
            <w:hideMark/>
          </w:tcPr>
          <w:p w14:paraId="1E0ECD66"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181</w:t>
            </w:r>
          </w:p>
        </w:tc>
        <w:tc>
          <w:tcPr>
            <w:tcW w:w="2139" w:type="dxa"/>
            <w:shd w:val="clear" w:color="auto" w:fill="C6EFCE"/>
            <w:hideMark/>
          </w:tcPr>
          <w:p w14:paraId="1E0ECD6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6.1.2.4.i. </w:t>
            </w:r>
          </w:p>
          <w:p w14:paraId="1E0ECD68"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1E0ECD69"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6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Joint design – construction contract signed</w:t>
            </w:r>
          </w:p>
        </w:tc>
        <w:tc>
          <w:tcPr>
            <w:tcW w:w="1842" w:type="dxa"/>
            <w:shd w:val="clear" w:color="auto" w:fill="C6EFCE"/>
            <w:hideMark/>
          </w:tcPr>
          <w:p w14:paraId="1E0ECD6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Construction and design contract signed</w:t>
            </w:r>
          </w:p>
        </w:tc>
        <w:tc>
          <w:tcPr>
            <w:tcW w:w="1276" w:type="dxa"/>
            <w:shd w:val="clear" w:color="auto" w:fill="C6EFCE"/>
            <w:hideMark/>
          </w:tcPr>
          <w:p w14:paraId="1E0ECD6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6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6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6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D7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D7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contract for the design and construction of infrastructure for the control services at Kundzinsala has been signed following a tender procedure.</w:t>
            </w:r>
          </w:p>
        </w:tc>
      </w:tr>
      <w:tr w:rsidR="0048758A" w:rsidRPr="00E60E42" w14:paraId="1E0ECD7F" w14:textId="77777777" w:rsidTr="00917B10">
        <w:trPr>
          <w:trHeight w:val="300"/>
          <w:jc w:val="center"/>
        </w:trPr>
        <w:tc>
          <w:tcPr>
            <w:tcW w:w="555" w:type="dxa"/>
            <w:shd w:val="clear" w:color="auto" w:fill="C6EFCE"/>
            <w:hideMark/>
          </w:tcPr>
          <w:p w14:paraId="1E0ECD73"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182</w:t>
            </w:r>
          </w:p>
        </w:tc>
        <w:tc>
          <w:tcPr>
            <w:tcW w:w="2139" w:type="dxa"/>
            <w:shd w:val="clear" w:color="auto" w:fill="C6EFCE"/>
            <w:hideMark/>
          </w:tcPr>
          <w:p w14:paraId="1E0ECD74"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6.1.2.4.i. </w:t>
            </w:r>
          </w:p>
          <w:p w14:paraId="1E0ECD7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1E0ECD7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7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Building permit received</w:t>
            </w:r>
          </w:p>
        </w:tc>
        <w:tc>
          <w:tcPr>
            <w:tcW w:w="1842" w:type="dxa"/>
            <w:shd w:val="clear" w:color="auto" w:fill="C6EFCE"/>
            <w:hideMark/>
          </w:tcPr>
          <w:p w14:paraId="1E0ECD7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Notification of the permit approval decision</w:t>
            </w:r>
          </w:p>
        </w:tc>
        <w:tc>
          <w:tcPr>
            <w:tcW w:w="1276" w:type="dxa"/>
            <w:shd w:val="clear" w:color="auto" w:fill="C6EFCE"/>
            <w:hideMark/>
          </w:tcPr>
          <w:p w14:paraId="1E0ECD7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7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7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7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D7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D7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building permit has been received from the Construction Board.</w:t>
            </w:r>
          </w:p>
        </w:tc>
      </w:tr>
      <w:tr w:rsidR="0048758A" w:rsidRPr="00E60E42" w14:paraId="1E0ECD8D" w14:textId="77777777" w:rsidTr="00917B10">
        <w:trPr>
          <w:trHeight w:val="300"/>
          <w:jc w:val="center"/>
        </w:trPr>
        <w:tc>
          <w:tcPr>
            <w:tcW w:w="555" w:type="dxa"/>
            <w:shd w:val="clear" w:color="auto" w:fill="C6EFCE"/>
            <w:hideMark/>
          </w:tcPr>
          <w:p w14:paraId="1E0ECD80"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183</w:t>
            </w:r>
          </w:p>
        </w:tc>
        <w:tc>
          <w:tcPr>
            <w:tcW w:w="2139" w:type="dxa"/>
            <w:shd w:val="clear" w:color="auto" w:fill="C6EFCE"/>
            <w:hideMark/>
          </w:tcPr>
          <w:p w14:paraId="1E0ECD8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6.1.2.4.i. </w:t>
            </w:r>
          </w:p>
          <w:p w14:paraId="1E0ECD82"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1E0ECD83"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8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Bearing and enclosing structures and equipment </w:t>
            </w:r>
          </w:p>
        </w:tc>
        <w:tc>
          <w:tcPr>
            <w:tcW w:w="1842" w:type="dxa"/>
            <w:shd w:val="clear" w:color="auto" w:fill="C6EFCE"/>
            <w:hideMark/>
          </w:tcPr>
          <w:p w14:paraId="1E0ECD8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Construction act (Form 2 and Form 3) issued and invoice signed</w:t>
            </w:r>
          </w:p>
        </w:tc>
        <w:tc>
          <w:tcPr>
            <w:tcW w:w="1276" w:type="dxa"/>
            <w:shd w:val="clear" w:color="auto" w:fill="C6EFCE"/>
            <w:hideMark/>
          </w:tcPr>
          <w:p w14:paraId="1E0ECD8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8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8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8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D8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409" w:type="dxa"/>
            <w:shd w:val="clear" w:color="auto" w:fill="C6EFCE"/>
            <w:hideMark/>
          </w:tcPr>
          <w:p w14:paraId="1E0ECD8B" w14:textId="77777777" w:rsidR="004E39F6" w:rsidRPr="00E60E42" w:rsidRDefault="00A35BEA" w:rsidP="00611029">
            <w:pPr>
              <w:spacing w:after="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 xml:space="preserve">Construction act (Form 2 and Form 3) is issued for construction of the building’s bearing and enclosing structures, including the roof. </w:t>
            </w:r>
          </w:p>
          <w:p w14:paraId="1E0ECD8C"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Invoice signed for the delivery of cargo control x-ray equipment. </w:t>
            </w:r>
          </w:p>
        </w:tc>
      </w:tr>
      <w:tr w:rsidR="0048758A" w:rsidRPr="00E60E42" w14:paraId="1E0ECD9A" w14:textId="77777777" w:rsidTr="00917B10">
        <w:trPr>
          <w:trHeight w:val="300"/>
          <w:jc w:val="center"/>
        </w:trPr>
        <w:tc>
          <w:tcPr>
            <w:tcW w:w="555" w:type="dxa"/>
            <w:shd w:val="clear" w:color="auto" w:fill="C6EFCE"/>
            <w:hideMark/>
          </w:tcPr>
          <w:p w14:paraId="1E0ECD8E"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184</w:t>
            </w:r>
          </w:p>
        </w:tc>
        <w:tc>
          <w:tcPr>
            <w:tcW w:w="2139" w:type="dxa"/>
            <w:shd w:val="clear" w:color="auto" w:fill="C6EFCE"/>
            <w:hideMark/>
          </w:tcPr>
          <w:p w14:paraId="1E0ECD8F"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6.1.2.4.i. </w:t>
            </w:r>
          </w:p>
          <w:p w14:paraId="1E0ECD90"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Creation of infrastructure for the performance of control services in Kundziņsala</w:t>
            </w:r>
          </w:p>
        </w:tc>
        <w:tc>
          <w:tcPr>
            <w:tcW w:w="1134" w:type="dxa"/>
            <w:shd w:val="clear" w:color="auto" w:fill="C6EFCE"/>
            <w:hideMark/>
          </w:tcPr>
          <w:p w14:paraId="1E0ECD91"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92"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Procurement and conclusion of a contract for the supply and installation of X-ray cargo control equipment</w:t>
            </w:r>
          </w:p>
        </w:tc>
        <w:tc>
          <w:tcPr>
            <w:tcW w:w="1842" w:type="dxa"/>
            <w:shd w:val="clear" w:color="auto" w:fill="C6EFCE"/>
            <w:hideMark/>
          </w:tcPr>
          <w:p w14:paraId="1E0ECD93"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Contract signed</w:t>
            </w:r>
          </w:p>
        </w:tc>
        <w:tc>
          <w:tcPr>
            <w:tcW w:w="1276" w:type="dxa"/>
            <w:shd w:val="clear" w:color="auto" w:fill="C6EFCE"/>
            <w:hideMark/>
          </w:tcPr>
          <w:p w14:paraId="1E0ECD9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9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9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9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D9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D9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contract for the supply and installation of X-ray cargo control equipment has been signed following a tender procedure.</w:t>
            </w:r>
          </w:p>
        </w:tc>
      </w:tr>
      <w:tr w:rsidR="0048758A" w:rsidRPr="00E60E42" w14:paraId="1E0ECDA8" w14:textId="77777777" w:rsidTr="00917B10">
        <w:trPr>
          <w:trHeight w:val="300"/>
          <w:jc w:val="center"/>
        </w:trPr>
        <w:tc>
          <w:tcPr>
            <w:tcW w:w="555" w:type="dxa"/>
            <w:shd w:val="clear" w:color="auto" w:fill="C6EFCE"/>
            <w:hideMark/>
          </w:tcPr>
          <w:p w14:paraId="1E0ECD9B"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186</w:t>
            </w:r>
          </w:p>
        </w:tc>
        <w:tc>
          <w:tcPr>
            <w:tcW w:w="2139" w:type="dxa"/>
            <w:shd w:val="clear" w:color="auto" w:fill="C6EFCE"/>
            <w:hideMark/>
          </w:tcPr>
          <w:p w14:paraId="1E0ECD9C"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6.2.1.r. Modernisation of the process of identifying money laundering, investigating economic crimes and judicial proceedings</w:t>
            </w:r>
          </w:p>
        </w:tc>
        <w:tc>
          <w:tcPr>
            <w:tcW w:w="1134" w:type="dxa"/>
            <w:shd w:val="clear" w:color="auto" w:fill="C6EFCE"/>
            <w:hideMark/>
          </w:tcPr>
          <w:p w14:paraId="1E0ECD9D"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9E"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Entry into force of amendments to the Law on the prevention of money laundering and terrorist and proliferation financing </w:t>
            </w:r>
          </w:p>
        </w:tc>
        <w:tc>
          <w:tcPr>
            <w:tcW w:w="1842" w:type="dxa"/>
            <w:shd w:val="clear" w:color="auto" w:fill="C6EFCE"/>
            <w:hideMark/>
          </w:tcPr>
          <w:p w14:paraId="1E0ECD9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amendments to the NILLTPFN Law</w:t>
            </w:r>
          </w:p>
        </w:tc>
        <w:tc>
          <w:tcPr>
            <w:tcW w:w="1276" w:type="dxa"/>
            <w:shd w:val="clear" w:color="auto" w:fill="C6EFCE"/>
            <w:hideMark/>
          </w:tcPr>
          <w:p w14:paraId="1E0ECDA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A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A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A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8" w:type="dxa"/>
            <w:shd w:val="clear" w:color="auto" w:fill="C6EFCE"/>
            <w:hideMark/>
          </w:tcPr>
          <w:p w14:paraId="1E0ECDA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409" w:type="dxa"/>
            <w:shd w:val="clear" w:color="auto" w:fill="C6EFCE"/>
            <w:hideMark/>
          </w:tcPr>
          <w:p w14:paraId="1E0ECDA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Amendments to the Law on the prevention of money laundering and terrorist and proliferation financing have entered into force, including:</w:t>
            </w:r>
          </w:p>
          <w:p w14:paraId="1E0ECDA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 the introduction of a new Financial intelligence unit (FIU) data reception and analysis system and the abolition of a parallel reporting system for both the FIU and the State revenue service (SRS), providing only for reporting to the FIU. </w:t>
            </w:r>
          </w:p>
          <w:p w14:paraId="1E0ECDA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Cabinet of ministers Regulation on the procedure and content of suspicious transaction reports and threshold declarations has been adopted.</w:t>
            </w:r>
          </w:p>
        </w:tc>
      </w:tr>
      <w:tr w:rsidR="0048758A" w:rsidRPr="00E60E42" w14:paraId="1E0ECDB8" w14:textId="77777777" w:rsidTr="00917B10">
        <w:trPr>
          <w:trHeight w:val="300"/>
          <w:jc w:val="center"/>
        </w:trPr>
        <w:tc>
          <w:tcPr>
            <w:tcW w:w="555" w:type="dxa"/>
            <w:shd w:val="clear" w:color="auto" w:fill="C6EFCE"/>
            <w:hideMark/>
          </w:tcPr>
          <w:p w14:paraId="1E0ECDA9"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187</w:t>
            </w:r>
          </w:p>
        </w:tc>
        <w:tc>
          <w:tcPr>
            <w:tcW w:w="2139" w:type="dxa"/>
            <w:shd w:val="clear" w:color="auto" w:fill="C6EFCE"/>
            <w:hideMark/>
          </w:tcPr>
          <w:p w14:paraId="1E0ECDAA"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6.2.1.1.i. Establishment of AML Innovation Hub to improve the identification of money laundering</w:t>
            </w:r>
          </w:p>
        </w:tc>
        <w:tc>
          <w:tcPr>
            <w:tcW w:w="1134" w:type="dxa"/>
            <w:shd w:val="clear" w:color="auto" w:fill="C6EFCE"/>
            <w:hideMark/>
          </w:tcPr>
          <w:p w14:paraId="1E0ECDAB"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AC"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 xml:space="preserve">Cooperation platform for financial intelligence and knowledge-sharing in identifying money laundering </w:t>
            </w:r>
          </w:p>
        </w:tc>
        <w:tc>
          <w:tcPr>
            <w:tcW w:w="1842" w:type="dxa"/>
            <w:shd w:val="clear" w:color="auto" w:fill="C6EFCE"/>
            <w:hideMark/>
          </w:tcPr>
          <w:p w14:paraId="1E0ECDAD" w14:textId="77777777" w:rsidR="004E39F6" w:rsidRPr="00E60E42" w:rsidRDefault="00A35BEA" w:rsidP="0048758A">
            <w:pPr>
              <w:spacing w:after="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or invoice signed</w:t>
            </w:r>
          </w:p>
        </w:tc>
        <w:tc>
          <w:tcPr>
            <w:tcW w:w="1276" w:type="dxa"/>
            <w:shd w:val="clear" w:color="auto" w:fill="C6EFCE"/>
            <w:hideMark/>
          </w:tcPr>
          <w:p w14:paraId="1E0ECDA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A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B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B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B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409" w:type="dxa"/>
            <w:shd w:val="clear" w:color="auto" w:fill="C6EFCE"/>
            <w:hideMark/>
          </w:tcPr>
          <w:p w14:paraId="1E0ECDB3"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following is established:</w:t>
            </w:r>
          </w:p>
          <w:p w14:paraId="1E0ECDB4"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5 information systems in the area of money laundering;</w:t>
            </w:r>
          </w:p>
          <w:p w14:paraId="1E0ECDB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(b) 3 rooms for knowledge-sharing and cooperation;</w:t>
            </w:r>
          </w:p>
          <w:p w14:paraId="1E0ECDB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 5 inter-system connections for data exchange;</w:t>
            </w:r>
          </w:p>
          <w:p w14:paraId="1E0ECDB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(d) data processing infrastructure based on 6 technical solutions.</w:t>
            </w:r>
          </w:p>
        </w:tc>
      </w:tr>
      <w:tr w:rsidR="0048758A" w:rsidRPr="00E60E42" w14:paraId="1E0ECDC4" w14:textId="77777777" w:rsidTr="00917B10">
        <w:trPr>
          <w:trHeight w:val="300"/>
          <w:jc w:val="center"/>
        </w:trPr>
        <w:tc>
          <w:tcPr>
            <w:tcW w:w="555" w:type="dxa"/>
            <w:shd w:val="clear" w:color="auto" w:fill="C6EFCE"/>
            <w:hideMark/>
          </w:tcPr>
          <w:p w14:paraId="1E0ECDB9"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190</w:t>
            </w:r>
          </w:p>
        </w:tc>
        <w:tc>
          <w:tcPr>
            <w:tcW w:w="2139" w:type="dxa"/>
            <w:shd w:val="clear" w:color="auto" w:fill="C6EFCE"/>
            <w:hideMark/>
          </w:tcPr>
          <w:p w14:paraId="1E0ECDBA"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6.2.1.2.i. Strengthening the capacity to investigate economic crime</w:t>
            </w:r>
          </w:p>
        </w:tc>
        <w:tc>
          <w:tcPr>
            <w:tcW w:w="1134" w:type="dxa"/>
            <w:shd w:val="clear" w:color="auto" w:fill="C6EFCE"/>
            <w:hideMark/>
          </w:tcPr>
          <w:p w14:paraId="1E0ECDBB"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696" w:type="dxa"/>
            <w:shd w:val="clear" w:color="auto" w:fill="C6EFCE"/>
            <w:hideMark/>
          </w:tcPr>
          <w:p w14:paraId="1E0ECDBC"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law enforcement officials with a certificate on investigation of money laundering</w:t>
            </w:r>
          </w:p>
        </w:tc>
        <w:tc>
          <w:tcPr>
            <w:tcW w:w="1842" w:type="dxa"/>
            <w:shd w:val="clear" w:color="auto" w:fill="C6EFCE"/>
            <w:hideMark/>
          </w:tcPr>
          <w:p w14:paraId="1E0ECDB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DB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hideMark/>
          </w:tcPr>
          <w:p w14:paraId="1E0ECDB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709" w:type="dxa"/>
            <w:shd w:val="clear" w:color="auto" w:fill="C6EFCE"/>
            <w:hideMark/>
          </w:tcPr>
          <w:p w14:paraId="1E0ECDC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30</w:t>
            </w:r>
          </w:p>
        </w:tc>
        <w:tc>
          <w:tcPr>
            <w:tcW w:w="851" w:type="dxa"/>
            <w:shd w:val="clear" w:color="auto" w:fill="C6EFCE"/>
            <w:hideMark/>
          </w:tcPr>
          <w:p w14:paraId="1E0ECDC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C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409" w:type="dxa"/>
            <w:shd w:val="clear" w:color="auto" w:fill="C6EFCE"/>
            <w:hideMark/>
          </w:tcPr>
          <w:p w14:paraId="1E0ECDC3"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At least 30 law enforcement officials as certified by the State Police shall have obtained a certificate on investigation of money laundering. </w:t>
            </w:r>
          </w:p>
        </w:tc>
      </w:tr>
      <w:tr w:rsidR="0048758A" w:rsidRPr="00E60E42" w14:paraId="1E0ECDD5" w14:textId="77777777" w:rsidTr="00917B10">
        <w:trPr>
          <w:trHeight w:val="300"/>
          <w:jc w:val="center"/>
        </w:trPr>
        <w:tc>
          <w:tcPr>
            <w:tcW w:w="555" w:type="dxa"/>
            <w:shd w:val="clear" w:color="auto" w:fill="C6EFCE"/>
            <w:hideMark/>
          </w:tcPr>
          <w:p w14:paraId="1E0ECDC5"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191</w:t>
            </w:r>
          </w:p>
        </w:tc>
        <w:tc>
          <w:tcPr>
            <w:tcW w:w="2139" w:type="dxa"/>
            <w:shd w:val="clear" w:color="auto" w:fill="C6EFCE"/>
            <w:hideMark/>
          </w:tcPr>
          <w:p w14:paraId="1E0ECDC6"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6.2.1.2.i. Strengthening the capacity to investigate economic crime</w:t>
            </w:r>
          </w:p>
        </w:tc>
        <w:tc>
          <w:tcPr>
            <w:tcW w:w="1134" w:type="dxa"/>
            <w:shd w:val="clear" w:color="auto" w:fill="C6EFCE"/>
            <w:hideMark/>
          </w:tcPr>
          <w:p w14:paraId="1E0ECDC7"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C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Equipment for law enforcement officials </w:t>
            </w:r>
          </w:p>
        </w:tc>
        <w:tc>
          <w:tcPr>
            <w:tcW w:w="1842" w:type="dxa"/>
            <w:shd w:val="clear" w:color="auto" w:fill="C6EFCE"/>
            <w:hideMark/>
          </w:tcPr>
          <w:p w14:paraId="1E0ECDC9" w14:textId="77777777" w:rsidR="004E39F6" w:rsidRPr="00E60E42" w:rsidRDefault="00A35BEA" w:rsidP="0048758A">
            <w:pPr>
              <w:spacing w:after="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Invoice(s)</w:t>
            </w:r>
          </w:p>
        </w:tc>
        <w:tc>
          <w:tcPr>
            <w:tcW w:w="1276" w:type="dxa"/>
            <w:shd w:val="clear" w:color="auto" w:fill="C6EFCE"/>
            <w:hideMark/>
          </w:tcPr>
          <w:p w14:paraId="1E0ECDC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C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C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C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C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w:t>
            </w:r>
            <w:r w:rsidRPr="00E60E42" w:rsidDel="00805590">
              <w:rPr>
                <w:rFonts w:ascii="Times New Roman" w:eastAsia="Calibri" w:hAnsi="Times New Roman" w:cs="Arial"/>
                <w:noProof/>
                <w:kern w:val="0"/>
                <w:sz w:val="18"/>
                <w:szCs w:val="18"/>
                <w14:ligatures w14:val="none"/>
              </w:rPr>
              <w:t>5</w:t>
            </w:r>
          </w:p>
        </w:tc>
        <w:tc>
          <w:tcPr>
            <w:tcW w:w="3409" w:type="dxa"/>
            <w:shd w:val="clear" w:color="auto" w:fill="C6EFCE"/>
            <w:hideMark/>
          </w:tcPr>
          <w:p w14:paraId="1E0ECDCF"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Invoice(s) signed for the purchase of the following equipment:</w:t>
            </w:r>
          </w:p>
          <w:p w14:paraId="1E0ECDD0" w14:textId="77777777" w:rsidR="004E39F6" w:rsidRPr="00E60E42" w:rsidRDefault="00A35BEA" w:rsidP="00346F2A">
            <w:pPr>
              <w:pStyle w:val="ListParagraph"/>
              <w:numPr>
                <w:ilvl w:val="0"/>
                <w:numId w:val="30"/>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200 mobile workstations;</w:t>
            </w:r>
          </w:p>
          <w:p w14:paraId="1E0ECDD1" w14:textId="77777777" w:rsidR="004E39F6" w:rsidRPr="00E60E42" w:rsidRDefault="00A35BEA" w:rsidP="00346F2A">
            <w:pPr>
              <w:pStyle w:val="ListParagraph"/>
              <w:numPr>
                <w:ilvl w:val="0"/>
                <w:numId w:val="30"/>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30 portable printers; </w:t>
            </w:r>
          </w:p>
          <w:p w14:paraId="1E0ECDD2" w14:textId="77777777" w:rsidR="004E39F6" w:rsidRPr="00E60E42" w:rsidRDefault="00A35BEA" w:rsidP="00346F2A">
            <w:pPr>
              <w:pStyle w:val="ListParagraph"/>
              <w:numPr>
                <w:ilvl w:val="0"/>
                <w:numId w:val="30"/>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4 components for large-scale servers;</w:t>
            </w:r>
          </w:p>
          <w:p w14:paraId="1E0ECDD3" w14:textId="77777777" w:rsidR="004E39F6" w:rsidRPr="00E60E42" w:rsidRDefault="00A35BEA" w:rsidP="00346F2A">
            <w:pPr>
              <w:pStyle w:val="ListParagraph"/>
              <w:numPr>
                <w:ilvl w:val="0"/>
                <w:numId w:val="30"/>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videoconferencing equipment;</w:t>
            </w:r>
          </w:p>
          <w:p w14:paraId="1E0ECDD4" w14:textId="77777777" w:rsidR="004E39F6" w:rsidRPr="00E60E42" w:rsidRDefault="00A35BEA" w:rsidP="00346F2A">
            <w:pPr>
              <w:pStyle w:val="ListParagraph"/>
              <w:numPr>
                <w:ilvl w:val="0"/>
                <w:numId w:val="30"/>
              </w:numPr>
              <w:spacing w:after="0" w:line="240" w:lineRule="auto"/>
              <w:ind w:left="175" w:hanging="175"/>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 xml:space="preserve">training of a </w:t>
            </w:r>
            <w:r w:rsidRPr="00E60E42">
              <w:rPr>
                <w:rFonts w:ascii="Times New Roman" w:eastAsia="Times New Roman" w:hAnsi="Times New Roman" w:cs="Times New Roman"/>
                <w:noProof/>
                <w:color w:val="000000"/>
                <w:kern w:val="0"/>
                <w:sz w:val="18"/>
                <w:szCs w:val="18"/>
                <w14:ligatures w14:val="none"/>
              </w:rPr>
              <w:t>speech recognition IT tool.</w:t>
            </w:r>
          </w:p>
        </w:tc>
      </w:tr>
      <w:tr w:rsidR="0048758A" w:rsidRPr="00E60E42" w14:paraId="1E0ECDE3" w14:textId="77777777" w:rsidTr="00917B10">
        <w:trPr>
          <w:trHeight w:val="300"/>
          <w:jc w:val="center"/>
        </w:trPr>
        <w:tc>
          <w:tcPr>
            <w:tcW w:w="555" w:type="dxa"/>
            <w:shd w:val="clear" w:color="auto" w:fill="C6EFCE"/>
            <w:hideMark/>
          </w:tcPr>
          <w:p w14:paraId="1E0ECDD6"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192</w:t>
            </w:r>
          </w:p>
        </w:tc>
        <w:tc>
          <w:tcPr>
            <w:tcW w:w="2139" w:type="dxa"/>
            <w:shd w:val="clear" w:color="auto" w:fill="C6EFCE"/>
            <w:hideMark/>
          </w:tcPr>
          <w:p w14:paraId="1E0ECDD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6.2.1.3.i. </w:t>
            </w:r>
            <w:r w:rsidRPr="00E60E42">
              <w:rPr>
                <w:rFonts w:ascii="Times New Roman" w:eastAsia="Calibri" w:hAnsi="Times New Roman" w:cs="Arial"/>
                <w:b/>
                <w:noProof/>
                <w:kern w:val="0"/>
                <w:sz w:val="18"/>
                <w:szCs w:val="18"/>
                <w14:ligatures w14:val="none"/>
              </w:rPr>
              <w:t>Establishment of a training centre</w:t>
            </w:r>
          </w:p>
        </w:tc>
        <w:tc>
          <w:tcPr>
            <w:tcW w:w="1134" w:type="dxa"/>
            <w:shd w:val="clear" w:color="auto" w:fill="C6EFCE"/>
            <w:hideMark/>
          </w:tcPr>
          <w:p w14:paraId="1E0ECDD8"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D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Legal act(s) related to the training centre</w:t>
            </w:r>
          </w:p>
        </w:tc>
        <w:tc>
          <w:tcPr>
            <w:tcW w:w="1842" w:type="dxa"/>
            <w:shd w:val="clear" w:color="auto" w:fill="C6EFCE"/>
            <w:hideMark/>
          </w:tcPr>
          <w:p w14:paraId="1E0ECDD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 xml:space="preserve">Entry into force of legal act(s) for the training centre </w:t>
            </w:r>
          </w:p>
        </w:tc>
        <w:tc>
          <w:tcPr>
            <w:tcW w:w="1276" w:type="dxa"/>
            <w:shd w:val="clear" w:color="auto" w:fill="C6EFCE"/>
            <w:hideMark/>
          </w:tcPr>
          <w:p w14:paraId="1E0ECDD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D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D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D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DD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w:t>
            </w:r>
            <w:r w:rsidRPr="00E60E42" w:rsidDel="00805590">
              <w:rPr>
                <w:rFonts w:ascii="Times New Roman" w:eastAsia="Calibri" w:hAnsi="Times New Roman" w:cs="Arial"/>
                <w:noProof/>
                <w:kern w:val="0"/>
                <w:sz w:val="18"/>
                <w:szCs w:val="18"/>
                <w14:ligatures w14:val="none"/>
              </w:rPr>
              <w:t>5</w:t>
            </w:r>
          </w:p>
        </w:tc>
        <w:tc>
          <w:tcPr>
            <w:tcW w:w="3409" w:type="dxa"/>
            <w:shd w:val="clear" w:color="auto" w:fill="C6EFCE"/>
          </w:tcPr>
          <w:p w14:paraId="1E0ECDE0"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following has entered into force:</w:t>
            </w:r>
          </w:p>
          <w:p w14:paraId="1E0ECDE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 A law for the establishment and operation of the institutional model of the training centre ("Judicial Academy”), including the definition of the involvement of the judiciary and the Judicial Council on training content and methodology. </w:t>
            </w:r>
          </w:p>
          <w:p w14:paraId="1E0ECDE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State budget law for 2025, with funding for the financing of the coverage of the training centre’s maintenance costs, staff costs and training content expenses, including the updating of training programmes.</w:t>
            </w:r>
          </w:p>
        </w:tc>
      </w:tr>
      <w:tr w:rsidR="0048758A" w:rsidRPr="00E60E42" w14:paraId="1E0ECDF0" w14:textId="77777777" w:rsidTr="00917B10">
        <w:trPr>
          <w:trHeight w:val="300"/>
          <w:jc w:val="center"/>
        </w:trPr>
        <w:tc>
          <w:tcPr>
            <w:tcW w:w="555" w:type="dxa"/>
            <w:shd w:val="clear" w:color="auto" w:fill="C6EFCE"/>
            <w:hideMark/>
          </w:tcPr>
          <w:p w14:paraId="1E0ECDE4"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193</w:t>
            </w:r>
          </w:p>
        </w:tc>
        <w:tc>
          <w:tcPr>
            <w:tcW w:w="2139" w:type="dxa"/>
            <w:shd w:val="clear" w:color="auto" w:fill="C6EFCE"/>
            <w:hideMark/>
          </w:tcPr>
          <w:p w14:paraId="1E0ECDE5" w14:textId="77777777" w:rsidR="004E39F6" w:rsidRPr="00E60E42" w:rsidRDefault="00A35BEA" w:rsidP="0048758A">
            <w:pPr>
              <w:spacing w:after="0" w:line="240" w:lineRule="auto"/>
              <w:rPr>
                <w:rFonts w:ascii="Times New Roman" w:eastAsia="Calibri" w:hAnsi="Times New Roman" w:cs="Arial"/>
                <w:b/>
                <w:bCs/>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6.2.1.3.i. </w:t>
            </w:r>
            <w:r w:rsidRPr="00E60E42">
              <w:rPr>
                <w:rFonts w:ascii="Times New Roman" w:eastAsia="Calibri" w:hAnsi="Times New Roman" w:cs="Arial"/>
                <w:b/>
                <w:noProof/>
                <w:kern w:val="0"/>
                <w:sz w:val="18"/>
                <w:szCs w:val="18"/>
                <w14:ligatures w14:val="none"/>
              </w:rPr>
              <w:t>Establishment of a training centre</w:t>
            </w:r>
            <w:r w:rsidRPr="00E60E42">
              <w:rPr>
                <w:rFonts w:ascii="Times New Roman" w:eastAsia="Calibri" w:hAnsi="Times New Roman" w:cs="Arial"/>
                <w:b/>
                <w:bCs/>
                <w:noProof/>
                <w:kern w:val="0"/>
                <w:sz w:val="18"/>
                <w:szCs w:val="18"/>
                <w14:ligatures w14:val="none"/>
              </w:rPr>
              <w:t xml:space="preserve"> </w:t>
            </w:r>
          </w:p>
        </w:tc>
        <w:tc>
          <w:tcPr>
            <w:tcW w:w="1134" w:type="dxa"/>
            <w:shd w:val="clear" w:color="auto" w:fill="C6EFCE"/>
            <w:hideMark/>
          </w:tcPr>
          <w:p w14:paraId="1E0ECDE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696" w:type="dxa"/>
            <w:shd w:val="clear" w:color="auto" w:fill="C6EFCE"/>
            <w:hideMark/>
          </w:tcPr>
          <w:p w14:paraId="1E0ECDE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New training programmes </w:t>
            </w:r>
          </w:p>
        </w:tc>
        <w:tc>
          <w:tcPr>
            <w:tcW w:w="1842" w:type="dxa"/>
            <w:shd w:val="clear" w:color="auto" w:fill="C6EFCE"/>
            <w:hideMark/>
          </w:tcPr>
          <w:p w14:paraId="1E0ECDE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DE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hideMark/>
          </w:tcPr>
          <w:p w14:paraId="1E0ECDE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709" w:type="dxa"/>
            <w:shd w:val="clear" w:color="auto" w:fill="C6EFCE"/>
            <w:hideMark/>
          </w:tcPr>
          <w:p w14:paraId="1E0ECDE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10</w:t>
            </w:r>
          </w:p>
        </w:tc>
        <w:tc>
          <w:tcPr>
            <w:tcW w:w="851" w:type="dxa"/>
            <w:shd w:val="clear" w:color="auto" w:fill="C6EFCE"/>
            <w:hideMark/>
          </w:tcPr>
          <w:p w14:paraId="1E0ECDE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DE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DE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Ten new training programmes for judges, court staff, prosecutors, assistant prosecutors, and investigators, including on issues for example cybercrime, fraud and tax evasion, corruption in public procurement and money laundering shall be created and approved.</w:t>
            </w:r>
          </w:p>
          <w:p w14:paraId="1E0ECDEF"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programmes are approved by the Supervisory Board of the “Judicial Academy” project, in which the Judicial Council is also represented. </w:t>
            </w:r>
          </w:p>
        </w:tc>
      </w:tr>
      <w:tr w:rsidR="0048758A" w:rsidRPr="00E60E42" w14:paraId="1E0ECDFC" w14:textId="77777777" w:rsidTr="00917B10">
        <w:trPr>
          <w:trHeight w:val="300"/>
          <w:jc w:val="center"/>
        </w:trPr>
        <w:tc>
          <w:tcPr>
            <w:tcW w:w="555" w:type="dxa"/>
            <w:shd w:val="clear" w:color="auto" w:fill="C6EFCE"/>
            <w:hideMark/>
          </w:tcPr>
          <w:p w14:paraId="1E0ECDF1"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195</w:t>
            </w:r>
          </w:p>
        </w:tc>
        <w:tc>
          <w:tcPr>
            <w:tcW w:w="2139" w:type="dxa"/>
            <w:shd w:val="clear" w:color="auto" w:fill="C6EFCE"/>
            <w:hideMark/>
          </w:tcPr>
          <w:p w14:paraId="1E0ECDF2" w14:textId="77777777" w:rsidR="004E39F6" w:rsidRPr="00E60E42" w:rsidRDefault="00A35BEA" w:rsidP="0048758A">
            <w:pPr>
              <w:spacing w:after="0" w:line="240" w:lineRule="auto"/>
              <w:rPr>
                <w:rFonts w:ascii="Times New Roman" w:eastAsia="Calibri" w:hAnsi="Times New Roman" w:cs="Arial"/>
                <w:b/>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6.2.1.3.i. Establishment of a training centre </w:t>
            </w:r>
          </w:p>
        </w:tc>
        <w:tc>
          <w:tcPr>
            <w:tcW w:w="1134" w:type="dxa"/>
            <w:shd w:val="clear" w:color="auto" w:fill="C6EFCE"/>
            <w:hideMark/>
          </w:tcPr>
          <w:p w14:paraId="1E0ECDF3"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DF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Training centre refurbished and equipped</w:t>
            </w:r>
          </w:p>
        </w:tc>
        <w:tc>
          <w:tcPr>
            <w:tcW w:w="1842" w:type="dxa"/>
            <w:shd w:val="clear" w:color="auto" w:fill="C6EFCE"/>
            <w:hideMark/>
          </w:tcPr>
          <w:p w14:paraId="1E0ECDF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Refurbishment of premises and provision of equipment for the training centre </w:t>
            </w:r>
          </w:p>
        </w:tc>
        <w:tc>
          <w:tcPr>
            <w:tcW w:w="1276" w:type="dxa"/>
            <w:shd w:val="clear" w:color="auto" w:fill="C6EFCE"/>
            <w:hideMark/>
          </w:tcPr>
          <w:p w14:paraId="1E0ECDF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DF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DF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DF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DF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DF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premises of a training centre (“Judicial Academy”) are refurbished and equipped.</w:t>
            </w:r>
          </w:p>
        </w:tc>
      </w:tr>
      <w:tr w:rsidR="0048758A" w:rsidRPr="00E60E42" w14:paraId="1E0ECE0C" w14:textId="77777777" w:rsidTr="00917B10">
        <w:trPr>
          <w:trHeight w:val="300"/>
          <w:jc w:val="center"/>
        </w:trPr>
        <w:tc>
          <w:tcPr>
            <w:tcW w:w="555" w:type="dxa"/>
            <w:shd w:val="clear" w:color="auto" w:fill="C6EFCE"/>
            <w:hideMark/>
          </w:tcPr>
          <w:p w14:paraId="1E0ECDFD"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196</w:t>
            </w:r>
          </w:p>
        </w:tc>
        <w:tc>
          <w:tcPr>
            <w:tcW w:w="2139" w:type="dxa"/>
            <w:shd w:val="clear" w:color="auto" w:fill="C6EFCE"/>
            <w:hideMark/>
          </w:tcPr>
          <w:p w14:paraId="1E0ECDFE"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6.3.1.r. Modernisation of public administration</w:t>
            </w:r>
          </w:p>
        </w:tc>
        <w:tc>
          <w:tcPr>
            <w:tcW w:w="1134" w:type="dxa"/>
            <w:shd w:val="clear" w:color="auto" w:fill="C6EFCE"/>
            <w:hideMark/>
          </w:tcPr>
          <w:p w14:paraId="1E0ECDFF"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00"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Approved Plan for Modernisation of Public Administration</w:t>
            </w:r>
          </w:p>
        </w:tc>
        <w:tc>
          <w:tcPr>
            <w:tcW w:w="1842" w:type="dxa"/>
            <w:shd w:val="clear" w:color="auto" w:fill="C6EFCE"/>
            <w:hideMark/>
          </w:tcPr>
          <w:p w14:paraId="1E0ECE01"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Plan for Modernisation of Public Administration approved</w:t>
            </w:r>
          </w:p>
        </w:tc>
        <w:tc>
          <w:tcPr>
            <w:tcW w:w="1276" w:type="dxa"/>
            <w:shd w:val="clear" w:color="auto" w:fill="C6EFCE"/>
            <w:hideMark/>
          </w:tcPr>
          <w:p w14:paraId="1E0ECE0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0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0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0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0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E0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plan for the modernisation of public administration is approved by the Cabinet of Ministers. The plan covers the following priority areas and including timeframes for implementation:</w:t>
            </w:r>
          </w:p>
          <w:p w14:paraId="1E0ECE0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An open, transparent, fair and accountable public administration: the principles of integrity are reviewed and improved by defining and implementing accountability to every public administration, as well as by respecting ethical principles and values in the work of public administration;</w:t>
            </w:r>
          </w:p>
          <w:p w14:paraId="1E0ECE0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(b) Uniform, centralised and standardised support processes and systems – the introduction of a centralised resource management system in public administrations, including accounting and human resources management;</w:t>
            </w:r>
          </w:p>
          <w:p w14:paraId="1E0ECE0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 Strategic human resources management and development, including selection, career management, evaluation, learning and development;</w:t>
            </w:r>
          </w:p>
          <w:p w14:paraId="1E0ECE0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 Available, comprehensible and relevant services –developing digital transmission guidelines and digitising services, while ensuring their accessibility, accessibility and comprehensibility for all citizens, including those who do not use digital tools.</w:t>
            </w:r>
          </w:p>
        </w:tc>
      </w:tr>
      <w:tr w:rsidR="0048758A" w:rsidRPr="00E60E42" w14:paraId="1E0ECE19" w14:textId="77777777" w:rsidTr="00917B10">
        <w:trPr>
          <w:trHeight w:val="300"/>
          <w:jc w:val="center"/>
        </w:trPr>
        <w:tc>
          <w:tcPr>
            <w:tcW w:w="555" w:type="dxa"/>
            <w:shd w:val="clear" w:color="auto" w:fill="C6EFCE"/>
            <w:hideMark/>
          </w:tcPr>
          <w:p w14:paraId="1E0ECE0D"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198</w:t>
            </w:r>
          </w:p>
        </w:tc>
        <w:tc>
          <w:tcPr>
            <w:tcW w:w="2139" w:type="dxa"/>
            <w:shd w:val="clear" w:color="auto" w:fill="C6EFCE"/>
            <w:hideMark/>
          </w:tcPr>
          <w:p w14:paraId="1E0ECE0E"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6.3.1.r. Modernisation of public administration</w:t>
            </w:r>
          </w:p>
        </w:tc>
        <w:tc>
          <w:tcPr>
            <w:tcW w:w="1134" w:type="dxa"/>
            <w:shd w:val="clear" w:color="auto" w:fill="C6EFCE"/>
            <w:hideMark/>
          </w:tcPr>
          <w:p w14:paraId="1E0ECE0F"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10"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Concept of the Single Service Centre approved as a prerequisite for the provision of centralised services</w:t>
            </w:r>
          </w:p>
        </w:tc>
        <w:tc>
          <w:tcPr>
            <w:tcW w:w="1842" w:type="dxa"/>
            <w:shd w:val="clear" w:color="auto" w:fill="C6EFCE"/>
            <w:hideMark/>
          </w:tcPr>
          <w:p w14:paraId="1E0ECE1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E1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1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1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1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1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E1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concept of the Single Service Centre has been developed and approved by the Cabinet of Ministers.</w:t>
            </w:r>
          </w:p>
          <w:p w14:paraId="1E0ECE1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concept shall describe how gradual centralisation of public administration support functions (at least accounting and personnel record keeping) shall take place. </w:t>
            </w:r>
          </w:p>
        </w:tc>
      </w:tr>
      <w:tr w:rsidR="0048758A" w:rsidRPr="00E60E42" w14:paraId="1E0ECE27" w14:textId="77777777" w:rsidTr="00917B10">
        <w:trPr>
          <w:trHeight w:val="300"/>
          <w:jc w:val="center"/>
        </w:trPr>
        <w:tc>
          <w:tcPr>
            <w:tcW w:w="555" w:type="dxa"/>
            <w:shd w:val="clear" w:color="auto" w:fill="C6EFCE"/>
            <w:hideMark/>
          </w:tcPr>
          <w:p w14:paraId="1E0ECE1A"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200</w:t>
            </w:r>
          </w:p>
        </w:tc>
        <w:tc>
          <w:tcPr>
            <w:tcW w:w="2139" w:type="dxa"/>
            <w:shd w:val="clear" w:color="auto" w:fill="C6EFCE"/>
            <w:hideMark/>
          </w:tcPr>
          <w:p w14:paraId="1E0ECE1B"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 xml:space="preserve">6.3.1.1.i. </w:t>
            </w:r>
          </w:p>
          <w:p w14:paraId="1E0ECE1C"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Open, transparent, fair and accountable public administration</w:t>
            </w:r>
          </w:p>
        </w:tc>
        <w:tc>
          <w:tcPr>
            <w:tcW w:w="1134" w:type="dxa"/>
            <w:shd w:val="clear" w:color="auto" w:fill="C6EFCE"/>
            <w:hideMark/>
          </w:tcPr>
          <w:p w14:paraId="1E0ECE1D"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1E" w14:textId="77777777" w:rsidR="004E39F6" w:rsidRPr="00E60E42" w:rsidRDefault="00A35BEA" w:rsidP="0048758A">
            <w:pPr>
              <w:spacing w:after="24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Competence framework available</w:t>
            </w:r>
          </w:p>
        </w:tc>
        <w:tc>
          <w:tcPr>
            <w:tcW w:w="1842" w:type="dxa"/>
            <w:shd w:val="clear" w:color="auto" w:fill="C6EFCE"/>
            <w:hideMark/>
          </w:tcPr>
          <w:p w14:paraId="1E0ECE1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Competence framework is available in the State Administration School Training Management system and approved by an internal regulatory act of the School of State Administration and the state budget law for 2024 has been passed</w:t>
            </w:r>
          </w:p>
        </w:tc>
        <w:tc>
          <w:tcPr>
            <w:tcW w:w="1276" w:type="dxa"/>
            <w:shd w:val="clear" w:color="auto" w:fill="C6EFCE"/>
            <w:hideMark/>
          </w:tcPr>
          <w:p w14:paraId="1E0ECE2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2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2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2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2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E25"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competence framework has been set up and made available in the areas of ethics, anti-corruption, prevention of fraud and conflict of interest. </w:t>
            </w:r>
          </w:p>
          <w:p w14:paraId="1E0ECE2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State budget financing for the main public administration development training programmes has been ensured from 2024 onwards. </w:t>
            </w:r>
          </w:p>
        </w:tc>
      </w:tr>
      <w:tr w:rsidR="0048758A" w:rsidRPr="00E60E42" w14:paraId="1E0ECE3B" w14:textId="77777777" w:rsidTr="00917B10">
        <w:trPr>
          <w:trHeight w:val="300"/>
          <w:jc w:val="center"/>
        </w:trPr>
        <w:tc>
          <w:tcPr>
            <w:tcW w:w="555" w:type="dxa"/>
            <w:shd w:val="clear" w:color="auto" w:fill="C6EFCE"/>
            <w:hideMark/>
          </w:tcPr>
          <w:p w14:paraId="1E0ECE28"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w:t>
            </w:r>
          </w:p>
        </w:tc>
        <w:tc>
          <w:tcPr>
            <w:tcW w:w="2139" w:type="dxa"/>
            <w:shd w:val="clear" w:color="auto" w:fill="C6EFCE"/>
            <w:hideMark/>
          </w:tcPr>
          <w:p w14:paraId="1E0ECE29"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6.3.1.2.i. Professional, open and accountable public administration </w:t>
            </w:r>
          </w:p>
        </w:tc>
        <w:tc>
          <w:tcPr>
            <w:tcW w:w="1134" w:type="dxa"/>
            <w:shd w:val="clear" w:color="auto" w:fill="C6EFCE"/>
            <w:hideMark/>
          </w:tcPr>
          <w:p w14:paraId="1E0ECE2A"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2B" w14:textId="77777777" w:rsidR="004E39F6" w:rsidRPr="00E60E42" w:rsidRDefault="00A35BEA" w:rsidP="0048758A">
            <w:pPr>
              <w:spacing w:after="24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Competence framework available, including training programmes</w:t>
            </w:r>
          </w:p>
        </w:tc>
        <w:tc>
          <w:tcPr>
            <w:tcW w:w="1842" w:type="dxa"/>
            <w:shd w:val="clear" w:color="auto" w:fill="C6EFCE"/>
            <w:hideMark/>
          </w:tcPr>
          <w:p w14:paraId="1E0ECE2C" w14:textId="77777777" w:rsidR="004E39F6" w:rsidRPr="00E60E42" w:rsidRDefault="00A35BEA" w:rsidP="0048758A">
            <w:pPr>
              <w:spacing w:after="200" w:line="276"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Competence framework is available in the State Administration School Training Management System and approved by an internal regulatory act of the State Administration School and the state budget law for 2024 has been passed</w:t>
            </w:r>
          </w:p>
        </w:tc>
        <w:tc>
          <w:tcPr>
            <w:tcW w:w="1276" w:type="dxa"/>
            <w:shd w:val="clear" w:color="auto" w:fill="C6EFCE"/>
            <w:hideMark/>
          </w:tcPr>
          <w:p w14:paraId="1E0ECE2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2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2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3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3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2023</w:t>
            </w:r>
          </w:p>
        </w:tc>
        <w:tc>
          <w:tcPr>
            <w:tcW w:w="3409" w:type="dxa"/>
            <w:shd w:val="clear" w:color="auto" w:fill="C6EFCE"/>
            <w:hideMark/>
          </w:tcPr>
          <w:p w14:paraId="1E0ECE3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competence framework and training programmes are available in the following areas:</w:t>
            </w:r>
          </w:p>
          <w:p w14:paraId="1E0ECE33"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customer service, </w:t>
            </w:r>
          </w:p>
          <w:p w14:paraId="1E0ECE34"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development of leadership, </w:t>
            </w:r>
          </w:p>
          <w:p w14:paraId="1E0ECE35"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basic competences of public administration,</w:t>
            </w:r>
          </w:p>
          <w:p w14:paraId="1E0ECE36"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management of public procurement, </w:t>
            </w:r>
          </w:p>
          <w:p w14:paraId="1E0ECE37"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human resources,</w:t>
            </w:r>
          </w:p>
          <w:p w14:paraId="1E0ECE38"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legal practice, </w:t>
            </w:r>
          </w:p>
          <w:p w14:paraId="1E0ECE39" w14:textId="77777777" w:rsidR="004E39F6" w:rsidRPr="00E60E42" w:rsidRDefault="00A35BEA" w:rsidP="00346F2A">
            <w:pPr>
              <w:pStyle w:val="ListParagraph"/>
              <w:numPr>
                <w:ilvl w:val="0"/>
                <w:numId w:val="31"/>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policy-planning and implementation. </w:t>
            </w:r>
          </w:p>
          <w:p w14:paraId="1E0ECE3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State budget financing for the professionalisation of public administration has been ensured from 2024 onwards.</w:t>
            </w:r>
          </w:p>
        </w:tc>
      </w:tr>
      <w:tr w:rsidR="0048758A" w:rsidRPr="00E60E42" w14:paraId="1E0ECE47" w14:textId="77777777" w:rsidTr="00917B10">
        <w:trPr>
          <w:trHeight w:val="300"/>
          <w:jc w:val="center"/>
        </w:trPr>
        <w:tc>
          <w:tcPr>
            <w:tcW w:w="555" w:type="dxa"/>
            <w:shd w:val="clear" w:color="auto" w:fill="C6EFCE"/>
            <w:hideMark/>
          </w:tcPr>
          <w:p w14:paraId="1E0ECE3C"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203</w:t>
            </w:r>
          </w:p>
        </w:tc>
        <w:tc>
          <w:tcPr>
            <w:tcW w:w="2139" w:type="dxa"/>
            <w:shd w:val="clear" w:color="auto" w:fill="C6EFCE"/>
            <w:hideMark/>
          </w:tcPr>
          <w:p w14:paraId="1E0ECE3D"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6.3.1.2.i. Professional, open and accountable public administration </w:t>
            </w:r>
          </w:p>
        </w:tc>
        <w:tc>
          <w:tcPr>
            <w:tcW w:w="1134" w:type="dxa"/>
            <w:shd w:val="clear" w:color="auto" w:fill="C6EFCE"/>
            <w:hideMark/>
          </w:tcPr>
          <w:p w14:paraId="1E0ECE3E"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696" w:type="dxa"/>
            <w:shd w:val="clear" w:color="auto" w:fill="C6EFCE"/>
            <w:hideMark/>
          </w:tcPr>
          <w:p w14:paraId="1E0ECE3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Trainings attended </w:t>
            </w:r>
          </w:p>
        </w:tc>
        <w:tc>
          <w:tcPr>
            <w:tcW w:w="1842" w:type="dxa"/>
            <w:shd w:val="clear" w:color="auto" w:fill="C6EFCE"/>
            <w:hideMark/>
          </w:tcPr>
          <w:p w14:paraId="1E0ECE4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E4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w:t>
            </w:r>
          </w:p>
        </w:tc>
        <w:tc>
          <w:tcPr>
            <w:tcW w:w="992" w:type="dxa"/>
            <w:shd w:val="clear" w:color="auto" w:fill="C6EFCE"/>
            <w:hideMark/>
          </w:tcPr>
          <w:p w14:paraId="1E0ECE4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709" w:type="dxa"/>
            <w:shd w:val="clear" w:color="auto" w:fill="C6EFCE"/>
            <w:hideMark/>
          </w:tcPr>
          <w:p w14:paraId="1E0ECE4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36 243</w:t>
            </w:r>
          </w:p>
        </w:tc>
        <w:tc>
          <w:tcPr>
            <w:tcW w:w="851" w:type="dxa"/>
            <w:shd w:val="clear" w:color="auto" w:fill="C6EFCE"/>
            <w:hideMark/>
          </w:tcPr>
          <w:p w14:paraId="1E0ECE4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4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409" w:type="dxa"/>
            <w:shd w:val="clear" w:color="auto" w:fill="C6EFCE"/>
            <w:hideMark/>
          </w:tcPr>
          <w:p w14:paraId="1E0ECE4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Number of trainings attended, for example in the areas of customer service, development of leadership, basic competences of public administration, management of public procurement, human resources, legal practice, policy planning, ethics, anti-corruption, prevention of fraud and conflict of interest. </w:t>
            </w:r>
          </w:p>
        </w:tc>
      </w:tr>
      <w:tr w:rsidR="0048758A" w:rsidRPr="00E60E42" w14:paraId="1E0ECE53" w14:textId="77777777" w:rsidTr="00917B10">
        <w:trPr>
          <w:trHeight w:val="300"/>
          <w:jc w:val="center"/>
        </w:trPr>
        <w:tc>
          <w:tcPr>
            <w:tcW w:w="555" w:type="dxa"/>
            <w:shd w:val="clear" w:color="auto" w:fill="C6EFCE"/>
            <w:hideMark/>
          </w:tcPr>
          <w:p w14:paraId="1E0ECE48"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204</w:t>
            </w:r>
          </w:p>
        </w:tc>
        <w:tc>
          <w:tcPr>
            <w:tcW w:w="2139" w:type="dxa"/>
            <w:shd w:val="clear" w:color="auto" w:fill="C6EFCE"/>
            <w:hideMark/>
          </w:tcPr>
          <w:p w14:paraId="1E0ECE49"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6.3.1.3.i. Development of the innovation ecosystem of public administration </w:t>
            </w:r>
          </w:p>
        </w:tc>
        <w:tc>
          <w:tcPr>
            <w:tcW w:w="1134" w:type="dxa"/>
            <w:shd w:val="clear" w:color="auto" w:fill="C6EFCE"/>
            <w:hideMark/>
          </w:tcPr>
          <w:p w14:paraId="1E0ECE4A"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4B" w14:textId="77777777" w:rsidR="004E39F6" w:rsidRPr="00E60E42" w:rsidRDefault="00A35BEA" w:rsidP="0048758A">
            <w:pPr>
              <w:spacing w:after="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 xml:space="preserve">Innovation lab </w:t>
            </w:r>
          </w:p>
        </w:tc>
        <w:tc>
          <w:tcPr>
            <w:tcW w:w="1842" w:type="dxa"/>
            <w:shd w:val="clear" w:color="auto" w:fill="C6EFCE"/>
            <w:hideMark/>
          </w:tcPr>
          <w:p w14:paraId="1E0ECE4C" w14:textId="77777777" w:rsidR="004E39F6" w:rsidRPr="00E60E42" w:rsidRDefault="00A35BEA" w:rsidP="0048758A">
            <w:pPr>
              <w:spacing w:after="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Approval of the informative report and renovation of innovation lab</w:t>
            </w:r>
          </w:p>
        </w:tc>
        <w:tc>
          <w:tcPr>
            <w:tcW w:w="1276" w:type="dxa"/>
            <w:shd w:val="clear" w:color="auto" w:fill="C6EFCE"/>
            <w:hideMark/>
          </w:tcPr>
          <w:p w14:paraId="1E0ECE4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4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4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5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8" w:type="dxa"/>
            <w:shd w:val="clear" w:color="auto" w:fill="C6EFCE"/>
            <w:hideMark/>
          </w:tcPr>
          <w:p w14:paraId="1E0ECE5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409" w:type="dxa"/>
            <w:shd w:val="clear" w:color="auto" w:fill="C6EFCE"/>
            <w:hideMark/>
          </w:tcPr>
          <w:p w14:paraId="1E0ECE52"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Informative report on </w:t>
            </w:r>
            <w:r w:rsidRPr="00E60E42">
              <w:rPr>
                <w:rFonts w:ascii="Times New Roman" w:eastAsia="Times New Roman" w:hAnsi="Times New Roman" w:cs="Times New Roman"/>
                <w:noProof/>
                <w:kern w:val="0"/>
                <w:sz w:val="18"/>
                <w:szCs w:val="18"/>
                <w14:ligatures w14:val="none"/>
              </w:rPr>
              <w:t xml:space="preserve">strengthening </w:t>
            </w:r>
            <w:r w:rsidRPr="00E60E42">
              <w:rPr>
                <w:rFonts w:ascii="Times New Roman" w:eastAsia="Calibri" w:hAnsi="Times New Roman" w:cs="Arial"/>
                <w:noProof/>
                <w:kern w:val="0"/>
                <w:sz w:val="18"/>
                <w:szCs w:val="18"/>
                <w14:ligatures w14:val="none"/>
              </w:rPr>
              <w:t>innovation capacity in public administration is approved by the Cabinet of Ministers. Premises of the innovation</w:t>
            </w:r>
            <w:r w:rsidRPr="00E60E42">
              <w:rPr>
                <w:rFonts w:ascii="Times New Roman" w:eastAsia="Times New Roman" w:hAnsi="Times New Roman" w:cs="Times New Roman"/>
                <w:noProof/>
                <w:kern w:val="0"/>
                <w:sz w:val="18"/>
                <w:szCs w:val="18"/>
                <w14:ligatures w14:val="none"/>
              </w:rPr>
              <w:t xml:space="preserve"> lab have been renovated, and innovation sprints have been organised. </w:t>
            </w:r>
          </w:p>
        </w:tc>
      </w:tr>
      <w:tr w:rsidR="0048758A" w:rsidRPr="00E60E42" w14:paraId="1E0ECE62" w14:textId="77777777" w:rsidTr="00917B10">
        <w:trPr>
          <w:trHeight w:val="300"/>
          <w:jc w:val="center"/>
        </w:trPr>
        <w:tc>
          <w:tcPr>
            <w:tcW w:w="555" w:type="dxa"/>
            <w:shd w:val="clear" w:color="auto" w:fill="C6EFCE"/>
            <w:hideMark/>
          </w:tcPr>
          <w:p w14:paraId="1E0ECE54"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206</w:t>
            </w:r>
          </w:p>
        </w:tc>
        <w:tc>
          <w:tcPr>
            <w:tcW w:w="2139" w:type="dxa"/>
            <w:shd w:val="clear" w:color="auto" w:fill="C6EFCE"/>
            <w:hideMark/>
          </w:tcPr>
          <w:p w14:paraId="1E0ECE5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6.3.1.4.i. </w:t>
            </w:r>
          </w:p>
          <w:p w14:paraId="1E0ECE56"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Growth of non-governmental organisations to strengthen social security representation and monitor public interests</w:t>
            </w:r>
          </w:p>
        </w:tc>
        <w:tc>
          <w:tcPr>
            <w:tcW w:w="1134" w:type="dxa"/>
            <w:shd w:val="clear" w:color="auto" w:fill="C6EFCE"/>
            <w:hideMark/>
          </w:tcPr>
          <w:p w14:paraId="1E0ECE57"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5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Publication of the framework for the support of non-governmental organisations in areas of:</w:t>
            </w:r>
          </w:p>
          <w:p w14:paraId="1E0ECE5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-social resilience</w:t>
            </w:r>
          </w:p>
          <w:p w14:paraId="1E0ECE5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-advocacy of public interest</w:t>
            </w:r>
          </w:p>
        </w:tc>
        <w:tc>
          <w:tcPr>
            <w:tcW w:w="1842" w:type="dxa"/>
            <w:shd w:val="clear" w:color="auto" w:fill="C6EFCE"/>
            <w:hideMark/>
          </w:tcPr>
          <w:p w14:paraId="1E0ECE5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publication of the rules for the support programme</w:t>
            </w:r>
          </w:p>
        </w:tc>
        <w:tc>
          <w:tcPr>
            <w:tcW w:w="1276" w:type="dxa"/>
            <w:shd w:val="clear" w:color="auto" w:fill="C6EFCE"/>
            <w:hideMark/>
          </w:tcPr>
          <w:p w14:paraId="1E0ECE5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5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5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5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6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E6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An open call for funding for strengthening the work of non-governmental organisations in two areas – (a) fostering social resilience and (b) advocacy for public interest has been published. The call shall include conditions and criteria for NGO participation in the support programme, a reporting mechanism and indicators and targets to be achieved within the programme. </w:t>
            </w:r>
          </w:p>
        </w:tc>
      </w:tr>
      <w:tr w:rsidR="0048758A" w:rsidRPr="00E60E42" w14:paraId="1E0ECE6F" w14:textId="77777777" w:rsidTr="00917B10">
        <w:trPr>
          <w:trHeight w:val="300"/>
          <w:jc w:val="center"/>
        </w:trPr>
        <w:tc>
          <w:tcPr>
            <w:tcW w:w="555" w:type="dxa"/>
            <w:shd w:val="clear" w:color="auto" w:fill="C6EFCE"/>
            <w:hideMark/>
          </w:tcPr>
          <w:p w14:paraId="1E0ECE63"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207</w:t>
            </w:r>
          </w:p>
        </w:tc>
        <w:tc>
          <w:tcPr>
            <w:tcW w:w="2139" w:type="dxa"/>
            <w:shd w:val="clear" w:color="auto" w:fill="C6EFCE"/>
            <w:hideMark/>
          </w:tcPr>
          <w:p w14:paraId="1E0ECE64"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6.3.1.4.i. </w:t>
            </w:r>
          </w:p>
          <w:p w14:paraId="1E0ECE6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Growth of non-governmental organisations to strengthen social security representation and monitor public interests</w:t>
            </w:r>
          </w:p>
        </w:tc>
        <w:tc>
          <w:tcPr>
            <w:tcW w:w="1134" w:type="dxa"/>
            <w:shd w:val="clear" w:color="auto" w:fill="C6EFCE"/>
            <w:hideMark/>
          </w:tcPr>
          <w:p w14:paraId="1E0ECE6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696" w:type="dxa"/>
            <w:shd w:val="clear" w:color="auto" w:fill="C6EFCE"/>
            <w:hideMark/>
          </w:tcPr>
          <w:p w14:paraId="1E0ECE6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Beneficiaries of the support programme </w:t>
            </w:r>
          </w:p>
        </w:tc>
        <w:tc>
          <w:tcPr>
            <w:tcW w:w="1842" w:type="dxa"/>
            <w:shd w:val="clear" w:color="auto" w:fill="C6EFCE"/>
            <w:hideMark/>
          </w:tcPr>
          <w:p w14:paraId="1E0ECE6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E6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Number of beneficiaries (including partners) of the support programme</w:t>
            </w:r>
          </w:p>
        </w:tc>
        <w:tc>
          <w:tcPr>
            <w:tcW w:w="992" w:type="dxa"/>
            <w:shd w:val="clear" w:color="auto" w:fill="C6EFCE"/>
            <w:hideMark/>
          </w:tcPr>
          <w:p w14:paraId="1E0ECE6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709" w:type="dxa"/>
            <w:shd w:val="clear" w:color="auto" w:fill="C6EFCE"/>
            <w:hideMark/>
          </w:tcPr>
          <w:p w14:paraId="1E0ECE6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30</w:t>
            </w:r>
          </w:p>
        </w:tc>
        <w:tc>
          <w:tcPr>
            <w:tcW w:w="851" w:type="dxa"/>
            <w:shd w:val="clear" w:color="auto" w:fill="C6EFCE"/>
            <w:hideMark/>
          </w:tcPr>
          <w:p w14:paraId="1E0ECE6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E6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409" w:type="dxa"/>
            <w:shd w:val="clear" w:color="auto" w:fill="C6EFCE"/>
            <w:hideMark/>
          </w:tcPr>
          <w:p w14:paraId="1E0ECE6E" w14:textId="77777777" w:rsidR="004E39F6" w:rsidRPr="00E60E42" w:rsidRDefault="00A35BEA" w:rsidP="00611029">
            <w:pPr>
              <w:spacing w:before="120"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funding shall benefit at least 30 non-governmental organisations. </w:t>
            </w:r>
            <w:r w:rsidRPr="00E60E42" w:rsidDel="003B2FDC">
              <w:rPr>
                <w:rFonts w:ascii="Times New Roman" w:eastAsia="Calibri" w:hAnsi="Times New Roman" w:cs="Arial"/>
                <w:noProof/>
                <w:kern w:val="0"/>
                <w:sz w:val="18"/>
                <w:szCs w:val="18"/>
                <w14:ligatures w14:val="none"/>
              </w:rPr>
              <w:t xml:space="preserve">The target indicator is deemed to have been fulfilled when a contract has been </w:t>
            </w:r>
            <w:r w:rsidRPr="00E60E42">
              <w:rPr>
                <w:rFonts w:ascii="Times New Roman" w:eastAsia="Calibri" w:hAnsi="Times New Roman" w:cs="Arial"/>
                <w:noProof/>
                <w:kern w:val="0"/>
                <w:sz w:val="18"/>
                <w:szCs w:val="18"/>
                <w14:ligatures w14:val="none"/>
              </w:rPr>
              <w:t>signed</w:t>
            </w:r>
            <w:r w:rsidRPr="00E60E42" w:rsidDel="003B2FDC">
              <w:rPr>
                <w:rFonts w:ascii="Times New Roman" w:eastAsia="Calibri" w:hAnsi="Times New Roman" w:cs="Arial"/>
                <w:noProof/>
                <w:kern w:val="0"/>
                <w:sz w:val="18"/>
                <w:szCs w:val="18"/>
                <w14:ligatures w14:val="none"/>
              </w:rPr>
              <w:t xml:space="preserve"> between </w:t>
            </w:r>
            <w:r w:rsidRPr="00E60E42">
              <w:rPr>
                <w:rFonts w:ascii="Times New Roman" w:eastAsia="Calibri" w:hAnsi="Times New Roman" w:cs="Arial"/>
                <w:noProof/>
                <w:kern w:val="0"/>
                <w:sz w:val="18"/>
                <w:szCs w:val="18"/>
                <w14:ligatures w14:val="none"/>
              </w:rPr>
              <w:t xml:space="preserve">the </w:t>
            </w:r>
            <w:r w:rsidRPr="00E60E42" w:rsidDel="003B2FDC">
              <w:rPr>
                <w:rFonts w:ascii="Times New Roman" w:eastAsia="Calibri" w:hAnsi="Times New Roman" w:cs="Arial"/>
                <w:noProof/>
                <w:kern w:val="0"/>
                <w:sz w:val="18"/>
                <w:szCs w:val="18"/>
                <w14:ligatures w14:val="none"/>
              </w:rPr>
              <w:t>non-governmental organisation</w:t>
            </w:r>
            <w:r w:rsidRPr="00E60E42">
              <w:rPr>
                <w:rFonts w:ascii="Times New Roman" w:eastAsia="Calibri" w:hAnsi="Times New Roman" w:cs="Arial"/>
                <w:noProof/>
                <w:kern w:val="0"/>
                <w:sz w:val="18"/>
                <w:szCs w:val="18"/>
                <w14:ligatures w14:val="none"/>
              </w:rPr>
              <w:t>s</w:t>
            </w:r>
            <w:r w:rsidRPr="00E60E42" w:rsidDel="003B2FDC">
              <w:rPr>
                <w:rFonts w:ascii="Times New Roman" w:eastAsia="Calibri" w:hAnsi="Times New Roman" w:cs="Arial"/>
                <w:noProof/>
                <w:kern w:val="0"/>
                <w:sz w:val="18"/>
                <w:szCs w:val="18"/>
                <w14:ligatures w14:val="none"/>
              </w:rPr>
              <w:t xml:space="preserve"> and </w:t>
            </w:r>
            <w:r w:rsidRPr="00E60E42">
              <w:rPr>
                <w:rFonts w:ascii="Times New Roman" w:eastAsia="Calibri" w:hAnsi="Times New Roman" w:cs="Arial"/>
                <w:noProof/>
                <w:kern w:val="0"/>
                <w:sz w:val="18"/>
                <w:szCs w:val="18"/>
                <w14:ligatures w14:val="none"/>
              </w:rPr>
              <w:t>the</w:t>
            </w:r>
            <w:r w:rsidRPr="00E60E42" w:rsidDel="003B2FDC">
              <w:rPr>
                <w:rFonts w:ascii="Times New Roman" w:eastAsia="Calibri" w:hAnsi="Times New Roman" w:cs="Arial"/>
                <w:noProof/>
                <w:kern w:val="0"/>
                <w:sz w:val="18"/>
                <w:szCs w:val="18"/>
                <w14:ligatures w14:val="none"/>
              </w:rPr>
              <w:t xml:space="preserve"> Society Integration Foundation for the execution of the project.</w:t>
            </w:r>
          </w:p>
        </w:tc>
      </w:tr>
      <w:tr w:rsidR="0048758A" w:rsidRPr="00E60E42" w14:paraId="1E0ECE7D" w14:textId="77777777" w:rsidTr="00917B10">
        <w:trPr>
          <w:trHeight w:val="300"/>
          <w:jc w:val="center"/>
        </w:trPr>
        <w:tc>
          <w:tcPr>
            <w:tcW w:w="555" w:type="dxa"/>
            <w:shd w:val="clear" w:color="auto" w:fill="C6EFCE"/>
            <w:hideMark/>
          </w:tcPr>
          <w:p w14:paraId="1E0ECE70"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208</w:t>
            </w:r>
          </w:p>
        </w:tc>
        <w:tc>
          <w:tcPr>
            <w:tcW w:w="2139" w:type="dxa"/>
            <w:shd w:val="clear" w:color="auto" w:fill="C6EFCE"/>
            <w:hideMark/>
          </w:tcPr>
          <w:p w14:paraId="1E0ECE7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6.4.1.r. </w:t>
            </w:r>
          </w:p>
          <w:p w14:paraId="1E0ECE72"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Creation of a register of public procurement contracts</w:t>
            </w:r>
          </w:p>
        </w:tc>
        <w:tc>
          <w:tcPr>
            <w:tcW w:w="1134" w:type="dxa"/>
            <w:shd w:val="clear" w:color="auto" w:fill="C6EFCE"/>
            <w:hideMark/>
          </w:tcPr>
          <w:p w14:paraId="1E0ECE73"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7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A register of public procurement contracts made available </w:t>
            </w:r>
          </w:p>
        </w:tc>
        <w:tc>
          <w:tcPr>
            <w:tcW w:w="1842" w:type="dxa"/>
            <w:shd w:val="clear" w:color="auto" w:fill="C6EFCE"/>
            <w:hideMark/>
          </w:tcPr>
          <w:p w14:paraId="1E0ECE7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Amendments to public procurement legislation and technical solution developed and available for production</w:t>
            </w:r>
          </w:p>
        </w:tc>
        <w:tc>
          <w:tcPr>
            <w:tcW w:w="1276" w:type="dxa"/>
            <w:shd w:val="clear" w:color="auto" w:fill="C6EFCE"/>
            <w:hideMark/>
          </w:tcPr>
          <w:p w14:paraId="1E0ECE7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7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7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7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7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E7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Amendments to the legislation governing public procurement have entered into force, providing for a register of contracts containing structured information on procurement contracts concluded and their actual performance (including actual costs and deadlines or the reason for termination).</w:t>
            </w:r>
          </w:p>
          <w:p w14:paraId="1E0ECE7C"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technical solution for the register of public procurement contracts has been developed and made available online.</w:t>
            </w:r>
          </w:p>
        </w:tc>
      </w:tr>
      <w:tr w:rsidR="0048758A" w:rsidRPr="00E60E42" w14:paraId="1E0ECE8F" w14:textId="77777777" w:rsidTr="00917B10">
        <w:trPr>
          <w:trHeight w:val="300"/>
          <w:jc w:val="center"/>
        </w:trPr>
        <w:tc>
          <w:tcPr>
            <w:tcW w:w="555" w:type="dxa"/>
            <w:shd w:val="clear" w:color="auto" w:fill="C6EFCE"/>
            <w:hideMark/>
          </w:tcPr>
          <w:p w14:paraId="1E0ECE7E"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209</w:t>
            </w:r>
          </w:p>
        </w:tc>
        <w:tc>
          <w:tcPr>
            <w:tcW w:w="2139" w:type="dxa"/>
            <w:shd w:val="clear" w:color="auto" w:fill="C6EFCE"/>
            <w:hideMark/>
          </w:tcPr>
          <w:p w14:paraId="1E0ECE7F"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6.4.2.r. Improvement of the Competition Environment</w:t>
            </w:r>
          </w:p>
        </w:tc>
        <w:tc>
          <w:tcPr>
            <w:tcW w:w="1134" w:type="dxa"/>
            <w:shd w:val="clear" w:color="auto" w:fill="C6EFCE"/>
            <w:hideMark/>
          </w:tcPr>
          <w:p w14:paraId="1E0ECE80"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81"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regulatory framework for improving the competition environment and reducing corruption risks in public procurement</w:t>
            </w:r>
          </w:p>
        </w:tc>
        <w:tc>
          <w:tcPr>
            <w:tcW w:w="1842" w:type="dxa"/>
            <w:shd w:val="clear" w:color="auto" w:fill="C6EFCE"/>
            <w:hideMark/>
          </w:tcPr>
          <w:p w14:paraId="1E0ECE8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E8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8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8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8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8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409" w:type="dxa"/>
            <w:shd w:val="clear" w:color="auto" w:fill="C6EFCE"/>
            <w:hideMark/>
          </w:tcPr>
          <w:p w14:paraId="1E0ECE88"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amendments to the public procurement law, including, inter alia, the following changes:</w:t>
            </w:r>
          </w:p>
          <w:p w14:paraId="1E0ECE89"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The procurement commission shall be established for each procurement separately or for a specified period of time;</w:t>
            </w:r>
          </w:p>
          <w:p w14:paraId="1E0ECE8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the secretary of the procurement commission shall sign a declaration of absence of conflict of interest;</w:t>
            </w:r>
          </w:p>
          <w:p w14:paraId="1E0ECE8B"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3) broadened cases where a supplier may be excluded from tender;</w:t>
            </w:r>
          </w:p>
          <w:p w14:paraId="1E0ECE8C"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4) the evaluation criteria identify specific areas where life-cycle costs and quality criteria are to be assessed in addition to the purchase price; </w:t>
            </w:r>
          </w:p>
          <w:p w14:paraId="1E0ECE8D"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5) stricter requirements for cases with only a single bid; </w:t>
            </w:r>
          </w:p>
          <w:p w14:paraId="1E0ECE8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 requirement for a market consultation in order to avoid restrictive technical specifications.</w:t>
            </w:r>
          </w:p>
        </w:tc>
      </w:tr>
      <w:tr w:rsidR="0048758A" w:rsidRPr="00E60E42" w14:paraId="1E0ECE9B" w14:textId="77777777" w:rsidTr="00917B10">
        <w:trPr>
          <w:trHeight w:val="300"/>
          <w:jc w:val="center"/>
        </w:trPr>
        <w:tc>
          <w:tcPr>
            <w:tcW w:w="555" w:type="dxa"/>
            <w:shd w:val="clear" w:color="auto" w:fill="C6EFCE"/>
            <w:hideMark/>
          </w:tcPr>
          <w:p w14:paraId="1E0ECE90"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210</w:t>
            </w:r>
          </w:p>
        </w:tc>
        <w:tc>
          <w:tcPr>
            <w:tcW w:w="2139" w:type="dxa"/>
            <w:shd w:val="clear" w:color="auto" w:fill="C6EFCE"/>
            <w:hideMark/>
          </w:tcPr>
          <w:p w14:paraId="1E0ECE9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6.4.3.r. Development and implementation of a professionalisation strategy </w:t>
            </w:r>
          </w:p>
        </w:tc>
        <w:tc>
          <w:tcPr>
            <w:tcW w:w="1134" w:type="dxa"/>
            <w:shd w:val="clear" w:color="auto" w:fill="C6EFCE"/>
            <w:hideMark/>
          </w:tcPr>
          <w:p w14:paraId="1E0ECE92"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93"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strategy for the professionalization of procurers</w:t>
            </w:r>
          </w:p>
        </w:tc>
        <w:tc>
          <w:tcPr>
            <w:tcW w:w="1842" w:type="dxa"/>
            <w:shd w:val="clear" w:color="auto" w:fill="C6EFCE"/>
            <w:hideMark/>
          </w:tcPr>
          <w:p w14:paraId="1E0ECE9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strategy has been adopted</w:t>
            </w:r>
          </w:p>
        </w:tc>
        <w:tc>
          <w:tcPr>
            <w:tcW w:w="1276" w:type="dxa"/>
            <w:shd w:val="clear" w:color="auto" w:fill="C6EFCE"/>
            <w:hideMark/>
          </w:tcPr>
          <w:p w14:paraId="1E0ECE9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9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9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9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8" w:type="dxa"/>
            <w:shd w:val="clear" w:color="auto" w:fill="C6EFCE"/>
            <w:hideMark/>
          </w:tcPr>
          <w:p w14:paraId="1E0ECE9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E9A"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a professionalisation strategy that includes specific directions of action for the competence of procurers and for conducting centralised procurements.</w:t>
            </w:r>
          </w:p>
        </w:tc>
      </w:tr>
      <w:tr w:rsidR="0048758A" w:rsidRPr="00E60E42" w14:paraId="1E0ECEA8" w14:textId="77777777" w:rsidTr="00917B10">
        <w:trPr>
          <w:trHeight w:val="300"/>
          <w:jc w:val="center"/>
        </w:trPr>
        <w:tc>
          <w:tcPr>
            <w:tcW w:w="555" w:type="dxa"/>
            <w:shd w:val="clear" w:color="auto" w:fill="C6EFCE"/>
            <w:hideMark/>
          </w:tcPr>
          <w:p w14:paraId="1E0ECE9C"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211</w:t>
            </w:r>
          </w:p>
        </w:tc>
        <w:tc>
          <w:tcPr>
            <w:tcW w:w="2139" w:type="dxa"/>
            <w:shd w:val="clear" w:color="auto" w:fill="C6EFCE"/>
            <w:hideMark/>
          </w:tcPr>
          <w:p w14:paraId="1E0ECE9D"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6.4.3.r. Development and implementation of a professionalisation strategy </w:t>
            </w:r>
          </w:p>
        </w:tc>
        <w:tc>
          <w:tcPr>
            <w:tcW w:w="1134" w:type="dxa"/>
            <w:shd w:val="clear" w:color="auto" w:fill="C6EFCE"/>
            <w:hideMark/>
          </w:tcPr>
          <w:p w14:paraId="1E0ECE9E"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9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Amendments to the relevant legal acts, regulation and internal procedures</w:t>
            </w:r>
          </w:p>
        </w:tc>
        <w:tc>
          <w:tcPr>
            <w:tcW w:w="1842" w:type="dxa"/>
            <w:shd w:val="clear" w:color="auto" w:fill="C6EFCE"/>
            <w:hideMark/>
          </w:tcPr>
          <w:p w14:paraId="1E0ECEA0"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amendments to relevant legal acts, regulations or internal procedures</w:t>
            </w:r>
          </w:p>
        </w:tc>
        <w:tc>
          <w:tcPr>
            <w:tcW w:w="1276" w:type="dxa"/>
            <w:shd w:val="clear" w:color="auto" w:fill="C6EFCE"/>
            <w:hideMark/>
          </w:tcPr>
          <w:p w14:paraId="1E0ECEA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A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A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A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A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2022</w:t>
            </w:r>
          </w:p>
        </w:tc>
        <w:tc>
          <w:tcPr>
            <w:tcW w:w="3409" w:type="dxa"/>
            <w:shd w:val="clear" w:color="auto" w:fill="C6EFCE"/>
            <w:hideMark/>
          </w:tcPr>
          <w:p w14:paraId="1E0ECEA6"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adoption of the following has been completed: </w:t>
            </w:r>
          </w:p>
          <w:p w14:paraId="1E0ECEA7"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(1) Standardised qualification requirements by sector (information and communication technologies, construction, road transport, mobile and fixed communication services), (2) Standardised acceptance-transfer documents in works procurements, (3) public access to methodological materials, (4) a single training programme to ensure that procurers’ competence has been developed and implemented, (5) increased requirements for procurement commission competence in procurements reaching a certain threshold of contract prices, e.g. certification to the Chair of the Procurement Commission, (6) pre-verification of procurements ensure that the procurement commission advertises the appropriate quality of tenders. </w:t>
            </w:r>
          </w:p>
        </w:tc>
      </w:tr>
      <w:tr w:rsidR="0048758A" w:rsidRPr="00E60E42" w14:paraId="1E0ECEB4" w14:textId="77777777" w:rsidTr="00917B10">
        <w:trPr>
          <w:trHeight w:val="300"/>
          <w:jc w:val="center"/>
        </w:trPr>
        <w:tc>
          <w:tcPr>
            <w:tcW w:w="555" w:type="dxa"/>
            <w:shd w:val="clear" w:color="auto" w:fill="C6EFCE"/>
            <w:hideMark/>
          </w:tcPr>
          <w:p w14:paraId="1E0ECEA9"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212</w:t>
            </w:r>
          </w:p>
        </w:tc>
        <w:tc>
          <w:tcPr>
            <w:tcW w:w="2139" w:type="dxa"/>
            <w:shd w:val="clear" w:color="auto" w:fill="C6EFCE"/>
            <w:hideMark/>
          </w:tcPr>
          <w:p w14:paraId="1E0ECEAA"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6.4.3.r. Development and implementation of a professionalisation strategy </w:t>
            </w:r>
          </w:p>
        </w:tc>
        <w:tc>
          <w:tcPr>
            <w:tcW w:w="1134" w:type="dxa"/>
            <w:shd w:val="clear" w:color="auto" w:fill="C6EFCE"/>
            <w:hideMark/>
          </w:tcPr>
          <w:p w14:paraId="1E0ECEAB"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AC"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Centralization of procurement </w:t>
            </w:r>
          </w:p>
        </w:tc>
        <w:tc>
          <w:tcPr>
            <w:tcW w:w="1842" w:type="dxa"/>
            <w:shd w:val="clear" w:color="auto" w:fill="C6EFCE"/>
            <w:hideMark/>
          </w:tcPr>
          <w:p w14:paraId="1E0ECEAD"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decision by the Cabinet of Ministers</w:t>
            </w:r>
          </w:p>
        </w:tc>
        <w:tc>
          <w:tcPr>
            <w:tcW w:w="1276" w:type="dxa"/>
            <w:shd w:val="clear" w:color="auto" w:fill="C6EFCE"/>
            <w:hideMark/>
          </w:tcPr>
          <w:p w14:paraId="1E0ECEA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A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B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B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Q3</w:t>
            </w:r>
          </w:p>
        </w:tc>
        <w:tc>
          <w:tcPr>
            <w:tcW w:w="708" w:type="dxa"/>
            <w:shd w:val="clear" w:color="auto" w:fill="C6EFCE"/>
            <w:hideMark/>
          </w:tcPr>
          <w:p w14:paraId="1E0ECEB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409" w:type="dxa"/>
            <w:shd w:val="clear" w:color="auto" w:fill="C6EFCE"/>
            <w:hideMark/>
          </w:tcPr>
          <w:p w14:paraId="1E0ECEB3"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 decision by the Cabinet of Ministers on the execution of centralised procurements, for example in the areas of vehicles, transport services and electricity.</w:t>
            </w:r>
          </w:p>
        </w:tc>
      </w:tr>
      <w:tr w:rsidR="0048758A" w:rsidRPr="00E60E42" w14:paraId="1E0ECEC2" w14:textId="77777777" w:rsidTr="00917B10">
        <w:trPr>
          <w:trHeight w:val="300"/>
          <w:jc w:val="center"/>
        </w:trPr>
        <w:tc>
          <w:tcPr>
            <w:tcW w:w="555" w:type="dxa"/>
            <w:shd w:val="clear" w:color="auto" w:fill="C6EFCE"/>
            <w:hideMark/>
          </w:tcPr>
          <w:p w14:paraId="1E0ECEB5"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213</w:t>
            </w:r>
          </w:p>
        </w:tc>
        <w:tc>
          <w:tcPr>
            <w:tcW w:w="2139" w:type="dxa"/>
            <w:shd w:val="clear" w:color="auto" w:fill="C6EFCE"/>
            <w:hideMark/>
          </w:tcPr>
          <w:p w14:paraId="1E0ECEB6"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6.4.4.r. </w:t>
            </w:r>
          </w:p>
          <w:p w14:paraId="1E0ECEB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IUB IT and analytical capacity building</w:t>
            </w:r>
          </w:p>
        </w:tc>
        <w:tc>
          <w:tcPr>
            <w:tcW w:w="1134" w:type="dxa"/>
            <w:shd w:val="clear" w:color="auto" w:fill="C6EFCE"/>
            <w:hideMark/>
          </w:tcPr>
          <w:p w14:paraId="1E0ECEB8"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B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Adoption of criteria for identifying risky market sectors, customers and purchases</w:t>
            </w:r>
          </w:p>
        </w:tc>
        <w:tc>
          <w:tcPr>
            <w:tcW w:w="1842" w:type="dxa"/>
            <w:shd w:val="clear" w:color="auto" w:fill="C6EFCE"/>
            <w:hideMark/>
          </w:tcPr>
          <w:p w14:paraId="1E0ECEB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276" w:type="dxa"/>
            <w:shd w:val="clear" w:color="auto" w:fill="C6EFCE"/>
            <w:hideMark/>
          </w:tcPr>
          <w:p w14:paraId="1E0ECEB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B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B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B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B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2021</w:t>
            </w:r>
          </w:p>
        </w:tc>
        <w:tc>
          <w:tcPr>
            <w:tcW w:w="3409" w:type="dxa"/>
            <w:shd w:val="clear" w:color="auto" w:fill="C6EFCE"/>
            <w:hideMark/>
          </w:tcPr>
          <w:p w14:paraId="1E0ECEC0"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Criteria for identification of risky market sectors, customers and procurement procedures have been approved. </w:t>
            </w:r>
          </w:p>
          <w:p w14:paraId="1E0ECEC1"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criteria set are based on procurement publication indicators and EC procurement indicators, as well as on good practices from other countries, such as the Index tool.</w:t>
            </w:r>
          </w:p>
        </w:tc>
      </w:tr>
      <w:tr w:rsidR="0048758A" w:rsidRPr="00E60E42" w14:paraId="1E0ECED6" w14:textId="77777777" w:rsidTr="00917B10">
        <w:trPr>
          <w:trHeight w:val="300"/>
          <w:jc w:val="center"/>
        </w:trPr>
        <w:tc>
          <w:tcPr>
            <w:tcW w:w="555" w:type="dxa"/>
            <w:shd w:val="clear" w:color="auto" w:fill="C6EFCE"/>
            <w:hideMark/>
          </w:tcPr>
          <w:p w14:paraId="1E0ECEC3" w14:textId="77777777" w:rsidR="004E39F6" w:rsidRPr="00E60E42" w:rsidRDefault="00A35BEA" w:rsidP="0048758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214</w:t>
            </w:r>
          </w:p>
        </w:tc>
        <w:tc>
          <w:tcPr>
            <w:tcW w:w="2139" w:type="dxa"/>
            <w:shd w:val="clear" w:color="auto" w:fill="C6EFCE"/>
            <w:hideMark/>
          </w:tcPr>
          <w:p w14:paraId="1E0ECEC4"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6.4.4.r. </w:t>
            </w:r>
          </w:p>
          <w:p w14:paraId="1E0ECEC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IUB IT and analytical capacity building</w:t>
            </w:r>
          </w:p>
        </w:tc>
        <w:tc>
          <w:tcPr>
            <w:tcW w:w="1134" w:type="dxa"/>
            <w:shd w:val="clear" w:color="auto" w:fill="C6EFCE"/>
            <w:hideMark/>
          </w:tcPr>
          <w:p w14:paraId="1E0ECEC6" w14:textId="77777777" w:rsidR="004E39F6" w:rsidRPr="00E60E42" w:rsidRDefault="00A35BEA" w:rsidP="00917B10">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696" w:type="dxa"/>
            <w:shd w:val="clear" w:color="auto" w:fill="C6EFCE"/>
            <w:hideMark/>
          </w:tcPr>
          <w:p w14:paraId="1E0ECEC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Publications management system </w:t>
            </w:r>
          </w:p>
        </w:tc>
        <w:tc>
          <w:tcPr>
            <w:tcW w:w="1842" w:type="dxa"/>
            <w:shd w:val="clear" w:color="auto" w:fill="C6EFCE"/>
            <w:hideMark/>
          </w:tcPr>
          <w:p w14:paraId="1E0ECEC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Upgrade of publications management system available</w:t>
            </w:r>
          </w:p>
        </w:tc>
        <w:tc>
          <w:tcPr>
            <w:tcW w:w="1276" w:type="dxa"/>
            <w:shd w:val="clear" w:color="auto" w:fill="C6EFCE"/>
            <w:hideMark/>
          </w:tcPr>
          <w:p w14:paraId="1E0ECEC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shd w:val="clear" w:color="auto" w:fill="C6EFCE"/>
            <w:hideMark/>
          </w:tcPr>
          <w:p w14:paraId="1E0ECEC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709" w:type="dxa"/>
            <w:shd w:val="clear" w:color="auto" w:fill="C6EFCE"/>
            <w:hideMark/>
          </w:tcPr>
          <w:p w14:paraId="1E0ECEC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shd w:val="clear" w:color="auto" w:fill="C6EFCE"/>
            <w:hideMark/>
          </w:tcPr>
          <w:p w14:paraId="1E0ECEC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8" w:type="dxa"/>
            <w:shd w:val="clear" w:color="auto" w:fill="C6EFCE"/>
            <w:hideMark/>
          </w:tcPr>
          <w:p w14:paraId="1E0ECEC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409" w:type="dxa"/>
            <w:shd w:val="clear" w:color="auto" w:fill="C6EFCE"/>
            <w:hideMark/>
          </w:tcPr>
          <w:p w14:paraId="1E0ECECE" w14:textId="77777777" w:rsidR="004E39F6" w:rsidRPr="00E60E42" w:rsidRDefault="00A35BEA" w:rsidP="00611029">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publications management system is available, ensuring:</w:t>
            </w:r>
          </w:p>
          <w:p w14:paraId="1E0ECECF"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online access,</w:t>
            </w:r>
          </w:p>
          <w:p w14:paraId="1E0ECED0"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publication of e-forms, </w:t>
            </w:r>
          </w:p>
          <w:p w14:paraId="1E0ECED1"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overview of procurement statistics,</w:t>
            </w:r>
          </w:p>
          <w:p w14:paraId="1E0ECED2"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availability of client profiles,</w:t>
            </w:r>
          </w:p>
          <w:p w14:paraId="1E0ECED3"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module for procurement complaints process,</w:t>
            </w:r>
          </w:p>
          <w:p w14:paraId="1E0ECED4"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module for carrying out pre-checks,</w:t>
            </w:r>
          </w:p>
          <w:p w14:paraId="1E0ECED5" w14:textId="77777777" w:rsidR="004E39F6" w:rsidRPr="00E60E42" w:rsidRDefault="00A35BEA" w:rsidP="00346F2A">
            <w:pPr>
              <w:pStyle w:val="ListParagraph"/>
              <w:numPr>
                <w:ilvl w:val="0"/>
                <w:numId w:val="32"/>
              </w:numPr>
              <w:spacing w:after="0" w:line="240" w:lineRule="auto"/>
              <w:ind w:left="175" w:hanging="175"/>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module for administrative infringement process cases.</w:t>
            </w:r>
          </w:p>
        </w:tc>
      </w:tr>
    </w:tbl>
    <w:p w14:paraId="1E0ECED7"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sectPr w:rsidR="004E39F6" w:rsidRPr="00E60E42" w:rsidSect="0048758A">
          <w:headerReference w:type="even" r:id="rId83"/>
          <w:headerReference w:type="default" r:id="rId84"/>
          <w:footerReference w:type="even" r:id="rId85"/>
          <w:footerReference w:type="default" r:id="rId86"/>
          <w:headerReference w:type="first" r:id="rId87"/>
          <w:footerReference w:type="first" r:id="rId88"/>
          <w:pgSz w:w="16838" w:h="11906" w:orient="landscape"/>
          <w:pgMar w:top="1134" w:right="1134" w:bottom="1134" w:left="1134" w:header="567" w:footer="567" w:gutter="0"/>
          <w:cols w:space="708"/>
          <w:docGrid w:linePitch="360"/>
        </w:sectPr>
      </w:pPr>
    </w:p>
    <w:p w14:paraId="1E0ECED8" w14:textId="77777777" w:rsidR="004E39F6" w:rsidRPr="00E60E42" w:rsidRDefault="00A35BEA" w:rsidP="0048758A">
      <w:pPr>
        <w:keepNext/>
        <w:spacing w:before="480" w:after="360" w:line="240" w:lineRule="auto"/>
        <w:outlineLvl w:val="0"/>
        <w:rPr>
          <w:rFonts w:ascii="Times New Roman" w:eastAsia="MS Gothic" w:hAnsi="Times New Roman" w:cs="Times New Roman"/>
          <w:b/>
          <w:smallCaps/>
          <w:noProof/>
          <w:kern w:val="0"/>
          <w:szCs w:val="28"/>
          <w14:ligatures w14:val="none"/>
        </w:rPr>
      </w:pPr>
      <w:r w:rsidRPr="00E60E42">
        <w:rPr>
          <w:rFonts w:ascii="Times New Roman" w:eastAsia="Calibri" w:hAnsi="Times New Roman" w:cs="Arial"/>
          <w:b/>
          <w:smallCaps/>
          <w:noProof/>
          <w:kern w:val="0"/>
          <w:szCs w:val="22"/>
          <w14:ligatures w14:val="none"/>
        </w:rPr>
        <w:t>G. COMPONENT 7: REPowerEU</w:t>
      </w:r>
    </w:p>
    <w:p w14:paraId="1E0ECED9" w14:textId="77777777" w:rsidR="004E39F6" w:rsidRPr="00E60E42" w:rsidRDefault="00A35BEA" w:rsidP="00917B10">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objectives of the REPowerEU chapter of the Latvian recovery and resilience plan are:</w:t>
      </w:r>
    </w:p>
    <w:p w14:paraId="1E0ECEDA" w14:textId="77777777" w:rsidR="004E39F6" w:rsidRPr="00E60E42" w:rsidRDefault="00A35BEA" w:rsidP="0048758A">
      <w:pPr>
        <w:numPr>
          <w:ilvl w:val="0"/>
          <w:numId w:val="33"/>
        </w:num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to increase the share and accelerate the deployment of renewable energy by i) implementing smart electricity grid management solutions both at transmission and distribution levels, ii) increasing the grid capacity to accommodate a higher integration of variable renewable energy and iii) introducing new frameworks for energy communities and self-consumers;</w:t>
      </w:r>
    </w:p>
    <w:p w14:paraId="1E0ECEDB" w14:textId="77777777" w:rsidR="004E39F6" w:rsidRPr="00E60E42" w:rsidRDefault="00A35BEA" w:rsidP="0048758A">
      <w:pPr>
        <w:numPr>
          <w:ilvl w:val="0"/>
          <w:numId w:val="33"/>
        </w:num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to address energy poverty by supporting and promoting energy communities; </w:t>
      </w:r>
    </w:p>
    <w:p w14:paraId="1E0ECEDC" w14:textId="77777777" w:rsidR="004E39F6" w:rsidRPr="00E60E42" w:rsidRDefault="00A35BEA" w:rsidP="0048758A">
      <w:pPr>
        <w:numPr>
          <w:ilvl w:val="0"/>
          <w:numId w:val="33"/>
        </w:num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to address internal and cross-border energy transmission and distribution bottlenecks by digitalising, modernising and securing the national electricity transmission and distribution networks, and by introducing provisions for electricity network optimisation;</w:t>
      </w:r>
    </w:p>
    <w:p w14:paraId="1E0ECEDD" w14:textId="77777777" w:rsidR="004E39F6" w:rsidRPr="00E60E42" w:rsidRDefault="00A35BEA" w:rsidP="0048758A">
      <w:pPr>
        <w:numPr>
          <w:ilvl w:val="0"/>
          <w:numId w:val="33"/>
        </w:num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to support electricity storage and to increase energy security by investing in the installation of a Battery Energy Storage System and in cybersecurity solutions for critical energy transmission infrastructure; and</w:t>
      </w:r>
    </w:p>
    <w:p w14:paraId="1E0ECEDE" w14:textId="77777777" w:rsidR="004E39F6" w:rsidRPr="00E60E42" w:rsidRDefault="00A35BEA" w:rsidP="0048758A">
      <w:pPr>
        <w:numPr>
          <w:ilvl w:val="0"/>
          <w:numId w:val="33"/>
        </w:num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to increase the uptake of sustainable biomethane by creating a regional biomethane injection point and by establishing a legal framework for injecting sustainable biomethane into the existing natural gas network.</w:t>
      </w:r>
    </w:p>
    <w:p w14:paraId="1E0ECEDF"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Of the four measures in the Latvian REPowerEU chapter, two have a cross-border and multi-country dimension and effect. The investment measure covering the installation of a Battery Energy Storage System is precisely aimed at complementing a cross-border project implemented by Latvia, Lithuania, Estonia and Poland aimed at ensuring full synchronisation of the Baltic States’ electricity networks with the Continental Europe network. This investment also encompasses ancillary activities aimed at enhancing cybersecurity of critical infrastructures and at ensuring stable operation of the transmission network after the synchronisation, in view of a greater integration of renewable energy sources. The investment on upgrading, digitalising and securing the electricity transmission and distribution networks also has a cross-border and multi-country dimension and effect, as it is expected to contribute to removing bottlenecks in energy flows and to facilitating the integration of renewable energy sources in the networks.</w:t>
      </w:r>
    </w:p>
    <w:p w14:paraId="1E0ECEE0"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two investments account for 99% of the estimated costs of the chapter.</w:t>
      </w:r>
    </w:p>
    <w:p w14:paraId="1E0ECEE1" w14:textId="77777777"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The REPowerEU chapter contributes to addressing recommendations to reduce overall reliance on fossil fuels (Country Specific Recommendation 4.1 2023) by accelerating the deployment of renewables (Country Specific Recommendation 4.2 2023), and to ensure sufficient capacity of interconnections to increase security of supply and continue synchronisation with the EU electricity grid (Country Specific Recommendation 4.3 2023).</w:t>
      </w:r>
    </w:p>
    <w:p w14:paraId="1E0ECEE2" w14:textId="4B720D26" w:rsidR="004E39F6" w:rsidRPr="00E60E42" w:rsidRDefault="00A35BEA" w:rsidP="0048758A">
      <w:pPr>
        <w:spacing w:before="120"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E0ECEE3" w14:textId="77777777" w:rsidR="004E39F6" w:rsidRPr="00E60E42" w:rsidRDefault="00A35BEA" w:rsidP="00346F2A">
      <w:pPr>
        <w:keepNext/>
        <w:keepLines/>
        <w:spacing w:after="240" w:line="240" w:lineRule="auto"/>
        <w:jc w:val="both"/>
        <w:outlineLvl w:val="1"/>
        <w:rPr>
          <w:rFonts w:ascii="Times New Roman" w:eastAsia="Times New Roman" w:hAnsi="Times New Roman" w:cs="Times New Roman"/>
          <w:b/>
          <w:noProof/>
          <w:kern w:val="0"/>
          <w:szCs w:val="22"/>
          <w:u w:val="single"/>
          <w14:ligatures w14:val="none"/>
        </w:rPr>
      </w:pPr>
      <w:r w:rsidRPr="00E60E42">
        <w:rPr>
          <w:rFonts w:ascii="Times New Roman" w:eastAsia="Calibri" w:hAnsi="Times New Roman" w:cs="Arial"/>
          <w:b/>
          <w:noProof/>
          <w:kern w:val="0"/>
          <w:szCs w:val="22"/>
          <w:u w:val="single"/>
          <w14:ligatures w14:val="none"/>
        </w:rPr>
        <w:t>G.1. Description of the reforms and investments for non-repayable financial support</w:t>
      </w:r>
    </w:p>
    <w:p w14:paraId="1E0ECEE4" w14:textId="77777777" w:rsidR="004E39F6" w:rsidRPr="00E60E42" w:rsidRDefault="00A35BEA" w:rsidP="00346F2A">
      <w:pPr>
        <w:keepNext/>
        <w:keepLines/>
        <w:spacing w:after="120" w:line="240" w:lineRule="auto"/>
        <w:jc w:val="both"/>
        <w:rPr>
          <w:rFonts w:ascii="Times New Roman" w:eastAsia="Calibri" w:hAnsi="Times New Roman" w:cs="Times New Roman"/>
          <w:iCs/>
          <w:noProof/>
          <w:kern w:val="0"/>
          <w:szCs w:val="22"/>
          <w:u w:val="single"/>
          <w14:ligatures w14:val="none"/>
        </w:rPr>
      </w:pPr>
      <w:r w:rsidRPr="00E60E42">
        <w:rPr>
          <w:rFonts w:ascii="Times New Roman" w:eastAsia="Calibri" w:hAnsi="Times New Roman" w:cs="Arial"/>
          <w:noProof/>
          <w:kern w:val="0"/>
          <w:szCs w:val="22"/>
          <w:u w:val="single"/>
          <w14:ligatures w14:val="none"/>
        </w:rPr>
        <w:t>Reform: 7.1.r. Transforming the national energy sector</w:t>
      </w:r>
    </w:p>
    <w:p w14:paraId="1E0ECEE5" w14:textId="77777777" w:rsidR="004E39F6" w:rsidRPr="00E60E42" w:rsidRDefault="00A35BEA" w:rsidP="00346F2A">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objective of the measure is to reduce overall reliance on fossil fuels and to advance Latvia’s goal of becoming a green energy exporting country. </w:t>
      </w:r>
    </w:p>
    <w:p w14:paraId="1E0ECEE6" w14:textId="77777777" w:rsidR="004E39F6" w:rsidRPr="00E60E42" w:rsidRDefault="00A35BEA" w:rsidP="00346F2A">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 xml:space="preserve">The measure consists of i) entry into force of legal acts laying down the conditions and procedures for the registration and operation of energy communities, and supporting socially disadvantaged groups of society; ii) introducing amendments to norms on electricity trade and consumption promoting self-consumers and energy sharing; iii) introducing a flexible transmission system service. </w:t>
      </w:r>
    </w:p>
    <w:p w14:paraId="1E0ECEE7" w14:textId="77777777" w:rsidR="004E39F6" w:rsidRPr="00E60E42" w:rsidRDefault="00A35BEA" w:rsidP="00346F2A">
      <w:pPr>
        <w:keepNext/>
        <w:keepLines/>
        <w:spacing w:after="120" w:line="240" w:lineRule="auto"/>
        <w:jc w:val="both"/>
        <w:rPr>
          <w:rFonts w:ascii="Times New Roman" w:eastAsia="Calibri" w:hAnsi="Times New Roman" w:cs="Times New Roman"/>
          <w:iCs/>
          <w:noProof/>
          <w:kern w:val="0"/>
          <w:szCs w:val="22"/>
          <w:u w:val="single"/>
          <w14:ligatures w14:val="none"/>
        </w:rPr>
      </w:pPr>
      <w:r w:rsidRPr="00E60E42">
        <w:rPr>
          <w:rFonts w:ascii="Times New Roman" w:eastAsia="Calibri" w:hAnsi="Times New Roman" w:cs="Arial"/>
          <w:noProof/>
          <w:kern w:val="0"/>
          <w:szCs w:val="22"/>
          <w:u w:val="single"/>
          <w14:ligatures w14:val="none"/>
        </w:rPr>
        <w:t>Investment: 7.2.i. Security and stability of energy supply, and synchronisation with the Union grid</w:t>
      </w:r>
    </w:p>
    <w:p w14:paraId="1E0ECEE8" w14:textId="77777777" w:rsidR="004E39F6" w:rsidRPr="00E60E42" w:rsidRDefault="00A35BEA" w:rsidP="00346F2A">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szCs w:val="22"/>
          <w14:ligatures w14:val="none"/>
        </w:rPr>
        <w:t xml:space="preserve">The objective of the measure is to increase the security and stability of energy supply, and to facilitate the synchronisation of the national electricity grid with the Continental Europe electricity networks. </w:t>
      </w:r>
    </w:p>
    <w:p w14:paraId="1E0ECEE9" w14:textId="77777777" w:rsidR="004E39F6" w:rsidRPr="00E60E42" w:rsidRDefault="00A35BEA" w:rsidP="00346F2A">
      <w:pPr>
        <w:spacing w:after="24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The measure consists of the commissioning of an energy storage system.</w:t>
      </w:r>
    </w:p>
    <w:p w14:paraId="1E0ECEEA" w14:textId="77777777" w:rsidR="004E39F6" w:rsidRPr="00E60E42" w:rsidRDefault="00A35BEA" w:rsidP="00346F2A">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szCs w:val="22"/>
          <w:u w:val="single"/>
          <w14:ligatures w14:val="none"/>
        </w:rPr>
        <w:t>Investment: 7.3.i. Upgrading, digitalising and securing the electricity transmission and distribution networks</w:t>
      </w:r>
    </w:p>
    <w:p w14:paraId="1E0ECEEB" w14:textId="77777777" w:rsidR="004E39F6" w:rsidRPr="00E60E42" w:rsidRDefault="00A35BEA" w:rsidP="00346F2A">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The objective of the measure is to contribute to the clean energy transition and to increase electricity security. </w:t>
      </w:r>
    </w:p>
    <w:p w14:paraId="1E0ECEEC" w14:textId="77777777" w:rsidR="004E39F6" w:rsidRPr="00E60E42" w:rsidRDefault="00A35BEA" w:rsidP="00346F2A">
      <w:pPr>
        <w:spacing w:after="24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sub-investments covering additional electricity grid capacity and interventions to upgrade electricity networks.</w:t>
      </w:r>
      <w:r w:rsidRPr="00E60E42" w:rsidDel="00FF008E">
        <w:rPr>
          <w:rFonts w:ascii="Times New Roman" w:eastAsia="Calibri" w:hAnsi="Times New Roman" w:cs="Times New Roman"/>
          <w:noProof/>
          <w:kern w:val="0"/>
          <w14:ligatures w14:val="none"/>
        </w:rPr>
        <w:t xml:space="preserve"> </w:t>
      </w:r>
    </w:p>
    <w:p w14:paraId="1E0ECEED" w14:textId="77777777" w:rsidR="004E39F6" w:rsidRPr="00E60E42" w:rsidRDefault="00A35BEA" w:rsidP="00346F2A">
      <w:pPr>
        <w:keepNext/>
        <w:keepLines/>
        <w:spacing w:after="120" w:line="240" w:lineRule="auto"/>
        <w:jc w:val="both"/>
        <w:rPr>
          <w:rFonts w:ascii="Times New Roman" w:eastAsia="Calibri" w:hAnsi="Times New Roman" w:cs="Times New Roman"/>
          <w:noProof/>
          <w:kern w:val="0"/>
          <w:u w:val="single"/>
          <w14:ligatures w14:val="none"/>
        </w:rPr>
      </w:pPr>
      <w:r w:rsidRPr="00E60E42">
        <w:rPr>
          <w:rFonts w:ascii="Times New Roman" w:eastAsia="Calibri" w:hAnsi="Times New Roman" w:cs="Arial"/>
          <w:noProof/>
          <w:kern w:val="0"/>
          <w:u w:val="single"/>
          <w14:ligatures w14:val="none"/>
        </w:rPr>
        <w:t>Investment: 7.4.i. Increasing the uptake of sustainable biomethane</w:t>
      </w:r>
    </w:p>
    <w:p w14:paraId="1E0ECEEE" w14:textId="77777777" w:rsidR="004E39F6" w:rsidRPr="00E60E42" w:rsidRDefault="00A35BEA" w:rsidP="00346F2A">
      <w:pPr>
        <w:spacing w:after="120" w:line="240" w:lineRule="auto"/>
        <w:jc w:val="both"/>
        <w:rPr>
          <w:rFonts w:ascii="Times New Roman" w:eastAsia="Calibri" w:hAnsi="Times New Roman" w:cs="Arial"/>
          <w:noProof/>
          <w:kern w:val="0"/>
          <w14:ligatures w14:val="none"/>
        </w:rPr>
      </w:pPr>
      <w:r w:rsidRPr="00E60E42">
        <w:rPr>
          <w:rFonts w:ascii="Times New Roman" w:eastAsia="Calibri" w:hAnsi="Times New Roman" w:cs="Arial"/>
          <w:noProof/>
          <w:kern w:val="0"/>
          <w14:ligatures w14:val="none"/>
        </w:rPr>
        <w:t xml:space="preserve">This objective of the measure is to increase the uptake of sustainable biomethane. </w:t>
      </w:r>
    </w:p>
    <w:p w14:paraId="1E0ECEEF" w14:textId="77777777" w:rsidR="004E39F6" w:rsidRPr="00E60E42" w:rsidRDefault="00A35BEA" w:rsidP="00346F2A">
      <w:pPr>
        <w:spacing w:after="120" w:line="240" w:lineRule="auto"/>
        <w:jc w:val="both"/>
        <w:rPr>
          <w:rFonts w:ascii="Times New Roman" w:eastAsia="Calibri" w:hAnsi="Times New Roman" w:cs="Times New Roman"/>
          <w:noProof/>
          <w:kern w:val="0"/>
          <w14:ligatures w14:val="none"/>
        </w:rPr>
      </w:pPr>
      <w:r w:rsidRPr="00E60E42">
        <w:rPr>
          <w:rFonts w:ascii="Times New Roman" w:eastAsia="Calibri" w:hAnsi="Times New Roman" w:cs="Arial"/>
          <w:noProof/>
          <w:kern w:val="0"/>
          <w14:ligatures w14:val="none"/>
        </w:rPr>
        <w:t>The measure consists of investments for the commissioning of a biomethane injection point and the delivery of related IT solutions.</w:t>
      </w:r>
    </w:p>
    <w:p w14:paraId="1E0ECEF0" w14:textId="77777777" w:rsidR="004E39F6" w:rsidRPr="00E60E42" w:rsidRDefault="004E39F6" w:rsidP="0048758A">
      <w:pPr>
        <w:spacing w:before="120" w:after="120" w:line="240" w:lineRule="auto"/>
        <w:jc w:val="both"/>
        <w:rPr>
          <w:rFonts w:ascii="Times New Roman" w:eastAsia="Calibri" w:hAnsi="Times New Roman" w:cs="Times New Roman"/>
          <w:noProof/>
          <w:kern w:val="0"/>
          <w14:ligatures w14:val="none"/>
        </w:rPr>
      </w:pPr>
    </w:p>
    <w:p w14:paraId="1E0ECEF1"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sectPr w:rsidR="004E39F6" w:rsidRPr="00E60E42" w:rsidSect="0048758A">
          <w:headerReference w:type="even" r:id="rId89"/>
          <w:headerReference w:type="default" r:id="rId90"/>
          <w:footerReference w:type="even" r:id="rId91"/>
          <w:footerReference w:type="default" r:id="rId92"/>
          <w:headerReference w:type="first" r:id="rId93"/>
          <w:footerReference w:type="first" r:id="rId94"/>
          <w:pgSz w:w="11906" w:h="16838"/>
          <w:pgMar w:top="1134" w:right="1134" w:bottom="1134" w:left="1134" w:header="567" w:footer="567" w:gutter="0"/>
          <w:cols w:space="708"/>
          <w:docGrid w:linePitch="360"/>
        </w:sectPr>
      </w:pPr>
    </w:p>
    <w:p w14:paraId="1E0ECEF2" w14:textId="77777777" w:rsidR="004E39F6" w:rsidRPr="00E60E42" w:rsidRDefault="00A35BEA" w:rsidP="0048758A">
      <w:pPr>
        <w:spacing w:before="120" w:after="120" w:line="240" w:lineRule="auto"/>
        <w:jc w:val="center"/>
        <w:rPr>
          <w:rFonts w:ascii="Times New Roman" w:eastAsia="Calibri" w:hAnsi="Times New Roman" w:cs="Arial"/>
          <w:b/>
          <w:noProof/>
          <w:kern w:val="0"/>
          <w:szCs w:val="22"/>
          <w:u w:val="single"/>
          <w14:ligatures w14:val="none"/>
        </w:rPr>
      </w:pPr>
      <w:r w:rsidRPr="00E60E42">
        <w:rPr>
          <w:rFonts w:ascii="Times New Roman" w:eastAsia="Calibri" w:hAnsi="Times New Roman" w:cs="Arial"/>
          <w:b/>
          <w:noProof/>
          <w:kern w:val="0"/>
          <w:szCs w:val="22"/>
          <w:u w:val="single"/>
          <w14:ligatures w14:val="none"/>
        </w:rPr>
        <w:t>G.2. Milestones, targets, indicators, and timetable for monitoring and implementation for non-repayable financial support</w:t>
      </w:r>
    </w:p>
    <w:tbl>
      <w:tblPr>
        <w:tblW w:w="5000" w:type="pct"/>
        <w:jc w:val="center"/>
        <w:tblLayout w:type="fixed"/>
        <w:tblLook w:val="04A0" w:firstRow="1" w:lastRow="0" w:firstColumn="1" w:lastColumn="0" w:noHBand="0" w:noVBand="1"/>
      </w:tblPr>
      <w:tblGrid>
        <w:gridCol w:w="649"/>
        <w:gridCol w:w="1784"/>
        <w:gridCol w:w="1106"/>
        <w:gridCol w:w="1559"/>
        <w:gridCol w:w="1560"/>
        <w:gridCol w:w="1134"/>
        <w:gridCol w:w="992"/>
        <w:gridCol w:w="850"/>
        <w:gridCol w:w="851"/>
        <w:gridCol w:w="709"/>
        <w:gridCol w:w="3366"/>
      </w:tblGrid>
      <w:tr w:rsidR="00346F2A" w:rsidRPr="00E60E42" w14:paraId="1E0ECEFB" w14:textId="77777777" w:rsidTr="006E29F5">
        <w:trPr>
          <w:tblHeader/>
          <w:jc w:val="center"/>
        </w:trPr>
        <w:tc>
          <w:tcPr>
            <w:tcW w:w="6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3" w14:textId="77777777" w:rsidR="004E39F6" w:rsidRPr="00E60E42" w:rsidRDefault="00A35BEA" w:rsidP="0048758A">
            <w:pPr>
              <w:spacing w:after="0" w:line="240" w:lineRule="auto"/>
              <w:jc w:val="center"/>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Nr</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4"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Related measure (reform or investment)</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5" w14:textId="1BE1D642" w:rsidR="004E39F6" w:rsidRPr="00E60E42" w:rsidRDefault="00A35BEA" w:rsidP="006E29F5">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 xml:space="preserve">Milestone / </w:t>
            </w:r>
            <w:r w:rsidR="006E29F5" w:rsidRPr="00E60E42">
              <w:rPr>
                <w:rFonts w:ascii="Times New Roman" w:eastAsia="Calibri" w:hAnsi="Times New Roman" w:cs="Arial"/>
                <w:b/>
                <w:noProof/>
                <w:kern w:val="0"/>
                <w:sz w:val="18"/>
                <w:szCs w:val="18"/>
                <w14:ligatures w14:val="none"/>
              </w:rPr>
              <w:t>T</w:t>
            </w:r>
            <w:r w:rsidRPr="00E60E42">
              <w:rPr>
                <w:rFonts w:ascii="Times New Roman" w:eastAsia="Calibri" w:hAnsi="Times New Roman" w:cs="Arial"/>
                <w:b/>
                <w:noProof/>
                <w:kern w:val="0"/>
                <w:sz w:val="18"/>
                <w:szCs w:val="18"/>
                <w14:ligatures w14:val="none"/>
              </w:rPr>
              <w: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6"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7"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Qualitative indicators</w:t>
            </w:r>
            <w:r w:rsidRPr="00E60E42">
              <w:rPr>
                <w:rFonts w:ascii="Calibri" w:eastAsia="Calibri" w:hAnsi="Calibri" w:cs="Arial"/>
                <w:noProof/>
                <w:kern w:val="0"/>
                <w:sz w:val="18"/>
                <w:szCs w:val="18"/>
                <w14:ligatures w14:val="none"/>
              </w:rPr>
              <w:t xml:space="preserve">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milestones)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8"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Quantitative indicators</w:t>
            </w:r>
            <w:r w:rsidRPr="00E60E42">
              <w:rPr>
                <w:rFonts w:ascii="Calibri" w:eastAsia="Calibri" w:hAnsi="Calibri" w:cs="Arial"/>
                <w:noProof/>
                <w:kern w:val="0"/>
                <w:sz w:val="18"/>
                <w:szCs w:val="18"/>
                <w14:ligatures w14:val="none"/>
              </w:rPr>
              <w:t xml:space="preserve"> </w:t>
            </w:r>
            <w:r w:rsidRPr="00E60E42">
              <w:rPr>
                <w:rFonts w:ascii="Calibri" w:eastAsia="Calibri" w:hAnsi="Calibri" w:cs="Arial"/>
                <w:noProof/>
                <w:kern w:val="0"/>
                <w:sz w:val="18"/>
                <w:szCs w:val="18"/>
                <w14:ligatures w14:val="none"/>
              </w:rPr>
              <w:br/>
            </w:r>
            <w:r w:rsidRPr="00E60E42">
              <w:rPr>
                <w:rFonts w:ascii="Times New Roman" w:eastAsia="Calibri" w:hAnsi="Times New Roman" w:cs="Arial"/>
                <w:b/>
                <w:noProof/>
                <w:kern w:val="0"/>
                <w:sz w:val="18"/>
                <w:szCs w:val="18"/>
                <w14:ligatures w14:val="none"/>
              </w:rP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9"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Indicative timeline for completion</w:t>
            </w:r>
          </w:p>
        </w:tc>
        <w:tc>
          <w:tcPr>
            <w:tcW w:w="33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A" w14:textId="77777777" w:rsidR="004E39F6" w:rsidRPr="00E60E42" w:rsidRDefault="00A35BEA" w:rsidP="00346F2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Description and clear definition of each milestone and target</w:t>
            </w:r>
          </w:p>
        </w:tc>
      </w:tr>
      <w:tr w:rsidR="00346F2A" w:rsidRPr="00E60E42" w14:paraId="1E0ECF07" w14:textId="77777777" w:rsidTr="006E29F5">
        <w:trPr>
          <w:tblHeader/>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1E0ECEFC"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1E0ECEFD"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1E0ECEFE" w14:textId="77777777" w:rsidR="004E39F6" w:rsidRPr="00E60E42" w:rsidRDefault="004E39F6" w:rsidP="006E29F5">
            <w:pPr>
              <w:spacing w:after="0" w:line="240" w:lineRule="auto"/>
              <w:jc w:val="center"/>
              <w:rPr>
                <w:rFonts w:ascii="Times New Roman" w:eastAsia="Times New Roman" w:hAnsi="Times New Roman" w:cs="Times New Roman"/>
                <w:b/>
                <w:bCs/>
                <w:noProof/>
                <w:kern w:val="0"/>
                <w:sz w:val="18"/>
                <w:szCs w:val="18"/>
                <w:lang w:eastAsia="en-GB"/>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E0ECEFF"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E0ECF00" w14:textId="77777777" w:rsidR="004E39F6" w:rsidRPr="00E60E42" w:rsidRDefault="004E39F6" w:rsidP="0048758A">
            <w:pPr>
              <w:spacing w:after="0" w:line="240" w:lineRule="auto"/>
              <w:rPr>
                <w:rFonts w:ascii="Times New Roman" w:eastAsia="Times New Roman" w:hAnsi="Times New Roman" w:cs="Times New Roman"/>
                <w:b/>
                <w:bCs/>
                <w:noProof/>
                <w:kern w:val="0"/>
                <w:sz w:val="18"/>
                <w:szCs w:val="18"/>
                <w:lang w:eastAsia="en-GB"/>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1"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2"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3"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4"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5" w14:textId="77777777" w:rsidR="004E39F6" w:rsidRPr="00E60E42" w:rsidRDefault="00A35BEA" w:rsidP="0048758A">
            <w:pPr>
              <w:spacing w:after="0" w:line="240" w:lineRule="auto"/>
              <w:jc w:val="center"/>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Year</w:t>
            </w:r>
          </w:p>
        </w:tc>
        <w:tc>
          <w:tcPr>
            <w:tcW w:w="3366" w:type="dxa"/>
            <w:vMerge/>
            <w:tcBorders>
              <w:top w:val="single" w:sz="4" w:space="0" w:color="auto"/>
              <w:left w:val="single" w:sz="4" w:space="0" w:color="auto"/>
              <w:bottom w:val="single" w:sz="4" w:space="0" w:color="auto"/>
              <w:right w:val="single" w:sz="4" w:space="0" w:color="auto"/>
            </w:tcBorders>
            <w:vAlign w:val="center"/>
            <w:hideMark/>
          </w:tcPr>
          <w:p w14:paraId="1E0ECF06" w14:textId="77777777" w:rsidR="004E39F6" w:rsidRPr="00E60E42" w:rsidRDefault="004E39F6" w:rsidP="00346F2A">
            <w:pPr>
              <w:spacing w:after="0" w:line="240" w:lineRule="auto"/>
              <w:jc w:val="both"/>
              <w:rPr>
                <w:rFonts w:ascii="Times New Roman" w:eastAsia="Times New Roman" w:hAnsi="Times New Roman" w:cs="Times New Roman"/>
                <w:b/>
                <w:bCs/>
                <w:noProof/>
                <w:kern w:val="0"/>
                <w:sz w:val="18"/>
                <w:szCs w:val="18"/>
                <w:lang w:eastAsia="en-GB"/>
                <w14:ligatures w14:val="none"/>
              </w:rPr>
            </w:pPr>
          </w:p>
        </w:tc>
      </w:tr>
      <w:tr w:rsidR="0048758A" w:rsidRPr="00E60E42" w14:paraId="1E0ECF16"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hideMark/>
          </w:tcPr>
          <w:p w14:paraId="1E0ECF08"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215</w:t>
            </w:r>
          </w:p>
        </w:tc>
        <w:tc>
          <w:tcPr>
            <w:tcW w:w="1784" w:type="dxa"/>
            <w:tcBorders>
              <w:top w:val="single" w:sz="4" w:space="0" w:color="auto"/>
              <w:left w:val="single" w:sz="4" w:space="0" w:color="auto"/>
              <w:bottom w:val="single" w:sz="4" w:space="0" w:color="auto"/>
              <w:right w:val="single" w:sz="4" w:space="0" w:color="auto"/>
            </w:tcBorders>
            <w:shd w:val="clear" w:color="auto" w:fill="C6EFCE"/>
            <w:hideMark/>
          </w:tcPr>
          <w:p w14:paraId="1E0ECF09"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7.1.r. Transforming the national energy sector</w:t>
            </w:r>
          </w:p>
        </w:tc>
        <w:tc>
          <w:tcPr>
            <w:tcW w:w="1106" w:type="dxa"/>
            <w:tcBorders>
              <w:top w:val="single" w:sz="4" w:space="0" w:color="auto"/>
              <w:left w:val="single" w:sz="4" w:space="0" w:color="auto"/>
              <w:bottom w:val="single" w:sz="4" w:space="0" w:color="auto"/>
              <w:right w:val="single" w:sz="4" w:space="0" w:color="auto"/>
            </w:tcBorders>
            <w:shd w:val="clear" w:color="auto" w:fill="C6EFCE"/>
            <w:hideMark/>
          </w:tcPr>
          <w:p w14:paraId="1E0ECF0A"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hideMark/>
          </w:tcPr>
          <w:p w14:paraId="1E0ECF0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Legal acts establishing a framework for registering and operating energy communities</w:t>
            </w:r>
          </w:p>
        </w:tc>
        <w:tc>
          <w:tcPr>
            <w:tcW w:w="1560" w:type="dxa"/>
            <w:tcBorders>
              <w:top w:val="single" w:sz="4" w:space="0" w:color="auto"/>
              <w:left w:val="single" w:sz="4" w:space="0" w:color="auto"/>
              <w:bottom w:val="single" w:sz="4" w:space="0" w:color="auto"/>
              <w:right w:val="single" w:sz="4" w:space="0" w:color="auto"/>
            </w:tcBorders>
            <w:shd w:val="clear" w:color="auto" w:fill="C6EFCE"/>
            <w:hideMark/>
          </w:tcPr>
          <w:p w14:paraId="1E0ECF0C"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Legal provisions indicating the entry into force of the 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1E0ECF0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F0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1E0ECF0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E0ECF1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1E0ECF1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hideMark/>
          </w:tcPr>
          <w:p w14:paraId="1E0ECF12" w14:textId="77777777" w:rsidR="004E39F6" w:rsidRPr="00E60E42" w:rsidRDefault="00A35BEA" w:rsidP="00346F2A">
            <w:pPr>
              <w:spacing w:after="0" w:line="240" w:lineRule="auto"/>
              <w:jc w:val="both"/>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Entry into force of legal acts which shall:</w:t>
            </w:r>
          </w:p>
          <w:p w14:paraId="1E0ECF13" w14:textId="77777777" w:rsidR="004E39F6" w:rsidRPr="00E60E42" w:rsidRDefault="00A35BEA" w:rsidP="00346F2A">
            <w:pPr>
              <w:pStyle w:val="ListParagraph"/>
              <w:numPr>
                <w:ilvl w:val="0"/>
                <w:numId w:val="34"/>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set the conditions and procedures for registering and operating energy communities;</w:t>
            </w:r>
          </w:p>
          <w:p w14:paraId="1E0ECF14" w14:textId="77777777" w:rsidR="004E39F6" w:rsidRPr="00E60E42" w:rsidRDefault="00A35BEA" w:rsidP="00346F2A">
            <w:pPr>
              <w:pStyle w:val="ListParagraph"/>
              <w:numPr>
                <w:ilvl w:val="0"/>
                <w:numId w:val="34"/>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introduce the obligation for local authorities to direct a part of the amount of electricity produced in the energy community to socially disadvantaged groups of society;</w:t>
            </w:r>
          </w:p>
          <w:p w14:paraId="1E0ECF15" w14:textId="77777777" w:rsidR="004E39F6" w:rsidRPr="00E60E42" w:rsidRDefault="00A35BEA" w:rsidP="00346F2A">
            <w:pPr>
              <w:pStyle w:val="ListParagraph"/>
              <w:numPr>
                <w:ilvl w:val="0"/>
                <w:numId w:val="34"/>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introduce the obligation for electricity traders to offer at least one product for the purchase of electricity from energy communities.</w:t>
            </w:r>
          </w:p>
        </w:tc>
      </w:tr>
      <w:tr w:rsidR="0048758A" w:rsidRPr="00E60E42" w14:paraId="1E0ECF25"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17"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216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18"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7.1.r. Transforming the national energy sector</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19"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1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Legislation amending norms on electricity trade and consumption</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1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Legal provisions indicating the entry into force of the legislation amending the norms on electricity trade and consumption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1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1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1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1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2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21"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amendments to the norms on electricity trade and consumption, which shall introduce:</w:t>
            </w:r>
            <w:bookmarkStart w:id="5" w:name="_Hlk147500692"/>
          </w:p>
          <w:p w14:paraId="1E0ECF22" w14:textId="77777777" w:rsidR="004E39F6" w:rsidRPr="00E60E42" w:rsidRDefault="00A35BEA" w:rsidP="00B13BA9">
            <w:pPr>
              <w:pStyle w:val="ListParagraph"/>
              <w:numPr>
                <w:ilvl w:val="0"/>
                <w:numId w:val="35"/>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condition that energy sharing be possible beyond the multi-apartment building without the need to create an energy community;</w:t>
            </w:r>
            <w:bookmarkEnd w:id="5"/>
          </w:p>
          <w:p w14:paraId="1E0ECF23" w14:textId="77777777" w:rsidR="004E39F6" w:rsidRPr="00E60E42" w:rsidRDefault="00A35BEA" w:rsidP="00B13BA9">
            <w:pPr>
              <w:pStyle w:val="ListParagraph"/>
              <w:numPr>
                <w:ilvl w:val="0"/>
                <w:numId w:val="35"/>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the possibility to use the amount of electricity produced in the facility of one electricity user to cover the consumption needs of another facility of the same user, regardless of the location of the facilities. The only limitations are that the facilities shall be i) located in the territory of the Republic of Latvia and ii) switched on for the existing electricity transmission and distribution system in the Republic of Latvia. </w:t>
            </w:r>
          </w:p>
          <w:p w14:paraId="1E0ECF24" w14:textId="77777777" w:rsidR="004E39F6" w:rsidRPr="00E60E42" w:rsidRDefault="00A35BEA" w:rsidP="00B13BA9">
            <w:pPr>
              <w:pStyle w:val="ListParagraph"/>
              <w:numPr>
                <w:ilvl w:val="0"/>
                <w:numId w:val="35"/>
              </w:numPr>
              <w:spacing w:after="0" w:line="240" w:lineRule="auto"/>
              <w:ind w:left="201" w:hanging="201"/>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the obligation for electricity traders to introduce at least one product for the purchase of electricity from self-consumers operating a micro-generator facility.</w:t>
            </w:r>
          </w:p>
        </w:tc>
      </w:tr>
      <w:tr w:rsidR="0048758A" w:rsidRPr="00E60E42" w14:paraId="1E0ECF31"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26"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217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2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bCs/>
                <w:noProof/>
                <w:kern w:val="0"/>
                <w:sz w:val="18"/>
                <w:szCs w:val="18"/>
                <w14:ligatures w14:val="none"/>
              </w:rPr>
              <w:t>7.1.r. Transforming the national energy sector</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28"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2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Legislation on electricity network optimisation</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2A"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Legal provisions indicating the entry into force of the legislation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2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2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2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2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2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30"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legislation introducing a flexible transmission system service and a temporary window allowing electricity producers to request a refund of the fee paid in the past to reserve transmission system capacity, if the producers want to discontinue the connection or reduce the capacity specified in the technical requirements.</w:t>
            </w:r>
          </w:p>
        </w:tc>
      </w:tr>
      <w:tr w:rsidR="0048758A" w:rsidRPr="00E60E42" w14:paraId="1E0ECF3D"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32"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219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33"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7.2.i. Security and stability of energy supply, and synchronisation with the Union grid</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34"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3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Regulation governing the installation of a Battery Energy Storage System</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36"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Legal provisions indicating the entry into force of the Regulation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3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3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3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3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3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3C"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regulation of the Cabinet of Ministers on the legal framework for the investment in the installation of a Battery Energy Storage System in Rēzekne.</w:t>
            </w:r>
          </w:p>
        </w:tc>
      </w:tr>
      <w:tr w:rsidR="0048758A" w:rsidRPr="00E60E42" w14:paraId="1E0ECF49"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3E"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221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3F"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7.2.i. Security and stability of energy supply, and synchronisation with the Union grid</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40"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41"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Battery Energy Storage System (BESS)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4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4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highlight w:val="yellow"/>
                <w14:ligatures w14:val="none"/>
              </w:rPr>
            </w:pPr>
            <w:r w:rsidRPr="00E60E42">
              <w:rPr>
                <w:rFonts w:ascii="Times New Roman" w:eastAsia="Calibri" w:hAnsi="Times New Roman" w:cs="Arial"/>
                <w:noProof/>
                <w:kern w:val="0"/>
                <w:sz w:val="18"/>
                <w:szCs w:val="18"/>
                <w14:ligatures w14:val="none"/>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4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4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60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4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4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48"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 for the commissioning of a 60 MW Battery Energy Storage System (BESS) in Rēzekne.</w:t>
            </w:r>
          </w:p>
        </w:tc>
      </w:tr>
      <w:tr w:rsidR="0048758A" w:rsidRPr="00E60E42" w14:paraId="1E0ECF55"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4A"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223</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4B"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4C"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4D"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Regulations governing investments in </w:t>
            </w:r>
            <w:r w:rsidRPr="00E60E42" w:rsidDel="00066EB8">
              <w:rPr>
                <w:rFonts w:ascii="Times New Roman" w:eastAsia="Calibri" w:hAnsi="Times New Roman" w:cs="Arial"/>
                <w:noProof/>
                <w:kern w:val="0"/>
                <w:sz w:val="18"/>
                <w:szCs w:val="18"/>
                <w14:ligatures w14:val="none"/>
              </w:rPr>
              <w:t xml:space="preserve">the national </w:t>
            </w:r>
            <w:r w:rsidRPr="00E60E42">
              <w:rPr>
                <w:rFonts w:ascii="Times New Roman" w:eastAsia="Calibri" w:hAnsi="Times New Roman" w:cs="Arial"/>
                <w:noProof/>
                <w:kern w:val="0"/>
                <w:sz w:val="18"/>
                <w:szCs w:val="18"/>
                <w14:ligatures w14:val="none"/>
              </w:rPr>
              <w:t xml:space="preserve">electricity transmission and distribution </w:t>
            </w:r>
            <w:r w:rsidRPr="00E60E42" w:rsidDel="00066EB8">
              <w:rPr>
                <w:rFonts w:ascii="Times New Roman" w:eastAsia="Calibri" w:hAnsi="Times New Roman" w:cs="Arial"/>
                <w:noProof/>
                <w:kern w:val="0"/>
                <w:sz w:val="18"/>
                <w:szCs w:val="18"/>
                <w14:ligatures w14:val="none"/>
              </w:rPr>
              <w:t>networks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4E"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Legal provisions indicating the entry into force of the regulations governing investments in </w:t>
            </w:r>
            <w:r w:rsidRPr="00E60E42" w:rsidDel="00066EB8">
              <w:rPr>
                <w:rFonts w:ascii="Times New Roman" w:eastAsia="Calibri" w:hAnsi="Times New Roman" w:cs="Arial"/>
                <w:noProof/>
                <w:kern w:val="0"/>
                <w:sz w:val="18"/>
                <w:szCs w:val="18"/>
                <w14:ligatures w14:val="none"/>
              </w:rPr>
              <w:t xml:space="preserve">the national </w:t>
            </w:r>
            <w:r w:rsidRPr="00E60E42">
              <w:rPr>
                <w:rFonts w:ascii="Times New Roman" w:eastAsia="Calibri" w:hAnsi="Times New Roman" w:cs="Arial"/>
                <w:noProof/>
                <w:kern w:val="0"/>
                <w:sz w:val="18"/>
                <w:szCs w:val="18"/>
                <w14:ligatures w14:val="none"/>
              </w:rPr>
              <w:t xml:space="preserve">electricity transmission and distribution </w:t>
            </w:r>
            <w:r w:rsidRPr="00E60E42" w:rsidDel="00066EB8">
              <w:rPr>
                <w:rFonts w:ascii="Times New Roman" w:eastAsia="Calibri" w:hAnsi="Times New Roman" w:cs="Arial"/>
                <w:noProof/>
                <w:kern w:val="0"/>
                <w:sz w:val="18"/>
                <w:szCs w:val="18"/>
                <w14:ligatures w14:val="none"/>
              </w:rPr>
              <w:t>networks</w:t>
            </w:r>
            <w:r w:rsidRPr="00E60E42">
              <w:rPr>
                <w:rFonts w:ascii="Times New Roman" w:eastAsia="Calibri" w:hAnsi="Times New Roman" w:cs="Arial"/>
                <w:noProof/>
                <w:kern w:val="0"/>
                <w:sz w:val="18"/>
                <w:szCs w:val="18"/>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4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5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5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5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5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54"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Cabinet of Ministers’ regulations governing investments related to new electricity grid capacity, substations, transmission lines and smart energy distribution management.</w:t>
            </w:r>
          </w:p>
        </w:tc>
      </w:tr>
      <w:tr w:rsidR="0048758A" w:rsidRPr="00E60E42" w14:paraId="1E0ECF61"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56"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224</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57"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58" w14:textId="77777777" w:rsidR="004E39F6" w:rsidRPr="00E60E42" w:rsidRDefault="00A35BEA" w:rsidP="006E29F5">
            <w:pPr>
              <w:spacing w:after="0" w:line="240" w:lineRule="auto"/>
              <w:jc w:val="center"/>
              <w:rPr>
                <w:rFonts w:ascii="Times New Roman" w:eastAsia="Calibri" w:hAnsi="Times New Roman" w:cs="Arial"/>
                <w:noProof/>
                <w:kern w:val="0"/>
                <w:sz w:val="18"/>
                <w:szCs w:val="18"/>
                <w14:ligatures w14:val="none"/>
              </w:rPr>
            </w:pPr>
            <w:r w:rsidRPr="00E60E42" w:rsidDel="00E65DC2">
              <w:rPr>
                <w:rFonts w:ascii="Times New Roman" w:eastAsia="Calibri" w:hAnsi="Times New Roman" w:cs="Arial"/>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59"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Additional electricity grid capacity</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5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5B" w14:textId="77777777" w:rsidR="004E39F6" w:rsidRPr="00E60E42" w:rsidRDefault="00A35BEA" w:rsidP="0048758A">
            <w:pPr>
              <w:spacing w:after="0" w:line="240" w:lineRule="auto"/>
              <w:jc w:val="center"/>
              <w:rPr>
                <w:rFonts w:ascii="Times New Roman" w:eastAsia="Calibri" w:hAnsi="Times New Roman" w:cs="Arial"/>
                <w:noProof/>
                <w:kern w:val="0"/>
                <w:sz w:val="18"/>
                <w:szCs w:val="18"/>
                <w14:ligatures w14:val="none"/>
              </w:rPr>
            </w:pPr>
            <w:r w:rsidRPr="00E60E42" w:rsidDel="00E65DC2">
              <w:rPr>
                <w:rFonts w:ascii="Times New Roman" w:eastAsia="Calibri" w:hAnsi="Times New Roman" w:cs="Arial"/>
                <w:noProof/>
                <w:kern w:val="0"/>
                <w:sz w:val="18"/>
                <w:szCs w:val="18"/>
                <w14:ligatures w14:val="none"/>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5C" w14:textId="77777777" w:rsidR="004E39F6" w:rsidRPr="00E60E42" w:rsidRDefault="00A35BEA" w:rsidP="0048758A">
            <w:pPr>
              <w:spacing w:after="0" w:line="240" w:lineRule="auto"/>
              <w:jc w:val="center"/>
              <w:rPr>
                <w:rFonts w:ascii="Times New Roman" w:eastAsia="Calibri" w:hAnsi="Times New Roman" w:cs="Arial"/>
                <w:noProof/>
                <w:kern w:val="0"/>
                <w:sz w:val="18"/>
                <w:szCs w:val="18"/>
                <w14:ligatures w14:val="none"/>
              </w:rPr>
            </w:pPr>
            <w:r w:rsidRPr="00E60E42" w:rsidDel="00E65DC2">
              <w:rPr>
                <w:rFonts w:ascii="Times New Roman" w:eastAsia="Calibri" w:hAnsi="Times New Roman" w:cs="Arial"/>
                <w:noProof/>
                <w:kern w:val="0"/>
                <w:sz w:val="18"/>
                <w:szCs w:val="18"/>
                <w14:ligatures w14:val="none"/>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5D" w14:textId="77777777" w:rsidR="004E39F6" w:rsidRPr="00E60E42" w:rsidRDefault="00A35BEA" w:rsidP="0048758A">
            <w:pPr>
              <w:spacing w:after="0" w:line="240" w:lineRule="auto"/>
              <w:jc w:val="center"/>
              <w:rPr>
                <w:rFonts w:ascii="Times New Roman" w:eastAsia="Calibri" w:hAnsi="Times New Roman" w:cs="Arial"/>
                <w:noProof/>
                <w:kern w:val="0"/>
                <w:sz w:val="18"/>
                <w:szCs w:val="18"/>
                <w14:ligatures w14:val="none"/>
              </w:rPr>
            </w:pPr>
            <w:r w:rsidRPr="00E60E42" w:rsidDel="00E65DC2">
              <w:rPr>
                <w:rFonts w:ascii="Times New Roman" w:eastAsia="Calibri" w:hAnsi="Times New Roman" w:cs="Arial"/>
                <w:noProof/>
                <w:kern w:val="0"/>
                <w:sz w:val="18"/>
                <w:szCs w:val="18"/>
                <w14:ligatures w14:val="none"/>
              </w:rPr>
              <w:t>70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5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5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60"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Technical act(s) signed for the commissioning of additional electricity grid capacity for a total of 70 MW. </w:t>
            </w:r>
          </w:p>
        </w:tc>
      </w:tr>
      <w:tr w:rsidR="0048758A" w:rsidRPr="00E60E42" w14:paraId="1E0ECF6E"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62"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225</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63"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64"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65"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Substations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66"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6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6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6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6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6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6C"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 Certificate(s) of completion signed for the commissioning of a digital substation in Kuldīga.</w:t>
            </w:r>
          </w:p>
          <w:p w14:paraId="1E0ECF6D"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 Certificate(s) of completion signed for a refurbished substation in Carnikava.</w:t>
            </w:r>
          </w:p>
        </w:tc>
      </w:tr>
      <w:tr w:rsidR="0048758A" w:rsidRPr="00E60E42" w14:paraId="1E0ECF7A"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6F"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226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70"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71"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72" w14:textId="77777777" w:rsidR="004E39F6" w:rsidRPr="00E60E42" w:rsidRDefault="00A35BEA" w:rsidP="0048758A">
            <w:pPr>
              <w:spacing w:after="0" w:line="240" w:lineRule="auto"/>
              <w:rPr>
                <w:rFonts w:ascii="Times New Roman" w:eastAsia="Calibri" w:hAnsi="Times New Roman" w:cs="Arial"/>
                <w:noProof/>
                <w:kern w:val="0"/>
                <w:sz w:val="18"/>
                <w:szCs w:val="18"/>
                <w14:ligatures w14:val="none"/>
              </w:rPr>
            </w:pPr>
            <w:r w:rsidRPr="00E60E42">
              <w:rPr>
                <w:rFonts w:ascii="Times New Roman" w:eastAsia="Calibri" w:hAnsi="Times New Roman" w:cs="Arial"/>
                <w:noProof/>
                <w:kern w:val="0"/>
                <w:sz w:val="18"/>
                <w:szCs w:val="18"/>
                <w14:ligatures w14:val="none"/>
              </w:rPr>
              <w:t>Built power lines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7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7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7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7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190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7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7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79"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Technical act(s) signed for a total of 190 km of built power lines.</w:t>
            </w:r>
          </w:p>
        </w:tc>
      </w:tr>
      <w:tr w:rsidR="0048758A" w:rsidRPr="00E60E42" w14:paraId="1E0ECF87"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7B"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227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7C" w14:textId="77777777" w:rsidR="004E39F6" w:rsidRPr="00E60E42" w:rsidRDefault="00A35BEA" w:rsidP="0048758A">
            <w:pPr>
              <w:spacing w:after="0" w:line="240" w:lineRule="auto"/>
              <w:rPr>
                <w:rFonts w:ascii="Times New Roman" w:eastAsia="Times New Roman" w:hAnsi="Times New Roman" w:cs="Times New Roman"/>
                <w:b/>
                <w:noProof/>
                <w:kern w:val="0"/>
                <w:sz w:val="18"/>
                <w:szCs w:val="18"/>
                <w14:ligatures w14:val="none"/>
              </w:rPr>
            </w:pPr>
            <w:r w:rsidRPr="00E60E42">
              <w:rPr>
                <w:rFonts w:ascii="Times New Roman" w:eastAsia="Calibri" w:hAnsi="Times New Roman" w:cs="Arial"/>
                <w:b/>
                <w:noProof/>
                <w:kern w:val="0"/>
                <w:sz w:val="18"/>
                <w:szCs w:val="18"/>
                <w14:ligatures w14:val="none"/>
              </w:rPr>
              <w:t>7.3.i. Upgrading, digitalising and securing the electricity transmission and distribution networks</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7D"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7E"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Distribution network management system upgrades and circuit breakers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7F"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and technical act(s) signed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8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8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82"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83"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84"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85"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 Certificate(s) of completion signed for upgrades to two network management systems operated by the DSO; </w:t>
            </w:r>
          </w:p>
          <w:p w14:paraId="1E0ECF86"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Technical act(s) signed for the installation of at least 285 circuit breakers.</w:t>
            </w:r>
          </w:p>
        </w:tc>
      </w:tr>
      <w:tr w:rsidR="0048758A" w:rsidRPr="00E60E42" w14:paraId="1E0ECF93"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8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229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89"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7.4.i. Increasing the uptake of sustainable biomethane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8A"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8B"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Regulations governing investments in the biomethane sector</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8C"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Legal provisions indicating the entry into force of the Regulations </w:t>
            </w:r>
            <w:r w:rsidRPr="00E60E42" w:rsidDel="00566181">
              <w:rPr>
                <w:rFonts w:ascii="Times New Roman" w:eastAsia="Calibri" w:hAnsi="Times New Roman" w:cs="Arial"/>
                <w:noProof/>
                <w:kern w:val="0"/>
                <w:sz w:val="18"/>
                <w:szCs w:val="18"/>
                <w14:ligatures w14:val="none"/>
              </w:rPr>
              <w:t xml:space="preserve">governing investments in the biomethane sector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8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8E"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8F"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90"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91"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92"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Entry into force of the regulations of the Cabinet of Ministers on the legal framework for the investments in the construction of a regional biomethane input point and in the purchase of an IT solution for the management of the input point.</w:t>
            </w:r>
          </w:p>
        </w:tc>
      </w:tr>
      <w:tr w:rsidR="0048758A" w:rsidRPr="00E60E42" w14:paraId="1E0ECF9F"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9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231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95"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7.4.i. Increasing the uptake of sustainable biomethane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96" w14:textId="5C46C1E2"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97"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 xml:space="preserve">Biomethane injection point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98"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sidDel="08F3A31B">
              <w:rPr>
                <w:rFonts w:ascii="Times New Roman" w:eastAsia="Calibri" w:hAnsi="Times New Roman" w:cs="Arial"/>
                <w:noProof/>
                <w:kern w:val="0"/>
                <w:sz w:val="18"/>
                <w:szCs w:val="18"/>
                <w14:ligatures w14:val="none"/>
              </w:rPr>
              <w:t>Certificate</w:t>
            </w:r>
            <w:r w:rsidRPr="00E60E42" w:rsidDel="6F284174">
              <w:rPr>
                <w:rFonts w:ascii="Times New Roman" w:eastAsia="Calibri" w:hAnsi="Times New Roman" w:cs="Arial"/>
                <w:noProof/>
                <w:kern w:val="0"/>
                <w:sz w:val="18"/>
                <w:szCs w:val="18"/>
                <w14:ligatures w14:val="none"/>
              </w:rPr>
              <w:t>(s)</w:t>
            </w:r>
            <w:r w:rsidRPr="00E60E42" w:rsidDel="08F3A31B">
              <w:rPr>
                <w:rFonts w:ascii="Times New Roman" w:eastAsia="Calibri" w:hAnsi="Times New Roman" w:cs="Arial"/>
                <w:noProof/>
                <w:kern w:val="0"/>
                <w:sz w:val="18"/>
                <w:szCs w:val="18"/>
                <w14:ligatures w14:val="none"/>
              </w:rPr>
              <w:t xml:space="preserve"> of completion</w:t>
            </w:r>
            <w:r w:rsidRPr="00E60E42">
              <w:rPr>
                <w:rFonts w:ascii="Times New Roman" w:eastAsia="Calibri" w:hAnsi="Times New Roman" w:cs="Arial"/>
                <w:noProof/>
                <w:kern w:val="0"/>
                <w:sz w:val="18"/>
                <w:szCs w:val="18"/>
                <w14:ligatures w14:val="none"/>
              </w:rPr>
              <w:t xml:space="preserve"> signed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9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9A"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9B"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lang w:eastAsia="en-GB"/>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9C"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9D"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2025</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9E" w14:textId="77777777" w:rsidR="004E39F6" w:rsidRPr="00E60E42" w:rsidRDefault="00A35BEA" w:rsidP="00346F2A">
            <w:pPr>
              <w:spacing w:after="0" w:line="240" w:lineRule="auto"/>
              <w:jc w:val="both"/>
              <w:rPr>
                <w:rFonts w:ascii="Times New Roman" w:eastAsia="Times New Roman" w:hAnsi="Times New Roman" w:cs="Times New Roman"/>
                <w:noProof/>
                <w:kern w:val="0"/>
                <w:sz w:val="18"/>
                <w:szCs w:val="18"/>
                <w14:ligatures w14:val="none"/>
              </w:rPr>
            </w:pPr>
            <w:r w:rsidRPr="00E60E42" w:rsidDel="08F3A31B">
              <w:rPr>
                <w:rFonts w:ascii="Times New Roman" w:eastAsia="Calibri" w:hAnsi="Times New Roman" w:cs="Arial"/>
                <w:noProof/>
                <w:kern w:val="0"/>
                <w:sz w:val="18"/>
                <w:szCs w:val="18"/>
                <w14:ligatures w14:val="none"/>
              </w:rPr>
              <w:t>Certificate</w:t>
            </w:r>
            <w:r w:rsidRPr="00E60E42">
              <w:rPr>
                <w:rFonts w:ascii="Times New Roman" w:eastAsia="Calibri" w:hAnsi="Times New Roman" w:cs="Arial"/>
                <w:noProof/>
                <w:kern w:val="0"/>
                <w:sz w:val="18"/>
                <w:szCs w:val="18"/>
                <w14:ligatures w14:val="none"/>
              </w:rPr>
              <w:t xml:space="preserve">(s) of </w:t>
            </w:r>
            <w:r w:rsidRPr="00E60E42" w:rsidDel="08F3A31B">
              <w:rPr>
                <w:rFonts w:ascii="Times New Roman" w:eastAsia="Calibri" w:hAnsi="Times New Roman" w:cs="Arial"/>
                <w:noProof/>
                <w:kern w:val="0"/>
                <w:sz w:val="18"/>
                <w:szCs w:val="18"/>
                <w14:ligatures w14:val="none"/>
              </w:rPr>
              <w:t>completion</w:t>
            </w:r>
            <w:r w:rsidRPr="00E60E42">
              <w:rPr>
                <w:rFonts w:ascii="Times New Roman" w:eastAsia="Calibri" w:hAnsi="Times New Roman" w:cs="Arial"/>
                <w:noProof/>
                <w:kern w:val="0"/>
                <w:sz w:val="18"/>
                <w:szCs w:val="18"/>
                <w14:ligatures w14:val="none"/>
              </w:rPr>
              <w:t xml:space="preserve"> signed for the commissioning of a biomethane injection point. Biomethane injected via the new point shall comply with the regulatory requirements regarding the sustainability of renewable energy sources and greenhouse gas emission savings criteria.</w:t>
            </w:r>
          </w:p>
        </w:tc>
      </w:tr>
      <w:tr w:rsidR="0048758A" w:rsidRPr="00E60E42" w14:paraId="1E0ECFAC" w14:textId="77777777" w:rsidTr="006E29F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A0" w14:textId="77777777" w:rsidR="004E39F6" w:rsidRPr="00E60E42" w:rsidRDefault="00A35BEA" w:rsidP="0048758A">
            <w:pPr>
              <w:spacing w:after="0" w:line="240" w:lineRule="auto"/>
              <w:rPr>
                <w:rFonts w:ascii="Calibri" w:eastAsia="Calibri" w:hAnsi="Calibri" w:cs="Arial"/>
                <w:noProof/>
                <w:kern w:val="0"/>
                <w:sz w:val="18"/>
                <w:szCs w:val="18"/>
                <w14:ligatures w14:val="none"/>
              </w:rPr>
            </w:pPr>
            <w:r w:rsidRPr="00E60E42">
              <w:rPr>
                <w:rFonts w:ascii="Times New Roman" w:eastAsia="Calibri" w:hAnsi="Times New Roman" w:cs="Arial"/>
                <w:noProof/>
                <w:kern w:val="0"/>
                <w:sz w:val="18"/>
                <w:szCs w:val="18"/>
                <w14:ligatures w14:val="none"/>
              </w:rPr>
              <w:t>232</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A1" w14:textId="77777777" w:rsidR="004E39F6" w:rsidRPr="00E60E42" w:rsidRDefault="00A35BEA" w:rsidP="0048758A">
            <w:pPr>
              <w:spacing w:after="0" w:line="240" w:lineRule="auto"/>
              <w:rPr>
                <w:rFonts w:ascii="Times New Roman" w:eastAsia="Times New Roman" w:hAnsi="Times New Roman" w:cs="Times New Roman"/>
                <w:b/>
                <w:bCs/>
                <w:noProof/>
                <w:kern w:val="0"/>
                <w:sz w:val="18"/>
                <w:szCs w:val="18"/>
                <w14:ligatures w14:val="none"/>
              </w:rPr>
            </w:pPr>
            <w:r w:rsidRPr="00E60E42">
              <w:rPr>
                <w:rFonts w:ascii="Times New Roman" w:eastAsia="Calibri" w:hAnsi="Times New Roman" w:cs="Arial"/>
                <w:b/>
                <w:noProof/>
                <w:kern w:val="0"/>
                <w:sz w:val="18"/>
                <w:szCs w:val="18"/>
                <w14:ligatures w14:val="none"/>
              </w:rPr>
              <w:t>7.4.i. Increasing the uptake of sustainable biomethane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A2" w14:textId="77777777" w:rsidR="004E39F6" w:rsidRPr="00E60E42" w:rsidRDefault="00A35BEA" w:rsidP="006E29F5">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A3"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IT solutions for the management of the biomethane injection point (BIP)</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A4" w14:textId="77777777" w:rsidR="004E39F6" w:rsidRPr="00E60E42" w:rsidRDefault="00A35BEA" w:rsidP="0048758A">
            <w:pPr>
              <w:spacing w:after="0" w:line="240" w:lineRule="auto"/>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IT solutions delivered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A5"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A6"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A7"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A8"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A9" w14:textId="77777777" w:rsidR="004E39F6" w:rsidRPr="00E60E42" w:rsidRDefault="00A35BEA" w:rsidP="0048758A">
            <w:pPr>
              <w:spacing w:after="0" w:line="240" w:lineRule="auto"/>
              <w:jc w:val="center"/>
              <w:rPr>
                <w:rFonts w:ascii="Times New Roman" w:eastAsia="Times New Roman"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AA" w14:textId="77777777" w:rsidR="004E39F6" w:rsidRPr="00E60E42" w:rsidRDefault="00A35BEA" w:rsidP="00346F2A">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Certificate(s) of completion signed for the delivery of IT solutions for the management of the biomethane injection point (BIP).</w:t>
            </w:r>
            <w:r w:rsidRPr="00E60E42" w:rsidDel="434086DD">
              <w:rPr>
                <w:rFonts w:ascii="Times New Roman" w:eastAsia="Calibri" w:hAnsi="Times New Roman" w:cs="Arial"/>
                <w:noProof/>
                <w:kern w:val="0"/>
                <w:sz w:val="18"/>
                <w:szCs w:val="18"/>
                <w14:ligatures w14:val="none"/>
              </w:rPr>
              <w:t xml:space="preserve"> </w:t>
            </w:r>
          </w:p>
          <w:p w14:paraId="1E0ECFAB" w14:textId="77777777" w:rsidR="004E39F6" w:rsidRPr="00E60E42" w:rsidRDefault="00A35BEA" w:rsidP="00346F2A">
            <w:pPr>
              <w:spacing w:after="0" w:line="240" w:lineRule="auto"/>
              <w:jc w:val="both"/>
              <w:rPr>
                <w:rFonts w:ascii="Times New Roman" w:eastAsia="Calibri" w:hAnsi="Times New Roman" w:cs="Times New Roman"/>
                <w:noProof/>
                <w:kern w:val="0"/>
                <w:sz w:val="18"/>
                <w:szCs w:val="18"/>
                <w14:ligatures w14:val="none"/>
              </w:rPr>
            </w:pPr>
            <w:r w:rsidRPr="00E60E42">
              <w:rPr>
                <w:rFonts w:ascii="Times New Roman" w:eastAsia="Calibri" w:hAnsi="Times New Roman" w:cs="Arial"/>
                <w:noProof/>
                <w:kern w:val="0"/>
                <w:sz w:val="18"/>
                <w:szCs w:val="18"/>
                <w14:ligatures w14:val="none"/>
              </w:rPr>
              <w:t>A certificate issued by an accredited body demonstrating that methane and biomethane leakage detectors have been tested.</w:t>
            </w:r>
          </w:p>
        </w:tc>
      </w:tr>
    </w:tbl>
    <w:p w14:paraId="1E0ECFAD"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pPr>
    </w:p>
    <w:p w14:paraId="1E0ECFAE" w14:textId="77777777" w:rsidR="004E39F6" w:rsidRPr="00E60E42" w:rsidRDefault="004E39F6" w:rsidP="0048758A">
      <w:pPr>
        <w:spacing w:before="120" w:after="120" w:line="240" w:lineRule="auto"/>
        <w:jc w:val="both"/>
        <w:rPr>
          <w:rFonts w:ascii="Times New Roman" w:eastAsia="Calibri" w:hAnsi="Times New Roman" w:cs="Arial"/>
          <w:b/>
          <w:noProof/>
          <w:kern w:val="0"/>
          <w:szCs w:val="22"/>
          <w:u w:val="single"/>
          <w14:ligatures w14:val="none"/>
        </w:rPr>
      </w:pPr>
    </w:p>
    <w:p w14:paraId="1E0ECFAF" w14:textId="77777777" w:rsidR="004E39F6" w:rsidRPr="00E60E42" w:rsidRDefault="004E39F6" w:rsidP="0048758A">
      <w:pPr>
        <w:spacing w:before="120" w:after="120" w:line="240" w:lineRule="auto"/>
        <w:jc w:val="both"/>
        <w:rPr>
          <w:rFonts w:ascii="Times New Roman" w:eastAsia="Times New Roman" w:hAnsi="Times New Roman" w:cs="Times New Roman"/>
          <w:noProof/>
          <w:kern w:val="0"/>
          <w14:ligatures w14:val="none"/>
        </w:rPr>
        <w:sectPr w:rsidR="004E39F6" w:rsidRPr="00E60E42" w:rsidSect="0048758A">
          <w:headerReference w:type="even" r:id="rId95"/>
          <w:headerReference w:type="default" r:id="rId96"/>
          <w:footerReference w:type="even" r:id="rId97"/>
          <w:footerReference w:type="default" r:id="rId98"/>
          <w:headerReference w:type="first" r:id="rId99"/>
          <w:footerReference w:type="first" r:id="rId100"/>
          <w:pgSz w:w="16838" w:h="11906" w:orient="landscape"/>
          <w:pgMar w:top="1134" w:right="1134" w:bottom="1134" w:left="1134" w:header="567" w:footer="567" w:gutter="0"/>
          <w:cols w:space="708"/>
          <w:docGrid w:linePitch="360"/>
        </w:sectPr>
      </w:pPr>
    </w:p>
    <w:p w14:paraId="1E0ECFB0" w14:textId="77777777" w:rsidR="004E39F6" w:rsidRPr="00E60E42" w:rsidRDefault="00A35BEA" w:rsidP="0048758A">
      <w:pPr>
        <w:keepNext/>
        <w:tabs>
          <w:tab w:val="num" w:pos="850"/>
        </w:tabs>
        <w:spacing w:before="360" w:after="120" w:line="240" w:lineRule="auto"/>
        <w:ind w:left="850" w:hanging="850"/>
        <w:jc w:val="both"/>
        <w:outlineLvl w:val="0"/>
        <w:rPr>
          <w:rFonts w:ascii="Times New Roman" w:eastAsia="MS Gothic" w:hAnsi="Times New Roman" w:cs="Times New Roman"/>
          <w:b/>
          <w:bCs/>
          <w:smallCaps/>
          <w:noProof/>
          <w:kern w:val="0"/>
          <w:szCs w:val="28"/>
          <w14:ligatures w14:val="none"/>
        </w:rPr>
      </w:pPr>
      <w:r w:rsidRPr="00E60E42">
        <w:rPr>
          <w:rFonts w:ascii="Times New Roman" w:eastAsia="MS Gothic" w:hAnsi="Times New Roman" w:cs="Times New Roman"/>
          <w:b/>
          <w:bCs/>
          <w:smallCaps/>
          <w:noProof/>
          <w:kern w:val="0"/>
          <w:szCs w:val="28"/>
          <w14:ligatures w14:val="none"/>
        </w:rPr>
        <w:t>2. Estimated total cost of the recovery and resilience plan</w:t>
      </w:r>
    </w:p>
    <w:p w14:paraId="1E0ECFB1" w14:textId="77777777" w:rsidR="004E39F6" w:rsidRPr="00E60E42" w:rsidRDefault="00A35BEA" w:rsidP="0048758A">
      <w:pPr>
        <w:spacing w:after="120" w:line="240" w:lineRule="auto"/>
        <w:jc w:val="both"/>
        <w:rPr>
          <w:rFonts w:ascii="Times New Roman" w:eastAsia="Calibri" w:hAnsi="Times New Roman" w:cs="Arial"/>
          <w:noProof/>
          <w:kern w:val="0"/>
          <w:szCs w:val="22"/>
          <w14:ligatures w14:val="none"/>
        </w:rPr>
      </w:pPr>
      <w:r w:rsidRPr="00E60E42">
        <w:rPr>
          <w:rFonts w:ascii="Times New Roman" w:eastAsia="Calibri" w:hAnsi="Times New Roman" w:cs="Arial"/>
          <w:noProof/>
          <w:kern w:val="0"/>
          <w:szCs w:val="22"/>
          <w14:ligatures w14:val="none"/>
        </w:rPr>
        <w:t>The estimated total cost of the recovery and resilience plan of Latvia is EUR 1 969 244 522.</w:t>
      </w:r>
    </w:p>
    <w:p w14:paraId="1E0ECFB2" w14:textId="77777777" w:rsidR="004E39F6" w:rsidRPr="00E60E42" w:rsidRDefault="00A35BEA" w:rsidP="009A517F">
      <w:pPr>
        <w:spacing w:before="120" w:after="240" w:line="240" w:lineRule="auto"/>
        <w:jc w:val="both"/>
        <w:rPr>
          <w:rFonts w:ascii="Times New Roman" w:eastAsia="Calibri" w:hAnsi="Times New Roman" w:cs="Arial"/>
          <w:noProof/>
          <w:kern w:val="0"/>
          <w:szCs w:val="22"/>
          <w14:ligatures w14:val="none"/>
        </w:rPr>
      </w:pPr>
      <w:r w:rsidRPr="00E60E42">
        <w:rPr>
          <w:rFonts w:ascii="Times New Roman" w:eastAsia="Calibri" w:hAnsi="Times New Roman" w:cs="Arial"/>
          <w:noProof/>
          <w:kern w:val="0"/>
          <w:szCs w:val="22"/>
          <w14:ligatures w14:val="none"/>
        </w:rPr>
        <w:t>The estimated total cost of the REPowerEU chapter is EUR 141 555 190. In particular, the estimated total costs of the measures referred to in Article 21c(3), point (a), of Regulation (EU) 2023/435 is EUR 0, whilst the costs of the other measures in the REPowerEU chapter is EUR 141 555 190.</w:t>
      </w:r>
    </w:p>
    <w:p w14:paraId="1E0ECFB3" w14:textId="77777777" w:rsidR="004E39F6" w:rsidRPr="00E60E42" w:rsidRDefault="00A35BEA" w:rsidP="0048758A">
      <w:pPr>
        <w:spacing w:after="240" w:line="240" w:lineRule="auto"/>
        <w:jc w:val="both"/>
        <w:rPr>
          <w:rFonts w:ascii="Times New Roman" w:eastAsia="Calibri" w:hAnsi="Times New Roman" w:cs="Arial"/>
          <w:b/>
          <w:noProof/>
          <w:kern w:val="0"/>
          <w:szCs w:val="22"/>
          <w14:ligatures w14:val="none"/>
        </w:rPr>
      </w:pPr>
      <w:r w:rsidRPr="00E60E42">
        <w:rPr>
          <w:rFonts w:ascii="Times New Roman" w:eastAsia="Calibri" w:hAnsi="Times New Roman" w:cs="Arial"/>
          <w:b/>
          <w:noProof/>
          <w:kern w:val="0"/>
          <w:szCs w:val="22"/>
          <w14:ligatures w14:val="none"/>
        </w:rPr>
        <w:t xml:space="preserve">SECTION 2: FINANCIAL SUPPORT </w:t>
      </w:r>
    </w:p>
    <w:p w14:paraId="1E0ECFB4" w14:textId="77777777" w:rsidR="004E39F6" w:rsidRPr="00E60E42" w:rsidRDefault="00A35BEA" w:rsidP="00B13BA9">
      <w:pPr>
        <w:numPr>
          <w:ilvl w:val="6"/>
          <w:numId w:val="36"/>
        </w:numPr>
        <w:spacing w:after="120" w:line="240" w:lineRule="auto"/>
        <w:ind w:left="567" w:hanging="567"/>
        <w:contextualSpacing/>
        <w:jc w:val="both"/>
        <w:rPr>
          <w:rFonts w:ascii="Times New Roman" w:eastAsia="Times New Roman" w:hAnsi="Times New Roman" w:cs="Times New Roman"/>
          <w:b/>
          <w:bCs/>
          <w:noProof/>
          <w:kern w:val="0"/>
          <w14:ligatures w14:val="none"/>
        </w:rPr>
      </w:pPr>
      <w:r w:rsidRPr="00E60E42">
        <w:rPr>
          <w:rFonts w:ascii="Times New Roman" w:eastAsia="Calibri" w:hAnsi="Times New Roman" w:cs="Arial"/>
          <w:b/>
          <w:noProof/>
          <w:kern w:val="0"/>
          <w:szCs w:val="22"/>
          <w14:ligatures w14:val="none"/>
        </w:rPr>
        <w:t>Financial contribution</w:t>
      </w:r>
    </w:p>
    <w:p w14:paraId="1E0ECFB5" w14:textId="77777777" w:rsidR="004E39F6" w:rsidRPr="00E60E42" w:rsidRDefault="00A35BEA" w:rsidP="00B13BA9">
      <w:pPr>
        <w:spacing w:after="12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instalments referred to in Article 2(2) shall be organised in the following manner:</w:t>
      </w:r>
    </w:p>
    <w:p w14:paraId="1E0ECFB6" w14:textId="77777777" w:rsidR="004E39F6" w:rsidRPr="00E60E42" w:rsidRDefault="00A35BEA" w:rsidP="0048758A">
      <w:pPr>
        <w:numPr>
          <w:ilvl w:val="1"/>
          <w:numId w:val="37"/>
        </w:numPr>
        <w:spacing w:after="0" w:line="257" w:lineRule="auto"/>
        <w:ind w:left="567" w:hanging="567"/>
        <w:contextualSpacing/>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szCs w:val="22"/>
          <w14:ligatures w14:val="none"/>
        </w:rPr>
        <w:t>First Instalment (non-repayable support):</w:t>
      </w:r>
    </w:p>
    <w:p w14:paraId="1E0ECFB7" w14:textId="77777777" w:rsidR="004E39F6" w:rsidRPr="00E60E42" w:rsidRDefault="004E39F6" w:rsidP="0048758A">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1"/>
      </w:tblGrid>
      <w:tr w:rsidR="0048758A" w:rsidRPr="00E60E42" w14:paraId="1E0ECFBC" w14:textId="77777777" w:rsidTr="00884269">
        <w:trPr>
          <w:trHeight w:val="300"/>
          <w:tblHeader/>
          <w:jc w:val="center"/>
        </w:trPr>
        <w:tc>
          <w:tcPr>
            <w:tcW w:w="1413" w:type="dxa"/>
            <w:shd w:val="clear" w:color="auto" w:fill="BDD7EE"/>
            <w:tcMar>
              <w:left w:w="108" w:type="dxa"/>
              <w:right w:w="108" w:type="dxa"/>
            </w:tcMar>
            <w:vAlign w:val="center"/>
          </w:tcPr>
          <w:p w14:paraId="1E0ECFB8"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Sequential Number</w:t>
            </w:r>
          </w:p>
        </w:tc>
        <w:tc>
          <w:tcPr>
            <w:tcW w:w="3118" w:type="dxa"/>
            <w:shd w:val="clear" w:color="auto" w:fill="BDD7EE"/>
            <w:tcMar>
              <w:left w:w="108" w:type="dxa"/>
              <w:right w:w="108" w:type="dxa"/>
            </w:tcMar>
            <w:vAlign w:val="center"/>
          </w:tcPr>
          <w:p w14:paraId="1E0ECFB9" w14:textId="0B13D48B"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 xml:space="preserve">Related Measure </w:t>
            </w:r>
            <w:r w:rsidRPr="00E60E42">
              <w:rPr>
                <w:rFonts w:ascii="Calibri" w:eastAsia="Calibri" w:hAnsi="Calibri" w:cs="Arial"/>
                <w:noProof/>
                <w:kern w:val="0"/>
                <w:sz w:val="22"/>
                <w:szCs w:val="22"/>
                <w14:ligatures w14:val="none"/>
              </w:rPr>
              <w:br/>
            </w:r>
            <w:r w:rsidRPr="00E60E42">
              <w:rPr>
                <w:rFonts w:ascii="Times New Roman" w:eastAsia="Calibri" w:hAnsi="Times New Roman" w:cs="Arial"/>
                <w:b/>
                <w:noProof/>
                <w:color w:val="000000"/>
                <w:kern w:val="0"/>
                <w:szCs w:val="22"/>
                <w14:ligatures w14:val="none"/>
              </w:rPr>
              <w:t>(Reform or Investment)</w:t>
            </w:r>
          </w:p>
        </w:tc>
        <w:tc>
          <w:tcPr>
            <w:tcW w:w="1418" w:type="dxa"/>
            <w:shd w:val="clear" w:color="auto" w:fill="BDD7EE"/>
            <w:tcMar>
              <w:left w:w="108" w:type="dxa"/>
              <w:right w:w="108" w:type="dxa"/>
            </w:tcMar>
            <w:vAlign w:val="center"/>
          </w:tcPr>
          <w:p w14:paraId="1E0ECFBA"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Milestone / Target</w:t>
            </w:r>
          </w:p>
        </w:tc>
        <w:tc>
          <w:tcPr>
            <w:tcW w:w="3681" w:type="dxa"/>
            <w:shd w:val="clear" w:color="auto" w:fill="BDD7EE"/>
            <w:tcMar>
              <w:left w:w="108" w:type="dxa"/>
              <w:right w:w="108" w:type="dxa"/>
            </w:tcMar>
            <w:vAlign w:val="center"/>
          </w:tcPr>
          <w:p w14:paraId="1E0ECFBB"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Name</w:t>
            </w:r>
          </w:p>
        </w:tc>
      </w:tr>
      <w:tr w:rsidR="0048758A" w:rsidRPr="00E60E42" w14:paraId="1E0ECFC1" w14:textId="77777777" w:rsidTr="00884269">
        <w:trPr>
          <w:trHeight w:val="300"/>
          <w:jc w:val="center"/>
        </w:trPr>
        <w:tc>
          <w:tcPr>
            <w:tcW w:w="1413" w:type="dxa"/>
            <w:shd w:val="clear" w:color="auto" w:fill="C6EFCE"/>
            <w:tcMar>
              <w:left w:w="108" w:type="dxa"/>
              <w:right w:w="108" w:type="dxa"/>
            </w:tcMar>
            <w:vAlign w:val="center"/>
          </w:tcPr>
          <w:p w14:paraId="1E0ECFBD"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77</w:t>
            </w:r>
          </w:p>
        </w:tc>
        <w:tc>
          <w:tcPr>
            <w:tcW w:w="3118" w:type="dxa"/>
            <w:shd w:val="clear" w:color="auto" w:fill="C6EFCE"/>
            <w:tcMar>
              <w:left w:w="108" w:type="dxa"/>
              <w:right w:w="108" w:type="dxa"/>
            </w:tcMar>
          </w:tcPr>
          <w:p w14:paraId="1E0ECFBE"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2.3.2.3.i. Closing the digital divide for socially vulnerable pupils and educational institutions </w:t>
            </w:r>
          </w:p>
        </w:tc>
        <w:tc>
          <w:tcPr>
            <w:tcW w:w="1418" w:type="dxa"/>
            <w:shd w:val="clear" w:color="auto" w:fill="C6EFCE"/>
            <w:tcMar>
              <w:left w:w="108" w:type="dxa"/>
              <w:right w:w="108" w:type="dxa"/>
            </w:tcMar>
          </w:tcPr>
          <w:p w14:paraId="1E0ECFBF"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C0"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Entry into force of a regulatory framework laying down procedures for the organisation and implementation of remote learning</w:t>
            </w:r>
          </w:p>
        </w:tc>
      </w:tr>
      <w:tr w:rsidR="0048758A" w:rsidRPr="00E60E42" w14:paraId="1E0ECFC6" w14:textId="77777777" w:rsidTr="00884269">
        <w:trPr>
          <w:trHeight w:val="300"/>
          <w:jc w:val="center"/>
        </w:trPr>
        <w:tc>
          <w:tcPr>
            <w:tcW w:w="1413" w:type="dxa"/>
            <w:shd w:val="clear" w:color="auto" w:fill="C6EFCE"/>
            <w:tcMar>
              <w:left w:w="108" w:type="dxa"/>
              <w:right w:w="108" w:type="dxa"/>
            </w:tcMar>
            <w:vAlign w:val="center"/>
          </w:tcPr>
          <w:p w14:paraId="1E0ECFC2"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80</w:t>
            </w:r>
          </w:p>
        </w:tc>
        <w:tc>
          <w:tcPr>
            <w:tcW w:w="3118" w:type="dxa"/>
            <w:shd w:val="clear" w:color="auto" w:fill="C6EFCE"/>
            <w:tcMar>
              <w:left w:w="108" w:type="dxa"/>
              <w:right w:w="108" w:type="dxa"/>
            </w:tcMar>
          </w:tcPr>
          <w:p w14:paraId="1E0ECFC3"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2.4.1.r. Broadband infrastructure development</w:t>
            </w:r>
          </w:p>
        </w:tc>
        <w:tc>
          <w:tcPr>
            <w:tcW w:w="1418" w:type="dxa"/>
            <w:shd w:val="clear" w:color="auto" w:fill="C6EFCE"/>
            <w:tcMar>
              <w:left w:w="108" w:type="dxa"/>
              <w:right w:w="108" w:type="dxa"/>
            </w:tcMar>
          </w:tcPr>
          <w:p w14:paraId="1E0ECFC4"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C5"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technical requirement for connected and automated driving</w:t>
            </w:r>
          </w:p>
        </w:tc>
      </w:tr>
      <w:tr w:rsidR="0048758A" w:rsidRPr="00E60E42" w14:paraId="1E0ECFCB" w14:textId="77777777" w:rsidTr="00884269">
        <w:trPr>
          <w:trHeight w:val="300"/>
          <w:jc w:val="center"/>
        </w:trPr>
        <w:tc>
          <w:tcPr>
            <w:tcW w:w="1413" w:type="dxa"/>
            <w:shd w:val="clear" w:color="auto" w:fill="C6EFCE"/>
            <w:tcMar>
              <w:left w:w="108" w:type="dxa"/>
              <w:right w:w="108" w:type="dxa"/>
            </w:tcMar>
            <w:vAlign w:val="center"/>
          </w:tcPr>
          <w:p w14:paraId="1E0ECFC7"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81</w:t>
            </w:r>
          </w:p>
        </w:tc>
        <w:tc>
          <w:tcPr>
            <w:tcW w:w="3118" w:type="dxa"/>
            <w:shd w:val="clear" w:color="auto" w:fill="C6EFCE"/>
            <w:tcMar>
              <w:left w:w="108" w:type="dxa"/>
              <w:right w:w="108" w:type="dxa"/>
            </w:tcMar>
          </w:tcPr>
          <w:p w14:paraId="1E0ECFC8"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2.4.1.r. Broadband infrastructure development</w:t>
            </w:r>
          </w:p>
        </w:tc>
        <w:tc>
          <w:tcPr>
            <w:tcW w:w="1418" w:type="dxa"/>
            <w:shd w:val="clear" w:color="auto" w:fill="C6EFCE"/>
            <w:tcMar>
              <w:left w:w="108" w:type="dxa"/>
              <w:right w:w="108" w:type="dxa"/>
            </w:tcMar>
          </w:tcPr>
          <w:p w14:paraId="1E0ECFC9"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CA"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a common model for the development of the last mile</w:t>
            </w:r>
          </w:p>
        </w:tc>
      </w:tr>
      <w:tr w:rsidR="0048758A" w:rsidRPr="00E60E42" w14:paraId="1E0ECFD0" w14:textId="77777777" w:rsidTr="00884269">
        <w:trPr>
          <w:trHeight w:val="300"/>
          <w:jc w:val="center"/>
        </w:trPr>
        <w:tc>
          <w:tcPr>
            <w:tcW w:w="1413" w:type="dxa"/>
            <w:shd w:val="clear" w:color="auto" w:fill="C6EFCE"/>
            <w:tcMar>
              <w:left w:w="108" w:type="dxa"/>
              <w:right w:w="108" w:type="dxa"/>
            </w:tcMar>
            <w:vAlign w:val="center"/>
          </w:tcPr>
          <w:p w14:paraId="1E0ECFCC"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98</w:t>
            </w:r>
          </w:p>
        </w:tc>
        <w:tc>
          <w:tcPr>
            <w:tcW w:w="3118" w:type="dxa"/>
            <w:shd w:val="clear" w:color="auto" w:fill="C6EFCE"/>
            <w:tcMar>
              <w:left w:w="108" w:type="dxa"/>
              <w:right w:w="108" w:type="dxa"/>
            </w:tcMar>
          </w:tcPr>
          <w:p w14:paraId="1E0ECFCD"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3.1.1.4.i. Establishing a financing fund for the construction of low-rent housing </w:t>
            </w:r>
          </w:p>
        </w:tc>
        <w:tc>
          <w:tcPr>
            <w:tcW w:w="1418" w:type="dxa"/>
            <w:shd w:val="clear" w:color="auto" w:fill="C6EFCE"/>
            <w:tcMar>
              <w:left w:w="108" w:type="dxa"/>
              <w:right w:w="108" w:type="dxa"/>
            </w:tcMar>
          </w:tcPr>
          <w:p w14:paraId="1E0ECFCE"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CF"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Entry into force of the law balancing the rights of tenants and landlords </w:t>
            </w:r>
          </w:p>
        </w:tc>
      </w:tr>
      <w:tr w:rsidR="0048758A" w:rsidRPr="00E60E42" w14:paraId="1E0ECFD5" w14:textId="77777777" w:rsidTr="00884269">
        <w:trPr>
          <w:trHeight w:val="300"/>
          <w:jc w:val="center"/>
        </w:trPr>
        <w:tc>
          <w:tcPr>
            <w:tcW w:w="1413" w:type="dxa"/>
            <w:shd w:val="clear" w:color="auto" w:fill="C6EFCE"/>
            <w:tcMar>
              <w:left w:w="108" w:type="dxa"/>
              <w:right w:w="108" w:type="dxa"/>
            </w:tcMar>
            <w:vAlign w:val="center"/>
          </w:tcPr>
          <w:p w14:paraId="1E0ECFD1"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104</w:t>
            </w:r>
          </w:p>
        </w:tc>
        <w:tc>
          <w:tcPr>
            <w:tcW w:w="3118" w:type="dxa"/>
            <w:shd w:val="clear" w:color="auto" w:fill="C6EFCE"/>
            <w:tcMar>
              <w:left w:w="108" w:type="dxa"/>
              <w:right w:w="108" w:type="dxa"/>
            </w:tcMar>
          </w:tcPr>
          <w:p w14:paraId="1E0ECFD2"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3.1.1.5.i. Development o</w:t>
            </w:r>
            <w:r w:rsidRPr="00E60E42">
              <w:rPr>
                <w:rFonts w:ascii="Times New Roman" w:eastAsia="Times New Roman" w:hAnsi="Times New Roman" w:cs="Times New Roman"/>
                <w:noProof/>
                <w:kern w:val="0"/>
                <w:sz w:val="22"/>
                <w:szCs w:val="22"/>
                <w14:ligatures w14:val="none"/>
              </w:rPr>
              <w:t>f infrastructure and equipment of educational institutions</w:t>
            </w:r>
            <w:r w:rsidRPr="00E60E42">
              <w:rPr>
                <w:rFonts w:ascii="Times New Roman" w:eastAsia="Calibri" w:hAnsi="Times New Roman" w:cs="Arial"/>
                <w:noProof/>
                <w:color w:val="000000"/>
                <w:kern w:val="0"/>
                <w:sz w:val="22"/>
                <w:szCs w:val="22"/>
                <w14:ligatures w14:val="none"/>
              </w:rPr>
              <w:t xml:space="preserve"> </w:t>
            </w:r>
          </w:p>
        </w:tc>
        <w:tc>
          <w:tcPr>
            <w:tcW w:w="1418" w:type="dxa"/>
            <w:shd w:val="clear" w:color="auto" w:fill="C6EFCE"/>
            <w:tcMar>
              <w:left w:w="108" w:type="dxa"/>
              <w:right w:w="108" w:type="dxa"/>
            </w:tcMar>
          </w:tcPr>
          <w:p w14:paraId="1E0ECFD3"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D4"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Definition of qualitative and quantitative criteria adopted </w:t>
            </w:r>
          </w:p>
        </w:tc>
      </w:tr>
      <w:tr w:rsidR="0048758A" w:rsidRPr="00E60E42" w14:paraId="1E0ECFDA" w14:textId="77777777" w:rsidTr="00884269">
        <w:trPr>
          <w:trHeight w:val="300"/>
          <w:jc w:val="center"/>
        </w:trPr>
        <w:tc>
          <w:tcPr>
            <w:tcW w:w="1413" w:type="dxa"/>
            <w:shd w:val="clear" w:color="auto" w:fill="C6EFCE"/>
            <w:tcMar>
              <w:left w:w="108" w:type="dxa"/>
              <w:right w:w="108" w:type="dxa"/>
            </w:tcMar>
            <w:vAlign w:val="center"/>
          </w:tcPr>
          <w:p w14:paraId="1E0ECFD6"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110</w:t>
            </w:r>
          </w:p>
        </w:tc>
        <w:tc>
          <w:tcPr>
            <w:tcW w:w="3118" w:type="dxa"/>
            <w:shd w:val="clear" w:color="auto" w:fill="C6EFCE"/>
            <w:tcMar>
              <w:left w:w="108" w:type="dxa"/>
              <w:right w:w="108" w:type="dxa"/>
            </w:tcMar>
          </w:tcPr>
          <w:p w14:paraId="1E0ECFD7"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3.1.2.r. Access to social and employment services in support of the minimum income reform </w:t>
            </w:r>
          </w:p>
        </w:tc>
        <w:tc>
          <w:tcPr>
            <w:tcW w:w="1418" w:type="dxa"/>
            <w:shd w:val="clear" w:color="auto" w:fill="C6EFCE"/>
            <w:tcMar>
              <w:left w:w="108" w:type="dxa"/>
              <w:right w:w="108" w:type="dxa"/>
            </w:tcMar>
          </w:tcPr>
          <w:p w14:paraId="1E0ECFD8"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D9"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the strategic framework for further development of the minimum income support system</w:t>
            </w:r>
          </w:p>
        </w:tc>
      </w:tr>
      <w:tr w:rsidR="0048758A" w:rsidRPr="00E60E42" w14:paraId="1E0ECFDF" w14:textId="77777777" w:rsidTr="00884269">
        <w:trPr>
          <w:trHeight w:val="300"/>
          <w:jc w:val="center"/>
        </w:trPr>
        <w:tc>
          <w:tcPr>
            <w:tcW w:w="1413" w:type="dxa"/>
            <w:shd w:val="clear" w:color="auto" w:fill="C6EFCE"/>
            <w:tcMar>
              <w:left w:w="108" w:type="dxa"/>
              <w:right w:w="108" w:type="dxa"/>
            </w:tcMar>
            <w:vAlign w:val="center"/>
          </w:tcPr>
          <w:p w14:paraId="1E0ECFDB"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186</w:t>
            </w:r>
          </w:p>
        </w:tc>
        <w:tc>
          <w:tcPr>
            <w:tcW w:w="3118" w:type="dxa"/>
            <w:shd w:val="clear" w:color="auto" w:fill="C6EFCE"/>
            <w:tcMar>
              <w:left w:w="108" w:type="dxa"/>
              <w:right w:w="108" w:type="dxa"/>
            </w:tcMar>
          </w:tcPr>
          <w:p w14:paraId="1E0ECFDC"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6.2.1.r. Modernisation of the process of identifying money laundering, investigating economic crimes and judicial proceedings</w:t>
            </w:r>
          </w:p>
        </w:tc>
        <w:tc>
          <w:tcPr>
            <w:tcW w:w="1418" w:type="dxa"/>
            <w:shd w:val="clear" w:color="auto" w:fill="C6EFCE"/>
            <w:tcMar>
              <w:left w:w="108" w:type="dxa"/>
              <w:right w:w="108" w:type="dxa"/>
            </w:tcMar>
          </w:tcPr>
          <w:p w14:paraId="1E0ECFDD"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DE"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Entry into force of amendments to the Law on the prevention of money laundering and terrorist and proliferation financing </w:t>
            </w:r>
          </w:p>
        </w:tc>
      </w:tr>
      <w:tr w:rsidR="0048758A" w:rsidRPr="00E60E42" w14:paraId="1E0ECFE4" w14:textId="77777777" w:rsidTr="00884269">
        <w:trPr>
          <w:trHeight w:val="300"/>
          <w:jc w:val="center"/>
        </w:trPr>
        <w:tc>
          <w:tcPr>
            <w:tcW w:w="1413" w:type="dxa"/>
            <w:shd w:val="clear" w:color="auto" w:fill="C6EFCE"/>
            <w:tcMar>
              <w:left w:w="108" w:type="dxa"/>
              <w:right w:w="108" w:type="dxa"/>
            </w:tcMar>
            <w:vAlign w:val="center"/>
          </w:tcPr>
          <w:p w14:paraId="1E0ECFE0"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209</w:t>
            </w:r>
          </w:p>
        </w:tc>
        <w:tc>
          <w:tcPr>
            <w:tcW w:w="3118" w:type="dxa"/>
            <w:shd w:val="clear" w:color="auto" w:fill="C6EFCE"/>
            <w:tcMar>
              <w:left w:w="108" w:type="dxa"/>
              <w:right w:w="108" w:type="dxa"/>
            </w:tcMar>
          </w:tcPr>
          <w:p w14:paraId="1E0ECFE1"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6.4.2.r. Improvement of the Competition Environment</w:t>
            </w:r>
          </w:p>
        </w:tc>
        <w:tc>
          <w:tcPr>
            <w:tcW w:w="1418" w:type="dxa"/>
            <w:shd w:val="clear" w:color="auto" w:fill="C6EFCE"/>
            <w:tcMar>
              <w:left w:w="108" w:type="dxa"/>
              <w:right w:w="108" w:type="dxa"/>
            </w:tcMar>
          </w:tcPr>
          <w:p w14:paraId="1E0ECFE2"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E3"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Entry into force of regulatory framework for improving the competition environment and reducing corruption risks in public procurement</w:t>
            </w:r>
          </w:p>
        </w:tc>
      </w:tr>
      <w:tr w:rsidR="0048758A" w:rsidRPr="00E60E42" w14:paraId="1E0ECFE9" w14:textId="77777777" w:rsidTr="00884269">
        <w:trPr>
          <w:trHeight w:val="300"/>
          <w:jc w:val="center"/>
        </w:trPr>
        <w:tc>
          <w:tcPr>
            <w:tcW w:w="1413" w:type="dxa"/>
            <w:shd w:val="clear" w:color="auto" w:fill="C6EFCE"/>
            <w:tcMar>
              <w:left w:w="108" w:type="dxa"/>
              <w:right w:w="108" w:type="dxa"/>
            </w:tcMar>
            <w:vAlign w:val="center"/>
          </w:tcPr>
          <w:p w14:paraId="1E0ECFE5"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213</w:t>
            </w:r>
          </w:p>
        </w:tc>
        <w:tc>
          <w:tcPr>
            <w:tcW w:w="3118" w:type="dxa"/>
            <w:shd w:val="clear" w:color="auto" w:fill="C6EFCE"/>
            <w:tcMar>
              <w:left w:w="108" w:type="dxa"/>
              <w:right w:w="108" w:type="dxa"/>
            </w:tcMar>
          </w:tcPr>
          <w:p w14:paraId="1E0ECFE6"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6.4.4.r. IUB IT and analytical capacity building</w:t>
            </w:r>
          </w:p>
        </w:tc>
        <w:tc>
          <w:tcPr>
            <w:tcW w:w="1418" w:type="dxa"/>
            <w:shd w:val="clear" w:color="auto" w:fill="C6EFCE"/>
            <w:tcMar>
              <w:left w:w="108" w:type="dxa"/>
              <w:right w:w="108" w:type="dxa"/>
            </w:tcMar>
          </w:tcPr>
          <w:p w14:paraId="1E0ECFE7"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681" w:type="dxa"/>
            <w:shd w:val="clear" w:color="auto" w:fill="C6EFCE"/>
            <w:tcMar>
              <w:left w:w="108" w:type="dxa"/>
              <w:right w:w="108" w:type="dxa"/>
            </w:tcMar>
          </w:tcPr>
          <w:p w14:paraId="1E0ECFE8"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criteria for identifying risky market sectors, customers and purchases</w:t>
            </w:r>
          </w:p>
        </w:tc>
      </w:tr>
      <w:tr w:rsidR="0048758A" w:rsidRPr="00E60E42" w14:paraId="1E0ECFEE" w14:textId="77777777" w:rsidTr="00884269">
        <w:trPr>
          <w:trHeight w:val="300"/>
          <w:jc w:val="center"/>
        </w:trPr>
        <w:tc>
          <w:tcPr>
            <w:tcW w:w="1413" w:type="dxa"/>
            <w:shd w:val="clear" w:color="auto" w:fill="C6EFCE"/>
            <w:tcMar>
              <w:left w:w="108" w:type="dxa"/>
              <w:right w:w="108" w:type="dxa"/>
            </w:tcMar>
            <w:vAlign w:val="center"/>
          </w:tcPr>
          <w:p w14:paraId="1E0ECFEA"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 </w:t>
            </w:r>
          </w:p>
        </w:tc>
        <w:tc>
          <w:tcPr>
            <w:tcW w:w="3118" w:type="dxa"/>
            <w:shd w:val="clear" w:color="auto" w:fill="C6EFCE"/>
            <w:tcMar>
              <w:left w:w="108" w:type="dxa"/>
              <w:right w:w="108" w:type="dxa"/>
            </w:tcMar>
            <w:vAlign w:val="center"/>
          </w:tcPr>
          <w:p w14:paraId="1E0ECFEB"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 </w:t>
            </w:r>
          </w:p>
        </w:tc>
        <w:tc>
          <w:tcPr>
            <w:tcW w:w="1418" w:type="dxa"/>
            <w:shd w:val="clear" w:color="auto" w:fill="C6EFCE"/>
            <w:tcMar>
              <w:left w:w="108" w:type="dxa"/>
              <w:right w:w="108" w:type="dxa"/>
            </w:tcMar>
          </w:tcPr>
          <w:p w14:paraId="1E0ECFEC"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Instalment Amount</w:t>
            </w:r>
          </w:p>
        </w:tc>
        <w:tc>
          <w:tcPr>
            <w:tcW w:w="3681" w:type="dxa"/>
            <w:shd w:val="clear" w:color="auto" w:fill="C6EFCE"/>
            <w:tcMar>
              <w:left w:w="108" w:type="dxa"/>
              <w:right w:w="108" w:type="dxa"/>
            </w:tcMar>
            <w:vAlign w:val="center"/>
          </w:tcPr>
          <w:p w14:paraId="1E0ECFED"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EUR 231 000 000</w:t>
            </w:r>
          </w:p>
        </w:tc>
      </w:tr>
    </w:tbl>
    <w:p w14:paraId="1E0ECFEF" w14:textId="77777777" w:rsidR="004E39F6" w:rsidRPr="00E60E42" w:rsidRDefault="004E39F6" w:rsidP="0048758A">
      <w:pPr>
        <w:spacing w:after="0" w:line="257" w:lineRule="auto"/>
        <w:ind w:left="567" w:hanging="567"/>
        <w:contextualSpacing/>
        <w:jc w:val="both"/>
        <w:rPr>
          <w:rFonts w:ascii="Times New Roman" w:eastAsia="Times New Roman" w:hAnsi="Times New Roman" w:cs="Times New Roman"/>
          <w:noProof/>
          <w:kern w:val="0"/>
          <w14:ligatures w14:val="none"/>
        </w:rPr>
      </w:pPr>
    </w:p>
    <w:p w14:paraId="1E0ECFF0" w14:textId="77777777" w:rsidR="004E39F6" w:rsidRPr="00E60E42" w:rsidRDefault="00A35BEA" w:rsidP="0048758A">
      <w:pPr>
        <w:numPr>
          <w:ilvl w:val="1"/>
          <w:numId w:val="37"/>
        </w:numPr>
        <w:spacing w:after="0" w:line="257" w:lineRule="auto"/>
        <w:ind w:left="567" w:hanging="567"/>
        <w:contextualSpacing/>
        <w:jc w:val="both"/>
        <w:rPr>
          <w:rFonts w:ascii="Times New Roman" w:eastAsia="Times New Roman" w:hAnsi="Times New Roman" w:cs="Times New Roman"/>
          <w:noProof/>
          <w:kern w:val="0"/>
          <w14:ligatures w14:val="none"/>
        </w:rPr>
      </w:pPr>
      <w:r w:rsidRPr="00E60E42">
        <w:rPr>
          <w:rFonts w:ascii="Times New Roman" w:eastAsia="Calibri" w:hAnsi="Times New Roman" w:cs="Arial"/>
          <w:noProof/>
          <w:kern w:val="0"/>
          <w14:ligatures w14:val="none"/>
        </w:rPr>
        <w:t xml:space="preserve">Second Instalment (non-repayable support): </w:t>
      </w:r>
    </w:p>
    <w:p w14:paraId="1E0ECFF1" w14:textId="77777777" w:rsidR="004E39F6" w:rsidRPr="00E60E42" w:rsidRDefault="004E39F6" w:rsidP="0048758A">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560"/>
        <w:gridCol w:w="3539"/>
      </w:tblGrid>
      <w:tr w:rsidR="0048758A" w:rsidRPr="00E60E42" w14:paraId="1E0ECFF6" w14:textId="77777777" w:rsidTr="00884269">
        <w:trPr>
          <w:trHeight w:val="300"/>
          <w:tblHeader/>
          <w:jc w:val="center"/>
        </w:trPr>
        <w:tc>
          <w:tcPr>
            <w:tcW w:w="1413" w:type="dxa"/>
            <w:shd w:val="clear" w:color="auto" w:fill="BDD7EE"/>
            <w:tcMar>
              <w:left w:w="108" w:type="dxa"/>
              <w:right w:w="108" w:type="dxa"/>
            </w:tcMar>
            <w:vAlign w:val="center"/>
          </w:tcPr>
          <w:p w14:paraId="1E0ECFF2"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Sequential Number</w:t>
            </w:r>
          </w:p>
        </w:tc>
        <w:tc>
          <w:tcPr>
            <w:tcW w:w="3118" w:type="dxa"/>
            <w:shd w:val="clear" w:color="auto" w:fill="BDD7EE"/>
            <w:tcMar>
              <w:left w:w="108" w:type="dxa"/>
              <w:right w:w="108" w:type="dxa"/>
            </w:tcMar>
            <w:vAlign w:val="center"/>
          </w:tcPr>
          <w:p w14:paraId="1E0ECFF3" w14:textId="12CD8994"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 xml:space="preserve">Related Measure </w:t>
            </w:r>
            <w:r w:rsidRPr="00E60E42">
              <w:rPr>
                <w:rFonts w:ascii="Calibri" w:eastAsia="Calibri" w:hAnsi="Calibri" w:cs="Arial"/>
                <w:noProof/>
                <w:kern w:val="0"/>
                <w:sz w:val="22"/>
                <w:szCs w:val="22"/>
                <w14:ligatures w14:val="none"/>
              </w:rPr>
              <w:br/>
            </w:r>
            <w:r w:rsidRPr="00E60E42">
              <w:rPr>
                <w:rFonts w:ascii="Times New Roman" w:eastAsia="Calibri" w:hAnsi="Times New Roman" w:cs="Arial"/>
                <w:b/>
                <w:noProof/>
                <w:color w:val="000000"/>
                <w:kern w:val="0"/>
                <w:szCs w:val="22"/>
                <w14:ligatures w14:val="none"/>
              </w:rPr>
              <w:t>(Reform or Investment)</w:t>
            </w:r>
          </w:p>
        </w:tc>
        <w:tc>
          <w:tcPr>
            <w:tcW w:w="1560" w:type="dxa"/>
            <w:shd w:val="clear" w:color="auto" w:fill="BDD7EE"/>
            <w:tcMar>
              <w:left w:w="108" w:type="dxa"/>
              <w:right w:w="108" w:type="dxa"/>
            </w:tcMar>
            <w:vAlign w:val="center"/>
          </w:tcPr>
          <w:p w14:paraId="1E0ECFF4"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Milestone / Target</w:t>
            </w:r>
          </w:p>
        </w:tc>
        <w:tc>
          <w:tcPr>
            <w:tcW w:w="3539" w:type="dxa"/>
            <w:shd w:val="clear" w:color="auto" w:fill="BDD7EE"/>
            <w:tcMar>
              <w:left w:w="108" w:type="dxa"/>
              <w:right w:w="108" w:type="dxa"/>
            </w:tcMar>
            <w:vAlign w:val="center"/>
          </w:tcPr>
          <w:p w14:paraId="1E0ECFF5"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b/>
                <w:noProof/>
                <w:color w:val="000000"/>
                <w:kern w:val="0"/>
                <w:szCs w:val="22"/>
                <w14:ligatures w14:val="none"/>
              </w:rPr>
              <w:t>Name</w:t>
            </w:r>
          </w:p>
        </w:tc>
      </w:tr>
      <w:tr w:rsidR="0048758A" w:rsidRPr="00E60E42" w14:paraId="1E0ECFFB" w14:textId="77777777" w:rsidTr="00884269">
        <w:trPr>
          <w:trHeight w:val="300"/>
          <w:jc w:val="center"/>
        </w:trPr>
        <w:tc>
          <w:tcPr>
            <w:tcW w:w="1413" w:type="dxa"/>
            <w:shd w:val="clear" w:color="auto" w:fill="C6EFCE"/>
            <w:tcMar>
              <w:left w:w="108" w:type="dxa"/>
              <w:right w:w="108" w:type="dxa"/>
            </w:tcMar>
            <w:vAlign w:val="center"/>
          </w:tcPr>
          <w:p w14:paraId="1E0ECFF7"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7</w:t>
            </w:r>
          </w:p>
        </w:tc>
        <w:tc>
          <w:tcPr>
            <w:tcW w:w="3118" w:type="dxa"/>
            <w:shd w:val="clear" w:color="auto" w:fill="C6EFCE"/>
            <w:tcMar>
              <w:left w:w="108" w:type="dxa"/>
              <w:right w:w="108" w:type="dxa"/>
            </w:tcMar>
          </w:tcPr>
          <w:p w14:paraId="1E0ECFF8"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1.2.1.1.i. Improving the energy efficiency of multi-apartment buildings </w:t>
            </w:r>
          </w:p>
        </w:tc>
        <w:tc>
          <w:tcPr>
            <w:tcW w:w="1560" w:type="dxa"/>
            <w:shd w:val="clear" w:color="auto" w:fill="C6EFCE"/>
            <w:tcMar>
              <w:left w:w="108" w:type="dxa"/>
              <w:right w:w="108" w:type="dxa"/>
            </w:tcMar>
          </w:tcPr>
          <w:p w14:paraId="1E0ECFF9"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CFFA"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Entry into force of support programme for improving energy efficiency in residential buildings </w:t>
            </w:r>
          </w:p>
        </w:tc>
      </w:tr>
      <w:tr w:rsidR="0048758A" w:rsidRPr="00E60E42" w14:paraId="1E0ED000" w14:textId="77777777" w:rsidTr="00884269">
        <w:trPr>
          <w:trHeight w:val="300"/>
          <w:jc w:val="center"/>
        </w:trPr>
        <w:tc>
          <w:tcPr>
            <w:tcW w:w="1413" w:type="dxa"/>
            <w:shd w:val="clear" w:color="auto" w:fill="C6EFCE"/>
            <w:tcMar>
              <w:left w:w="108" w:type="dxa"/>
              <w:right w:w="108" w:type="dxa"/>
            </w:tcMar>
            <w:vAlign w:val="center"/>
          </w:tcPr>
          <w:p w14:paraId="1E0ECFFC"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10</w:t>
            </w:r>
          </w:p>
        </w:tc>
        <w:tc>
          <w:tcPr>
            <w:tcW w:w="3118" w:type="dxa"/>
            <w:shd w:val="clear" w:color="auto" w:fill="C6EFCE"/>
            <w:tcMar>
              <w:left w:w="108" w:type="dxa"/>
              <w:right w:w="108" w:type="dxa"/>
            </w:tcMar>
          </w:tcPr>
          <w:p w14:paraId="1E0ECFFD"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1.2.1.2.i. Increasing energy efficiency in business in the form of a combined financial instrument</w:t>
            </w:r>
          </w:p>
        </w:tc>
        <w:tc>
          <w:tcPr>
            <w:tcW w:w="1560" w:type="dxa"/>
            <w:shd w:val="clear" w:color="auto" w:fill="C6EFCE"/>
            <w:tcMar>
              <w:left w:w="108" w:type="dxa"/>
              <w:right w:w="108" w:type="dxa"/>
            </w:tcMar>
          </w:tcPr>
          <w:p w14:paraId="1E0ECFFE"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CFFF"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Entry into force of the Support Programme for Entrepreneurial Energy Efficiency</w:t>
            </w:r>
          </w:p>
        </w:tc>
      </w:tr>
      <w:tr w:rsidR="0048758A" w:rsidRPr="00E60E42" w14:paraId="1E0ED005" w14:textId="77777777" w:rsidTr="00884269">
        <w:trPr>
          <w:trHeight w:val="300"/>
          <w:jc w:val="center"/>
        </w:trPr>
        <w:tc>
          <w:tcPr>
            <w:tcW w:w="1413" w:type="dxa"/>
            <w:shd w:val="clear" w:color="auto" w:fill="C6EFCE"/>
            <w:tcMar>
              <w:left w:w="108" w:type="dxa"/>
              <w:right w:w="108" w:type="dxa"/>
            </w:tcMar>
            <w:vAlign w:val="center"/>
          </w:tcPr>
          <w:p w14:paraId="1E0ED001"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13</w:t>
            </w:r>
          </w:p>
        </w:tc>
        <w:tc>
          <w:tcPr>
            <w:tcW w:w="3118" w:type="dxa"/>
            <w:shd w:val="clear" w:color="auto" w:fill="C6EFCE"/>
            <w:tcMar>
              <w:left w:w="108" w:type="dxa"/>
              <w:right w:w="108" w:type="dxa"/>
            </w:tcMar>
          </w:tcPr>
          <w:p w14:paraId="1E0ED002"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1.2.1.3.i. Improving energy efficiency of municipal buildings </w:t>
            </w:r>
          </w:p>
        </w:tc>
        <w:tc>
          <w:tcPr>
            <w:tcW w:w="1560" w:type="dxa"/>
            <w:shd w:val="clear" w:color="auto" w:fill="C6EFCE"/>
            <w:tcMar>
              <w:left w:w="108" w:type="dxa"/>
              <w:right w:w="108" w:type="dxa"/>
            </w:tcMar>
          </w:tcPr>
          <w:p w14:paraId="1E0ED003"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04"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Entry into force of the legal framework for a support programme to improve energy efficiency in municipal infrastructure, which supports projects with a planned reduction of primary energy or CO2 by at least 30 %</w:t>
            </w:r>
          </w:p>
        </w:tc>
      </w:tr>
      <w:tr w:rsidR="0048758A" w:rsidRPr="00E60E42" w14:paraId="1E0ED00A" w14:textId="77777777" w:rsidTr="00884269">
        <w:trPr>
          <w:trHeight w:val="300"/>
          <w:jc w:val="center"/>
        </w:trPr>
        <w:tc>
          <w:tcPr>
            <w:tcW w:w="1413" w:type="dxa"/>
            <w:shd w:val="clear" w:color="auto" w:fill="C6EFCE"/>
            <w:tcMar>
              <w:left w:w="108" w:type="dxa"/>
              <w:right w:w="108" w:type="dxa"/>
            </w:tcMar>
            <w:vAlign w:val="center"/>
          </w:tcPr>
          <w:p w14:paraId="1E0ED006"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16</w:t>
            </w:r>
          </w:p>
        </w:tc>
        <w:tc>
          <w:tcPr>
            <w:tcW w:w="3118" w:type="dxa"/>
            <w:shd w:val="clear" w:color="auto" w:fill="C6EFCE"/>
            <w:tcMar>
              <w:left w:w="108" w:type="dxa"/>
              <w:right w:w="108" w:type="dxa"/>
            </w:tcMar>
          </w:tcPr>
          <w:p w14:paraId="1E0ED007"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1.2.1.4.i. Improving the energy efficiency of public sector buildings</w:t>
            </w:r>
          </w:p>
        </w:tc>
        <w:tc>
          <w:tcPr>
            <w:tcW w:w="1560" w:type="dxa"/>
            <w:shd w:val="clear" w:color="auto" w:fill="C6EFCE"/>
            <w:tcMar>
              <w:left w:w="108" w:type="dxa"/>
              <w:right w:w="108" w:type="dxa"/>
            </w:tcMar>
          </w:tcPr>
          <w:p w14:paraId="1E0ED008"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09"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Entry into force of support programme for improving energy efficiency in national and historical buildings </w:t>
            </w:r>
          </w:p>
        </w:tc>
      </w:tr>
      <w:tr w:rsidR="0048758A" w:rsidRPr="00E60E42" w14:paraId="1E0ED00F" w14:textId="77777777" w:rsidTr="00884269">
        <w:trPr>
          <w:trHeight w:val="300"/>
          <w:jc w:val="center"/>
        </w:trPr>
        <w:tc>
          <w:tcPr>
            <w:tcW w:w="1413" w:type="dxa"/>
            <w:shd w:val="clear" w:color="auto" w:fill="C6EFCE"/>
            <w:tcMar>
              <w:left w:w="108" w:type="dxa"/>
              <w:right w:w="108" w:type="dxa"/>
            </w:tcMar>
            <w:vAlign w:val="center"/>
          </w:tcPr>
          <w:p w14:paraId="1E0ED00B"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22</w:t>
            </w:r>
          </w:p>
        </w:tc>
        <w:tc>
          <w:tcPr>
            <w:tcW w:w="3118" w:type="dxa"/>
            <w:shd w:val="clear" w:color="auto" w:fill="C6EFCE"/>
            <w:tcMar>
              <w:left w:w="108" w:type="dxa"/>
              <w:right w:w="108" w:type="dxa"/>
            </w:tcMar>
          </w:tcPr>
          <w:p w14:paraId="1E0ED00C"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1.3.1.r. Disaster management system adaptation to climate change, rescue and rapid response services</w:t>
            </w:r>
          </w:p>
        </w:tc>
        <w:tc>
          <w:tcPr>
            <w:tcW w:w="1560" w:type="dxa"/>
            <w:shd w:val="clear" w:color="auto" w:fill="C6EFCE"/>
            <w:tcMar>
              <w:left w:w="108" w:type="dxa"/>
              <w:right w:w="108" w:type="dxa"/>
            </w:tcMar>
          </w:tcPr>
          <w:p w14:paraId="1E0ED00D"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0E"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Publication of a report on implementation of the disaster risk management system</w:t>
            </w:r>
          </w:p>
        </w:tc>
      </w:tr>
      <w:tr w:rsidR="0048758A" w:rsidRPr="00E60E42" w14:paraId="1E0ED014" w14:textId="77777777" w:rsidTr="00884269">
        <w:trPr>
          <w:trHeight w:val="300"/>
          <w:jc w:val="center"/>
        </w:trPr>
        <w:tc>
          <w:tcPr>
            <w:tcW w:w="1413" w:type="dxa"/>
            <w:shd w:val="clear" w:color="auto" w:fill="C6EFCE"/>
            <w:tcMar>
              <w:left w:w="108" w:type="dxa"/>
              <w:right w:w="108" w:type="dxa"/>
            </w:tcMar>
            <w:vAlign w:val="center"/>
          </w:tcPr>
          <w:p w14:paraId="1E0ED010"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27</w:t>
            </w:r>
          </w:p>
        </w:tc>
        <w:tc>
          <w:tcPr>
            <w:tcW w:w="3118" w:type="dxa"/>
            <w:shd w:val="clear" w:color="auto" w:fill="C6EFCE"/>
            <w:tcMar>
              <w:left w:w="108" w:type="dxa"/>
              <w:right w:w="108" w:type="dxa"/>
            </w:tcMar>
          </w:tcPr>
          <w:p w14:paraId="1E0ED011"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2.1.1.r. Modernisation of national processes and services and digital transformation</w:t>
            </w:r>
          </w:p>
        </w:tc>
        <w:tc>
          <w:tcPr>
            <w:tcW w:w="1560" w:type="dxa"/>
            <w:shd w:val="clear" w:color="auto" w:fill="C6EFCE"/>
            <w:tcMar>
              <w:left w:w="108" w:type="dxa"/>
              <w:right w:w="108" w:type="dxa"/>
            </w:tcMar>
          </w:tcPr>
          <w:p w14:paraId="1E0ED012"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13"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Establishment of a framework for unified governance management of ICT development activities in public administration</w:t>
            </w:r>
          </w:p>
        </w:tc>
      </w:tr>
      <w:tr w:rsidR="0048758A" w:rsidRPr="00E60E42" w14:paraId="1E0ED019" w14:textId="77777777" w:rsidTr="00884269">
        <w:trPr>
          <w:trHeight w:val="300"/>
          <w:jc w:val="center"/>
        </w:trPr>
        <w:tc>
          <w:tcPr>
            <w:tcW w:w="1413" w:type="dxa"/>
            <w:shd w:val="clear" w:color="auto" w:fill="C6EFCE"/>
            <w:tcMar>
              <w:left w:w="108" w:type="dxa"/>
              <w:right w:w="108" w:type="dxa"/>
            </w:tcMar>
            <w:vAlign w:val="center"/>
          </w:tcPr>
          <w:p w14:paraId="1E0ED015"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28</w:t>
            </w:r>
          </w:p>
        </w:tc>
        <w:tc>
          <w:tcPr>
            <w:tcW w:w="3118" w:type="dxa"/>
            <w:shd w:val="clear" w:color="auto" w:fill="C6EFCE"/>
            <w:tcMar>
              <w:left w:w="108" w:type="dxa"/>
              <w:right w:w="108" w:type="dxa"/>
            </w:tcMar>
          </w:tcPr>
          <w:p w14:paraId="1E0ED016"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2.1.1.r Modernisation of national processes and services and digital transformation</w:t>
            </w:r>
          </w:p>
        </w:tc>
        <w:tc>
          <w:tcPr>
            <w:tcW w:w="1560" w:type="dxa"/>
            <w:shd w:val="clear" w:color="auto" w:fill="C6EFCE"/>
            <w:tcMar>
              <w:left w:w="108" w:type="dxa"/>
              <w:right w:w="108" w:type="dxa"/>
            </w:tcMar>
          </w:tcPr>
          <w:p w14:paraId="1E0ED017"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18"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Establishment of a normative framework for receiving support in the field of digital transformation of public administration processes and services</w:t>
            </w:r>
          </w:p>
        </w:tc>
      </w:tr>
      <w:tr w:rsidR="0048758A" w:rsidRPr="00E60E42" w14:paraId="1E0ED01E" w14:textId="77777777" w:rsidTr="00884269">
        <w:trPr>
          <w:trHeight w:val="300"/>
          <w:jc w:val="center"/>
        </w:trPr>
        <w:tc>
          <w:tcPr>
            <w:tcW w:w="1413" w:type="dxa"/>
            <w:shd w:val="clear" w:color="auto" w:fill="C6EFCE"/>
            <w:tcMar>
              <w:left w:w="108" w:type="dxa"/>
              <w:right w:w="108" w:type="dxa"/>
            </w:tcMar>
            <w:vAlign w:val="center"/>
          </w:tcPr>
          <w:p w14:paraId="1E0ED01A"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31</w:t>
            </w:r>
          </w:p>
        </w:tc>
        <w:tc>
          <w:tcPr>
            <w:tcW w:w="3118" w:type="dxa"/>
            <w:shd w:val="clear" w:color="auto" w:fill="C6EFCE"/>
            <w:tcMar>
              <w:left w:w="108" w:type="dxa"/>
              <w:right w:w="108" w:type="dxa"/>
            </w:tcMar>
          </w:tcPr>
          <w:p w14:paraId="1E0ED01B"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2.1.2.r. Increasing efficiency and interoperability in the use of national ICT resources</w:t>
            </w:r>
          </w:p>
        </w:tc>
        <w:tc>
          <w:tcPr>
            <w:tcW w:w="1560" w:type="dxa"/>
            <w:shd w:val="clear" w:color="auto" w:fill="C6EFCE"/>
            <w:tcMar>
              <w:left w:w="108" w:type="dxa"/>
              <w:right w:w="108" w:type="dxa"/>
            </w:tcMar>
          </w:tcPr>
          <w:p w14:paraId="1E0ED01C"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1D"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Establishment of the legal framework for receiving support in the area of development of central systems and platforms of public administration and consolidation of computing infrastructure services</w:t>
            </w:r>
          </w:p>
        </w:tc>
      </w:tr>
      <w:tr w:rsidR="0048758A" w:rsidRPr="00E60E42" w14:paraId="1E0ED023" w14:textId="77777777" w:rsidTr="00884269">
        <w:trPr>
          <w:trHeight w:val="300"/>
          <w:jc w:val="center"/>
        </w:trPr>
        <w:tc>
          <w:tcPr>
            <w:tcW w:w="1413" w:type="dxa"/>
            <w:shd w:val="clear" w:color="auto" w:fill="C6EFCE"/>
            <w:tcMar>
              <w:left w:w="108" w:type="dxa"/>
              <w:right w:w="108" w:type="dxa"/>
            </w:tcMar>
            <w:vAlign w:val="center"/>
          </w:tcPr>
          <w:p w14:paraId="1E0ED01F"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37</w:t>
            </w:r>
          </w:p>
        </w:tc>
        <w:tc>
          <w:tcPr>
            <w:tcW w:w="3118" w:type="dxa"/>
            <w:shd w:val="clear" w:color="auto" w:fill="C6EFCE"/>
            <w:tcMar>
              <w:left w:w="108" w:type="dxa"/>
              <w:right w:w="108" w:type="dxa"/>
            </w:tcMar>
          </w:tcPr>
          <w:p w14:paraId="1E0ED020"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2.1.3.r. Development of the national economic data and digital services economy</w:t>
            </w:r>
          </w:p>
        </w:tc>
        <w:tc>
          <w:tcPr>
            <w:tcW w:w="1560" w:type="dxa"/>
            <w:shd w:val="clear" w:color="auto" w:fill="C6EFCE"/>
            <w:tcMar>
              <w:left w:w="108" w:type="dxa"/>
              <w:right w:w="108" w:type="dxa"/>
            </w:tcMar>
          </w:tcPr>
          <w:p w14:paraId="1E0ED021"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22"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Entry into force of the legal framework for receiving support in the field of transformation of economic data management</w:t>
            </w:r>
          </w:p>
        </w:tc>
      </w:tr>
      <w:tr w:rsidR="0048758A" w:rsidRPr="00E60E42" w14:paraId="1E0ED028" w14:textId="77777777" w:rsidTr="00884269">
        <w:trPr>
          <w:trHeight w:val="300"/>
          <w:jc w:val="center"/>
        </w:trPr>
        <w:tc>
          <w:tcPr>
            <w:tcW w:w="1413" w:type="dxa"/>
            <w:shd w:val="clear" w:color="auto" w:fill="C6EFCE"/>
            <w:tcMar>
              <w:left w:w="108" w:type="dxa"/>
              <w:right w:w="108" w:type="dxa"/>
            </w:tcMar>
            <w:vAlign w:val="center"/>
          </w:tcPr>
          <w:p w14:paraId="1E0ED024"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40</w:t>
            </w:r>
          </w:p>
        </w:tc>
        <w:tc>
          <w:tcPr>
            <w:tcW w:w="3118" w:type="dxa"/>
            <w:shd w:val="clear" w:color="auto" w:fill="C6EFCE"/>
            <w:tcMar>
              <w:left w:w="108" w:type="dxa"/>
              <w:right w:w="108" w:type="dxa"/>
            </w:tcMar>
          </w:tcPr>
          <w:p w14:paraId="1E0ED025"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2.2.1.r. Creating the full cycle of business digital transformation support with regional coverage</w:t>
            </w:r>
          </w:p>
        </w:tc>
        <w:tc>
          <w:tcPr>
            <w:tcW w:w="1560" w:type="dxa"/>
            <w:shd w:val="clear" w:color="auto" w:fill="C6EFCE"/>
            <w:tcMar>
              <w:left w:w="108" w:type="dxa"/>
              <w:right w:w="108" w:type="dxa"/>
            </w:tcMar>
          </w:tcPr>
          <w:p w14:paraId="1E0ED026"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27"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The European Digital Innovation Hub (EDIH) has been established</w:t>
            </w:r>
          </w:p>
        </w:tc>
      </w:tr>
      <w:tr w:rsidR="0048758A" w:rsidRPr="00E60E42" w14:paraId="1E0ED02D" w14:textId="77777777" w:rsidTr="00884269">
        <w:trPr>
          <w:trHeight w:val="300"/>
          <w:jc w:val="center"/>
        </w:trPr>
        <w:tc>
          <w:tcPr>
            <w:tcW w:w="1413" w:type="dxa"/>
            <w:shd w:val="clear" w:color="auto" w:fill="C6EFCE"/>
            <w:tcMar>
              <w:left w:w="108" w:type="dxa"/>
              <w:right w:w="108" w:type="dxa"/>
            </w:tcMar>
            <w:vAlign w:val="center"/>
          </w:tcPr>
          <w:p w14:paraId="1E0ED029"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41</w:t>
            </w:r>
          </w:p>
        </w:tc>
        <w:tc>
          <w:tcPr>
            <w:tcW w:w="3118" w:type="dxa"/>
            <w:shd w:val="clear" w:color="auto" w:fill="C6EFCE"/>
            <w:tcMar>
              <w:left w:w="108" w:type="dxa"/>
              <w:right w:w="108" w:type="dxa"/>
            </w:tcMar>
          </w:tcPr>
          <w:p w14:paraId="1E0ED02A"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2.2.1.r. Creating the full cycle of business digital transformation support with regional coverage</w:t>
            </w:r>
          </w:p>
        </w:tc>
        <w:tc>
          <w:tcPr>
            <w:tcW w:w="1560" w:type="dxa"/>
            <w:shd w:val="clear" w:color="auto" w:fill="C6EFCE"/>
            <w:tcMar>
              <w:left w:w="108" w:type="dxa"/>
              <w:right w:w="108" w:type="dxa"/>
            </w:tcMar>
          </w:tcPr>
          <w:p w14:paraId="1E0ED02B"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2C"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Regional business support centres provide new digital transformation support functions </w:t>
            </w:r>
          </w:p>
        </w:tc>
      </w:tr>
      <w:tr w:rsidR="0048758A" w:rsidRPr="00E60E42" w14:paraId="1E0ED032" w14:textId="77777777" w:rsidTr="00884269">
        <w:trPr>
          <w:trHeight w:val="300"/>
          <w:jc w:val="center"/>
        </w:trPr>
        <w:tc>
          <w:tcPr>
            <w:tcW w:w="1413" w:type="dxa"/>
            <w:shd w:val="clear" w:color="auto" w:fill="C6EFCE"/>
            <w:tcMar>
              <w:left w:w="108" w:type="dxa"/>
              <w:right w:w="108" w:type="dxa"/>
            </w:tcMar>
            <w:vAlign w:val="center"/>
          </w:tcPr>
          <w:p w14:paraId="1E0ED02E"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42</w:t>
            </w:r>
          </w:p>
        </w:tc>
        <w:tc>
          <w:tcPr>
            <w:tcW w:w="3118" w:type="dxa"/>
            <w:shd w:val="clear" w:color="auto" w:fill="C6EFCE"/>
            <w:tcMar>
              <w:left w:w="108" w:type="dxa"/>
              <w:right w:w="108" w:type="dxa"/>
            </w:tcMar>
          </w:tcPr>
          <w:p w14:paraId="1E0ED02F"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2.2.1.r. Creating the full cycle of business digital transformation support with regional coverage</w:t>
            </w:r>
          </w:p>
        </w:tc>
        <w:tc>
          <w:tcPr>
            <w:tcW w:w="1560" w:type="dxa"/>
            <w:shd w:val="clear" w:color="auto" w:fill="C6EFCE"/>
            <w:tcMar>
              <w:left w:w="108" w:type="dxa"/>
              <w:right w:w="108" w:type="dxa"/>
            </w:tcMar>
          </w:tcPr>
          <w:p w14:paraId="1E0ED030"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31"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Establishment of a digital maturity test system for entities to identify the actions needed by the entities and state support</w:t>
            </w:r>
          </w:p>
        </w:tc>
      </w:tr>
      <w:tr w:rsidR="0048758A" w:rsidRPr="00E60E42" w14:paraId="1E0ED037" w14:textId="77777777" w:rsidTr="00884269">
        <w:trPr>
          <w:trHeight w:val="300"/>
          <w:jc w:val="center"/>
        </w:trPr>
        <w:tc>
          <w:tcPr>
            <w:tcW w:w="1413" w:type="dxa"/>
            <w:shd w:val="clear" w:color="auto" w:fill="C6EFCE"/>
            <w:tcMar>
              <w:left w:w="108" w:type="dxa"/>
              <w:right w:w="108" w:type="dxa"/>
            </w:tcMar>
            <w:vAlign w:val="center"/>
          </w:tcPr>
          <w:p w14:paraId="1E0ED033"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69</w:t>
            </w:r>
          </w:p>
        </w:tc>
        <w:tc>
          <w:tcPr>
            <w:tcW w:w="3118" w:type="dxa"/>
            <w:shd w:val="clear" w:color="auto" w:fill="C6EFCE"/>
            <w:tcMar>
              <w:left w:w="108" w:type="dxa"/>
              <w:right w:w="108" w:type="dxa"/>
            </w:tcMar>
          </w:tcPr>
          <w:p w14:paraId="1E0ED034"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2.3.2.r. Digital skills for the digital transformation of society and government</w:t>
            </w:r>
          </w:p>
        </w:tc>
        <w:tc>
          <w:tcPr>
            <w:tcW w:w="1560" w:type="dxa"/>
            <w:shd w:val="clear" w:color="auto" w:fill="C6EFCE"/>
            <w:tcMar>
              <w:left w:w="108" w:type="dxa"/>
              <w:right w:w="108" w:type="dxa"/>
            </w:tcMar>
          </w:tcPr>
          <w:p w14:paraId="1E0ED035"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36"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The normative framework strengthens and implements a common framework for assessment of basic digital skills, identification and planning of training needs and assessment</w:t>
            </w:r>
          </w:p>
        </w:tc>
      </w:tr>
      <w:tr w:rsidR="0048758A" w:rsidRPr="00E60E42" w14:paraId="1E0ED03C" w14:textId="77777777" w:rsidTr="00884269">
        <w:trPr>
          <w:trHeight w:val="300"/>
          <w:jc w:val="center"/>
        </w:trPr>
        <w:tc>
          <w:tcPr>
            <w:tcW w:w="1413" w:type="dxa"/>
            <w:shd w:val="clear" w:color="auto" w:fill="C6EFCE"/>
            <w:tcMar>
              <w:left w:w="108" w:type="dxa"/>
              <w:right w:w="108" w:type="dxa"/>
            </w:tcMar>
            <w:vAlign w:val="center"/>
          </w:tcPr>
          <w:p w14:paraId="1E0ED038"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70</w:t>
            </w:r>
          </w:p>
        </w:tc>
        <w:tc>
          <w:tcPr>
            <w:tcW w:w="3118" w:type="dxa"/>
            <w:shd w:val="clear" w:color="auto" w:fill="C6EFCE"/>
            <w:tcMar>
              <w:left w:w="108" w:type="dxa"/>
              <w:right w:w="108" w:type="dxa"/>
            </w:tcMar>
          </w:tcPr>
          <w:p w14:paraId="1E0ED039"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2.3.2.r. Digital skills for the digital transformation of society and government</w:t>
            </w:r>
          </w:p>
        </w:tc>
        <w:tc>
          <w:tcPr>
            <w:tcW w:w="1560" w:type="dxa"/>
            <w:shd w:val="clear" w:color="auto" w:fill="C6EFCE"/>
            <w:tcMar>
              <w:left w:w="108" w:type="dxa"/>
              <w:right w:w="108" w:type="dxa"/>
            </w:tcMar>
          </w:tcPr>
          <w:p w14:paraId="1E0ED03A"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3B"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Amendments have entered into force to normative acts on national higher education standards, envisaging achievement of digital competence study results at the corresponding levels of the Latvian Qualification Framework </w:t>
            </w:r>
          </w:p>
        </w:tc>
      </w:tr>
      <w:tr w:rsidR="0048758A" w:rsidRPr="00E60E42" w14:paraId="1E0ED041" w14:textId="77777777" w:rsidTr="00884269">
        <w:trPr>
          <w:trHeight w:val="300"/>
          <w:jc w:val="center"/>
        </w:trPr>
        <w:tc>
          <w:tcPr>
            <w:tcW w:w="1413" w:type="dxa"/>
            <w:shd w:val="clear" w:color="auto" w:fill="C6EFCE"/>
            <w:tcMar>
              <w:left w:w="108" w:type="dxa"/>
              <w:right w:w="108" w:type="dxa"/>
            </w:tcMar>
            <w:vAlign w:val="center"/>
          </w:tcPr>
          <w:p w14:paraId="1E0ED03D"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85</w:t>
            </w:r>
          </w:p>
        </w:tc>
        <w:tc>
          <w:tcPr>
            <w:tcW w:w="3118" w:type="dxa"/>
            <w:shd w:val="clear" w:color="auto" w:fill="C6EFCE"/>
            <w:tcMar>
              <w:left w:w="108" w:type="dxa"/>
              <w:right w:w="108" w:type="dxa"/>
            </w:tcMar>
          </w:tcPr>
          <w:p w14:paraId="1E0ED03E"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3.1.1.1.i. Improvement of the network of regional and local roads </w:t>
            </w:r>
          </w:p>
        </w:tc>
        <w:tc>
          <w:tcPr>
            <w:tcW w:w="1560" w:type="dxa"/>
            <w:shd w:val="clear" w:color="auto" w:fill="C6EFCE"/>
            <w:tcMar>
              <w:left w:w="108" w:type="dxa"/>
              <w:right w:w="108" w:type="dxa"/>
            </w:tcMar>
          </w:tcPr>
          <w:p w14:paraId="1E0ED03F"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Target</w:t>
            </w:r>
          </w:p>
        </w:tc>
        <w:tc>
          <w:tcPr>
            <w:tcW w:w="3539" w:type="dxa"/>
            <w:shd w:val="clear" w:color="auto" w:fill="C6EFCE"/>
            <w:tcMar>
              <w:left w:w="108" w:type="dxa"/>
              <w:right w:w="108" w:type="dxa"/>
            </w:tcMar>
          </w:tcPr>
          <w:p w14:paraId="1E0ED040"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Renovated or rebuilt regional and local roads for the safe accessibility of the county administrative centres and their services and jobs and for the full functioning of the new municipalities </w:t>
            </w:r>
          </w:p>
        </w:tc>
      </w:tr>
      <w:tr w:rsidR="0048758A" w:rsidRPr="00E60E42" w14:paraId="1E0ED046" w14:textId="77777777" w:rsidTr="00884269">
        <w:trPr>
          <w:trHeight w:val="300"/>
          <w:jc w:val="center"/>
        </w:trPr>
        <w:tc>
          <w:tcPr>
            <w:tcW w:w="1413" w:type="dxa"/>
            <w:shd w:val="clear" w:color="auto" w:fill="C6EFCE"/>
            <w:tcMar>
              <w:left w:w="108" w:type="dxa"/>
              <w:right w:w="108" w:type="dxa"/>
            </w:tcMar>
            <w:vAlign w:val="center"/>
          </w:tcPr>
          <w:p w14:paraId="1E0ED042"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89</w:t>
            </w:r>
          </w:p>
        </w:tc>
        <w:tc>
          <w:tcPr>
            <w:tcW w:w="3118" w:type="dxa"/>
            <w:shd w:val="clear" w:color="auto" w:fill="C6EFCE"/>
            <w:tcMar>
              <w:left w:w="108" w:type="dxa"/>
              <w:right w:w="108" w:type="dxa"/>
            </w:tcMar>
          </w:tcPr>
          <w:p w14:paraId="1E0ED043"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3.1.1.2.i. Strengthening the capacity of municipalities to improve service efficiency and quality</w:t>
            </w:r>
          </w:p>
        </w:tc>
        <w:tc>
          <w:tcPr>
            <w:tcW w:w="1560" w:type="dxa"/>
            <w:shd w:val="clear" w:color="auto" w:fill="C6EFCE"/>
            <w:tcMar>
              <w:left w:w="108" w:type="dxa"/>
              <w:right w:w="108" w:type="dxa"/>
            </w:tcMar>
          </w:tcPr>
          <w:p w14:paraId="1E0ED044"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45"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The legal basis for implementing support for capacity building of local governments has been adopted </w:t>
            </w:r>
          </w:p>
        </w:tc>
      </w:tr>
      <w:tr w:rsidR="0048758A" w:rsidRPr="00E60E42" w14:paraId="1E0ED04B" w14:textId="77777777" w:rsidTr="00884269">
        <w:trPr>
          <w:trHeight w:val="300"/>
          <w:jc w:val="center"/>
        </w:trPr>
        <w:tc>
          <w:tcPr>
            <w:tcW w:w="1413" w:type="dxa"/>
            <w:shd w:val="clear" w:color="auto" w:fill="C6EFCE"/>
            <w:tcMar>
              <w:left w:w="108" w:type="dxa"/>
              <w:right w:w="108" w:type="dxa"/>
            </w:tcMar>
            <w:vAlign w:val="center"/>
          </w:tcPr>
          <w:p w14:paraId="1E0ED047"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93</w:t>
            </w:r>
          </w:p>
        </w:tc>
        <w:tc>
          <w:tcPr>
            <w:tcW w:w="3118" w:type="dxa"/>
            <w:shd w:val="clear" w:color="auto" w:fill="C6EFCE"/>
            <w:tcMar>
              <w:left w:w="108" w:type="dxa"/>
              <w:right w:w="108" w:type="dxa"/>
            </w:tcMar>
          </w:tcPr>
          <w:p w14:paraId="1E0ED048"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3.1.1.3.i. Investments in public infrastructure to develop industrial parks in the regions </w:t>
            </w:r>
          </w:p>
        </w:tc>
        <w:tc>
          <w:tcPr>
            <w:tcW w:w="1560" w:type="dxa"/>
            <w:shd w:val="clear" w:color="auto" w:fill="C6EFCE"/>
            <w:tcMar>
              <w:left w:w="108" w:type="dxa"/>
              <w:right w:w="108" w:type="dxa"/>
            </w:tcMar>
          </w:tcPr>
          <w:p w14:paraId="1E0ED049"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4A"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a support programme for the development of industrial parks and territories in the regions</w:t>
            </w:r>
          </w:p>
        </w:tc>
      </w:tr>
      <w:tr w:rsidR="0048758A" w:rsidRPr="00E60E42" w14:paraId="1E0ED050" w14:textId="77777777" w:rsidTr="00884269">
        <w:trPr>
          <w:trHeight w:val="300"/>
          <w:jc w:val="center"/>
        </w:trPr>
        <w:tc>
          <w:tcPr>
            <w:tcW w:w="1413" w:type="dxa"/>
            <w:shd w:val="clear" w:color="auto" w:fill="C6EFCE"/>
            <w:tcMar>
              <w:left w:w="108" w:type="dxa"/>
              <w:right w:w="108" w:type="dxa"/>
            </w:tcMar>
            <w:vAlign w:val="center"/>
          </w:tcPr>
          <w:p w14:paraId="1E0ED04C"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99</w:t>
            </w:r>
          </w:p>
        </w:tc>
        <w:tc>
          <w:tcPr>
            <w:tcW w:w="3118" w:type="dxa"/>
            <w:shd w:val="clear" w:color="auto" w:fill="C6EFCE"/>
            <w:tcMar>
              <w:left w:w="108" w:type="dxa"/>
              <w:right w:w="108" w:type="dxa"/>
            </w:tcMar>
          </w:tcPr>
          <w:p w14:paraId="1E0ED04D"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3.1.1.4.i. Establishing a financing fund for the construction of low-rent housing </w:t>
            </w:r>
          </w:p>
        </w:tc>
        <w:tc>
          <w:tcPr>
            <w:tcW w:w="1560" w:type="dxa"/>
            <w:shd w:val="clear" w:color="auto" w:fill="C6EFCE"/>
            <w:tcMar>
              <w:left w:w="108" w:type="dxa"/>
              <w:right w:w="108" w:type="dxa"/>
            </w:tcMar>
          </w:tcPr>
          <w:p w14:paraId="1E0ED04E"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4F"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a housing affordability strategy</w:t>
            </w:r>
          </w:p>
        </w:tc>
      </w:tr>
      <w:tr w:rsidR="0048758A" w:rsidRPr="00E60E42" w14:paraId="1E0ED055" w14:textId="77777777" w:rsidTr="00884269">
        <w:trPr>
          <w:trHeight w:val="300"/>
          <w:jc w:val="center"/>
        </w:trPr>
        <w:tc>
          <w:tcPr>
            <w:tcW w:w="1413" w:type="dxa"/>
            <w:shd w:val="clear" w:color="auto" w:fill="C6EFCE"/>
            <w:tcMar>
              <w:left w:w="108" w:type="dxa"/>
              <w:right w:w="108" w:type="dxa"/>
            </w:tcMar>
            <w:vAlign w:val="center"/>
          </w:tcPr>
          <w:p w14:paraId="1E0ED051"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100</w:t>
            </w:r>
          </w:p>
        </w:tc>
        <w:tc>
          <w:tcPr>
            <w:tcW w:w="3118" w:type="dxa"/>
            <w:shd w:val="clear" w:color="auto" w:fill="C6EFCE"/>
            <w:tcMar>
              <w:left w:w="108" w:type="dxa"/>
              <w:right w:w="108" w:type="dxa"/>
            </w:tcMar>
          </w:tcPr>
          <w:p w14:paraId="1E0ED052"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3.1.1.4.i. Establishing a financing fund for the construction of low-rent housing </w:t>
            </w:r>
          </w:p>
        </w:tc>
        <w:tc>
          <w:tcPr>
            <w:tcW w:w="1560" w:type="dxa"/>
            <w:shd w:val="clear" w:color="auto" w:fill="C6EFCE"/>
            <w:tcMar>
              <w:left w:w="108" w:type="dxa"/>
              <w:right w:w="108" w:type="dxa"/>
            </w:tcMar>
          </w:tcPr>
          <w:p w14:paraId="1E0ED053"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54"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Government regulation on the construction of low-rent dwellings </w:t>
            </w:r>
          </w:p>
        </w:tc>
      </w:tr>
      <w:tr w:rsidR="0048758A" w:rsidRPr="00E60E42" w14:paraId="1E0ED05A" w14:textId="77777777" w:rsidTr="00884269">
        <w:trPr>
          <w:trHeight w:val="300"/>
          <w:jc w:val="center"/>
        </w:trPr>
        <w:tc>
          <w:tcPr>
            <w:tcW w:w="1413" w:type="dxa"/>
            <w:shd w:val="clear" w:color="auto" w:fill="C6EFCE"/>
            <w:tcMar>
              <w:left w:w="108" w:type="dxa"/>
              <w:right w:w="108" w:type="dxa"/>
            </w:tcMar>
            <w:vAlign w:val="center"/>
          </w:tcPr>
          <w:p w14:paraId="1E0ED056"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105</w:t>
            </w:r>
          </w:p>
        </w:tc>
        <w:tc>
          <w:tcPr>
            <w:tcW w:w="3118" w:type="dxa"/>
            <w:shd w:val="clear" w:color="auto" w:fill="C6EFCE"/>
            <w:tcMar>
              <w:left w:w="108" w:type="dxa"/>
              <w:right w:w="108" w:type="dxa"/>
            </w:tcMar>
          </w:tcPr>
          <w:p w14:paraId="1E0ED057"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3.1.1.5.i. Development </w:t>
            </w:r>
            <w:r w:rsidRPr="00E60E42">
              <w:rPr>
                <w:rFonts w:ascii="Times New Roman" w:eastAsia="Times New Roman" w:hAnsi="Times New Roman" w:cs="Times New Roman"/>
                <w:noProof/>
                <w:kern w:val="0"/>
                <w:sz w:val="22"/>
                <w:szCs w:val="22"/>
                <w14:ligatures w14:val="none"/>
              </w:rPr>
              <w:t>of infrastructure and equipment of educational institutions</w:t>
            </w:r>
            <w:r w:rsidRPr="00E60E42">
              <w:rPr>
                <w:rFonts w:ascii="Times New Roman" w:eastAsia="Calibri" w:hAnsi="Times New Roman" w:cs="Arial"/>
                <w:noProof/>
                <w:color w:val="000000"/>
                <w:kern w:val="0"/>
                <w:sz w:val="22"/>
                <w:szCs w:val="22"/>
                <w14:ligatures w14:val="none"/>
              </w:rPr>
              <w:t xml:space="preserve"> </w:t>
            </w:r>
          </w:p>
        </w:tc>
        <w:tc>
          <w:tcPr>
            <w:tcW w:w="1560" w:type="dxa"/>
            <w:shd w:val="clear" w:color="auto" w:fill="C6EFCE"/>
            <w:tcMar>
              <w:left w:w="108" w:type="dxa"/>
              <w:right w:w="108" w:type="dxa"/>
            </w:tcMar>
          </w:tcPr>
          <w:p w14:paraId="1E0ED058"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59"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Adoption of decisions by local councils on the reorganisation of at least 20 general secondary education institutions </w:t>
            </w:r>
          </w:p>
        </w:tc>
      </w:tr>
      <w:tr w:rsidR="0048758A" w:rsidRPr="00E60E42" w14:paraId="1E0ED05F" w14:textId="77777777" w:rsidTr="00884269">
        <w:trPr>
          <w:trHeight w:val="300"/>
          <w:jc w:val="center"/>
        </w:trPr>
        <w:tc>
          <w:tcPr>
            <w:tcW w:w="1413" w:type="dxa"/>
            <w:shd w:val="clear" w:color="auto" w:fill="C6EFCE"/>
            <w:tcMar>
              <w:left w:w="108" w:type="dxa"/>
              <w:right w:w="108" w:type="dxa"/>
            </w:tcMar>
            <w:vAlign w:val="center"/>
          </w:tcPr>
          <w:p w14:paraId="1E0ED05B"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107</w:t>
            </w:r>
          </w:p>
        </w:tc>
        <w:tc>
          <w:tcPr>
            <w:tcW w:w="3118" w:type="dxa"/>
            <w:shd w:val="clear" w:color="auto" w:fill="C6EFCE"/>
            <w:tcMar>
              <w:left w:w="108" w:type="dxa"/>
              <w:right w:w="108" w:type="dxa"/>
            </w:tcMar>
          </w:tcPr>
          <w:p w14:paraId="1E0ED05C"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3.1.1.6.i. Purchase of electric school buses </w:t>
            </w:r>
          </w:p>
        </w:tc>
        <w:tc>
          <w:tcPr>
            <w:tcW w:w="1560" w:type="dxa"/>
            <w:shd w:val="clear" w:color="auto" w:fill="C6EFCE"/>
            <w:tcMar>
              <w:left w:w="108" w:type="dxa"/>
              <w:right w:w="108" w:type="dxa"/>
            </w:tcMar>
          </w:tcPr>
          <w:p w14:paraId="1E0ED05D"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5E"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A support programme has been adopted for local governments for the purchase of electric buses for the performance of the municipal functions and related services </w:t>
            </w:r>
          </w:p>
        </w:tc>
      </w:tr>
      <w:tr w:rsidR="0048758A" w:rsidRPr="00E60E42" w14:paraId="1E0ED064" w14:textId="77777777" w:rsidTr="00884269">
        <w:trPr>
          <w:trHeight w:val="300"/>
          <w:jc w:val="center"/>
        </w:trPr>
        <w:tc>
          <w:tcPr>
            <w:tcW w:w="1413" w:type="dxa"/>
            <w:shd w:val="clear" w:color="auto" w:fill="C6EFCE"/>
            <w:tcMar>
              <w:left w:w="108" w:type="dxa"/>
              <w:right w:w="108" w:type="dxa"/>
            </w:tcMar>
            <w:vAlign w:val="center"/>
          </w:tcPr>
          <w:p w14:paraId="1E0ED060"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112</w:t>
            </w:r>
          </w:p>
        </w:tc>
        <w:tc>
          <w:tcPr>
            <w:tcW w:w="3118" w:type="dxa"/>
            <w:shd w:val="clear" w:color="auto" w:fill="C6EFCE"/>
            <w:tcMar>
              <w:left w:w="108" w:type="dxa"/>
              <w:right w:w="108" w:type="dxa"/>
            </w:tcMar>
          </w:tcPr>
          <w:p w14:paraId="1E0ED061"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3.1.2.1.i. Measures to promote access to public services and employment for people with functional impairments</w:t>
            </w:r>
          </w:p>
        </w:tc>
        <w:tc>
          <w:tcPr>
            <w:tcW w:w="1560" w:type="dxa"/>
            <w:shd w:val="clear" w:color="auto" w:fill="C6EFCE"/>
            <w:tcMar>
              <w:left w:w="108" w:type="dxa"/>
              <w:right w:w="108" w:type="dxa"/>
            </w:tcMar>
          </w:tcPr>
          <w:p w14:paraId="1E0ED062"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63"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Selection of state and local government buildings where environmental adaptations shall be carried out </w:t>
            </w:r>
          </w:p>
        </w:tc>
      </w:tr>
      <w:tr w:rsidR="0048758A" w:rsidRPr="00E60E42" w14:paraId="1E0ED069" w14:textId="77777777" w:rsidTr="00884269">
        <w:trPr>
          <w:trHeight w:val="300"/>
          <w:jc w:val="center"/>
        </w:trPr>
        <w:tc>
          <w:tcPr>
            <w:tcW w:w="1413" w:type="dxa"/>
            <w:shd w:val="clear" w:color="auto" w:fill="C6EFCE"/>
            <w:tcMar>
              <w:left w:w="108" w:type="dxa"/>
              <w:right w:w="108" w:type="dxa"/>
            </w:tcMar>
            <w:vAlign w:val="center"/>
          </w:tcPr>
          <w:p w14:paraId="1E0ED065"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118</w:t>
            </w:r>
          </w:p>
        </w:tc>
        <w:tc>
          <w:tcPr>
            <w:tcW w:w="3118" w:type="dxa"/>
            <w:shd w:val="clear" w:color="auto" w:fill="C6EFCE"/>
            <w:tcMar>
              <w:left w:w="108" w:type="dxa"/>
              <w:right w:w="108" w:type="dxa"/>
            </w:tcMar>
          </w:tcPr>
          <w:p w14:paraId="1E0ED066"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3.1.2.2.i. Development of a forecast tool </w:t>
            </w:r>
          </w:p>
        </w:tc>
        <w:tc>
          <w:tcPr>
            <w:tcW w:w="1560" w:type="dxa"/>
            <w:shd w:val="clear" w:color="auto" w:fill="C6EFCE"/>
            <w:tcMar>
              <w:left w:w="108" w:type="dxa"/>
              <w:right w:w="108" w:type="dxa"/>
            </w:tcMar>
          </w:tcPr>
          <w:p w14:paraId="1E0ED067"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68"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Conclusion of contract for the development of algorithms for the forecasting model, the development of technical specifications for information system and the supervision of system development </w:t>
            </w:r>
          </w:p>
        </w:tc>
      </w:tr>
      <w:tr w:rsidR="0048758A" w:rsidRPr="00E60E42" w14:paraId="1E0ED06E" w14:textId="77777777" w:rsidTr="00884269">
        <w:trPr>
          <w:trHeight w:val="300"/>
          <w:jc w:val="center"/>
        </w:trPr>
        <w:tc>
          <w:tcPr>
            <w:tcW w:w="1413" w:type="dxa"/>
            <w:shd w:val="clear" w:color="auto" w:fill="C6EFCE"/>
            <w:tcMar>
              <w:left w:w="108" w:type="dxa"/>
              <w:right w:w="108" w:type="dxa"/>
            </w:tcMar>
            <w:vAlign w:val="center"/>
          </w:tcPr>
          <w:p w14:paraId="1E0ED06A"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121</w:t>
            </w:r>
          </w:p>
        </w:tc>
        <w:tc>
          <w:tcPr>
            <w:tcW w:w="3118" w:type="dxa"/>
            <w:shd w:val="clear" w:color="auto" w:fill="C6EFCE"/>
            <w:tcMar>
              <w:left w:w="108" w:type="dxa"/>
              <w:right w:w="108" w:type="dxa"/>
            </w:tcMar>
          </w:tcPr>
          <w:p w14:paraId="1E0ED06B"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3.1.2.3.i. Resilience and continuity of the long-term social care service </w:t>
            </w:r>
          </w:p>
        </w:tc>
        <w:tc>
          <w:tcPr>
            <w:tcW w:w="1560" w:type="dxa"/>
            <w:shd w:val="clear" w:color="auto" w:fill="C6EFCE"/>
            <w:tcMar>
              <w:left w:w="108" w:type="dxa"/>
              <w:right w:w="108" w:type="dxa"/>
            </w:tcMar>
          </w:tcPr>
          <w:p w14:paraId="1E0ED06C"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6D"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Development of standard construction design</w:t>
            </w:r>
          </w:p>
        </w:tc>
      </w:tr>
      <w:tr w:rsidR="0048758A" w:rsidRPr="00E60E42" w14:paraId="1E0ED073" w14:textId="77777777" w:rsidTr="00884269">
        <w:trPr>
          <w:trHeight w:val="300"/>
          <w:jc w:val="center"/>
        </w:trPr>
        <w:tc>
          <w:tcPr>
            <w:tcW w:w="1413" w:type="dxa"/>
            <w:shd w:val="clear" w:color="auto" w:fill="C6EFCE"/>
            <w:tcMar>
              <w:left w:w="108" w:type="dxa"/>
              <w:right w:w="108" w:type="dxa"/>
            </w:tcMar>
            <w:vAlign w:val="center"/>
          </w:tcPr>
          <w:p w14:paraId="1E0ED06F"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131</w:t>
            </w:r>
          </w:p>
        </w:tc>
        <w:tc>
          <w:tcPr>
            <w:tcW w:w="3118" w:type="dxa"/>
            <w:shd w:val="clear" w:color="auto" w:fill="C6EFCE"/>
            <w:tcMar>
              <w:left w:w="108" w:type="dxa"/>
              <w:right w:w="108" w:type="dxa"/>
            </w:tcMar>
          </w:tcPr>
          <w:p w14:paraId="1E0ED070"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4.1.1.r. Sustainability and resilience of a human-centred, comprehensive, integrated healthcare system</w:t>
            </w:r>
          </w:p>
        </w:tc>
        <w:tc>
          <w:tcPr>
            <w:tcW w:w="1560" w:type="dxa"/>
            <w:shd w:val="clear" w:color="auto" w:fill="C6EFCE"/>
            <w:tcMar>
              <w:left w:w="108" w:type="dxa"/>
              <w:right w:w="108" w:type="dxa"/>
            </w:tcMar>
          </w:tcPr>
          <w:p w14:paraId="1E0ED071"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72"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a digital health strategy</w:t>
            </w:r>
          </w:p>
        </w:tc>
      </w:tr>
      <w:tr w:rsidR="0048758A" w:rsidRPr="00E60E42" w14:paraId="1E0ED078" w14:textId="77777777" w:rsidTr="00884269">
        <w:trPr>
          <w:trHeight w:val="300"/>
          <w:jc w:val="center"/>
        </w:trPr>
        <w:tc>
          <w:tcPr>
            <w:tcW w:w="1413" w:type="dxa"/>
            <w:shd w:val="clear" w:color="auto" w:fill="C6EFCE"/>
            <w:tcMar>
              <w:left w:w="108" w:type="dxa"/>
              <w:right w:w="108" w:type="dxa"/>
            </w:tcMar>
            <w:vAlign w:val="center"/>
          </w:tcPr>
          <w:p w14:paraId="1E0ED074"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132</w:t>
            </w:r>
          </w:p>
        </w:tc>
        <w:tc>
          <w:tcPr>
            <w:tcW w:w="3118" w:type="dxa"/>
            <w:shd w:val="clear" w:color="auto" w:fill="C6EFCE"/>
            <w:tcMar>
              <w:left w:w="108" w:type="dxa"/>
              <w:right w:w="108" w:type="dxa"/>
            </w:tcMar>
          </w:tcPr>
          <w:p w14:paraId="1E0ED075"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4.1.1.r. Sustainability and resilience of a human-centred, comprehensive, integrated healthcare system</w:t>
            </w:r>
          </w:p>
        </w:tc>
        <w:tc>
          <w:tcPr>
            <w:tcW w:w="1560" w:type="dxa"/>
            <w:shd w:val="clear" w:color="auto" w:fill="C6EFCE"/>
            <w:tcMar>
              <w:left w:w="108" w:type="dxa"/>
              <w:right w:w="108" w:type="dxa"/>
            </w:tcMar>
          </w:tcPr>
          <w:p w14:paraId="1E0ED076"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77"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Development of a human-centred, comprehensive, integrated healthcare delivery model through the development of an investment strategy and recommendations for the development of integrated and epidemiologically safe health care</w:t>
            </w:r>
          </w:p>
        </w:tc>
      </w:tr>
      <w:tr w:rsidR="0048758A" w:rsidRPr="00E60E42" w14:paraId="1E0ED07D" w14:textId="77777777" w:rsidTr="00884269">
        <w:trPr>
          <w:trHeight w:val="300"/>
          <w:jc w:val="center"/>
        </w:trPr>
        <w:tc>
          <w:tcPr>
            <w:tcW w:w="1413" w:type="dxa"/>
            <w:shd w:val="clear" w:color="auto" w:fill="C6EFCE"/>
            <w:tcMar>
              <w:left w:w="108" w:type="dxa"/>
              <w:right w:w="108" w:type="dxa"/>
            </w:tcMar>
            <w:vAlign w:val="center"/>
          </w:tcPr>
          <w:p w14:paraId="1E0ED079"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135</w:t>
            </w:r>
          </w:p>
        </w:tc>
        <w:tc>
          <w:tcPr>
            <w:tcW w:w="3118" w:type="dxa"/>
            <w:shd w:val="clear" w:color="auto" w:fill="C6EFCE"/>
            <w:tcMar>
              <w:left w:w="108" w:type="dxa"/>
              <w:right w:w="108" w:type="dxa"/>
            </w:tcMar>
          </w:tcPr>
          <w:p w14:paraId="1E0ED07A"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4.1.1.1.i. Support for public health research</w:t>
            </w:r>
          </w:p>
        </w:tc>
        <w:tc>
          <w:tcPr>
            <w:tcW w:w="1560" w:type="dxa"/>
            <w:shd w:val="clear" w:color="auto" w:fill="C6EFCE"/>
            <w:tcMar>
              <w:left w:w="108" w:type="dxa"/>
              <w:right w:w="108" w:type="dxa"/>
            </w:tcMar>
          </w:tcPr>
          <w:p w14:paraId="1E0ED07B"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7C"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a methodology for three studies to improve public health policy planning and implementation in the field of antimicrobial resistance, vaccination and infectious diseases</w:t>
            </w:r>
          </w:p>
        </w:tc>
      </w:tr>
      <w:tr w:rsidR="0048758A" w:rsidRPr="00E60E42" w14:paraId="1E0ED082" w14:textId="77777777" w:rsidTr="00884269">
        <w:trPr>
          <w:trHeight w:val="300"/>
          <w:jc w:val="center"/>
        </w:trPr>
        <w:tc>
          <w:tcPr>
            <w:tcW w:w="1413" w:type="dxa"/>
            <w:shd w:val="clear" w:color="auto" w:fill="C6EFCE"/>
            <w:tcMar>
              <w:left w:w="108" w:type="dxa"/>
              <w:right w:w="108" w:type="dxa"/>
            </w:tcMar>
            <w:vAlign w:val="center"/>
          </w:tcPr>
          <w:p w14:paraId="1E0ED07E"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138</w:t>
            </w:r>
          </w:p>
        </w:tc>
        <w:tc>
          <w:tcPr>
            <w:tcW w:w="3118" w:type="dxa"/>
            <w:shd w:val="clear" w:color="auto" w:fill="C6EFCE"/>
            <w:tcMar>
              <w:left w:w="108" w:type="dxa"/>
              <w:right w:w="108" w:type="dxa"/>
            </w:tcMar>
          </w:tcPr>
          <w:p w14:paraId="1E0ED07F"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4.1.1.2.i. Support for infrastructure or equipment of hospitals</w:t>
            </w:r>
          </w:p>
        </w:tc>
        <w:tc>
          <w:tcPr>
            <w:tcW w:w="1560" w:type="dxa"/>
            <w:shd w:val="clear" w:color="auto" w:fill="C6EFCE"/>
            <w:tcMar>
              <w:left w:w="108" w:type="dxa"/>
              <w:right w:w="108" w:type="dxa"/>
            </w:tcMar>
          </w:tcPr>
          <w:p w14:paraId="1E0ED080"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Target</w:t>
            </w:r>
          </w:p>
        </w:tc>
        <w:tc>
          <w:tcPr>
            <w:tcW w:w="3539" w:type="dxa"/>
            <w:shd w:val="clear" w:color="auto" w:fill="C6EFCE"/>
            <w:tcMar>
              <w:left w:w="108" w:type="dxa"/>
              <w:right w:w="108" w:type="dxa"/>
            </w:tcMar>
          </w:tcPr>
          <w:p w14:paraId="1E0ED081"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Number of projects which received a positive opinion of the Technology Commission on the eligibility of equipment for the provision of the relevant state-funded services</w:t>
            </w:r>
          </w:p>
        </w:tc>
      </w:tr>
      <w:tr w:rsidR="0048758A" w:rsidRPr="00E60E42" w14:paraId="1E0ED087" w14:textId="77777777" w:rsidTr="00884269">
        <w:trPr>
          <w:trHeight w:val="300"/>
          <w:jc w:val="center"/>
        </w:trPr>
        <w:tc>
          <w:tcPr>
            <w:tcW w:w="1413" w:type="dxa"/>
            <w:shd w:val="clear" w:color="auto" w:fill="C6EFCE"/>
            <w:tcMar>
              <w:left w:w="108" w:type="dxa"/>
              <w:right w:w="108" w:type="dxa"/>
            </w:tcMar>
            <w:vAlign w:val="center"/>
          </w:tcPr>
          <w:p w14:paraId="1E0ED083"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149</w:t>
            </w:r>
          </w:p>
        </w:tc>
        <w:tc>
          <w:tcPr>
            <w:tcW w:w="3118" w:type="dxa"/>
            <w:shd w:val="clear" w:color="auto" w:fill="C6EFCE"/>
            <w:tcMar>
              <w:left w:w="108" w:type="dxa"/>
              <w:right w:w="108" w:type="dxa"/>
            </w:tcMar>
          </w:tcPr>
          <w:p w14:paraId="1E0ED084"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4.3.1.r. Sustainability of healthcare and efficient use of health resources</w:t>
            </w:r>
          </w:p>
        </w:tc>
        <w:tc>
          <w:tcPr>
            <w:tcW w:w="1560" w:type="dxa"/>
            <w:shd w:val="clear" w:color="auto" w:fill="C6EFCE"/>
            <w:tcMar>
              <w:left w:w="108" w:type="dxa"/>
              <w:right w:w="108" w:type="dxa"/>
            </w:tcMar>
          </w:tcPr>
          <w:p w14:paraId="1E0ED085"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86"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Coordination mechanism approved to assess, develop and implement new healthcare service delivery models services</w:t>
            </w:r>
          </w:p>
        </w:tc>
      </w:tr>
      <w:tr w:rsidR="0048758A" w:rsidRPr="00E60E42" w14:paraId="1E0ED08C" w14:textId="77777777" w:rsidTr="00884269">
        <w:trPr>
          <w:trHeight w:val="300"/>
          <w:jc w:val="center"/>
        </w:trPr>
        <w:tc>
          <w:tcPr>
            <w:tcW w:w="1413" w:type="dxa"/>
            <w:shd w:val="clear" w:color="auto" w:fill="C6EFCE"/>
            <w:tcMar>
              <w:left w:w="108" w:type="dxa"/>
              <w:right w:w="108" w:type="dxa"/>
            </w:tcMar>
            <w:vAlign w:val="center"/>
          </w:tcPr>
          <w:p w14:paraId="1E0ED088"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151</w:t>
            </w:r>
          </w:p>
        </w:tc>
        <w:tc>
          <w:tcPr>
            <w:tcW w:w="3118" w:type="dxa"/>
            <w:shd w:val="clear" w:color="auto" w:fill="C6EFCE"/>
            <w:tcMar>
              <w:left w:w="108" w:type="dxa"/>
              <w:right w:w="108" w:type="dxa"/>
            </w:tcMar>
          </w:tcPr>
          <w:p w14:paraId="1E0ED089"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4.3.1.1.i. Support for assessing and improving the quality and accessibility of non-hospital secondary healthcare</w:t>
            </w:r>
          </w:p>
        </w:tc>
        <w:tc>
          <w:tcPr>
            <w:tcW w:w="1560" w:type="dxa"/>
            <w:shd w:val="clear" w:color="auto" w:fill="C6EFCE"/>
            <w:tcMar>
              <w:left w:w="108" w:type="dxa"/>
              <w:right w:w="108" w:type="dxa"/>
            </w:tcMar>
          </w:tcPr>
          <w:p w14:paraId="1E0ED08A"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8B"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Adoptions of a methodology for the study on the quality and availability of non-hospital secondary healthcare </w:t>
            </w:r>
          </w:p>
        </w:tc>
      </w:tr>
      <w:tr w:rsidR="0048758A" w:rsidRPr="00E60E42" w14:paraId="1E0ED091" w14:textId="77777777" w:rsidTr="00884269">
        <w:trPr>
          <w:trHeight w:val="300"/>
          <w:jc w:val="center"/>
        </w:trPr>
        <w:tc>
          <w:tcPr>
            <w:tcW w:w="1413" w:type="dxa"/>
            <w:shd w:val="clear" w:color="auto" w:fill="C6EFCE"/>
            <w:tcMar>
              <w:left w:w="108" w:type="dxa"/>
              <w:right w:w="108" w:type="dxa"/>
            </w:tcMar>
            <w:vAlign w:val="center"/>
          </w:tcPr>
          <w:p w14:paraId="1E0ED08D"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154</w:t>
            </w:r>
          </w:p>
        </w:tc>
        <w:tc>
          <w:tcPr>
            <w:tcW w:w="3118" w:type="dxa"/>
            <w:shd w:val="clear" w:color="auto" w:fill="C6EFCE"/>
            <w:tcMar>
              <w:left w:w="108" w:type="dxa"/>
              <w:right w:w="108" w:type="dxa"/>
            </w:tcMar>
          </w:tcPr>
          <w:p w14:paraId="1E0ED08E"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5.1.r. Innovation system governance and private research and development investment motivation</w:t>
            </w:r>
          </w:p>
        </w:tc>
        <w:tc>
          <w:tcPr>
            <w:tcW w:w="1560" w:type="dxa"/>
            <w:shd w:val="clear" w:color="auto" w:fill="C6EFCE"/>
            <w:tcMar>
              <w:left w:w="108" w:type="dxa"/>
              <w:right w:w="108" w:type="dxa"/>
            </w:tcMar>
          </w:tcPr>
          <w:p w14:paraId="1E0ED08F"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90"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Development of a long-term national strategy for each of the RIS3 areas and establishment of a Strategic Steering Board for each of the RIS3 areas</w:t>
            </w:r>
          </w:p>
        </w:tc>
      </w:tr>
      <w:tr w:rsidR="0048758A" w:rsidRPr="00E60E42" w14:paraId="1E0ED096" w14:textId="77777777" w:rsidTr="00884269">
        <w:trPr>
          <w:trHeight w:val="300"/>
          <w:jc w:val="center"/>
        </w:trPr>
        <w:tc>
          <w:tcPr>
            <w:tcW w:w="1413" w:type="dxa"/>
            <w:shd w:val="clear" w:color="auto" w:fill="C6EFCE"/>
            <w:tcMar>
              <w:left w:w="108" w:type="dxa"/>
              <w:right w:w="108" w:type="dxa"/>
            </w:tcMar>
            <w:vAlign w:val="center"/>
          </w:tcPr>
          <w:p w14:paraId="1E0ED092"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159</w:t>
            </w:r>
          </w:p>
        </w:tc>
        <w:tc>
          <w:tcPr>
            <w:tcW w:w="3118" w:type="dxa"/>
            <w:shd w:val="clear" w:color="auto" w:fill="C6EFCE"/>
            <w:tcMar>
              <w:left w:w="108" w:type="dxa"/>
              <w:right w:w="108" w:type="dxa"/>
            </w:tcMar>
          </w:tcPr>
          <w:p w14:paraId="1E0ED093"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5.2.1.r. Reform of Higher Education and Scientific Excellence and Governance</w:t>
            </w:r>
          </w:p>
        </w:tc>
        <w:tc>
          <w:tcPr>
            <w:tcW w:w="1560" w:type="dxa"/>
            <w:shd w:val="clear" w:color="auto" w:fill="C6EFCE"/>
            <w:tcMar>
              <w:left w:w="108" w:type="dxa"/>
              <w:right w:w="108" w:type="dxa"/>
            </w:tcMar>
          </w:tcPr>
          <w:p w14:paraId="1E0ED094"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95"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Reform of the governance of higher education institutions</w:t>
            </w:r>
          </w:p>
        </w:tc>
      </w:tr>
      <w:tr w:rsidR="0048758A" w:rsidRPr="00E60E42" w14:paraId="1E0ED09B" w14:textId="77777777" w:rsidTr="00884269">
        <w:trPr>
          <w:trHeight w:val="300"/>
          <w:jc w:val="center"/>
        </w:trPr>
        <w:tc>
          <w:tcPr>
            <w:tcW w:w="1413" w:type="dxa"/>
            <w:shd w:val="clear" w:color="auto" w:fill="C6EFCE"/>
            <w:tcMar>
              <w:left w:w="108" w:type="dxa"/>
              <w:right w:w="108" w:type="dxa"/>
            </w:tcMar>
            <w:vAlign w:val="center"/>
          </w:tcPr>
          <w:p w14:paraId="1E0ED097"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166</w:t>
            </w:r>
          </w:p>
        </w:tc>
        <w:tc>
          <w:tcPr>
            <w:tcW w:w="3118" w:type="dxa"/>
            <w:shd w:val="clear" w:color="auto" w:fill="C6EFCE"/>
            <w:tcMar>
              <w:left w:w="108" w:type="dxa"/>
              <w:right w:w="108" w:type="dxa"/>
            </w:tcMar>
          </w:tcPr>
          <w:p w14:paraId="1E0ED098"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6.1.1.r. Strengthening analytics and developing data management in the field of tax administration and customs</w:t>
            </w:r>
          </w:p>
        </w:tc>
        <w:tc>
          <w:tcPr>
            <w:tcW w:w="1560" w:type="dxa"/>
            <w:shd w:val="clear" w:color="auto" w:fill="C6EFCE"/>
            <w:tcMar>
              <w:left w:w="108" w:type="dxa"/>
              <w:right w:w="108" w:type="dxa"/>
            </w:tcMar>
          </w:tcPr>
          <w:p w14:paraId="1E0ED099"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9A"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work plan for public authorities to curb the shadow economy 2021-2022</w:t>
            </w:r>
          </w:p>
        </w:tc>
      </w:tr>
      <w:tr w:rsidR="0048758A" w:rsidRPr="00E60E42" w14:paraId="1E0ED0A0" w14:textId="77777777" w:rsidTr="00884269">
        <w:trPr>
          <w:trHeight w:val="300"/>
          <w:jc w:val="center"/>
        </w:trPr>
        <w:tc>
          <w:tcPr>
            <w:tcW w:w="1413" w:type="dxa"/>
            <w:shd w:val="clear" w:color="auto" w:fill="C6EFCE"/>
            <w:tcMar>
              <w:left w:w="108" w:type="dxa"/>
              <w:right w:w="108" w:type="dxa"/>
            </w:tcMar>
            <w:vAlign w:val="center"/>
          </w:tcPr>
          <w:p w14:paraId="1E0ED09C"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167</w:t>
            </w:r>
          </w:p>
        </w:tc>
        <w:tc>
          <w:tcPr>
            <w:tcW w:w="3118" w:type="dxa"/>
            <w:shd w:val="clear" w:color="auto" w:fill="C6EFCE"/>
            <w:tcMar>
              <w:left w:w="108" w:type="dxa"/>
              <w:right w:w="108" w:type="dxa"/>
            </w:tcMar>
          </w:tcPr>
          <w:p w14:paraId="1E0ED09D"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6.1.1.r. Strengthening analytics and developing data management in the field of tax administration and customs</w:t>
            </w:r>
          </w:p>
        </w:tc>
        <w:tc>
          <w:tcPr>
            <w:tcW w:w="1560" w:type="dxa"/>
            <w:shd w:val="clear" w:color="auto" w:fill="C6EFCE"/>
            <w:tcMar>
              <w:left w:w="108" w:type="dxa"/>
              <w:right w:w="108" w:type="dxa"/>
            </w:tcMar>
          </w:tcPr>
          <w:p w14:paraId="1E0ED09E"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9F"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Entry into operation of a taxpayer rating system, optimisation of controls</w:t>
            </w:r>
          </w:p>
        </w:tc>
      </w:tr>
      <w:tr w:rsidR="0048758A" w:rsidRPr="00E60E42" w14:paraId="1E0ED0A5" w14:textId="77777777" w:rsidTr="00884269">
        <w:trPr>
          <w:trHeight w:val="300"/>
          <w:jc w:val="center"/>
        </w:trPr>
        <w:tc>
          <w:tcPr>
            <w:tcW w:w="1413" w:type="dxa"/>
            <w:shd w:val="clear" w:color="auto" w:fill="C6EFCE"/>
            <w:tcMar>
              <w:left w:w="108" w:type="dxa"/>
              <w:right w:w="108" w:type="dxa"/>
            </w:tcMar>
            <w:vAlign w:val="center"/>
          </w:tcPr>
          <w:p w14:paraId="1E0ED0A1"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170</w:t>
            </w:r>
          </w:p>
        </w:tc>
        <w:tc>
          <w:tcPr>
            <w:tcW w:w="3118" w:type="dxa"/>
            <w:shd w:val="clear" w:color="auto" w:fill="C6EFCE"/>
            <w:tcMar>
              <w:left w:w="108" w:type="dxa"/>
              <w:right w:w="108" w:type="dxa"/>
            </w:tcMar>
          </w:tcPr>
          <w:p w14:paraId="1E0ED0A2"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6.1.1.r. Strengthening analytics and developing data management in the field of tax administration and customs</w:t>
            </w:r>
          </w:p>
        </w:tc>
        <w:tc>
          <w:tcPr>
            <w:tcW w:w="1560" w:type="dxa"/>
            <w:shd w:val="clear" w:color="auto" w:fill="C6EFCE"/>
            <w:tcMar>
              <w:left w:w="108" w:type="dxa"/>
              <w:right w:w="108" w:type="dxa"/>
            </w:tcMar>
          </w:tcPr>
          <w:p w14:paraId="1E0ED0A3"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Target</w:t>
            </w:r>
          </w:p>
        </w:tc>
        <w:tc>
          <w:tcPr>
            <w:tcW w:w="3539" w:type="dxa"/>
            <w:shd w:val="clear" w:color="auto" w:fill="C6EFCE"/>
            <w:tcMar>
              <w:left w:w="108" w:type="dxa"/>
              <w:right w:w="108" w:type="dxa"/>
            </w:tcMar>
          </w:tcPr>
          <w:p w14:paraId="1E0ED0A4"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Implementation of the national research programme “Reducing the shadow economy to ensure the sustainable development of the country”</w:t>
            </w:r>
          </w:p>
        </w:tc>
      </w:tr>
      <w:tr w:rsidR="0048758A" w:rsidRPr="00E60E42" w14:paraId="1E0ED0AA" w14:textId="77777777" w:rsidTr="00884269">
        <w:trPr>
          <w:trHeight w:val="300"/>
          <w:jc w:val="center"/>
        </w:trPr>
        <w:tc>
          <w:tcPr>
            <w:tcW w:w="1413" w:type="dxa"/>
            <w:shd w:val="clear" w:color="auto" w:fill="C6EFCE"/>
            <w:tcMar>
              <w:left w:w="108" w:type="dxa"/>
              <w:right w:w="108" w:type="dxa"/>
            </w:tcMar>
            <w:vAlign w:val="center"/>
          </w:tcPr>
          <w:p w14:paraId="1E0ED0A6"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178</w:t>
            </w:r>
          </w:p>
        </w:tc>
        <w:tc>
          <w:tcPr>
            <w:tcW w:w="3118" w:type="dxa"/>
            <w:shd w:val="clear" w:color="auto" w:fill="C6EFCE"/>
            <w:tcMar>
              <w:left w:w="108" w:type="dxa"/>
              <w:right w:w="108" w:type="dxa"/>
            </w:tcMar>
          </w:tcPr>
          <w:p w14:paraId="1E0ED0A7"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6.1.2.2.i. Capacity building of the Customs Laboratory</w:t>
            </w:r>
          </w:p>
        </w:tc>
        <w:tc>
          <w:tcPr>
            <w:tcW w:w="1560" w:type="dxa"/>
            <w:shd w:val="clear" w:color="auto" w:fill="C6EFCE"/>
            <w:tcMar>
              <w:left w:w="108" w:type="dxa"/>
              <w:right w:w="108" w:type="dxa"/>
            </w:tcMar>
          </w:tcPr>
          <w:p w14:paraId="1E0ED0A8"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A9"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Purchased and installed spectrophotometer for use in the Customs Laboratory </w:t>
            </w:r>
          </w:p>
        </w:tc>
      </w:tr>
      <w:tr w:rsidR="0048758A" w:rsidRPr="00E60E42" w14:paraId="1E0ED0AF" w14:textId="77777777" w:rsidTr="00884269">
        <w:trPr>
          <w:trHeight w:val="300"/>
          <w:jc w:val="center"/>
        </w:trPr>
        <w:tc>
          <w:tcPr>
            <w:tcW w:w="1413" w:type="dxa"/>
            <w:shd w:val="clear" w:color="auto" w:fill="C6EFCE"/>
            <w:tcMar>
              <w:left w:w="108" w:type="dxa"/>
              <w:right w:w="108" w:type="dxa"/>
            </w:tcMar>
            <w:vAlign w:val="center"/>
          </w:tcPr>
          <w:p w14:paraId="1E0ED0AB"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179</w:t>
            </w:r>
          </w:p>
        </w:tc>
        <w:tc>
          <w:tcPr>
            <w:tcW w:w="3118" w:type="dxa"/>
            <w:shd w:val="clear" w:color="auto" w:fill="C6EFCE"/>
            <w:tcMar>
              <w:left w:w="108" w:type="dxa"/>
              <w:right w:w="108" w:type="dxa"/>
            </w:tcMar>
          </w:tcPr>
          <w:p w14:paraId="1E0ED0AC"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6.1.2.2.i. Capacity building of the Customs Laboratory</w:t>
            </w:r>
          </w:p>
        </w:tc>
        <w:tc>
          <w:tcPr>
            <w:tcW w:w="1560" w:type="dxa"/>
            <w:shd w:val="clear" w:color="auto" w:fill="C6EFCE"/>
            <w:tcMar>
              <w:left w:w="108" w:type="dxa"/>
              <w:right w:w="108" w:type="dxa"/>
            </w:tcMar>
          </w:tcPr>
          <w:p w14:paraId="1E0ED0AD"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AE"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Purchased and installed spectrophotometer for use in Airport customs control point</w:t>
            </w:r>
          </w:p>
        </w:tc>
      </w:tr>
      <w:tr w:rsidR="0048758A" w:rsidRPr="00E60E42" w14:paraId="1E0ED0B4" w14:textId="77777777" w:rsidTr="00884269">
        <w:trPr>
          <w:trHeight w:val="300"/>
          <w:jc w:val="center"/>
        </w:trPr>
        <w:tc>
          <w:tcPr>
            <w:tcW w:w="1413" w:type="dxa"/>
            <w:shd w:val="clear" w:color="auto" w:fill="C6EFCE"/>
            <w:tcMar>
              <w:left w:w="108" w:type="dxa"/>
              <w:right w:w="108" w:type="dxa"/>
            </w:tcMar>
            <w:vAlign w:val="center"/>
          </w:tcPr>
          <w:p w14:paraId="1E0ED0B0"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196</w:t>
            </w:r>
          </w:p>
        </w:tc>
        <w:tc>
          <w:tcPr>
            <w:tcW w:w="3118" w:type="dxa"/>
            <w:shd w:val="clear" w:color="auto" w:fill="C6EFCE"/>
            <w:tcMar>
              <w:left w:w="108" w:type="dxa"/>
              <w:right w:w="108" w:type="dxa"/>
            </w:tcMar>
          </w:tcPr>
          <w:p w14:paraId="1E0ED0B1"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6.3.1.r. Modernisation of public administration</w:t>
            </w:r>
          </w:p>
        </w:tc>
        <w:tc>
          <w:tcPr>
            <w:tcW w:w="1560" w:type="dxa"/>
            <w:shd w:val="clear" w:color="auto" w:fill="C6EFCE"/>
            <w:tcMar>
              <w:left w:w="108" w:type="dxa"/>
              <w:right w:w="108" w:type="dxa"/>
            </w:tcMar>
          </w:tcPr>
          <w:p w14:paraId="1E0ED0B2"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B3"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Approved Plan for Modernisation of Public Administration</w:t>
            </w:r>
          </w:p>
        </w:tc>
      </w:tr>
      <w:tr w:rsidR="0048758A" w:rsidRPr="00E60E42" w14:paraId="1E0ED0B9" w14:textId="77777777" w:rsidTr="00884269">
        <w:trPr>
          <w:trHeight w:val="300"/>
          <w:jc w:val="center"/>
        </w:trPr>
        <w:tc>
          <w:tcPr>
            <w:tcW w:w="1413" w:type="dxa"/>
            <w:shd w:val="clear" w:color="auto" w:fill="C6EFCE"/>
            <w:tcMar>
              <w:left w:w="108" w:type="dxa"/>
              <w:right w:w="108" w:type="dxa"/>
            </w:tcMar>
            <w:vAlign w:val="center"/>
          </w:tcPr>
          <w:p w14:paraId="1E0ED0B5"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198</w:t>
            </w:r>
          </w:p>
        </w:tc>
        <w:tc>
          <w:tcPr>
            <w:tcW w:w="3118" w:type="dxa"/>
            <w:shd w:val="clear" w:color="auto" w:fill="C6EFCE"/>
            <w:tcMar>
              <w:left w:w="108" w:type="dxa"/>
              <w:right w:w="108" w:type="dxa"/>
            </w:tcMar>
          </w:tcPr>
          <w:p w14:paraId="1E0ED0B6"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6.3.1.r. Modernisation of public administration</w:t>
            </w:r>
          </w:p>
        </w:tc>
        <w:tc>
          <w:tcPr>
            <w:tcW w:w="1560" w:type="dxa"/>
            <w:shd w:val="clear" w:color="auto" w:fill="C6EFCE"/>
            <w:tcMar>
              <w:left w:w="108" w:type="dxa"/>
              <w:right w:w="108" w:type="dxa"/>
            </w:tcMar>
          </w:tcPr>
          <w:p w14:paraId="1E0ED0B7"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B8"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Concept of the Single Service Centre approved as a prerequisite for the provision of centralised services</w:t>
            </w:r>
          </w:p>
        </w:tc>
      </w:tr>
      <w:tr w:rsidR="0048758A" w:rsidRPr="00E60E42" w14:paraId="1E0ED0BE" w14:textId="77777777" w:rsidTr="00884269">
        <w:trPr>
          <w:trHeight w:val="300"/>
          <w:jc w:val="center"/>
        </w:trPr>
        <w:tc>
          <w:tcPr>
            <w:tcW w:w="1413" w:type="dxa"/>
            <w:shd w:val="clear" w:color="auto" w:fill="C6EFCE"/>
            <w:tcMar>
              <w:left w:w="108" w:type="dxa"/>
              <w:right w:w="108" w:type="dxa"/>
            </w:tcMar>
            <w:vAlign w:val="center"/>
          </w:tcPr>
          <w:p w14:paraId="1E0ED0BA"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206</w:t>
            </w:r>
          </w:p>
        </w:tc>
        <w:tc>
          <w:tcPr>
            <w:tcW w:w="3118" w:type="dxa"/>
            <w:shd w:val="clear" w:color="auto" w:fill="C6EFCE"/>
            <w:tcMar>
              <w:left w:w="108" w:type="dxa"/>
              <w:right w:w="108" w:type="dxa"/>
            </w:tcMar>
          </w:tcPr>
          <w:p w14:paraId="1E0ED0BB"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6.3.1.4.i. Growth of non-governmental organisations to strengthen social security representation and monitor public interests</w:t>
            </w:r>
          </w:p>
        </w:tc>
        <w:tc>
          <w:tcPr>
            <w:tcW w:w="1560" w:type="dxa"/>
            <w:shd w:val="clear" w:color="auto" w:fill="C6EFCE"/>
            <w:tcMar>
              <w:left w:w="108" w:type="dxa"/>
              <w:right w:w="108" w:type="dxa"/>
            </w:tcMar>
          </w:tcPr>
          <w:p w14:paraId="1E0ED0BC"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BD"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Publication of the framework for the support of non-governmental organisations in areas of: - social resilience; - advocacy of public interest</w:t>
            </w:r>
          </w:p>
        </w:tc>
      </w:tr>
      <w:tr w:rsidR="0048758A" w:rsidRPr="00E60E42" w14:paraId="1E0ED0C3" w14:textId="77777777" w:rsidTr="00884269">
        <w:trPr>
          <w:trHeight w:val="300"/>
          <w:jc w:val="center"/>
        </w:trPr>
        <w:tc>
          <w:tcPr>
            <w:tcW w:w="1413" w:type="dxa"/>
            <w:shd w:val="clear" w:color="auto" w:fill="C6EFCE"/>
            <w:tcMar>
              <w:left w:w="108" w:type="dxa"/>
              <w:right w:w="108" w:type="dxa"/>
            </w:tcMar>
            <w:vAlign w:val="center"/>
          </w:tcPr>
          <w:p w14:paraId="1E0ED0BF"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208</w:t>
            </w:r>
          </w:p>
        </w:tc>
        <w:tc>
          <w:tcPr>
            <w:tcW w:w="3118" w:type="dxa"/>
            <w:shd w:val="clear" w:color="auto" w:fill="C6EFCE"/>
            <w:tcMar>
              <w:left w:w="108" w:type="dxa"/>
              <w:right w:w="108" w:type="dxa"/>
            </w:tcMar>
          </w:tcPr>
          <w:p w14:paraId="1E0ED0C0"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6.4.1.r. Creation of a register of public procurement contracts</w:t>
            </w:r>
          </w:p>
        </w:tc>
        <w:tc>
          <w:tcPr>
            <w:tcW w:w="1560" w:type="dxa"/>
            <w:shd w:val="clear" w:color="auto" w:fill="C6EFCE"/>
            <w:tcMar>
              <w:left w:w="108" w:type="dxa"/>
              <w:right w:w="108" w:type="dxa"/>
            </w:tcMar>
          </w:tcPr>
          <w:p w14:paraId="1E0ED0C1"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C2"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 register of public procurement contracts made available</w:t>
            </w:r>
          </w:p>
        </w:tc>
      </w:tr>
      <w:tr w:rsidR="0048758A" w:rsidRPr="00E60E42" w14:paraId="1E0ED0C8" w14:textId="77777777" w:rsidTr="00884269">
        <w:trPr>
          <w:trHeight w:val="300"/>
          <w:jc w:val="center"/>
        </w:trPr>
        <w:tc>
          <w:tcPr>
            <w:tcW w:w="1413" w:type="dxa"/>
            <w:shd w:val="clear" w:color="auto" w:fill="C6EFCE"/>
            <w:tcMar>
              <w:left w:w="108" w:type="dxa"/>
              <w:right w:w="108" w:type="dxa"/>
            </w:tcMar>
            <w:vAlign w:val="center"/>
          </w:tcPr>
          <w:p w14:paraId="1E0ED0C4"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210</w:t>
            </w:r>
          </w:p>
        </w:tc>
        <w:tc>
          <w:tcPr>
            <w:tcW w:w="3118" w:type="dxa"/>
            <w:shd w:val="clear" w:color="auto" w:fill="C6EFCE"/>
            <w:tcMar>
              <w:left w:w="108" w:type="dxa"/>
              <w:right w:w="108" w:type="dxa"/>
            </w:tcMar>
          </w:tcPr>
          <w:p w14:paraId="1E0ED0C5"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6.4.3.r. Development and implementation of a professionalisation strategy </w:t>
            </w:r>
          </w:p>
        </w:tc>
        <w:tc>
          <w:tcPr>
            <w:tcW w:w="1560" w:type="dxa"/>
            <w:shd w:val="clear" w:color="auto" w:fill="C6EFCE"/>
            <w:tcMar>
              <w:left w:w="108" w:type="dxa"/>
              <w:right w:w="108" w:type="dxa"/>
            </w:tcMar>
          </w:tcPr>
          <w:p w14:paraId="1E0ED0C6"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C7"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Adoption of a strategy for the professionalization of procurers</w:t>
            </w:r>
          </w:p>
        </w:tc>
      </w:tr>
      <w:tr w:rsidR="0048758A" w:rsidRPr="00E60E42" w14:paraId="1E0ED0CD" w14:textId="77777777" w:rsidTr="00884269">
        <w:trPr>
          <w:trHeight w:val="300"/>
          <w:jc w:val="center"/>
        </w:trPr>
        <w:tc>
          <w:tcPr>
            <w:tcW w:w="1413" w:type="dxa"/>
            <w:shd w:val="clear" w:color="auto" w:fill="C6EFCE"/>
            <w:tcMar>
              <w:left w:w="108" w:type="dxa"/>
              <w:right w:w="108" w:type="dxa"/>
            </w:tcMar>
            <w:vAlign w:val="center"/>
          </w:tcPr>
          <w:p w14:paraId="1E0ED0C9"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211</w:t>
            </w:r>
          </w:p>
        </w:tc>
        <w:tc>
          <w:tcPr>
            <w:tcW w:w="3118" w:type="dxa"/>
            <w:shd w:val="clear" w:color="auto" w:fill="C6EFCE"/>
            <w:tcMar>
              <w:left w:w="108" w:type="dxa"/>
              <w:right w:w="108" w:type="dxa"/>
            </w:tcMar>
          </w:tcPr>
          <w:p w14:paraId="1E0ED0CA"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6.4.3.r. Development and implementation of a professionalisation strategy </w:t>
            </w:r>
          </w:p>
        </w:tc>
        <w:tc>
          <w:tcPr>
            <w:tcW w:w="1560" w:type="dxa"/>
            <w:shd w:val="clear" w:color="auto" w:fill="C6EFCE"/>
            <w:tcMar>
              <w:left w:w="108" w:type="dxa"/>
              <w:right w:w="108" w:type="dxa"/>
            </w:tcMar>
          </w:tcPr>
          <w:p w14:paraId="1E0ED0CB"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Milestone</w:t>
            </w:r>
          </w:p>
        </w:tc>
        <w:tc>
          <w:tcPr>
            <w:tcW w:w="3539" w:type="dxa"/>
            <w:shd w:val="clear" w:color="auto" w:fill="C6EFCE"/>
            <w:tcMar>
              <w:left w:w="108" w:type="dxa"/>
              <w:right w:w="108" w:type="dxa"/>
            </w:tcMar>
          </w:tcPr>
          <w:p w14:paraId="1E0ED0CC"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Amendments to the relevant legal acts, regulation and internal procedures</w:t>
            </w:r>
          </w:p>
        </w:tc>
      </w:tr>
      <w:tr w:rsidR="0048758A" w:rsidRPr="00E60E42" w14:paraId="1E0ED0D2" w14:textId="77777777" w:rsidTr="00884269">
        <w:trPr>
          <w:trHeight w:val="300"/>
          <w:jc w:val="center"/>
        </w:trPr>
        <w:tc>
          <w:tcPr>
            <w:tcW w:w="1413" w:type="dxa"/>
            <w:shd w:val="clear" w:color="auto" w:fill="C6EFCE"/>
            <w:tcMar>
              <w:left w:w="108" w:type="dxa"/>
              <w:right w:w="108" w:type="dxa"/>
            </w:tcMar>
            <w:vAlign w:val="center"/>
          </w:tcPr>
          <w:p w14:paraId="1E0ED0CE" w14:textId="77777777" w:rsidR="004E39F6" w:rsidRPr="00E60E42" w:rsidRDefault="00A35BEA" w:rsidP="0048758A">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 </w:t>
            </w:r>
          </w:p>
        </w:tc>
        <w:tc>
          <w:tcPr>
            <w:tcW w:w="3118" w:type="dxa"/>
            <w:shd w:val="clear" w:color="auto" w:fill="C6EFCE"/>
            <w:tcMar>
              <w:left w:w="108" w:type="dxa"/>
              <w:right w:w="108" w:type="dxa"/>
            </w:tcMar>
            <w:vAlign w:val="center"/>
          </w:tcPr>
          <w:p w14:paraId="1E0ED0CF" w14:textId="77777777" w:rsidR="004E39F6" w:rsidRPr="00E60E42" w:rsidRDefault="00A35BEA" w:rsidP="0048758A">
            <w:pPr>
              <w:spacing w:after="0" w:line="276" w:lineRule="auto"/>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 xml:space="preserve"> </w:t>
            </w:r>
          </w:p>
        </w:tc>
        <w:tc>
          <w:tcPr>
            <w:tcW w:w="1560" w:type="dxa"/>
            <w:shd w:val="clear" w:color="auto" w:fill="C6EFCE"/>
            <w:tcMar>
              <w:left w:w="108" w:type="dxa"/>
              <w:right w:w="108" w:type="dxa"/>
            </w:tcMar>
          </w:tcPr>
          <w:p w14:paraId="1E0ED0D0" w14:textId="77777777" w:rsidR="004E39F6" w:rsidRPr="00E60E42" w:rsidRDefault="00A35BEA" w:rsidP="00B13BA9">
            <w:pPr>
              <w:spacing w:after="0" w:line="276" w:lineRule="auto"/>
              <w:jc w:val="center"/>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Instalment Amount</w:t>
            </w:r>
          </w:p>
        </w:tc>
        <w:tc>
          <w:tcPr>
            <w:tcW w:w="3539" w:type="dxa"/>
            <w:shd w:val="clear" w:color="auto" w:fill="C6EFCE"/>
            <w:tcMar>
              <w:left w:w="108" w:type="dxa"/>
              <w:right w:w="108" w:type="dxa"/>
            </w:tcMar>
            <w:vAlign w:val="center"/>
          </w:tcPr>
          <w:p w14:paraId="1E0ED0D1" w14:textId="77777777" w:rsidR="004E39F6" w:rsidRPr="00E60E42" w:rsidRDefault="00A35BEA" w:rsidP="00B13BA9">
            <w:pPr>
              <w:spacing w:after="0" w:line="276"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color w:val="000000"/>
                <w:kern w:val="0"/>
                <w:sz w:val="22"/>
                <w:szCs w:val="22"/>
                <w14:ligatures w14:val="none"/>
              </w:rPr>
              <w:t>EUR 388 000 000</w:t>
            </w:r>
          </w:p>
        </w:tc>
      </w:tr>
      <w:bookmarkEnd w:id="2"/>
    </w:tbl>
    <w:p w14:paraId="15320A63" w14:textId="77777777" w:rsidR="004B4DA2" w:rsidRPr="00E60E42" w:rsidRDefault="004B4DA2" w:rsidP="00C56BD9">
      <w:pPr>
        <w:pStyle w:val="ListParagraph"/>
        <w:spacing w:after="0" w:line="257" w:lineRule="auto"/>
        <w:ind w:left="567" w:hanging="567"/>
        <w:jc w:val="both"/>
        <w:rPr>
          <w:rFonts w:ascii="Times New Roman" w:eastAsia="Times New Roman" w:hAnsi="Times New Roman" w:cs="Times New Roman"/>
          <w:noProof/>
        </w:rPr>
        <w:sectPr w:rsidR="004B4DA2" w:rsidRPr="00E60E42" w:rsidSect="0048758A">
          <w:headerReference w:type="even" r:id="rId101"/>
          <w:headerReference w:type="default" r:id="rId102"/>
          <w:footerReference w:type="even" r:id="rId103"/>
          <w:footerReference w:type="default" r:id="rId104"/>
          <w:headerReference w:type="first" r:id="rId105"/>
          <w:footerReference w:type="first" r:id="rId106"/>
          <w:pgSz w:w="11906" w:h="16838"/>
          <w:pgMar w:top="1134" w:right="1134" w:bottom="1134" w:left="1134" w:header="567" w:footer="567" w:gutter="0"/>
          <w:cols w:space="708"/>
          <w:docGrid w:linePitch="360"/>
        </w:sectPr>
      </w:pPr>
    </w:p>
    <w:p w14:paraId="1E0ED0D3" w14:textId="77777777" w:rsidR="004E39F6" w:rsidRPr="00E60E42" w:rsidRDefault="004E39F6" w:rsidP="00C56BD9">
      <w:pPr>
        <w:pStyle w:val="ListParagraph"/>
        <w:spacing w:after="0" w:line="257" w:lineRule="auto"/>
        <w:ind w:left="567" w:hanging="567"/>
        <w:jc w:val="both"/>
        <w:rPr>
          <w:rFonts w:ascii="Times New Roman" w:eastAsia="Times New Roman" w:hAnsi="Times New Roman" w:cs="Times New Roman"/>
          <w:noProof/>
        </w:rPr>
      </w:pPr>
    </w:p>
    <w:p w14:paraId="1E0ED0D4" w14:textId="77777777" w:rsidR="004E39F6" w:rsidRPr="00E60E42" w:rsidRDefault="00A35BEA" w:rsidP="00C56BD9">
      <w:pPr>
        <w:pStyle w:val="ListParagraph"/>
        <w:numPr>
          <w:ilvl w:val="1"/>
          <w:numId w:val="37"/>
        </w:numPr>
        <w:spacing w:after="0" w:line="257" w:lineRule="auto"/>
        <w:ind w:left="567" w:hanging="567"/>
        <w:jc w:val="both"/>
        <w:rPr>
          <w:rFonts w:ascii="Times New Roman" w:eastAsia="Times New Roman" w:hAnsi="Times New Roman" w:cs="Times New Roman"/>
          <w:noProof/>
        </w:rPr>
      </w:pPr>
      <w:r w:rsidRPr="00E60E42">
        <w:rPr>
          <w:rFonts w:ascii="Times New Roman" w:hAnsi="Times New Roman"/>
          <w:noProof/>
        </w:rPr>
        <w:t>Third Instalment (non-repayable support):</w:t>
      </w:r>
    </w:p>
    <w:p w14:paraId="1E0ED0D5" w14:textId="77777777" w:rsidR="004E39F6" w:rsidRPr="00E60E42" w:rsidRDefault="004E39F6" w:rsidP="00C56BD9">
      <w:pPr>
        <w:pStyle w:val="ListParagraph"/>
        <w:spacing w:after="0" w:line="257" w:lineRule="auto"/>
        <w:ind w:left="567" w:hanging="567"/>
        <w:jc w:val="both"/>
        <w:rPr>
          <w:rFonts w:ascii="Times New Roman" w:eastAsia="Times New Roman" w:hAnsi="Times New Roman" w:cs="Times New Roman"/>
          <w:noProof/>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3082"/>
        <w:gridCol w:w="1418"/>
        <w:gridCol w:w="3681"/>
      </w:tblGrid>
      <w:tr w:rsidR="00C56BD9" w:rsidRPr="00E60E42" w14:paraId="1E0ED0DA" w14:textId="77777777" w:rsidTr="00884269">
        <w:trPr>
          <w:trHeight w:val="300"/>
          <w:tblHeader/>
          <w:jc w:val="center"/>
        </w:trPr>
        <w:tc>
          <w:tcPr>
            <w:tcW w:w="1449" w:type="dxa"/>
            <w:shd w:val="clear" w:color="auto" w:fill="BDD7EE"/>
            <w:tcMar>
              <w:left w:w="108" w:type="dxa"/>
              <w:right w:w="108" w:type="dxa"/>
            </w:tcMar>
            <w:vAlign w:val="center"/>
          </w:tcPr>
          <w:p w14:paraId="1E0ED0D6" w14:textId="77777777" w:rsidR="004E39F6" w:rsidRPr="00E60E42" w:rsidRDefault="00A35BEA">
            <w:pPr>
              <w:spacing w:after="0"/>
              <w:jc w:val="center"/>
              <w:rPr>
                <w:noProof/>
              </w:rPr>
            </w:pPr>
            <w:r w:rsidRPr="00E60E42">
              <w:rPr>
                <w:rFonts w:ascii="Times New Roman" w:hAnsi="Times New Roman"/>
                <w:b/>
                <w:noProof/>
                <w:color w:val="000000" w:themeColor="text1"/>
              </w:rPr>
              <w:t>Sequential Number</w:t>
            </w:r>
          </w:p>
        </w:tc>
        <w:tc>
          <w:tcPr>
            <w:tcW w:w="3082" w:type="dxa"/>
            <w:shd w:val="clear" w:color="auto" w:fill="BDD7EE"/>
            <w:tcMar>
              <w:left w:w="108" w:type="dxa"/>
              <w:right w:w="108" w:type="dxa"/>
            </w:tcMar>
            <w:vAlign w:val="center"/>
          </w:tcPr>
          <w:p w14:paraId="1E0ED0D7" w14:textId="7223A544" w:rsidR="004E39F6" w:rsidRPr="00E60E42" w:rsidRDefault="00A35BEA">
            <w:pPr>
              <w:spacing w:after="0"/>
              <w:jc w:val="center"/>
              <w:rPr>
                <w:noProof/>
              </w:rPr>
            </w:pPr>
            <w:r w:rsidRPr="00E60E42">
              <w:rPr>
                <w:rFonts w:ascii="Times New Roman" w:hAnsi="Times New Roman"/>
                <w:b/>
                <w:noProof/>
                <w:color w:val="000000" w:themeColor="text1"/>
              </w:rPr>
              <w:t xml:space="preserve">Related Measure </w:t>
            </w:r>
            <w:r w:rsidRPr="00E60E42">
              <w:rPr>
                <w:noProof/>
              </w:rPr>
              <w:br/>
            </w:r>
            <w:r w:rsidRPr="00E60E42">
              <w:rPr>
                <w:rFonts w:ascii="Times New Roman" w:hAnsi="Times New Roman"/>
                <w:b/>
                <w:noProof/>
                <w:color w:val="000000" w:themeColor="text1"/>
              </w:rPr>
              <w:t>(Reform or Investment)</w:t>
            </w:r>
          </w:p>
        </w:tc>
        <w:tc>
          <w:tcPr>
            <w:tcW w:w="1418" w:type="dxa"/>
            <w:shd w:val="clear" w:color="auto" w:fill="BDD7EE"/>
            <w:tcMar>
              <w:left w:w="108" w:type="dxa"/>
              <w:right w:w="108" w:type="dxa"/>
            </w:tcMar>
            <w:vAlign w:val="center"/>
          </w:tcPr>
          <w:p w14:paraId="1E0ED0D8" w14:textId="77777777" w:rsidR="004E39F6" w:rsidRPr="00E60E42" w:rsidRDefault="00A35BEA" w:rsidP="00B13BA9">
            <w:pPr>
              <w:spacing w:after="0"/>
              <w:jc w:val="center"/>
              <w:rPr>
                <w:noProof/>
              </w:rPr>
            </w:pPr>
            <w:r w:rsidRPr="00E60E42">
              <w:rPr>
                <w:rFonts w:ascii="Times New Roman" w:hAnsi="Times New Roman"/>
                <w:b/>
                <w:noProof/>
                <w:color w:val="000000" w:themeColor="text1"/>
              </w:rPr>
              <w:t>Milestone / Target</w:t>
            </w:r>
          </w:p>
        </w:tc>
        <w:tc>
          <w:tcPr>
            <w:tcW w:w="3681" w:type="dxa"/>
            <w:shd w:val="clear" w:color="auto" w:fill="BDD7EE"/>
            <w:tcMar>
              <w:left w:w="108" w:type="dxa"/>
              <w:right w:w="108" w:type="dxa"/>
            </w:tcMar>
            <w:vAlign w:val="center"/>
          </w:tcPr>
          <w:p w14:paraId="1E0ED0D9" w14:textId="77777777" w:rsidR="004E39F6" w:rsidRPr="00E60E42" w:rsidRDefault="00A35BEA" w:rsidP="00B13BA9">
            <w:pPr>
              <w:spacing w:after="0"/>
              <w:jc w:val="center"/>
              <w:rPr>
                <w:noProof/>
              </w:rPr>
            </w:pPr>
            <w:r w:rsidRPr="00E60E42">
              <w:rPr>
                <w:rFonts w:ascii="Times New Roman" w:hAnsi="Times New Roman"/>
                <w:b/>
                <w:noProof/>
                <w:color w:val="000000" w:themeColor="text1"/>
              </w:rPr>
              <w:t>Name</w:t>
            </w:r>
          </w:p>
        </w:tc>
      </w:tr>
      <w:tr w:rsidR="00C56BD9" w:rsidRPr="00E60E42" w14:paraId="1E0ED0DF" w14:textId="77777777" w:rsidTr="00884269">
        <w:trPr>
          <w:trHeight w:val="300"/>
          <w:jc w:val="center"/>
        </w:trPr>
        <w:tc>
          <w:tcPr>
            <w:tcW w:w="1449" w:type="dxa"/>
            <w:shd w:val="clear" w:color="auto" w:fill="C6EFCE"/>
            <w:tcMar>
              <w:left w:w="108" w:type="dxa"/>
              <w:right w:w="108" w:type="dxa"/>
            </w:tcMar>
            <w:vAlign w:val="center"/>
          </w:tcPr>
          <w:p w14:paraId="1E0ED0DB" w14:textId="77777777" w:rsidR="004E39F6" w:rsidRPr="00E60E42" w:rsidRDefault="00A35BEA">
            <w:pPr>
              <w:spacing w:after="0"/>
              <w:jc w:val="center"/>
              <w:rPr>
                <w:noProof/>
              </w:rPr>
            </w:pPr>
            <w:r w:rsidRPr="00E60E42">
              <w:rPr>
                <w:rFonts w:ascii="Times New Roman" w:hAnsi="Times New Roman"/>
                <w:noProof/>
                <w:color w:val="000000" w:themeColor="text1"/>
              </w:rPr>
              <w:t>1</w:t>
            </w:r>
          </w:p>
        </w:tc>
        <w:tc>
          <w:tcPr>
            <w:tcW w:w="3082" w:type="dxa"/>
            <w:shd w:val="clear" w:color="auto" w:fill="C6EFCE"/>
            <w:tcMar>
              <w:left w:w="108" w:type="dxa"/>
              <w:right w:w="108" w:type="dxa"/>
            </w:tcMar>
          </w:tcPr>
          <w:p w14:paraId="1E0ED0DC" w14:textId="77777777" w:rsidR="004E39F6" w:rsidRPr="00E60E42" w:rsidRDefault="00A35BEA">
            <w:pPr>
              <w:spacing w:after="0"/>
              <w:rPr>
                <w:noProof/>
              </w:rPr>
            </w:pPr>
            <w:r w:rsidRPr="00E60E42">
              <w:rPr>
                <w:rFonts w:ascii="Times New Roman" w:hAnsi="Times New Roman"/>
                <w:noProof/>
                <w:color w:val="000000" w:themeColor="text1"/>
              </w:rPr>
              <w:t>1.1.1.r. A sustainable transport system</w:t>
            </w:r>
          </w:p>
        </w:tc>
        <w:tc>
          <w:tcPr>
            <w:tcW w:w="1418" w:type="dxa"/>
            <w:shd w:val="clear" w:color="auto" w:fill="C6EFCE"/>
            <w:tcMar>
              <w:left w:w="108" w:type="dxa"/>
              <w:right w:w="108" w:type="dxa"/>
            </w:tcMar>
          </w:tcPr>
          <w:p w14:paraId="1E0ED0DD"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0DE" w14:textId="77777777" w:rsidR="004E39F6" w:rsidRPr="00E60E42" w:rsidRDefault="00A35BEA" w:rsidP="00B13BA9">
            <w:pPr>
              <w:spacing w:after="0"/>
              <w:jc w:val="both"/>
              <w:rPr>
                <w:noProof/>
              </w:rPr>
            </w:pPr>
            <w:r w:rsidRPr="00E60E42">
              <w:rPr>
                <w:rFonts w:ascii="Times New Roman" w:hAnsi="Times New Roman"/>
                <w:noProof/>
                <w:color w:val="000000" w:themeColor="text1"/>
              </w:rPr>
              <w:t>Coordinated approach for passenger transport planning, ordering and organisation of the Riga metropolitan area</w:t>
            </w:r>
          </w:p>
        </w:tc>
      </w:tr>
      <w:tr w:rsidR="00C56BD9" w:rsidRPr="00E60E42" w14:paraId="1E0ED0E4" w14:textId="77777777" w:rsidTr="00884269">
        <w:trPr>
          <w:trHeight w:val="300"/>
          <w:jc w:val="center"/>
        </w:trPr>
        <w:tc>
          <w:tcPr>
            <w:tcW w:w="1449" w:type="dxa"/>
            <w:shd w:val="clear" w:color="auto" w:fill="C6EFCE"/>
            <w:tcMar>
              <w:left w:w="108" w:type="dxa"/>
              <w:right w:w="108" w:type="dxa"/>
            </w:tcMar>
            <w:vAlign w:val="center"/>
          </w:tcPr>
          <w:p w14:paraId="1E0ED0E0" w14:textId="77777777" w:rsidR="004E39F6" w:rsidRPr="00E60E42" w:rsidRDefault="00A35BEA">
            <w:pPr>
              <w:spacing w:after="0"/>
              <w:jc w:val="center"/>
              <w:rPr>
                <w:noProof/>
              </w:rPr>
            </w:pPr>
            <w:r w:rsidRPr="00E60E42">
              <w:rPr>
                <w:rFonts w:ascii="Times New Roman" w:hAnsi="Times New Roman"/>
                <w:noProof/>
                <w:color w:val="000000" w:themeColor="text1"/>
              </w:rPr>
              <w:t>19</w:t>
            </w:r>
          </w:p>
        </w:tc>
        <w:tc>
          <w:tcPr>
            <w:tcW w:w="3082" w:type="dxa"/>
            <w:shd w:val="clear" w:color="auto" w:fill="C6EFCE"/>
            <w:tcMar>
              <w:left w:w="108" w:type="dxa"/>
              <w:right w:w="108" w:type="dxa"/>
            </w:tcMar>
          </w:tcPr>
          <w:p w14:paraId="1E0ED0E1" w14:textId="77777777" w:rsidR="004E39F6" w:rsidRPr="00E60E42" w:rsidRDefault="00A35BEA">
            <w:pPr>
              <w:spacing w:after="0"/>
              <w:rPr>
                <w:noProof/>
              </w:rPr>
            </w:pPr>
            <w:r w:rsidRPr="00E60E42">
              <w:rPr>
                <w:rFonts w:ascii="Times New Roman" w:hAnsi="Times New Roman"/>
                <w:noProof/>
                <w:color w:val="000000" w:themeColor="text1"/>
              </w:rPr>
              <w:t>1.2.1.5.i. Modernisation of electricity transmission and distribution networks</w:t>
            </w:r>
          </w:p>
        </w:tc>
        <w:tc>
          <w:tcPr>
            <w:tcW w:w="1418" w:type="dxa"/>
            <w:shd w:val="clear" w:color="auto" w:fill="C6EFCE"/>
            <w:tcMar>
              <w:left w:w="108" w:type="dxa"/>
              <w:right w:w="108" w:type="dxa"/>
            </w:tcMar>
          </w:tcPr>
          <w:p w14:paraId="1E0ED0E2"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0E3" w14:textId="77777777" w:rsidR="004E39F6" w:rsidRPr="00E60E42" w:rsidRDefault="00A35BEA" w:rsidP="00B13BA9">
            <w:pPr>
              <w:spacing w:after="0"/>
              <w:jc w:val="both"/>
              <w:rPr>
                <w:noProof/>
              </w:rPr>
            </w:pPr>
            <w:r w:rsidRPr="00E60E42">
              <w:rPr>
                <w:rFonts w:ascii="Times New Roman" w:hAnsi="Times New Roman"/>
                <w:noProof/>
                <w:color w:val="000000" w:themeColor="text1"/>
              </w:rPr>
              <w:t>Notification of contracts award to projects approved for EUR 80 000 000</w:t>
            </w:r>
          </w:p>
        </w:tc>
      </w:tr>
      <w:tr w:rsidR="00C56BD9" w:rsidRPr="00E60E42" w14:paraId="1E0ED0E9" w14:textId="77777777" w:rsidTr="00884269">
        <w:trPr>
          <w:trHeight w:val="300"/>
          <w:jc w:val="center"/>
        </w:trPr>
        <w:tc>
          <w:tcPr>
            <w:tcW w:w="1449" w:type="dxa"/>
            <w:shd w:val="clear" w:color="auto" w:fill="C6EFCE"/>
            <w:tcMar>
              <w:left w:w="108" w:type="dxa"/>
              <w:right w:w="108" w:type="dxa"/>
            </w:tcMar>
            <w:vAlign w:val="center"/>
          </w:tcPr>
          <w:p w14:paraId="1E0ED0E5" w14:textId="77777777" w:rsidR="004E39F6" w:rsidRPr="00E60E42" w:rsidRDefault="00A35BEA">
            <w:pPr>
              <w:spacing w:after="0"/>
              <w:jc w:val="center"/>
              <w:rPr>
                <w:noProof/>
              </w:rPr>
            </w:pPr>
            <w:r w:rsidRPr="00E60E42">
              <w:rPr>
                <w:rFonts w:ascii="Times New Roman" w:hAnsi="Times New Roman"/>
                <w:noProof/>
                <w:color w:val="000000" w:themeColor="text1"/>
              </w:rPr>
              <w:t>29</w:t>
            </w:r>
          </w:p>
        </w:tc>
        <w:tc>
          <w:tcPr>
            <w:tcW w:w="3082" w:type="dxa"/>
            <w:shd w:val="clear" w:color="auto" w:fill="C6EFCE"/>
            <w:tcMar>
              <w:left w:w="108" w:type="dxa"/>
              <w:right w:w="108" w:type="dxa"/>
            </w:tcMar>
          </w:tcPr>
          <w:p w14:paraId="1E0ED0E6" w14:textId="77777777" w:rsidR="004E39F6" w:rsidRPr="00E60E42" w:rsidRDefault="00A35BEA">
            <w:pPr>
              <w:spacing w:after="0"/>
              <w:rPr>
                <w:noProof/>
              </w:rPr>
            </w:pPr>
            <w:r w:rsidRPr="00E60E42">
              <w:rPr>
                <w:rFonts w:ascii="Times New Roman" w:hAnsi="Times New Roman"/>
                <w:noProof/>
                <w:color w:val="000000" w:themeColor="text1"/>
              </w:rPr>
              <w:t>2.1.1.1.i. Administration modernisation and digital transformation of services</w:t>
            </w:r>
          </w:p>
        </w:tc>
        <w:tc>
          <w:tcPr>
            <w:tcW w:w="1418" w:type="dxa"/>
            <w:shd w:val="clear" w:color="auto" w:fill="C6EFCE"/>
            <w:tcMar>
              <w:left w:w="108" w:type="dxa"/>
              <w:right w:w="108" w:type="dxa"/>
            </w:tcMar>
          </w:tcPr>
          <w:p w14:paraId="1E0ED0E7"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0E8" w14:textId="77777777" w:rsidR="004E39F6" w:rsidRPr="00E60E42" w:rsidRDefault="00A35BEA" w:rsidP="00B13BA9">
            <w:pPr>
              <w:spacing w:after="0"/>
              <w:jc w:val="both"/>
              <w:rPr>
                <w:noProof/>
              </w:rPr>
            </w:pPr>
            <w:r w:rsidRPr="00E60E42">
              <w:rPr>
                <w:rFonts w:ascii="Times New Roman" w:hAnsi="Times New Roman"/>
                <w:noProof/>
                <w:color w:val="000000" w:themeColor="text1"/>
              </w:rPr>
              <w:t>Descriptions of ICT solutions development activities developed and harmonised</w:t>
            </w:r>
          </w:p>
        </w:tc>
      </w:tr>
      <w:tr w:rsidR="00C56BD9" w:rsidRPr="00E60E42" w14:paraId="1E0ED0EE" w14:textId="77777777" w:rsidTr="00884269">
        <w:trPr>
          <w:trHeight w:val="300"/>
          <w:jc w:val="center"/>
        </w:trPr>
        <w:tc>
          <w:tcPr>
            <w:tcW w:w="1449" w:type="dxa"/>
            <w:shd w:val="clear" w:color="auto" w:fill="C6EFCE"/>
            <w:tcMar>
              <w:left w:w="108" w:type="dxa"/>
              <w:right w:w="108" w:type="dxa"/>
            </w:tcMar>
            <w:vAlign w:val="center"/>
          </w:tcPr>
          <w:p w14:paraId="1E0ED0EA" w14:textId="77777777" w:rsidR="004E39F6" w:rsidRPr="00E60E42" w:rsidRDefault="00A35BEA">
            <w:pPr>
              <w:spacing w:after="0"/>
              <w:jc w:val="center"/>
              <w:rPr>
                <w:noProof/>
              </w:rPr>
            </w:pPr>
            <w:r w:rsidRPr="00E60E42">
              <w:rPr>
                <w:rFonts w:ascii="Times New Roman" w:hAnsi="Times New Roman"/>
                <w:noProof/>
                <w:color w:val="000000" w:themeColor="text1"/>
              </w:rPr>
              <w:t>32</w:t>
            </w:r>
          </w:p>
        </w:tc>
        <w:tc>
          <w:tcPr>
            <w:tcW w:w="3082" w:type="dxa"/>
            <w:shd w:val="clear" w:color="auto" w:fill="C6EFCE"/>
            <w:tcMar>
              <w:left w:w="108" w:type="dxa"/>
              <w:right w:w="108" w:type="dxa"/>
            </w:tcMar>
          </w:tcPr>
          <w:p w14:paraId="1E0ED0EB" w14:textId="77777777" w:rsidR="004E39F6" w:rsidRPr="00E60E42" w:rsidRDefault="00A35BEA">
            <w:pPr>
              <w:spacing w:after="0"/>
              <w:rPr>
                <w:noProof/>
              </w:rPr>
            </w:pPr>
            <w:r w:rsidRPr="00E60E42">
              <w:rPr>
                <w:rFonts w:ascii="Times New Roman" w:hAnsi="Times New Roman"/>
                <w:noProof/>
                <w:color w:val="000000" w:themeColor="text1"/>
              </w:rPr>
              <w:t xml:space="preserve">2.1.2.1.i. Centralised platforms, solutions or systems </w:t>
            </w:r>
          </w:p>
        </w:tc>
        <w:tc>
          <w:tcPr>
            <w:tcW w:w="1418" w:type="dxa"/>
            <w:shd w:val="clear" w:color="auto" w:fill="C6EFCE"/>
            <w:tcMar>
              <w:left w:w="108" w:type="dxa"/>
              <w:right w:w="108" w:type="dxa"/>
            </w:tcMar>
          </w:tcPr>
          <w:p w14:paraId="1E0ED0EC"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0ED" w14:textId="77777777" w:rsidR="004E39F6" w:rsidRPr="00E60E42" w:rsidRDefault="00A35BEA" w:rsidP="00B13BA9">
            <w:pPr>
              <w:spacing w:after="0"/>
              <w:jc w:val="both"/>
              <w:rPr>
                <w:noProof/>
              </w:rPr>
            </w:pPr>
            <w:r w:rsidRPr="00E60E42">
              <w:rPr>
                <w:rFonts w:ascii="Times New Roman" w:hAnsi="Times New Roman"/>
                <w:noProof/>
                <w:color w:val="000000" w:themeColor="text1"/>
              </w:rPr>
              <w:t>Approval of development plans for the creation, transformation or deployment of centralised ICT functions and shared services</w:t>
            </w:r>
          </w:p>
        </w:tc>
      </w:tr>
      <w:tr w:rsidR="00C56BD9" w:rsidRPr="00E60E42" w14:paraId="1E0ED0F3" w14:textId="77777777" w:rsidTr="00884269">
        <w:trPr>
          <w:trHeight w:val="300"/>
          <w:jc w:val="center"/>
        </w:trPr>
        <w:tc>
          <w:tcPr>
            <w:tcW w:w="1449" w:type="dxa"/>
            <w:shd w:val="clear" w:color="auto" w:fill="C6EFCE"/>
            <w:tcMar>
              <w:left w:w="108" w:type="dxa"/>
              <w:right w:w="108" w:type="dxa"/>
            </w:tcMar>
            <w:vAlign w:val="center"/>
          </w:tcPr>
          <w:p w14:paraId="1E0ED0EF" w14:textId="77777777" w:rsidR="004E39F6" w:rsidRPr="00E60E42" w:rsidRDefault="00A35BEA">
            <w:pPr>
              <w:spacing w:after="0"/>
              <w:jc w:val="center"/>
              <w:rPr>
                <w:noProof/>
              </w:rPr>
            </w:pPr>
            <w:r w:rsidRPr="00E60E42">
              <w:rPr>
                <w:rFonts w:ascii="Times New Roman" w:hAnsi="Times New Roman"/>
                <w:noProof/>
                <w:color w:val="000000" w:themeColor="text1"/>
              </w:rPr>
              <w:t>33</w:t>
            </w:r>
          </w:p>
        </w:tc>
        <w:tc>
          <w:tcPr>
            <w:tcW w:w="3082" w:type="dxa"/>
            <w:shd w:val="clear" w:color="auto" w:fill="C6EFCE"/>
            <w:tcMar>
              <w:left w:w="108" w:type="dxa"/>
              <w:right w:w="108" w:type="dxa"/>
            </w:tcMar>
          </w:tcPr>
          <w:p w14:paraId="1E0ED0F0" w14:textId="77777777" w:rsidR="004E39F6" w:rsidRPr="00E60E42" w:rsidRDefault="00A35BEA">
            <w:pPr>
              <w:spacing w:after="0"/>
              <w:rPr>
                <w:noProof/>
              </w:rPr>
            </w:pPr>
            <w:r w:rsidRPr="00E60E42">
              <w:rPr>
                <w:rFonts w:ascii="Times New Roman" w:hAnsi="Times New Roman"/>
                <w:noProof/>
                <w:color w:val="000000" w:themeColor="text1"/>
              </w:rPr>
              <w:t xml:space="preserve">2.1.2.1.i. Centralised platforms, solutions or systems </w:t>
            </w:r>
          </w:p>
        </w:tc>
        <w:tc>
          <w:tcPr>
            <w:tcW w:w="1418" w:type="dxa"/>
            <w:shd w:val="clear" w:color="auto" w:fill="C6EFCE"/>
            <w:tcMar>
              <w:left w:w="108" w:type="dxa"/>
              <w:right w:w="108" w:type="dxa"/>
            </w:tcMar>
          </w:tcPr>
          <w:p w14:paraId="1E0ED0F1"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0F2"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Approval of harmonised descriptions of the development activities of centralised ICT solutions </w:t>
            </w:r>
          </w:p>
        </w:tc>
      </w:tr>
      <w:tr w:rsidR="00C56BD9" w:rsidRPr="00E60E42" w14:paraId="1E0ED0F8" w14:textId="77777777" w:rsidTr="00884269">
        <w:trPr>
          <w:trHeight w:val="300"/>
          <w:jc w:val="center"/>
        </w:trPr>
        <w:tc>
          <w:tcPr>
            <w:tcW w:w="1449" w:type="dxa"/>
            <w:shd w:val="clear" w:color="auto" w:fill="C6EFCE"/>
            <w:tcMar>
              <w:left w:w="108" w:type="dxa"/>
              <w:right w:w="108" w:type="dxa"/>
            </w:tcMar>
            <w:vAlign w:val="center"/>
          </w:tcPr>
          <w:p w14:paraId="1E0ED0F4" w14:textId="77777777" w:rsidR="004E39F6" w:rsidRPr="00E60E42" w:rsidRDefault="00A35BEA">
            <w:pPr>
              <w:spacing w:after="0"/>
              <w:jc w:val="center"/>
              <w:rPr>
                <w:noProof/>
              </w:rPr>
            </w:pPr>
            <w:r w:rsidRPr="00E60E42">
              <w:rPr>
                <w:rFonts w:ascii="Times New Roman" w:hAnsi="Times New Roman"/>
                <w:noProof/>
                <w:color w:val="000000" w:themeColor="text1"/>
              </w:rPr>
              <w:t>38</w:t>
            </w:r>
          </w:p>
        </w:tc>
        <w:tc>
          <w:tcPr>
            <w:tcW w:w="3082" w:type="dxa"/>
            <w:shd w:val="clear" w:color="auto" w:fill="C6EFCE"/>
            <w:tcMar>
              <w:left w:w="108" w:type="dxa"/>
              <w:right w:w="108" w:type="dxa"/>
            </w:tcMar>
          </w:tcPr>
          <w:p w14:paraId="1E0ED0F5" w14:textId="77777777" w:rsidR="004E39F6" w:rsidRPr="00E60E42" w:rsidRDefault="00A35BEA">
            <w:pPr>
              <w:spacing w:after="0"/>
              <w:rPr>
                <w:noProof/>
              </w:rPr>
            </w:pPr>
            <w:r w:rsidRPr="00E60E42">
              <w:rPr>
                <w:rFonts w:ascii="Times New Roman" w:hAnsi="Times New Roman"/>
                <w:noProof/>
                <w:color w:val="000000" w:themeColor="text1"/>
              </w:rPr>
              <w:t>2.1.3.r. Development of the national economic data and digital services economy</w:t>
            </w:r>
          </w:p>
        </w:tc>
        <w:tc>
          <w:tcPr>
            <w:tcW w:w="1418" w:type="dxa"/>
            <w:shd w:val="clear" w:color="auto" w:fill="C6EFCE"/>
            <w:tcMar>
              <w:left w:w="108" w:type="dxa"/>
              <w:right w:w="108" w:type="dxa"/>
            </w:tcMar>
          </w:tcPr>
          <w:p w14:paraId="1E0ED0F6"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0F7" w14:textId="77777777" w:rsidR="004E39F6" w:rsidRPr="00E60E42" w:rsidRDefault="00A35BEA" w:rsidP="00B13BA9">
            <w:pPr>
              <w:spacing w:after="0"/>
              <w:jc w:val="both"/>
              <w:rPr>
                <w:noProof/>
              </w:rPr>
            </w:pPr>
            <w:r w:rsidRPr="00E60E42">
              <w:rPr>
                <w:rFonts w:ascii="Times New Roman" w:hAnsi="Times New Roman"/>
                <w:noProof/>
                <w:color w:val="000000" w:themeColor="text1"/>
              </w:rPr>
              <w:t>Legal framework for the functioning of the national platform for the circulation of data</w:t>
            </w:r>
          </w:p>
        </w:tc>
      </w:tr>
      <w:tr w:rsidR="00C56BD9" w:rsidRPr="00E60E42" w14:paraId="1E0ED0FD" w14:textId="77777777" w:rsidTr="00884269">
        <w:trPr>
          <w:trHeight w:val="300"/>
          <w:jc w:val="center"/>
        </w:trPr>
        <w:tc>
          <w:tcPr>
            <w:tcW w:w="1449" w:type="dxa"/>
            <w:shd w:val="clear" w:color="auto" w:fill="C6EFCE"/>
            <w:tcMar>
              <w:left w:w="108" w:type="dxa"/>
              <w:right w:w="108" w:type="dxa"/>
            </w:tcMar>
            <w:vAlign w:val="center"/>
          </w:tcPr>
          <w:p w14:paraId="1E0ED0F9" w14:textId="77777777" w:rsidR="004E39F6" w:rsidRPr="00E60E42" w:rsidRDefault="00A35BEA">
            <w:pPr>
              <w:spacing w:after="0"/>
              <w:jc w:val="center"/>
              <w:rPr>
                <w:noProof/>
              </w:rPr>
            </w:pPr>
            <w:r w:rsidRPr="00E60E42">
              <w:rPr>
                <w:rFonts w:ascii="Times New Roman" w:hAnsi="Times New Roman"/>
                <w:noProof/>
                <w:color w:val="000000" w:themeColor="text1"/>
              </w:rPr>
              <w:t>57</w:t>
            </w:r>
          </w:p>
        </w:tc>
        <w:tc>
          <w:tcPr>
            <w:tcW w:w="3082" w:type="dxa"/>
            <w:shd w:val="clear" w:color="auto" w:fill="C6EFCE"/>
            <w:tcMar>
              <w:left w:w="108" w:type="dxa"/>
              <w:right w:w="108" w:type="dxa"/>
            </w:tcMar>
          </w:tcPr>
          <w:p w14:paraId="1E0ED0FA" w14:textId="77777777" w:rsidR="004E39F6" w:rsidRPr="00E60E42" w:rsidRDefault="00A35BEA">
            <w:pPr>
              <w:spacing w:after="0"/>
              <w:rPr>
                <w:noProof/>
              </w:rPr>
            </w:pPr>
            <w:r w:rsidRPr="00E60E42">
              <w:rPr>
                <w:rFonts w:ascii="Times New Roman" w:hAnsi="Times New Roman"/>
                <w:noProof/>
                <w:color w:val="000000" w:themeColor="text1"/>
              </w:rPr>
              <w:t xml:space="preserve">2.3.1.r. Development of a sustainable and socially responsible support framework for adult learning </w:t>
            </w:r>
          </w:p>
        </w:tc>
        <w:tc>
          <w:tcPr>
            <w:tcW w:w="1418" w:type="dxa"/>
            <w:shd w:val="clear" w:color="auto" w:fill="C6EFCE"/>
            <w:tcMar>
              <w:left w:w="108" w:type="dxa"/>
              <w:right w:w="108" w:type="dxa"/>
            </w:tcMar>
          </w:tcPr>
          <w:p w14:paraId="1E0ED0FB"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0FC"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Enhanced support for training of employees </w:t>
            </w:r>
          </w:p>
        </w:tc>
      </w:tr>
      <w:tr w:rsidR="00C56BD9" w:rsidRPr="00E60E42" w14:paraId="1E0ED102" w14:textId="77777777" w:rsidTr="00884269">
        <w:trPr>
          <w:trHeight w:val="300"/>
          <w:jc w:val="center"/>
        </w:trPr>
        <w:tc>
          <w:tcPr>
            <w:tcW w:w="1449" w:type="dxa"/>
            <w:shd w:val="clear" w:color="auto" w:fill="C6EFCE"/>
            <w:tcMar>
              <w:left w:w="108" w:type="dxa"/>
              <w:right w:w="108" w:type="dxa"/>
            </w:tcMar>
            <w:vAlign w:val="center"/>
          </w:tcPr>
          <w:p w14:paraId="1E0ED0FE" w14:textId="77777777" w:rsidR="004E39F6" w:rsidRPr="00E60E42" w:rsidRDefault="00A35BEA">
            <w:pPr>
              <w:spacing w:after="0"/>
              <w:jc w:val="center"/>
              <w:rPr>
                <w:noProof/>
              </w:rPr>
            </w:pPr>
            <w:r w:rsidRPr="00E60E42">
              <w:rPr>
                <w:rFonts w:ascii="Times New Roman" w:hAnsi="Times New Roman"/>
                <w:noProof/>
                <w:color w:val="000000" w:themeColor="text1"/>
              </w:rPr>
              <w:t>60</w:t>
            </w:r>
          </w:p>
        </w:tc>
        <w:tc>
          <w:tcPr>
            <w:tcW w:w="3082" w:type="dxa"/>
            <w:shd w:val="clear" w:color="auto" w:fill="C6EFCE"/>
            <w:tcMar>
              <w:left w:w="108" w:type="dxa"/>
              <w:right w:w="108" w:type="dxa"/>
            </w:tcMar>
          </w:tcPr>
          <w:p w14:paraId="1E0ED0FF" w14:textId="77777777" w:rsidR="004E39F6" w:rsidRPr="00E60E42" w:rsidRDefault="00A35BEA">
            <w:pPr>
              <w:spacing w:after="0"/>
              <w:rPr>
                <w:noProof/>
              </w:rPr>
            </w:pPr>
            <w:r w:rsidRPr="00E60E42">
              <w:rPr>
                <w:rFonts w:ascii="Times New Roman" w:hAnsi="Times New Roman"/>
                <w:noProof/>
                <w:color w:val="000000" w:themeColor="text1"/>
              </w:rPr>
              <w:t xml:space="preserve">2.3.1.r. Development of a sustainable and socially responsible support framework for adult learning </w:t>
            </w:r>
          </w:p>
        </w:tc>
        <w:tc>
          <w:tcPr>
            <w:tcW w:w="1418" w:type="dxa"/>
            <w:shd w:val="clear" w:color="auto" w:fill="C6EFCE"/>
            <w:tcMar>
              <w:left w:w="108" w:type="dxa"/>
              <w:right w:w="108" w:type="dxa"/>
            </w:tcMar>
          </w:tcPr>
          <w:p w14:paraId="1E0ED100"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01" w14:textId="77777777" w:rsidR="004E39F6" w:rsidRPr="00E60E42" w:rsidRDefault="00A35BEA" w:rsidP="00B13BA9">
            <w:pPr>
              <w:spacing w:after="0"/>
              <w:jc w:val="both"/>
              <w:rPr>
                <w:noProof/>
              </w:rPr>
            </w:pPr>
            <w:r w:rsidRPr="00E60E42">
              <w:rPr>
                <w:rFonts w:ascii="Times New Roman" w:hAnsi="Times New Roman"/>
                <w:noProof/>
                <w:color w:val="000000" w:themeColor="text1"/>
              </w:rPr>
              <w:t>Development of the Individual Learning Accounts (ILA) approach</w:t>
            </w:r>
          </w:p>
        </w:tc>
      </w:tr>
      <w:tr w:rsidR="00C56BD9" w:rsidRPr="00E60E42" w14:paraId="1E0ED107" w14:textId="77777777" w:rsidTr="00884269">
        <w:trPr>
          <w:trHeight w:val="300"/>
          <w:jc w:val="center"/>
        </w:trPr>
        <w:tc>
          <w:tcPr>
            <w:tcW w:w="1449" w:type="dxa"/>
            <w:shd w:val="clear" w:color="auto" w:fill="C6EFCE"/>
            <w:tcMar>
              <w:left w:w="108" w:type="dxa"/>
              <w:right w:w="108" w:type="dxa"/>
            </w:tcMar>
            <w:vAlign w:val="center"/>
          </w:tcPr>
          <w:p w14:paraId="1E0ED103" w14:textId="77777777" w:rsidR="004E39F6" w:rsidRPr="00E60E42" w:rsidRDefault="00A35BEA">
            <w:pPr>
              <w:spacing w:after="0"/>
              <w:jc w:val="center"/>
              <w:rPr>
                <w:noProof/>
              </w:rPr>
            </w:pPr>
            <w:r w:rsidRPr="00E60E42">
              <w:rPr>
                <w:rFonts w:ascii="Times New Roman" w:hAnsi="Times New Roman"/>
                <w:noProof/>
                <w:color w:val="000000" w:themeColor="text1"/>
              </w:rPr>
              <w:t>74</w:t>
            </w:r>
          </w:p>
        </w:tc>
        <w:tc>
          <w:tcPr>
            <w:tcW w:w="3082" w:type="dxa"/>
            <w:shd w:val="clear" w:color="auto" w:fill="C6EFCE"/>
            <w:tcMar>
              <w:left w:w="108" w:type="dxa"/>
              <w:right w:w="108" w:type="dxa"/>
            </w:tcMar>
          </w:tcPr>
          <w:p w14:paraId="1E0ED104" w14:textId="77777777" w:rsidR="004E39F6" w:rsidRPr="00E60E42" w:rsidRDefault="00A35BEA">
            <w:pPr>
              <w:spacing w:after="0"/>
              <w:rPr>
                <w:noProof/>
              </w:rPr>
            </w:pPr>
            <w:r w:rsidRPr="00E60E42">
              <w:rPr>
                <w:rFonts w:ascii="Times New Roman" w:hAnsi="Times New Roman"/>
                <w:noProof/>
                <w:color w:val="000000" w:themeColor="text1"/>
              </w:rPr>
              <w:t>2.3.2.2.i. Development of state and local government digital transformation skills and capabilities</w:t>
            </w:r>
          </w:p>
        </w:tc>
        <w:tc>
          <w:tcPr>
            <w:tcW w:w="1418" w:type="dxa"/>
            <w:shd w:val="clear" w:color="auto" w:fill="C6EFCE"/>
            <w:tcMar>
              <w:left w:w="108" w:type="dxa"/>
              <w:right w:w="108" w:type="dxa"/>
            </w:tcMar>
          </w:tcPr>
          <w:p w14:paraId="1E0ED105"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06" w14:textId="77777777" w:rsidR="004E39F6" w:rsidRPr="00E60E42" w:rsidRDefault="00A35BEA" w:rsidP="00B13BA9">
            <w:pPr>
              <w:spacing w:after="0"/>
              <w:jc w:val="both"/>
              <w:rPr>
                <w:noProof/>
              </w:rPr>
            </w:pPr>
            <w:r w:rsidRPr="00E60E42">
              <w:rPr>
                <w:rFonts w:ascii="Times New Roman" w:hAnsi="Times New Roman"/>
                <w:noProof/>
              </w:rPr>
              <w:t>Public administration digital skills framework developed</w:t>
            </w:r>
          </w:p>
        </w:tc>
      </w:tr>
      <w:tr w:rsidR="00C56BD9" w:rsidRPr="00E60E42" w14:paraId="1E0ED10C" w14:textId="77777777" w:rsidTr="00884269">
        <w:trPr>
          <w:trHeight w:val="300"/>
          <w:jc w:val="center"/>
        </w:trPr>
        <w:tc>
          <w:tcPr>
            <w:tcW w:w="1449" w:type="dxa"/>
            <w:shd w:val="clear" w:color="auto" w:fill="C6EFCE"/>
            <w:tcMar>
              <w:left w:w="108" w:type="dxa"/>
              <w:right w:w="108" w:type="dxa"/>
            </w:tcMar>
            <w:vAlign w:val="center"/>
          </w:tcPr>
          <w:p w14:paraId="1E0ED108" w14:textId="77777777" w:rsidR="004E39F6" w:rsidRPr="00E60E42" w:rsidRDefault="00A35BEA">
            <w:pPr>
              <w:spacing w:after="0"/>
              <w:jc w:val="center"/>
              <w:rPr>
                <w:noProof/>
              </w:rPr>
            </w:pPr>
            <w:r w:rsidRPr="00E60E42">
              <w:rPr>
                <w:rFonts w:ascii="Times New Roman" w:hAnsi="Times New Roman"/>
                <w:noProof/>
                <w:color w:val="000000" w:themeColor="text1"/>
              </w:rPr>
              <w:t>79</w:t>
            </w:r>
          </w:p>
        </w:tc>
        <w:tc>
          <w:tcPr>
            <w:tcW w:w="3082" w:type="dxa"/>
            <w:shd w:val="clear" w:color="auto" w:fill="C6EFCE"/>
            <w:tcMar>
              <w:left w:w="108" w:type="dxa"/>
              <w:right w:w="108" w:type="dxa"/>
            </w:tcMar>
          </w:tcPr>
          <w:p w14:paraId="1E0ED109" w14:textId="77777777" w:rsidR="004E39F6" w:rsidRPr="00E60E42" w:rsidRDefault="00A35BEA">
            <w:pPr>
              <w:spacing w:after="0"/>
              <w:rPr>
                <w:noProof/>
              </w:rPr>
            </w:pPr>
            <w:r w:rsidRPr="00E60E42">
              <w:rPr>
                <w:rFonts w:ascii="Times New Roman" w:hAnsi="Times New Roman"/>
                <w:noProof/>
                <w:color w:val="000000" w:themeColor="text1"/>
              </w:rPr>
              <w:t xml:space="preserve">2.3.2.3.i. Closing the digital divide for socially vulnerable pupils and educational institutions </w:t>
            </w:r>
          </w:p>
        </w:tc>
        <w:tc>
          <w:tcPr>
            <w:tcW w:w="1418" w:type="dxa"/>
            <w:shd w:val="clear" w:color="auto" w:fill="C6EFCE"/>
            <w:tcMar>
              <w:left w:w="108" w:type="dxa"/>
              <w:right w:w="108" w:type="dxa"/>
            </w:tcMar>
          </w:tcPr>
          <w:p w14:paraId="1E0ED10A"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10B" w14:textId="77777777" w:rsidR="004E39F6" w:rsidRPr="00E60E42" w:rsidRDefault="00A35BEA" w:rsidP="00B13BA9">
            <w:pPr>
              <w:spacing w:after="0"/>
              <w:jc w:val="both"/>
              <w:rPr>
                <w:noProof/>
              </w:rPr>
            </w:pPr>
            <w:r w:rsidRPr="00E60E42">
              <w:rPr>
                <w:rFonts w:ascii="Times New Roman" w:hAnsi="Times New Roman"/>
                <w:noProof/>
                <w:color w:val="000000" w:themeColor="text1"/>
              </w:rPr>
              <w:t>Number of ICT equipment units for the target group (learners)</w:t>
            </w:r>
          </w:p>
        </w:tc>
      </w:tr>
      <w:tr w:rsidR="00C56BD9" w:rsidRPr="00E60E42" w14:paraId="1E0ED111" w14:textId="77777777" w:rsidTr="00884269">
        <w:trPr>
          <w:trHeight w:val="300"/>
          <w:jc w:val="center"/>
        </w:trPr>
        <w:tc>
          <w:tcPr>
            <w:tcW w:w="1449" w:type="dxa"/>
            <w:shd w:val="clear" w:color="auto" w:fill="C6EFCE"/>
            <w:tcMar>
              <w:left w:w="108" w:type="dxa"/>
              <w:right w:w="108" w:type="dxa"/>
            </w:tcMar>
            <w:vAlign w:val="center"/>
          </w:tcPr>
          <w:p w14:paraId="1E0ED10D" w14:textId="77777777" w:rsidR="004E39F6" w:rsidRPr="00E60E42" w:rsidRDefault="00A35BEA">
            <w:pPr>
              <w:spacing w:after="0"/>
              <w:jc w:val="center"/>
              <w:rPr>
                <w:noProof/>
              </w:rPr>
            </w:pPr>
            <w:r w:rsidRPr="00E60E42">
              <w:rPr>
                <w:rFonts w:ascii="Times New Roman" w:hAnsi="Times New Roman"/>
                <w:noProof/>
                <w:color w:val="000000" w:themeColor="text1"/>
              </w:rPr>
              <w:t>84</w:t>
            </w:r>
          </w:p>
        </w:tc>
        <w:tc>
          <w:tcPr>
            <w:tcW w:w="3082" w:type="dxa"/>
            <w:shd w:val="clear" w:color="auto" w:fill="C6EFCE"/>
            <w:tcMar>
              <w:left w:w="108" w:type="dxa"/>
              <w:right w:w="108" w:type="dxa"/>
            </w:tcMar>
          </w:tcPr>
          <w:p w14:paraId="1E0ED10E" w14:textId="77777777" w:rsidR="004E39F6" w:rsidRPr="00E60E42" w:rsidRDefault="00A35BEA">
            <w:pPr>
              <w:spacing w:after="0"/>
              <w:rPr>
                <w:noProof/>
              </w:rPr>
            </w:pPr>
            <w:r w:rsidRPr="00E60E42">
              <w:rPr>
                <w:rFonts w:ascii="Times New Roman" w:hAnsi="Times New Roman"/>
                <w:noProof/>
                <w:color w:val="000000" w:themeColor="text1"/>
              </w:rPr>
              <w:t xml:space="preserve">3.1.1.r. Administrative territorial reform </w:t>
            </w:r>
          </w:p>
        </w:tc>
        <w:tc>
          <w:tcPr>
            <w:tcW w:w="1418" w:type="dxa"/>
            <w:shd w:val="clear" w:color="auto" w:fill="C6EFCE"/>
            <w:tcMar>
              <w:left w:w="108" w:type="dxa"/>
              <w:right w:w="108" w:type="dxa"/>
            </w:tcMar>
          </w:tcPr>
          <w:p w14:paraId="1E0ED10F"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10"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Entry into force of a new “Municipality Law” </w:t>
            </w:r>
          </w:p>
        </w:tc>
      </w:tr>
      <w:tr w:rsidR="00C56BD9" w:rsidRPr="00E60E42" w14:paraId="1E0ED116" w14:textId="77777777" w:rsidTr="00884269">
        <w:trPr>
          <w:trHeight w:val="300"/>
          <w:jc w:val="center"/>
        </w:trPr>
        <w:tc>
          <w:tcPr>
            <w:tcW w:w="1449" w:type="dxa"/>
            <w:shd w:val="clear" w:color="auto" w:fill="C6EFCE"/>
            <w:tcMar>
              <w:left w:w="108" w:type="dxa"/>
              <w:right w:w="108" w:type="dxa"/>
            </w:tcMar>
            <w:vAlign w:val="center"/>
          </w:tcPr>
          <w:p w14:paraId="1E0ED112" w14:textId="77777777" w:rsidR="004E39F6" w:rsidRPr="00E60E42" w:rsidRDefault="00A35BEA">
            <w:pPr>
              <w:spacing w:after="0"/>
              <w:jc w:val="center"/>
              <w:rPr>
                <w:noProof/>
              </w:rPr>
            </w:pPr>
            <w:r w:rsidRPr="00E60E42">
              <w:rPr>
                <w:rFonts w:ascii="Times New Roman" w:hAnsi="Times New Roman"/>
                <w:noProof/>
                <w:color w:val="000000" w:themeColor="text1"/>
              </w:rPr>
              <w:t>94</w:t>
            </w:r>
          </w:p>
        </w:tc>
        <w:tc>
          <w:tcPr>
            <w:tcW w:w="3082" w:type="dxa"/>
            <w:shd w:val="clear" w:color="auto" w:fill="C6EFCE"/>
            <w:tcMar>
              <w:left w:w="108" w:type="dxa"/>
              <w:right w:w="108" w:type="dxa"/>
            </w:tcMar>
          </w:tcPr>
          <w:p w14:paraId="1E0ED113" w14:textId="77777777" w:rsidR="004E39F6" w:rsidRPr="00E60E42" w:rsidRDefault="00A35BEA">
            <w:pPr>
              <w:spacing w:after="0"/>
              <w:rPr>
                <w:noProof/>
              </w:rPr>
            </w:pPr>
            <w:r w:rsidRPr="00E60E42">
              <w:rPr>
                <w:rFonts w:ascii="Times New Roman" w:hAnsi="Times New Roman"/>
                <w:noProof/>
                <w:color w:val="000000" w:themeColor="text1"/>
              </w:rPr>
              <w:t xml:space="preserve">3.1.1.3.i. Investments in public infrastructure to develop industrial parks in the regions </w:t>
            </w:r>
          </w:p>
        </w:tc>
        <w:tc>
          <w:tcPr>
            <w:tcW w:w="1418" w:type="dxa"/>
            <w:shd w:val="clear" w:color="auto" w:fill="C6EFCE"/>
            <w:tcMar>
              <w:left w:w="108" w:type="dxa"/>
              <w:right w:w="108" w:type="dxa"/>
            </w:tcMar>
          </w:tcPr>
          <w:p w14:paraId="1E0ED114"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15"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Award of contracts for the development of industrial parks in the regions </w:t>
            </w:r>
          </w:p>
        </w:tc>
      </w:tr>
      <w:tr w:rsidR="00C56BD9" w:rsidRPr="00E60E42" w14:paraId="1E0ED11B" w14:textId="77777777" w:rsidTr="00884269">
        <w:trPr>
          <w:trHeight w:val="300"/>
          <w:jc w:val="center"/>
        </w:trPr>
        <w:tc>
          <w:tcPr>
            <w:tcW w:w="1449" w:type="dxa"/>
            <w:shd w:val="clear" w:color="auto" w:fill="C6EFCE"/>
            <w:tcMar>
              <w:left w:w="108" w:type="dxa"/>
              <w:right w:w="108" w:type="dxa"/>
            </w:tcMar>
            <w:vAlign w:val="center"/>
          </w:tcPr>
          <w:p w14:paraId="1E0ED117" w14:textId="77777777" w:rsidR="004E39F6" w:rsidRPr="00E60E42" w:rsidRDefault="00A35BEA">
            <w:pPr>
              <w:spacing w:after="0"/>
              <w:jc w:val="center"/>
              <w:rPr>
                <w:noProof/>
              </w:rPr>
            </w:pPr>
            <w:r w:rsidRPr="00E60E42">
              <w:rPr>
                <w:rFonts w:ascii="Times New Roman" w:hAnsi="Times New Roman"/>
                <w:noProof/>
                <w:color w:val="000000" w:themeColor="text1"/>
              </w:rPr>
              <w:t>101</w:t>
            </w:r>
          </w:p>
        </w:tc>
        <w:tc>
          <w:tcPr>
            <w:tcW w:w="3082" w:type="dxa"/>
            <w:shd w:val="clear" w:color="auto" w:fill="C6EFCE"/>
            <w:tcMar>
              <w:left w:w="108" w:type="dxa"/>
              <w:right w:w="108" w:type="dxa"/>
            </w:tcMar>
          </w:tcPr>
          <w:p w14:paraId="1E0ED118" w14:textId="77777777" w:rsidR="004E39F6" w:rsidRPr="00E60E42" w:rsidRDefault="00A35BEA">
            <w:pPr>
              <w:spacing w:after="0"/>
              <w:rPr>
                <w:noProof/>
              </w:rPr>
            </w:pPr>
            <w:r w:rsidRPr="00E60E42">
              <w:rPr>
                <w:rFonts w:ascii="Times New Roman" w:hAnsi="Times New Roman"/>
                <w:noProof/>
                <w:color w:val="000000" w:themeColor="text1"/>
              </w:rPr>
              <w:t xml:space="preserve">3.1.1.4.i. Establishing a financing fund for the construction of low-rent housing </w:t>
            </w:r>
          </w:p>
        </w:tc>
        <w:tc>
          <w:tcPr>
            <w:tcW w:w="1418" w:type="dxa"/>
            <w:shd w:val="clear" w:color="auto" w:fill="C6EFCE"/>
            <w:tcMar>
              <w:left w:w="108" w:type="dxa"/>
              <w:right w:w="108" w:type="dxa"/>
            </w:tcMar>
          </w:tcPr>
          <w:p w14:paraId="1E0ED119"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11A"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Number of apartments within approved projects </w:t>
            </w:r>
          </w:p>
        </w:tc>
      </w:tr>
      <w:tr w:rsidR="00C56BD9" w:rsidRPr="00E60E42" w14:paraId="1E0ED120" w14:textId="77777777" w:rsidTr="00884269">
        <w:trPr>
          <w:trHeight w:val="300"/>
          <w:jc w:val="center"/>
        </w:trPr>
        <w:tc>
          <w:tcPr>
            <w:tcW w:w="1449" w:type="dxa"/>
            <w:shd w:val="clear" w:color="auto" w:fill="C6EFCE"/>
            <w:tcMar>
              <w:left w:w="108" w:type="dxa"/>
              <w:right w:w="108" w:type="dxa"/>
            </w:tcMar>
            <w:vAlign w:val="center"/>
          </w:tcPr>
          <w:p w14:paraId="1E0ED11C" w14:textId="77777777" w:rsidR="004E39F6" w:rsidRPr="00E60E42" w:rsidRDefault="00A35BEA">
            <w:pPr>
              <w:spacing w:after="0"/>
              <w:jc w:val="center"/>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108</w:t>
            </w:r>
          </w:p>
        </w:tc>
        <w:tc>
          <w:tcPr>
            <w:tcW w:w="3082" w:type="dxa"/>
            <w:shd w:val="clear" w:color="auto" w:fill="C6EFCE"/>
            <w:tcMar>
              <w:left w:w="108" w:type="dxa"/>
              <w:right w:w="108" w:type="dxa"/>
            </w:tcMar>
          </w:tcPr>
          <w:p w14:paraId="1E0ED11D" w14:textId="77777777" w:rsidR="004E39F6" w:rsidRPr="00E60E42" w:rsidRDefault="00A35BEA">
            <w:pPr>
              <w:spacing w:after="0"/>
              <w:rPr>
                <w:rFonts w:ascii="Times New Roman" w:eastAsia="Times New Roman" w:hAnsi="Times New Roman" w:cs="Times New Roman"/>
                <w:noProof/>
                <w:color w:val="000000" w:themeColor="text1"/>
              </w:rPr>
            </w:pPr>
            <w:r w:rsidRPr="00E60E42">
              <w:rPr>
                <w:rFonts w:ascii="Times New Roman" w:hAnsi="Times New Roman" w:cs="Times New Roman"/>
                <w:noProof/>
                <w:color w:val="000000" w:themeColor="text1"/>
              </w:rPr>
              <w:t xml:space="preserve">3.1.1.6.i. Purchase of electric school buses </w:t>
            </w:r>
          </w:p>
        </w:tc>
        <w:tc>
          <w:tcPr>
            <w:tcW w:w="1418" w:type="dxa"/>
            <w:shd w:val="clear" w:color="auto" w:fill="C6EFCE"/>
            <w:tcMar>
              <w:left w:w="108" w:type="dxa"/>
              <w:right w:w="108" w:type="dxa"/>
            </w:tcMar>
          </w:tcPr>
          <w:p w14:paraId="1E0ED11E" w14:textId="77777777" w:rsidR="004E39F6" w:rsidRPr="00E60E42" w:rsidRDefault="00A35BEA" w:rsidP="00B13BA9">
            <w:pPr>
              <w:spacing w:after="0"/>
              <w:jc w:val="center"/>
              <w:rPr>
                <w:rFonts w:ascii="Times New Roman" w:eastAsia="Times New Roman" w:hAnsi="Times New Roman" w:cs="Times New Roman"/>
                <w:noProof/>
                <w:color w:val="000000" w:themeColor="text1"/>
              </w:rPr>
            </w:pPr>
            <w:r w:rsidRPr="00E60E42">
              <w:rPr>
                <w:rFonts w:ascii="Times New Roman" w:hAnsi="Times New Roman" w:cs="Times New Roman"/>
                <w:noProof/>
                <w:color w:val="000000" w:themeColor="text1"/>
              </w:rPr>
              <w:t>Target</w:t>
            </w:r>
          </w:p>
        </w:tc>
        <w:tc>
          <w:tcPr>
            <w:tcW w:w="3681" w:type="dxa"/>
            <w:shd w:val="clear" w:color="auto" w:fill="C6EFCE"/>
            <w:tcMar>
              <w:left w:w="108" w:type="dxa"/>
              <w:right w:w="108" w:type="dxa"/>
            </w:tcMar>
          </w:tcPr>
          <w:p w14:paraId="1E0ED11F" w14:textId="77777777" w:rsidR="004E39F6" w:rsidRPr="00E60E42" w:rsidRDefault="00A35BEA" w:rsidP="00B13BA9">
            <w:pPr>
              <w:spacing w:after="0"/>
              <w:jc w:val="both"/>
              <w:rPr>
                <w:rFonts w:ascii="Times New Roman" w:eastAsia="Times New Roman" w:hAnsi="Times New Roman" w:cs="Times New Roman"/>
                <w:noProof/>
                <w:color w:val="000000" w:themeColor="text1"/>
              </w:rPr>
            </w:pPr>
            <w:r w:rsidRPr="00E60E42">
              <w:rPr>
                <w:rFonts w:ascii="Times New Roman" w:hAnsi="Times New Roman" w:cs="Times New Roman"/>
                <w:noProof/>
              </w:rPr>
              <w:t>Number of electric school buses under contracts awarded for the purchase of electric buses</w:t>
            </w:r>
            <w:r w:rsidRPr="00E60E42">
              <w:rPr>
                <w:rFonts w:ascii="Times New Roman" w:hAnsi="Times New Roman" w:cs="Times New Roman"/>
                <w:noProof/>
                <w:color w:val="000000" w:themeColor="text1"/>
              </w:rPr>
              <w:t xml:space="preserve"> for the performance of the municipal functions and related services </w:t>
            </w:r>
          </w:p>
        </w:tc>
      </w:tr>
      <w:tr w:rsidR="00C56BD9" w:rsidRPr="00E60E42" w14:paraId="1E0ED125" w14:textId="77777777" w:rsidTr="00884269">
        <w:trPr>
          <w:trHeight w:val="300"/>
          <w:jc w:val="center"/>
        </w:trPr>
        <w:tc>
          <w:tcPr>
            <w:tcW w:w="1449" w:type="dxa"/>
            <w:shd w:val="clear" w:color="auto" w:fill="C6EFCE"/>
            <w:tcMar>
              <w:left w:w="108" w:type="dxa"/>
              <w:right w:w="108" w:type="dxa"/>
            </w:tcMar>
            <w:vAlign w:val="center"/>
          </w:tcPr>
          <w:p w14:paraId="1E0ED121" w14:textId="77777777" w:rsidR="004E39F6" w:rsidRPr="00E60E42" w:rsidRDefault="00A35BEA">
            <w:pPr>
              <w:spacing w:after="0"/>
              <w:jc w:val="center"/>
              <w:rPr>
                <w:noProof/>
              </w:rPr>
            </w:pPr>
            <w:r w:rsidRPr="00E60E42">
              <w:rPr>
                <w:rFonts w:ascii="Times New Roman" w:hAnsi="Times New Roman"/>
                <w:noProof/>
                <w:color w:val="000000" w:themeColor="text1"/>
              </w:rPr>
              <w:t>111</w:t>
            </w:r>
          </w:p>
        </w:tc>
        <w:tc>
          <w:tcPr>
            <w:tcW w:w="3082" w:type="dxa"/>
            <w:shd w:val="clear" w:color="auto" w:fill="C6EFCE"/>
            <w:tcMar>
              <w:left w:w="108" w:type="dxa"/>
              <w:right w:w="108" w:type="dxa"/>
            </w:tcMar>
          </w:tcPr>
          <w:p w14:paraId="1E0ED122" w14:textId="77777777" w:rsidR="004E39F6" w:rsidRPr="00E60E42" w:rsidRDefault="00A35BEA">
            <w:pPr>
              <w:spacing w:after="0"/>
              <w:rPr>
                <w:rFonts w:ascii="Times New Roman" w:hAnsi="Times New Roman" w:cs="Times New Roman"/>
                <w:noProof/>
              </w:rPr>
            </w:pPr>
            <w:r w:rsidRPr="00E60E42">
              <w:rPr>
                <w:rFonts w:ascii="Times New Roman" w:hAnsi="Times New Roman" w:cs="Times New Roman"/>
                <w:noProof/>
                <w:color w:val="000000" w:themeColor="text1"/>
              </w:rPr>
              <w:t xml:space="preserve">3.1.2.r. Access to social and employment services in support of the minimum income reform </w:t>
            </w:r>
          </w:p>
        </w:tc>
        <w:tc>
          <w:tcPr>
            <w:tcW w:w="1418" w:type="dxa"/>
            <w:shd w:val="clear" w:color="auto" w:fill="C6EFCE"/>
            <w:tcMar>
              <w:left w:w="108" w:type="dxa"/>
              <w:right w:w="108" w:type="dxa"/>
            </w:tcMar>
          </w:tcPr>
          <w:p w14:paraId="1E0ED123" w14:textId="77777777" w:rsidR="004E39F6" w:rsidRPr="00E60E42" w:rsidRDefault="00A35BEA" w:rsidP="00B13BA9">
            <w:pPr>
              <w:spacing w:after="0"/>
              <w:jc w:val="center"/>
              <w:rPr>
                <w:rFonts w:ascii="Times New Roman" w:hAnsi="Times New Roman" w:cs="Times New Roman"/>
                <w:noProof/>
              </w:rPr>
            </w:pPr>
            <w:r w:rsidRPr="00E60E42">
              <w:rPr>
                <w:rFonts w:ascii="Times New Roman" w:hAnsi="Times New Roman" w:cs="Times New Roman"/>
                <w:noProof/>
                <w:color w:val="000000" w:themeColor="text1"/>
              </w:rPr>
              <w:t>Milestone</w:t>
            </w:r>
          </w:p>
        </w:tc>
        <w:tc>
          <w:tcPr>
            <w:tcW w:w="3681" w:type="dxa"/>
            <w:shd w:val="clear" w:color="auto" w:fill="C6EFCE"/>
            <w:tcMar>
              <w:left w:w="108" w:type="dxa"/>
              <w:right w:w="108" w:type="dxa"/>
            </w:tcMar>
          </w:tcPr>
          <w:p w14:paraId="1E0ED124" w14:textId="77777777" w:rsidR="004E39F6" w:rsidRPr="00E60E42" w:rsidRDefault="00A35BEA" w:rsidP="00B13BA9">
            <w:pPr>
              <w:spacing w:after="0"/>
              <w:jc w:val="both"/>
              <w:rPr>
                <w:rFonts w:ascii="Times New Roman" w:hAnsi="Times New Roman" w:cs="Times New Roman"/>
                <w:noProof/>
              </w:rPr>
            </w:pPr>
            <w:r w:rsidRPr="00E60E42">
              <w:rPr>
                <w:rFonts w:ascii="Times New Roman" w:hAnsi="Times New Roman" w:cs="Times New Roman"/>
                <w:noProof/>
                <w:color w:val="000000" w:themeColor="text1"/>
              </w:rPr>
              <w:t xml:space="preserve">Entry into force of legislative amendments to improve the minimum income support system </w:t>
            </w:r>
          </w:p>
        </w:tc>
      </w:tr>
      <w:tr w:rsidR="00C56BD9" w:rsidRPr="00E60E42" w14:paraId="1E0ED12A" w14:textId="77777777" w:rsidTr="00884269">
        <w:trPr>
          <w:trHeight w:val="300"/>
          <w:jc w:val="center"/>
        </w:trPr>
        <w:tc>
          <w:tcPr>
            <w:tcW w:w="1449" w:type="dxa"/>
            <w:shd w:val="clear" w:color="auto" w:fill="C6EFCE"/>
            <w:tcMar>
              <w:left w:w="108" w:type="dxa"/>
              <w:right w:w="108" w:type="dxa"/>
            </w:tcMar>
            <w:vAlign w:val="center"/>
          </w:tcPr>
          <w:p w14:paraId="1E0ED126" w14:textId="77777777" w:rsidR="004E39F6" w:rsidRPr="00E60E42" w:rsidRDefault="00A35BEA">
            <w:pPr>
              <w:spacing w:after="0"/>
              <w:jc w:val="center"/>
              <w:rPr>
                <w:noProof/>
              </w:rPr>
            </w:pPr>
            <w:r w:rsidRPr="00E60E42">
              <w:rPr>
                <w:rFonts w:ascii="Times New Roman" w:hAnsi="Times New Roman"/>
                <w:noProof/>
                <w:color w:val="000000" w:themeColor="text1"/>
              </w:rPr>
              <w:t>119</w:t>
            </w:r>
          </w:p>
        </w:tc>
        <w:tc>
          <w:tcPr>
            <w:tcW w:w="3082" w:type="dxa"/>
            <w:shd w:val="clear" w:color="auto" w:fill="C6EFCE"/>
            <w:tcMar>
              <w:left w:w="108" w:type="dxa"/>
              <w:right w:w="108" w:type="dxa"/>
            </w:tcMar>
          </w:tcPr>
          <w:p w14:paraId="1E0ED127" w14:textId="77777777" w:rsidR="004E39F6" w:rsidRPr="00E60E42" w:rsidRDefault="00A35BEA">
            <w:pPr>
              <w:spacing w:after="0"/>
              <w:rPr>
                <w:rFonts w:ascii="Times New Roman" w:hAnsi="Times New Roman" w:cs="Times New Roman"/>
                <w:noProof/>
              </w:rPr>
            </w:pPr>
            <w:r w:rsidRPr="00E60E42">
              <w:rPr>
                <w:rFonts w:ascii="Times New Roman" w:hAnsi="Times New Roman" w:cs="Times New Roman"/>
                <w:noProof/>
                <w:color w:val="000000" w:themeColor="text1"/>
              </w:rPr>
              <w:t xml:space="preserve">3.1.2.2.i. Development of a forecast tool </w:t>
            </w:r>
          </w:p>
        </w:tc>
        <w:tc>
          <w:tcPr>
            <w:tcW w:w="1418" w:type="dxa"/>
            <w:shd w:val="clear" w:color="auto" w:fill="C6EFCE"/>
            <w:tcMar>
              <w:left w:w="108" w:type="dxa"/>
              <w:right w:w="108" w:type="dxa"/>
            </w:tcMar>
          </w:tcPr>
          <w:p w14:paraId="1E0ED128" w14:textId="77777777" w:rsidR="004E39F6" w:rsidRPr="00E60E42" w:rsidRDefault="00A35BEA" w:rsidP="00B13BA9">
            <w:pPr>
              <w:spacing w:after="0"/>
              <w:jc w:val="center"/>
              <w:rPr>
                <w:rFonts w:ascii="Times New Roman" w:hAnsi="Times New Roman" w:cs="Times New Roman"/>
                <w:noProof/>
              </w:rPr>
            </w:pPr>
            <w:r w:rsidRPr="00E60E42">
              <w:rPr>
                <w:rFonts w:ascii="Times New Roman" w:hAnsi="Times New Roman" w:cs="Times New Roman"/>
                <w:noProof/>
                <w:color w:val="000000" w:themeColor="text1"/>
              </w:rPr>
              <w:t>Milestone</w:t>
            </w:r>
          </w:p>
        </w:tc>
        <w:tc>
          <w:tcPr>
            <w:tcW w:w="3681" w:type="dxa"/>
            <w:shd w:val="clear" w:color="auto" w:fill="C6EFCE"/>
            <w:tcMar>
              <w:left w:w="108" w:type="dxa"/>
              <w:right w:w="108" w:type="dxa"/>
            </w:tcMar>
          </w:tcPr>
          <w:p w14:paraId="1E0ED129" w14:textId="77777777" w:rsidR="004E39F6" w:rsidRPr="00E60E42" w:rsidRDefault="00A35BEA" w:rsidP="00B13BA9">
            <w:pPr>
              <w:spacing w:after="0"/>
              <w:jc w:val="both"/>
              <w:rPr>
                <w:rFonts w:ascii="Times New Roman" w:hAnsi="Times New Roman" w:cs="Times New Roman"/>
                <w:noProof/>
              </w:rPr>
            </w:pPr>
            <w:r w:rsidRPr="00E60E42">
              <w:rPr>
                <w:rFonts w:ascii="Times New Roman" w:hAnsi="Times New Roman" w:cs="Times New Roman"/>
                <w:noProof/>
                <w:color w:val="000000" w:themeColor="text1"/>
              </w:rPr>
              <w:t xml:space="preserve">Completion of technical specifications for social security forecasting tool information system </w:t>
            </w:r>
          </w:p>
        </w:tc>
      </w:tr>
      <w:tr w:rsidR="00C56BD9" w:rsidRPr="00E60E42" w14:paraId="1E0ED12F" w14:textId="77777777" w:rsidTr="00884269">
        <w:trPr>
          <w:trHeight w:val="300"/>
          <w:jc w:val="center"/>
        </w:trPr>
        <w:tc>
          <w:tcPr>
            <w:tcW w:w="1449" w:type="dxa"/>
            <w:shd w:val="clear" w:color="auto" w:fill="C6EFCE"/>
            <w:tcMar>
              <w:left w:w="108" w:type="dxa"/>
              <w:right w:w="108" w:type="dxa"/>
            </w:tcMar>
            <w:vAlign w:val="center"/>
          </w:tcPr>
          <w:p w14:paraId="1E0ED12B" w14:textId="77777777" w:rsidR="004E39F6" w:rsidRPr="00E60E42" w:rsidRDefault="00A35BEA">
            <w:pPr>
              <w:spacing w:after="0"/>
              <w:jc w:val="center"/>
              <w:rPr>
                <w:noProof/>
              </w:rPr>
            </w:pPr>
            <w:r w:rsidRPr="00E60E42">
              <w:rPr>
                <w:rFonts w:ascii="Times New Roman" w:hAnsi="Times New Roman"/>
                <w:noProof/>
                <w:color w:val="000000" w:themeColor="text1"/>
              </w:rPr>
              <w:t>122</w:t>
            </w:r>
          </w:p>
        </w:tc>
        <w:tc>
          <w:tcPr>
            <w:tcW w:w="3082" w:type="dxa"/>
            <w:shd w:val="clear" w:color="auto" w:fill="C6EFCE"/>
            <w:tcMar>
              <w:left w:w="108" w:type="dxa"/>
              <w:right w:w="108" w:type="dxa"/>
            </w:tcMar>
          </w:tcPr>
          <w:p w14:paraId="1E0ED12C" w14:textId="77777777" w:rsidR="004E39F6" w:rsidRPr="00E60E42" w:rsidRDefault="00A35BEA">
            <w:pPr>
              <w:spacing w:after="0"/>
              <w:rPr>
                <w:rFonts w:ascii="Times New Roman" w:hAnsi="Times New Roman" w:cs="Times New Roman"/>
                <w:noProof/>
              </w:rPr>
            </w:pPr>
            <w:r w:rsidRPr="00E60E42">
              <w:rPr>
                <w:rFonts w:ascii="Times New Roman" w:hAnsi="Times New Roman" w:cs="Times New Roman"/>
                <w:noProof/>
                <w:color w:val="000000" w:themeColor="text1"/>
              </w:rPr>
              <w:t xml:space="preserve">3.1.2.3.i. Resilience and continuity of the long-term social care service </w:t>
            </w:r>
          </w:p>
        </w:tc>
        <w:tc>
          <w:tcPr>
            <w:tcW w:w="1418" w:type="dxa"/>
            <w:shd w:val="clear" w:color="auto" w:fill="C6EFCE"/>
            <w:tcMar>
              <w:left w:w="108" w:type="dxa"/>
              <w:right w:w="108" w:type="dxa"/>
            </w:tcMar>
          </w:tcPr>
          <w:p w14:paraId="1E0ED12D" w14:textId="77777777" w:rsidR="004E39F6" w:rsidRPr="00E60E42" w:rsidRDefault="00A35BEA" w:rsidP="00B13BA9">
            <w:pPr>
              <w:spacing w:after="0"/>
              <w:jc w:val="center"/>
              <w:rPr>
                <w:rFonts w:ascii="Times New Roman" w:hAnsi="Times New Roman" w:cs="Times New Roman"/>
                <w:noProof/>
              </w:rPr>
            </w:pPr>
            <w:r w:rsidRPr="00E60E42">
              <w:rPr>
                <w:rFonts w:ascii="Times New Roman" w:hAnsi="Times New Roman" w:cs="Times New Roman"/>
                <w:noProof/>
                <w:color w:val="000000" w:themeColor="text1"/>
              </w:rPr>
              <w:t>Target</w:t>
            </w:r>
          </w:p>
        </w:tc>
        <w:tc>
          <w:tcPr>
            <w:tcW w:w="3681" w:type="dxa"/>
            <w:shd w:val="clear" w:color="auto" w:fill="C6EFCE"/>
            <w:tcMar>
              <w:left w:w="108" w:type="dxa"/>
              <w:right w:w="108" w:type="dxa"/>
            </w:tcMar>
          </w:tcPr>
          <w:p w14:paraId="1E0ED12E" w14:textId="77777777" w:rsidR="004E39F6" w:rsidRPr="00E60E42" w:rsidRDefault="00A35BEA" w:rsidP="00B13BA9">
            <w:pPr>
              <w:spacing w:after="0"/>
              <w:jc w:val="both"/>
              <w:rPr>
                <w:rFonts w:ascii="Times New Roman" w:hAnsi="Times New Roman" w:cs="Times New Roman"/>
                <w:noProof/>
              </w:rPr>
            </w:pPr>
            <w:r w:rsidRPr="00E60E42">
              <w:rPr>
                <w:rFonts w:ascii="Times New Roman" w:hAnsi="Times New Roman" w:cs="Times New Roman"/>
                <w:noProof/>
                <w:color w:val="000000" w:themeColor="text1"/>
              </w:rPr>
              <w:t xml:space="preserve">Conclusion of contracts on the implementation of projects </w:t>
            </w:r>
          </w:p>
        </w:tc>
      </w:tr>
      <w:tr w:rsidR="00C56BD9" w:rsidRPr="00E60E42" w14:paraId="1E0ED134" w14:textId="77777777" w:rsidTr="00884269">
        <w:trPr>
          <w:trHeight w:val="300"/>
          <w:jc w:val="center"/>
        </w:trPr>
        <w:tc>
          <w:tcPr>
            <w:tcW w:w="1449" w:type="dxa"/>
            <w:shd w:val="clear" w:color="auto" w:fill="C6EFCE"/>
            <w:tcMar>
              <w:left w:w="108" w:type="dxa"/>
              <w:right w:w="108" w:type="dxa"/>
            </w:tcMar>
            <w:vAlign w:val="center"/>
          </w:tcPr>
          <w:p w14:paraId="1E0ED130" w14:textId="77777777" w:rsidR="004E39F6" w:rsidRPr="00E60E42" w:rsidRDefault="00A35BEA">
            <w:pPr>
              <w:spacing w:after="0"/>
              <w:jc w:val="center"/>
              <w:rPr>
                <w:noProof/>
              </w:rPr>
            </w:pPr>
            <w:r w:rsidRPr="00E60E42">
              <w:rPr>
                <w:rFonts w:ascii="Times New Roman" w:hAnsi="Times New Roman"/>
                <w:noProof/>
                <w:color w:val="000000" w:themeColor="text1"/>
              </w:rPr>
              <w:t>124</w:t>
            </w:r>
          </w:p>
        </w:tc>
        <w:tc>
          <w:tcPr>
            <w:tcW w:w="3082" w:type="dxa"/>
            <w:shd w:val="clear" w:color="auto" w:fill="C6EFCE"/>
            <w:tcMar>
              <w:left w:w="108" w:type="dxa"/>
              <w:right w:w="108" w:type="dxa"/>
            </w:tcMar>
          </w:tcPr>
          <w:p w14:paraId="1E0ED131" w14:textId="77777777" w:rsidR="004E39F6" w:rsidRPr="00E60E42" w:rsidRDefault="00A35BEA">
            <w:pPr>
              <w:spacing w:after="0"/>
              <w:rPr>
                <w:rFonts w:ascii="Times New Roman" w:hAnsi="Times New Roman" w:cs="Times New Roman"/>
                <w:noProof/>
              </w:rPr>
            </w:pPr>
            <w:r w:rsidRPr="00E60E42">
              <w:rPr>
                <w:rFonts w:ascii="Times New Roman" w:hAnsi="Times New Roman" w:cs="Times New Roman"/>
                <w:noProof/>
                <w:color w:val="000000" w:themeColor="text1"/>
              </w:rPr>
              <w:t xml:space="preserve">3.1.2.4.i. Synergistic development of social and vocational rehabilitation services for the promotion of the resilience of people with functional impairments </w:t>
            </w:r>
          </w:p>
        </w:tc>
        <w:tc>
          <w:tcPr>
            <w:tcW w:w="1418" w:type="dxa"/>
            <w:shd w:val="clear" w:color="auto" w:fill="C6EFCE"/>
            <w:tcMar>
              <w:left w:w="108" w:type="dxa"/>
              <w:right w:w="108" w:type="dxa"/>
            </w:tcMar>
          </w:tcPr>
          <w:p w14:paraId="1E0ED132" w14:textId="77777777" w:rsidR="004E39F6" w:rsidRPr="00E60E42" w:rsidRDefault="00A35BEA" w:rsidP="00B13BA9">
            <w:pPr>
              <w:spacing w:after="0"/>
              <w:jc w:val="center"/>
              <w:rPr>
                <w:rFonts w:ascii="Times New Roman" w:hAnsi="Times New Roman" w:cs="Times New Roman"/>
                <w:noProof/>
              </w:rPr>
            </w:pPr>
            <w:r w:rsidRPr="00E60E42">
              <w:rPr>
                <w:rFonts w:ascii="Times New Roman" w:hAnsi="Times New Roman" w:cs="Times New Roman"/>
                <w:noProof/>
                <w:color w:val="000000" w:themeColor="text1"/>
              </w:rPr>
              <w:t>Milestone</w:t>
            </w:r>
          </w:p>
        </w:tc>
        <w:tc>
          <w:tcPr>
            <w:tcW w:w="3681" w:type="dxa"/>
            <w:shd w:val="clear" w:color="auto" w:fill="C6EFCE"/>
            <w:tcMar>
              <w:left w:w="108" w:type="dxa"/>
              <w:right w:w="108" w:type="dxa"/>
            </w:tcMar>
          </w:tcPr>
          <w:p w14:paraId="1E0ED133" w14:textId="77777777" w:rsidR="004E39F6" w:rsidRPr="00E60E42" w:rsidRDefault="00A35BEA" w:rsidP="00B13BA9">
            <w:pPr>
              <w:spacing w:after="0"/>
              <w:jc w:val="both"/>
              <w:rPr>
                <w:rFonts w:ascii="Times New Roman" w:hAnsi="Times New Roman" w:cs="Times New Roman"/>
                <w:noProof/>
              </w:rPr>
            </w:pPr>
            <w:r w:rsidRPr="00E60E42">
              <w:rPr>
                <w:rFonts w:ascii="Times New Roman" w:hAnsi="Times New Roman" w:cs="Times New Roman"/>
                <w:noProof/>
                <w:color w:val="000000" w:themeColor="text1"/>
              </w:rPr>
              <w:t xml:space="preserve">Description of the vocational rehabilitation service adopted </w:t>
            </w:r>
          </w:p>
        </w:tc>
      </w:tr>
      <w:tr w:rsidR="00C56BD9" w:rsidRPr="00E60E42" w14:paraId="1E0ED139" w14:textId="77777777" w:rsidTr="00884269">
        <w:trPr>
          <w:trHeight w:val="300"/>
          <w:jc w:val="center"/>
        </w:trPr>
        <w:tc>
          <w:tcPr>
            <w:tcW w:w="1449" w:type="dxa"/>
            <w:shd w:val="clear" w:color="auto" w:fill="C6EFCE"/>
            <w:tcMar>
              <w:left w:w="108" w:type="dxa"/>
              <w:right w:w="108" w:type="dxa"/>
            </w:tcMar>
            <w:vAlign w:val="center"/>
          </w:tcPr>
          <w:p w14:paraId="1E0ED135" w14:textId="77777777" w:rsidR="004E39F6" w:rsidRPr="00E60E42" w:rsidRDefault="00A35BEA">
            <w:pPr>
              <w:spacing w:after="0"/>
              <w:jc w:val="center"/>
              <w:rPr>
                <w:noProof/>
              </w:rPr>
            </w:pPr>
            <w:r w:rsidRPr="00E60E42">
              <w:rPr>
                <w:rFonts w:ascii="Times New Roman" w:hAnsi="Times New Roman"/>
                <w:noProof/>
                <w:color w:val="000000" w:themeColor="text1"/>
              </w:rPr>
              <w:t>127</w:t>
            </w:r>
          </w:p>
        </w:tc>
        <w:tc>
          <w:tcPr>
            <w:tcW w:w="3082" w:type="dxa"/>
            <w:shd w:val="clear" w:color="auto" w:fill="C6EFCE"/>
            <w:tcMar>
              <w:left w:w="108" w:type="dxa"/>
              <w:right w:w="108" w:type="dxa"/>
            </w:tcMar>
          </w:tcPr>
          <w:p w14:paraId="1E0ED136" w14:textId="77777777" w:rsidR="004E39F6" w:rsidRPr="00E60E42" w:rsidRDefault="00A35BEA">
            <w:pPr>
              <w:spacing w:after="0"/>
              <w:rPr>
                <w:rFonts w:ascii="Times New Roman" w:hAnsi="Times New Roman" w:cs="Times New Roman"/>
                <w:noProof/>
              </w:rPr>
            </w:pPr>
            <w:r w:rsidRPr="00E60E42">
              <w:rPr>
                <w:rFonts w:ascii="Times New Roman" w:hAnsi="Times New Roman" w:cs="Times New Roman"/>
                <w:noProof/>
                <w:color w:val="000000" w:themeColor="text1"/>
              </w:rPr>
              <w:t xml:space="preserve">3.1.2.5.i. Participation in the labour market of unemployed, jobseekers and people at risk of unemployment </w:t>
            </w:r>
          </w:p>
        </w:tc>
        <w:tc>
          <w:tcPr>
            <w:tcW w:w="1418" w:type="dxa"/>
            <w:shd w:val="clear" w:color="auto" w:fill="C6EFCE"/>
            <w:tcMar>
              <w:left w:w="108" w:type="dxa"/>
              <w:right w:w="108" w:type="dxa"/>
            </w:tcMar>
          </w:tcPr>
          <w:p w14:paraId="1E0ED137" w14:textId="77777777" w:rsidR="004E39F6" w:rsidRPr="00E60E42" w:rsidRDefault="00A35BEA" w:rsidP="00B13BA9">
            <w:pPr>
              <w:spacing w:after="0"/>
              <w:jc w:val="center"/>
              <w:rPr>
                <w:rFonts w:ascii="Times New Roman" w:hAnsi="Times New Roman" w:cs="Times New Roman"/>
                <w:noProof/>
              </w:rPr>
            </w:pPr>
            <w:r w:rsidRPr="00E60E42">
              <w:rPr>
                <w:rFonts w:ascii="Times New Roman" w:hAnsi="Times New Roman" w:cs="Times New Roman"/>
                <w:noProof/>
                <w:color w:val="000000" w:themeColor="text1"/>
              </w:rPr>
              <w:t>Milestone</w:t>
            </w:r>
          </w:p>
        </w:tc>
        <w:tc>
          <w:tcPr>
            <w:tcW w:w="3681" w:type="dxa"/>
            <w:shd w:val="clear" w:color="auto" w:fill="C6EFCE"/>
            <w:tcMar>
              <w:left w:w="108" w:type="dxa"/>
              <w:right w:w="108" w:type="dxa"/>
            </w:tcMar>
          </w:tcPr>
          <w:p w14:paraId="1E0ED138" w14:textId="77777777" w:rsidR="004E39F6" w:rsidRPr="00E60E42" w:rsidRDefault="00A35BEA" w:rsidP="00B13BA9">
            <w:pPr>
              <w:spacing w:after="0"/>
              <w:jc w:val="both"/>
              <w:rPr>
                <w:rFonts w:ascii="Times New Roman" w:hAnsi="Times New Roman" w:cs="Times New Roman"/>
                <w:noProof/>
              </w:rPr>
            </w:pPr>
            <w:r w:rsidRPr="00E60E42">
              <w:rPr>
                <w:rFonts w:ascii="Times New Roman" w:hAnsi="Times New Roman" w:cs="Times New Roman"/>
                <w:noProof/>
                <w:color w:val="000000" w:themeColor="text1"/>
              </w:rPr>
              <w:t xml:space="preserve">A retraining and up-skilling offer, with a focus on digital skills, has been established to clients (unemployed, jobseekers, persons at risk of unemployment) of the State Employment Agency for the job-rich recovery of the economy by implementing active labour market policy measures </w:t>
            </w:r>
          </w:p>
        </w:tc>
      </w:tr>
      <w:tr w:rsidR="00C56BD9" w:rsidRPr="00E60E42" w14:paraId="1E0ED13E" w14:textId="77777777" w:rsidTr="00884269">
        <w:trPr>
          <w:trHeight w:val="300"/>
          <w:jc w:val="center"/>
        </w:trPr>
        <w:tc>
          <w:tcPr>
            <w:tcW w:w="1449" w:type="dxa"/>
            <w:shd w:val="clear" w:color="auto" w:fill="C6EFCE"/>
            <w:tcMar>
              <w:left w:w="108" w:type="dxa"/>
              <w:right w:w="108" w:type="dxa"/>
            </w:tcMar>
            <w:vAlign w:val="center"/>
          </w:tcPr>
          <w:p w14:paraId="1E0ED13A" w14:textId="77777777" w:rsidR="004E39F6" w:rsidRPr="00E60E42" w:rsidRDefault="00A35BEA">
            <w:pPr>
              <w:spacing w:after="0"/>
              <w:jc w:val="center"/>
              <w:rPr>
                <w:noProof/>
              </w:rPr>
            </w:pPr>
            <w:r w:rsidRPr="00E60E42">
              <w:rPr>
                <w:rFonts w:ascii="Times New Roman" w:hAnsi="Times New Roman"/>
                <w:noProof/>
                <w:color w:val="000000" w:themeColor="text1"/>
              </w:rPr>
              <w:t>128</w:t>
            </w:r>
          </w:p>
        </w:tc>
        <w:tc>
          <w:tcPr>
            <w:tcW w:w="3082" w:type="dxa"/>
            <w:shd w:val="clear" w:color="auto" w:fill="C6EFCE"/>
            <w:tcMar>
              <w:left w:w="108" w:type="dxa"/>
              <w:right w:w="108" w:type="dxa"/>
            </w:tcMar>
          </w:tcPr>
          <w:p w14:paraId="1E0ED13B" w14:textId="77777777" w:rsidR="004E39F6" w:rsidRPr="00E60E42" w:rsidRDefault="00A35BEA">
            <w:pPr>
              <w:spacing w:after="0"/>
              <w:rPr>
                <w:noProof/>
              </w:rPr>
            </w:pPr>
            <w:r w:rsidRPr="00E60E42">
              <w:rPr>
                <w:rFonts w:ascii="Times New Roman" w:hAnsi="Times New Roman"/>
                <w:noProof/>
                <w:color w:val="000000" w:themeColor="text1"/>
              </w:rPr>
              <w:t xml:space="preserve">3.1.2.5.i. Participation in the labour market of unemployed, jobseekers and people at risk of unemployment </w:t>
            </w:r>
          </w:p>
        </w:tc>
        <w:tc>
          <w:tcPr>
            <w:tcW w:w="1418" w:type="dxa"/>
            <w:shd w:val="clear" w:color="auto" w:fill="C6EFCE"/>
            <w:tcMar>
              <w:left w:w="108" w:type="dxa"/>
              <w:right w:w="108" w:type="dxa"/>
            </w:tcMar>
          </w:tcPr>
          <w:p w14:paraId="1E0ED13C"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3D" w14:textId="77777777" w:rsidR="004E39F6" w:rsidRPr="00E60E42" w:rsidRDefault="00A35BEA" w:rsidP="00B13BA9">
            <w:pPr>
              <w:spacing w:after="0"/>
              <w:jc w:val="both"/>
              <w:rPr>
                <w:noProof/>
              </w:rPr>
            </w:pPr>
            <w:r w:rsidRPr="00E60E42">
              <w:rPr>
                <w:rFonts w:ascii="Times New Roman" w:hAnsi="Times New Roman"/>
                <w:noProof/>
                <w:color w:val="000000" w:themeColor="text1"/>
              </w:rPr>
              <w:t>Development of a digital tool for skills assessment</w:t>
            </w:r>
          </w:p>
        </w:tc>
      </w:tr>
      <w:tr w:rsidR="00C56BD9" w:rsidRPr="00E60E42" w14:paraId="1E0ED143" w14:textId="77777777" w:rsidTr="00884269">
        <w:trPr>
          <w:trHeight w:val="300"/>
          <w:jc w:val="center"/>
        </w:trPr>
        <w:tc>
          <w:tcPr>
            <w:tcW w:w="1449" w:type="dxa"/>
            <w:shd w:val="clear" w:color="auto" w:fill="C6EFCE"/>
            <w:tcMar>
              <w:left w:w="108" w:type="dxa"/>
              <w:right w:w="108" w:type="dxa"/>
            </w:tcMar>
            <w:vAlign w:val="center"/>
          </w:tcPr>
          <w:p w14:paraId="1E0ED13F" w14:textId="77777777" w:rsidR="004E39F6" w:rsidRPr="00E60E42" w:rsidRDefault="00A35BEA">
            <w:pPr>
              <w:spacing w:after="0"/>
              <w:jc w:val="center"/>
              <w:rPr>
                <w:noProof/>
              </w:rPr>
            </w:pPr>
            <w:r w:rsidRPr="00E60E42">
              <w:rPr>
                <w:rFonts w:ascii="Times New Roman" w:hAnsi="Times New Roman"/>
                <w:noProof/>
                <w:color w:val="000000" w:themeColor="text1"/>
              </w:rPr>
              <w:t>143</w:t>
            </w:r>
          </w:p>
        </w:tc>
        <w:tc>
          <w:tcPr>
            <w:tcW w:w="3082" w:type="dxa"/>
            <w:shd w:val="clear" w:color="auto" w:fill="C6EFCE"/>
            <w:tcMar>
              <w:left w:w="108" w:type="dxa"/>
              <w:right w:w="108" w:type="dxa"/>
            </w:tcMar>
          </w:tcPr>
          <w:p w14:paraId="1E0ED140" w14:textId="77777777" w:rsidR="004E39F6" w:rsidRPr="00E60E42" w:rsidRDefault="00A35BEA">
            <w:pPr>
              <w:spacing w:after="0"/>
              <w:rPr>
                <w:noProof/>
              </w:rPr>
            </w:pPr>
            <w:r w:rsidRPr="00E60E42">
              <w:rPr>
                <w:rFonts w:ascii="Times New Roman" w:hAnsi="Times New Roman"/>
                <w:noProof/>
                <w:color w:val="000000" w:themeColor="text1"/>
              </w:rPr>
              <w:t>4.2.1.r. Provision of human resources and upskilling</w:t>
            </w:r>
          </w:p>
        </w:tc>
        <w:tc>
          <w:tcPr>
            <w:tcW w:w="1418" w:type="dxa"/>
            <w:shd w:val="clear" w:color="auto" w:fill="C6EFCE"/>
            <w:tcMar>
              <w:left w:w="108" w:type="dxa"/>
              <w:right w:w="108" w:type="dxa"/>
            </w:tcMar>
          </w:tcPr>
          <w:p w14:paraId="1E0ED141"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42" w14:textId="77777777" w:rsidR="004E39F6" w:rsidRPr="00E60E42" w:rsidRDefault="00A35BEA" w:rsidP="00B13BA9">
            <w:pPr>
              <w:spacing w:after="0"/>
              <w:jc w:val="both"/>
              <w:rPr>
                <w:noProof/>
              </w:rPr>
            </w:pPr>
            <w:r w:rsidRPr="00E60E42">
              <w:rPr>
                <w:rFonts w:ascii="Times New Roman" w:hAnsi="Times New Roman"/>
                <w:noProof/>
                <w:color w:val="000000" w:themeColor="text1"/>
              </w:rPr>
              <w:t>Human resources development strategy</w:t>
            </w:r>
          </w:p>
        </w:tc>
      </w:tr>
      <w:tr w:rsidR="00C56BD9" w:rsidRPr="00E60E42" w14:paraId="1E0ED148" w14:textId="77777777" w:rsidTr="00884269">
        <w:trPr>
          <w:trHeight w:val="300"/>
          <w:jc w:val="center"/>
        </w:trPr>
        <w:tc>
          <w:tcPr>
            <w:tcW w:w="1449" w:type="dxa"/>
            <w:shd w:val="clear" w:color="auto" w:fill="C6EFCE"/>
            <w:tcMar>
              <w:left w:w="108" w:type="dxa"/>
              <w:right w:w="108" w:type="dxa"/>
            </w:tcMar>
            <w:vAlign w:val="center"/>
          </w:tcPr>
          <w:p w14:paraId="1E0ED144" w14:textId="77777777" w:rsidR="004E39F6" w:rsidRPr="00E60E42" w:rsidRDefault="00A35BEA">
            <w:pPr>
              <w:spacing w:after="0"/>
              <w:jc w:val="center"/>
              <w:rPr>
                <w:noProof/>
              </w:rPr>
            </w:pPr>
            <w:r w:rsidRPr="00E60E42">
              <w:rPr>
                <w:rFonts w:ascii="Times New Roman" w:hAnsi="Times New Roman"/>
                <w:noProof/>
                <w:color w:val="000000" w:themeColor="text1"/>
              </w:rPr>
              <w:t>144</w:t>
            </w:r>
          </w:p>
        </w:tc>
        <w:tc>
          <w:tcPr>
            <w:tcW w:w="3082" w:type="dxa"/>
            <w:shd w:val="clear" w:color="auto" w:fill="C6EFCE"/>
            <w:tcMar>
              <w:left w:w="108" w:type="dxa"/>
              <w:right w:w="108" w:type="dxa"/>
            </w:tcMar>
          </w:tcPr>
          <w:p w14:paraId="1E0ED145" w14:textId="77777777" w:rsidR="004E39F6" w:rsidRPr="00E60E42" w:rsidRDefault="00A35BEA">
            <w:pPr>
              <w:spacing w:after="0"/>
              <w:rPr>
                <w:noProof/>
              </w:rPr>
            </w:pPr>
            <w:r w:rsidRPr="00E60E42">
              <w:rPr>
                <w:rFonts w:ascii="Times New Roman" w:hAnsi="Times New Roman"/>
                <w:noProof/>
                <w:color w:val="000000" w:themeColor="text1"/>
              </w:rPr>
              <w:t>4.2.1.r. Provision of human resources and upskilling</w:t>
            </w:r>
          </w:p>
        </w:tc>
        <w:tc>
          <w:tcPr>
            <w:tcW w:w="1418" w:type="dxa"/>
            <w:shd w:val="clear" w:color="auto" w:fill="C6EFCE"/>
            <w:tcMar>
              <w:left w:w="108" w:type="dxa"/>
              <w:right w:w="108" w:type="dxa"/>
            </w:tcMar>
          </w:tcPr>
          <w:p w14:paraId="1E0ED146"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47"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Adoption of Human Resources Mapping in Healthcare </w:t>
            </w:r>
          </w:p>
        </w:tc>
      </w:tr>
      <w:tr w:rsidR="00C56BD9" w:rsidRPr="00E60E42" w14:paraId="1E0ED14D" w14:textId="77777777" w:rsidTr="00884269">
        <w:trPr>
          <w:trHeight w:val="300"/>
          <w:jc w:val="center"/>
        </w:trPr>
        <w:tc>
          <w:tcPr>
            <w:tcW w:w="1449" w:type="dxa"/>
            <w:shd w:val="clear" w:color="auto" w:fill="C6EFCE"/>
            <w:tcMar>
              <w:left w:w="108" w:type="dxa"/>
              <w:right w:w="108" w:type="dxa"/>
            </w:tcMar>
          </w:tcPr>
          <w:p w14:paraId="1E0ED149" w14:textId="77777777" w:rsidR="004E39F6" w:rsidRPr="00E60E42" w:rsidRDefault="00A35BEA">
            <w:pPr>
              <w:spacing w:after="0"/>
              <w:jc w:val="center"/>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146</w:t>
            </w:r>
          </w:p>
        </w:tc>
        <w:tc>
          <w:tcPr>
            <w:tcW w:w="3082" w:type="dxa"/>
            <w:shd w:val="clear" w:color="auto" w:fill="C6EFCE"/>
            <w:tcMar>
              <w:left w:w="108" w:type="dxa"/>
              <w:right w:w="108" w:type="dxa"/>
            </w:tcMar>
          </w:tcPr>
          <w:p w14:paraId="1E0ED14A" w14:textId="77777777" w:rsidR="004E39F6" w:rsidRPr="00E60E42" w:rsidRDefault="00A35BEA">
            <w:pPr>
              <w:spacing w:after="0"/>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4.2.1.r. Provision of human resources and upskilling</w:t>
            </w:r>
          </w:p>
        </w:tc>
        <w:tc>
          <w:tcPr>
            <w:tcW w:w="1418" w:type="dxa"/>
            <w:shd w:val="clear" w:color="auto" w:fill="C6EFCE"/>
            <w:tcMar>
              <w:left w:w="108" w:type="dxa"/>
              <w:right w:w="108" w:type="dxa"/>
            </w:tcMar>
          </w:tcPr>
          <w:p w14:paraId="1E0ED14B" w14:textId="77777777" w:rsidR="004E39F6" w:rsidRPr="00E60E42" w:rsidRDefault="00A35BEA" w:rsidP="00B13BA9">
            <w:pPr>
              <w:spacing w:after="0"/>
              <w:jc w:val="center"/>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4C" w14:textId="77777777" w:rsidR="004E39F6" w:rsidRPr="00E60E42" w:rsidRDefault="00A35BEA" w:rsidP="00B13BA9">
            <w:pPr>
              <w:spacing w:after="0"/>
              <w:jc w:val="both"/>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Adoption of a model for health workforce planning</w:t>
            </w:r>
          </w:p>
        </w:tc>
      </w:tr>
      <w:tr w:rsidR="00C56BD9" w:rsidRPr="00E60E42" w14:paraId="1E0ED152" w14:textId="77777777" w:rsidTr="00884269">
        <w:trPr>
          <w:trHeight w:val="300"/>
          <w:jc w:val="center"/>
        </w:trPr>
        <w:tc>
          <w:tcPr>
            <w:tcW w:w="1449" w:type="dxa"/>
            <w:shd w:val="clear" w:color="auto" w:fill="C6EFCE"/>
            <w:tcMar>
              <w:left w:w="108" w:type="dxa"/>
              <w:right w:w="108" w:type="dxa"/>
            </w:tcMar>
            <w:vAlign w:val="center"/>
          </w:tcPr>
          <w:p w14:paraId="1E0ED14E" w14:textId="77777777" w:rsidR="004E39F6" w:rsidRPr="00E60E42" w:rsidRDefault="00A35BEA">
            <w:pPr>
              <w:spacing w:after="0"/>
              <w:jc w:val="center"/>
              <w:rPr>
                <w:noProof/>
              </w:rPr>
            </w:pPr>
            <w:r w:rsidRPr="00E60E42">
              <w:rPr>
                <w:rFonts w:ascii="Times New Roman" w:hAnsi="Times New Roman"/>
                <w:noProof/>
                <w:color w:val="000000" w:themeColor="text1"/>
              </w:rPr>
              <w:t>147</w:t>
            </w:r>
          </w:p>
        </w:tc>
        <w:tc>
          <w:tcPr>
            <w:tcW w:w="3082" w:type="dxa"/>
            <w:shd w:val="clear" w:color="auto" w:fill="C6EFCE"/>
            <w:tcMar>
              <w:left w:w="108" w:type="dxa"/>
              <w:right w:w="108" w:type="dxa"/>
            </w:tcMar>
          </w:tcPr>
          <w:p w14:paraId="1E0ED14F" w14:textId="77777777" w:rsidR="004E39F6" w:rsidRPr="00E60E42" w:rsidRDefault="00A35BEA">
            <w:pPr>
              <w:spacing w:after="0"/>
              <w:rPr>
                <w:noProof/>
              </w:rPr>
            </w:pPr>
            <w:r w:rsidRPr="00E60E42">
              <w:rPr>
                <w:rFonts w:ascii="Times New Roman" w:hAnsi="Times New Roman"/>
                <w:noProof/>
                <w:color w:val="000000" w:themeColor="text1"/>
              </w:rPr>
              <w:t>4.2.1.1.i. Support for the implementation of the human resources development system</w:t>
            </w:r>
          </w:p>
        </w:tc>
        <w:tc>
          <w:tcPr>
            <w:tcW w:w="1418" w:type="dxa"/>
            <w:shd w:val="clear" w:color="auto" w:fill="C6EFCE"/>
            <w:tcMar>
              <w:left w:w="108" w:type="dxa"/>
              <w:right w:w="108" w:type="dxa"/>
            </w:tcMar>
          </w:tcPr>
          <w:p w14:paraId="1E0ED150"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51" w14:textId="77777777" w:rsidR="004E39F6" w:rsidRPr="00E60E42" w:rsidRDefault="00A35BEA" w:rsidP="00B13BA9">
            <w:pPr>
              <w:spacing w:after="0"/>
              <w:jc w:val="both"/>
              <w:rPr>
                <w:noProof/>
              </w:rPr>
            </w:pPr>
            <w:r w:rsidRPr="00E60E42">
              <w:rPr>
                <w:rFonts w:ascii="Times New Roman" w:hAnsi="Times New Roman"/>
                <w:noProof/>
                <w:color w:val="000000" w:themeColor="text1"/>
              </w:rPr>
              <w:t>A coordinating mechanism for health workforce training established</w:t>
            </w:r>
          </w:p>
        </w:tc>
      </w:tr>
      <w:tr w:rsidR="00C56BD9" w:rsidRPr="00E60E42" w14:paraId="1E0ED157" w14:textId="77777777" w:rsidTr="00884269">
        <w:trPr>
          <w:trHeight w:val="300"/>
          <w:jc w:val="center"/>
        </w:trPr>
        <w:tc>
          <w:tcPr>
            <w:tcW w:w="1449" w:type="dxa"/>
            <w:shd w:val="clear" w:color="auto" w:fill="C6EFCE"/>
            <w:tcMar>
              <w:left w:w="108" w:type="dxa"/>
              <w:right w:w="108" w:type="dxa"/>
            </w:tcMar>
            <w:vAlign w:val="center"/>
          </w:tcPr>
          <w:p w14:paraId="1E0ED153" w14:textId="77777777" w:rsidR="004E39F6" w:rsidRPr="00E60E42" w:rsidRDefault="00A35BEA">
            <w:pPr>
              <w:spacing w:after="0"/>
              <w:jc w:val="center"/>
              <w:rPr>
                <w:noProof/>
              </w:rPr>
            </w:pPr>
            <w:r w:rsidRPr="00E60E42">
              <w:rPr>
                <w:rFonts w:ascii="Times New Roman" w:hAnsi="Times New Roman"/>
                <w:noProof/>
                <w:color w:val="000000" w:themeColor="text1"/>
              </w:rPr>
              <w:t>152</w:t>
            </w:r>
          </w:p>
        </w:tc>
        <w:tc>
          <w:tcPr>
            <w:tcW w:w="3082" w:type="dxa"/>
            <w:shd w:val="clear" w:color="auto" w:fill="C6EFCE"/>
            <w:tcMar>
              <w:left w:w="108" w:type="dxa"/>
              <w:right w:w="108" w:type="dxa"/>
            </w:tcMar>
          </w:tcPr>
          <w:p w14:paraId="1E0ED154" w14:textId="77777777" w:rsidR="004E39F6" w:rsidRPr="00E60E42" w:rsidRDefault="00A35BEA">
            <w:pPr>
              <w:spacing w:after="0"/>
              <w:rPr>
                <w:noProof/>
              </w:rPr>
            </w:pPr>
            <w:r w:rsidRPr="00E60E42">
              <w:rPr>
                <w:rFonts w:ascii="Times New Roman" w:hAnsi="Times New Roman"/>
                <w:noProof/>
                <w:color w:val="000000" w:themeColor="text1"/>
              </w:rPr>
              <w:t>4.3.1.1.i. Support for assessing and improving the quality and accessibility of non-hospital secondary healthcare</w:t>
            </w:r>
          </w:p>
        </w:tc>
        <w:tc>
          <w:tcPr>
            <w:tcW w:w="1418" w:type="dxa"/>
            <w:shd w:val="clear" w:color="auto" w:fill="C6EFCE"/>
            <w:tcMar>
              <w:left w:w="108" w:type="dxa"/>
              <w:right w:w="108" w:type="dxa"/>
            </w:tcMar>
          </w:tcPr>
          <w:p w14:paraId="1E0ED155"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56"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Study on the quality, accessibility and availability of non-hospital secondary healthcare </w:t>
            </w:r>
          </w:p>
        </w:tc>
      </w:tr>
      <w:tr w:rsidR="00C56BD9" w:rsidRPr="00E60E42" w14:paraId="1E0ED15C" w14:textId="77777777" w:rsidTr="00884269">
        <w:trPr>
          <w:trHeight w:val="300"/>
          <w:jc w:val="center"/>
        </w:trPr>
        <w:tc>
          <w:tcPr>
            <w:tcW w:w="1449" w:type="dxa"/>
            <w:shd w:val="clear" w:color="auto" w:fill="C6EFCE"/>
            <w:tcMar>
              <w:left w:w="108" w:type="dxa"/>
              <w:right w:w="108" w:type="dxa"/>
            </w:tcMar>
            <w:vAlign w:val="center"/>
          </w:tcPr>
          <w:p w14:paraId="1E0ED158" w14:textId="77777777" w:rsidR="004E39F6" w:rsidRPr="00E60E42" w:rsidRDefault="00A35BEA">
            <w:pPr>
              <w:spacing w:after="0"/>
              <w:jc w:val="center"/>
              <w:rPr>
                <w:noProof/>
              </w:rPr>
            </w:pPr>
            <w:r w:rsidRPr="00E60E42">
              <w:rPr>
                <w:rFonts w:ascii="Times New Roman" w:hAnsi="Times New Roman"/>
                <w:noProof/>
                <w:color w:val="000000" w:themeColor="text1"/>
              </w:rPr>
              <w:t>155</w:t>
            </w:r>
          </w:p>
        </w:tc>
        <w:tc>
          <w:tcPr>
            <w:tcW w:w="3082" w:type="dxa"/>
            <w:shd w:val="clear" w:color="auto" w:fill="C6EFCE"/>
            <w:tcMar>
              <w:left w:w="108" w:type="dxa"/>
              <w:right w:w="108" w:type="dxa"/>
            </w:tcMar>
          </w:tcPr>
          <w:p w14:paraId="1E0ED159" w14:textId="77777777" w:rsidR="004E39F6" w:rsidRPr="00E60E42" w:rsidRDefault="00A35BEA">
            <w:pPr>
              <w:spacing w:after="0"/>
              <w:rPr>
                <w:noProof/>
              </w:rPr>
            </w:pPr>
            <w:r w:rsidRPr="00E60E42">
              <w:rPr>
                <w:rFonts w:ascii="Times New Roman" w:hAnsi="Times New Roman"/>
                <w:noProof/>
                <w:color w:val="000000" w:themeColor="text1"/>
              </w:rPr>
              <w:t>5.1.1.1.i. Support for a fully-fledged innovation system governance model</w:t>
            </w:r>
          </w:p>
        </w:tc>
        <w:tc>
          <w:tcPr>
            <w:tcW w:w="1418" w:type="dxa"/>
            <w:shd w:val="clear" w:color="auto" w:fill="C6EFCE"/>
            <w:tcMar>
              <w:left w:w="108" w:type="dxa"/>
              <w:right w:w="108" w:type="dxa"/>
            </w:tcMar>
          </w:tcPr>
          <w:p w14:paraId="1E0ED15A"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15B" w14:textId="77777777" w:rsidR="004E39F6" w:rsidRPr="00E60E42" w:rsidRDefault="00A35BEA" w:rsidP="00B13BA9">
            <w:pPr>
              <w:spacing w:after="0"/>
              <w:jc w:val="both"/>
              <w:rPr>
                <w:noProof/>
              </w:rPr>
            </w:pPr>
            <w:r w:rsidRPr="00E60E42">
              <w:rPr>
                <w:rFonts w:ascii="Times New Roman" w:hAnsi="Times New Roman"/>
                <w:noProof/>
                <w:color w:val="000000" w:themeColor="text1"/>
              </w:rPr>
              <w:t>Contracting or appointing the human resources needed</w:t>
            </w:r>
          </w:p>
        </w:tc>
      </w:tr>
      <w:tr w:rsidR="00C56BD9" w:rsidRPr="00E60E42" w14:paraId="1E0ED161" w14:textId="77777777" w:rsidTr="00884269">
        <w:trPr>
          <w:trHeight w:val="300"/>
          <w:jc w:val="center"/>
        </w:trPr>
        <w:tc>
          <w:tcPr>
            <w:tcW w:w="1449" w:type="dxa"/>
            <w:shd w:val="clear" w:color="auto" w:fill="C6EFCE"/>
            <w:tcMar>
              <w:left w:w="108" w:type="dxa"/>
              <w:right w:w="108" w:type="dxa"/>
            </w:tcMar>
            <w:vAlign w:val="center"/>
          </w:tcPr>
          <w:p w14:paraId="1E0ED15D" w14:textId="77777777" w:rsidR="004E39F6" w:rsidRPr="00E60E42" w:rsidRDefault="00A35BEA">
            <w:pPr>
              <w:spacing w:after="0"/>
              <w:jc w:val="center"/>
              <w:rPr>
                <w:noProof/>
              </w:rPr>
            </w:pPr>
            <w:r w:rsidRPr="00E60E42">
              <w:rPr>
                <w:rFonts w:ascii="Times New Roman" w:hAnsi="Times New Roman"/>
                <w:noProof/>
                <w:color w:val="000000" w:themeColor="text1"/>
              </w:rPr>
              <w:t>161</w:t>
            </w:r>
          </w:p>
        </w:tc>
        <w:tc>
          <w:tcPr>
            <w:tcW w:w="3082" w:type="dxa"/>
            <w:shd w:val="clear" w:color="auto" w:fill="C6EFCE"/>
            <w:tcMar>
              <w:left w:w="108" w:type="dxa"/>
              <w:right w:w="108" w:type="dxa"/>
            </w:tcMar>
          </w:tcPr>
          <w:p w14:paraId="1E0ED15E" w14:textId="77777777" w:rsidR="004E39F6" w:rsidRPr="00E60E42" w:rsidRDefault="00A35BEA">
            <w:pPr>
              <w:spacing w:after="0"/>
              <w:rPr>
                <w:noProof/>
              </w:rPr>
            </w:pPr>
            <w:r w:rsidRPr="00E60E42">
              <w:rPr>
                <w:rFonts w:ascii="Times New Roman" w:hAnsi="Times New Roman"/>
                <w:noProof/>
                <w:color w:val="000000" w:themeColor="text1"/>
              </w:rPr>
              <w:t>5.2.1.r. Reform of Higher Education and Scientific Excellence and Governance</w:t>
            </w:r>
          </w:p>
        </w:tc>
        <w:tc>
          <w:tcPr>
            <w:tcW w:w="1418" w:type="dxa"/>
            <w:shd w:val="clear" w:color="auto" w:fill="C6EFCE"/>
            <w:tcMar>
              <w:left w:w="108" w:type="dxa"/>
              <w:right w:w="108" w:type="dxa"/>
            </w:tcMar>
          </w:tcPr>
          <w:p w14:paraId="1E0ED15F"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160" w14:textId="77777777" w:rsidR="004E39F6" w:rsidRPr="00E60E42" w:rsidRDefault="00A35BEA" w:rsidP="00B13BA9">
            <w:pPr>
              <w:spacing w:after="0"/>
              <w:jc w:val="both"/>
              <w:rPr>
                <w:noProof/>
              </w:rPr>
            </w:pPr>
            <w:r w:rsidRPr="00E60E42">
              <w:rPr>
                <w:rFonts w:ascii="Times New Roman" w:hAnsi="Times New Roman"/>
                <w:noProof/>
                <w:color w:val="000000" w:themeColor="text1"/>
              </w:rPr>
              <w:t>Consolidation of higher education institutions</w:t>
            </w:r>
          </w:p>
        </w:tc>
      </w:tr>
      <w:tr w:rsidR="00C56BD9" w:rsidRPr="00E60E42" w14:paraId="1E0ED166" w14:textId="77777777" w:rsidTr="00884269">
        <w:trPr>
          <w:trHeight w:val="300"/>
          <w:jc w:val="center"/>
        </w:trPr>
        <w:tc>
          <w:tcPr>
            <w:tcW w:w="1449" w:type="dxa"/>
            <w:shd w:val="clear" w:color="auto" w:fill="C6EFCE"/>
            <w:tcMar>
              <w:left w:w="108" w:type="dxa"/>
              <w:right w:w="108" w:type="dxa"/>
            </w:tcMar>
            <w:vAlign w:val="center"/>
          </w:tcPr>
          <w:p w14:paraId="1E0ED162" w14:textId="77777777" w:rsidR="004E39F6" w:rsidRPr="00E60E42" w:rsidRDefault="00A35BEA">
            <w:pPr>
              <w:spacing w:after="0"/>
              <w:jc w:val="center"/>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168</w:t>
            </w:r>
          </w:p>
        </w:tc>
        <w:tc>
          <w:tcPr>
            <w:tcW w:w="3082" w:type="dxa"/>
            <w:shd w:val="clear" w:color="auto" w:fill="C6EFCE"/>
            <w:tcMar>
              <w:left w:w="108" w:type="dxa"/>
              <w:right w:w="108" w:type="dxa"/>
            </w:tcMar>
          </w:tcPr>
          <w:p w14:paraId="1E0ED163" w14:textId="77777777" w:rsidR="004E39F6" w:rsidRPr="00E60E42" w:rsidRDefault="00A35BEA">
            <w:pPr>
              <w:spacing w:after="0"/>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6.1.1.r. Strengthening analytics and developing data management in the field of tax administration and customs</w:t>
            </w:r>
          </w:p>
        </w:tc>
        <w:tc>
          <w:tcPr>
            <w:tcW w:w="1418" w:type="dxa"/>
            <w:shd w:val="clear" w:color="auto" w:fill="C6EFCE"/>
            <w:tcMar>
              <w:left w:w="108" w:type="dxa"/>
              <w:right w:w="108" w:type="dxa"/>
            </w:tcMar>
          </w:tcPr>
          <w:p w14:paraId="1E0ED164" w14:textId="77777777" w:rsidR="004E39F6" w:rsidRPr="00E60E42" w:rsidRDefault="00A35BEA" w:rsidP="00B13BA9">
            <w:pPr>
              <w:spacing w:after="0"/>
              <w:jc w:val="center"/>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65" w14:textId="77777777" w:rsidR="004E39F6" w:rsidRPr="00E60E42" w:rsidRDefault="00A35BEA" w:rsidP="00B13BA9">
            <w:pPr>
              <w:spacing w:after="0"/>
              <w:jc w:val="both"/>
              <w:rPr>
                <w:rFonts w:ascii="Times New Roman" w:eastAsia="Times New Roman" w:hAnsi="Times New Roman" w:cs="Times New Roman"/>
                <w:noProof/>
                <w:color w:val="000000" w:themeColor="text1"/>
              </w:rPr>
            </w:pPr>
            <w:r w:rsidRPr="00E60E42">
              <w:rPr>
                <w:rFonts w:ascii="Times New Roman" w:hAnsi="Times New Roman"/>
                <w:noProof/>
                <w:color w:val="000000" w:themeColor="text1"/>
              </w:rPr>
              <w:t>Entry into operation of a basket of data-based services for each segmentation group of taxpayers</w:t>
            </w:r>
          </w:p>
        </w:tc>
      </w:tr>
      <w:tr w:rsidR="00C56BD9" w:rsidRPr="00E60E42" w14:paraId="1E0ED16B" w14:textId="77777777" w:rsidTr="00884269">
        <w:trPr>
          <w:trHeight w:val="300"/>
          <w:jc w:val="center"/>
        </w:trPr>
        <w:tc>
          <w:tcPr>
            <w:tcW w:w="1449" w:type="dxa"/>
            <w:shd w:val="clear" w:color="auto" w:fill="C6EFCE"/>
            <w:tcMar>
              <w:left w:w="108" w:type="dxa"/>
              <w:right w:w="108" w:type="dxa"/>
            </w:tcMar>
            <w:vAlign w:val="center"/>
          </w:tcPr>
          <w:p w14:paraId="1E0ED167" w14:textId="77777777" w:rsidR="004E39F6" w:rsidRPr="00E60E42" w:rsidRDefault="00A35BEA">
            <w:pPr>
              <w:spacing w:after="0"/>
              <w:jc w:val="center"/>
              <w:rPr>
                <w:noProof/>
              </w:rPr>
            </w:pPr>
            <w:r w:rsidRPr="00E60E42">
              <w:rPr>
                <w:rFonts w:ascii="Times New Roman" w:hAnsi="Times New Roman"/>
                <w:noProof/>
                <w:color w:val="000000" w:themeColor="text1"/>
              </w:rPr>
              <w:t>169</w:t>
            </w:r>
          </w:p>
        </w:tc>
        <w:tc>
          <w:tcPr>
            <w:tcW w:w="3082" w:type="dxa"/>
            <w:shd w:val="clear" w:color="auto" w:fill="C6EFCE"/>
            <w:tcMar>
              <w:left w:w="108" w:type="dxa"/>
              <w:right w:w="108" w:type="dxa"/>
            </w:tcMar>
          </w:tcPr>
          <w:p w14:paraId="1E0ED168" w14:textId="77777777" w:rsidR="004E39F6" w:rsidRPr="00E60E42" w:rsidRDefault="00A35BEA">
            <w:pPr>
              <w:spacing w:after="0"/>
              <w:rPr>
                <w:noProof/>
              </w:rPr>
            </w:pPr>
            <w:r w:rsidRPr="00E60E42">
              <w:rPr>
                <w:rFonts w:ascii="Times New Roman" w:hAnsi="Times New Roman"/>
                <w:noProof/>
                <w:color w:val="000000" w:themeColor="text1"/>
              </w:rPr>
              <w:t>6.1.1.r. Strengthening analytics and developing data management in the field of tax administration and customs</w:t>
            </w:r>
          </w:p>
        </w:tc>
        <w:tc>
          <w:tcPr>
            <w:tcW w:w="1418" w:type="dxa"/>
            <w:shd w:val="clear" w:color="auto" w:fill="C6EFCE"/>
            <w:tcMar>
              <w:left w:w="108" w:type="dxa"/>
              <w:right w:w="108" w:type="dxa"/>
            </w:tcMar>
          </w:tcPr>
          <w:p w14:paraId="1E0ED169"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6A" w14:textId="77777777" w:rsidR="004E39F6" w:rsidRPr="00E60E42" w:rsidRDefault="00A35BEA" w:rsidP="00B13BA9">
            <w:pPr>
              <w:spacing w:after="0"/>
              <w:jc w:val="both"/>
              <w:rPr>
                <w:noProof/>
              </w:rPr>
            </w:pPr>
            <w:r w:rsidRPr="00E60E42">
              <w:rPr>
                <w:rFonts w:ascii="Times New Roman" w:hAnsi="Times New Roman"/>
                <w:noProof/>
                <w:color w:val="000000" w:themeColor="text1"/>
              </w:rPr>
              <w:t xml:space="preserve">Publication of handbook for compliance risk management </w:t>
            </w:r>
          </w:p>
        </w:tc>
      </w:tr>
      <w:tr w:rsidR="00C56BD9" w:rsidRPr="00E60E42" w14:paraId="1E0ED170" w14:textId="77777777" w:rsidTr="00884269">
        <w:trPr>
          <w:trHeight w:val="300"/>
          <w:jc w:val="center"/>
        </w:trPr>
        <w:tc>
          <w:tcPr>
            <w:tcW w:w="1449" w:type="dxa"/>
            <w:shd w:val="clear" w:color="auto" w:fill="C6EFCE"/>
            <w:tcMar>
              <w:left w:w="108" w:type="dxa"/>
              <w:right w:w="108" w:type="dxa"/>
            </w:tcMar>
            <w:vAlign w:val="center"/>
          </w:tcPr>
          <w:p w14:paraId="1E0ED16C" w14:textId="77777777" w:rsidR="004E39F6" w:rsidRPr="00E60E42" w:rsidRDefault="00A35BEA">
            <w:pPr>
              <w:spacing w:after="0"/>
              <w:jc w:val="center"/>
              <w:rPr>
                <w:noProof/>
              </w:rPr>
            </w:pPr>
            <w:r w:rsidRPr="00E60E42">
              <w:rPr>
                <w:rFonts w:ascii="Times New Roman" w:hAnsi="Times New Roman"/>
                <w:noProof/>
                <w:color w:val="000000" w:themeColor="text1"/>
              </w:rPr>
              <w:t>171</w:t>
            </w:r>
          </w:p>
        </w:tc>
        <w:tc>
          <w:tcPr>
            <w:tcW w:w="3082" w:type="dxa"/>
            <w:shd w:val="clear" w:color="auto" w:fill="C6EFCE"/>
            <w:tcMar>
              <w:left w:w="108" w:type="dxa"/>
              <w:right w:w="108" w:type="dxa"/>
            </w:tcMar>
          </w:tcPr>
          <w:p w14:paraId="1E0ED16D" w14:textId="77777777" w:rsidR="004E39F6" w:rsidRPr="00E60E42" w:rsidRDefault="00A35BEA">
            <w:pPr>
              <w:spacing w:after="0"/>
              <w:rPr>
                <w:noProof/>
              </w:rPr>
            </w:pPr>
            <w:r w:rsidRPr="00E60E42">
              <w:rPr>
                <w:rFonts w:ascii="Times New Roman" w:hAnsi="Times New Roman"/>
                <w:noProof/>
                <w:color w:val="000000" w:themeColor="text1"/>
              </w:rPr>
              <w:t>6.1.1.r. Strengthening analytics and developing data management in the field of tax administration and customs</w:t>
            </w:r>
          </w:p>
        </w:tc>
        <w:tc>
          <w:tcPr>
            <w:tcW w:w="1418" w:type="dxa"/>
            <w:shd w:val="clear" w:color="auto" w:fill="C6EFCE"/>
            <w:tcMar>
              <w:left w:w="108" w:type="dxa"/>
              <w:right w:w="108" w:type="dxa"/>
            </w:tcMar>
          </w:tcPr>
          <w:p w14:paraId="1E0ED16E"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6F" w14:textId="77777777" w:rsidR="004E39F6" w:rsidRPr="00E60E42" w:rsidRDefault="00A35BEA" w:rsidP="00B13BA9">
            <w:pPr>
              <w:spacing w:after="0"/>
              <w:jc w:val="both"/>
              <w:rPr>
                <w:noProof/>
              </w:rPr>
            </w:pPr>
            <w:r w:rsidRPr="00E60E42">
              <w:rPr>
                <w:rFonts w:ascii="Times New Roman" w:hAnsi="Times New Roman"/>
                <w:noProof/>
                <w:color w:val="000000" w:themeColor="text1"/>
              </w:rPr>
              <w:t>Implementation of the research results</w:t>
            </w:r>
          </w:p>
        </w:tc>
      </w:tr>
      <w:tr w:rsidR="00C56BD9" w:rsidRPr="00E60E42" w14:paraId="1E0ED175" w14:textId="77777777" w:rsidTr="00884269">
        <w:trPr>
          <w:trHeight w:val="300"/>
          <w:jc w:val="center"/>
        </w:trPr>
        <w:tc>
          <w:tcPr>
            <w:tcW w:w="1449" w:type="dxa"/>
            <w:shd w:val="clear" w:color="auto" w:fill="C6EFCE"/>
            <w:tcMar>
              <w:left w:w="108" w:type="dxa"/>
              <w:right w:w="108" w:type="dxa"/>
            </w:tcMar>
            <w:vAlign w:val="center"/>
          </w:tcPr>
          <w:p w14:paraId="1E0ED171" w14:textId="77777777" w:rsidR="004E39F6" w:rsidRPr="00E60E42" w:rsidRDefault="00A35BEA">
            <w:pPr>
              <w:spacing w:after="0"/>
              <w:jc w:val="center"/>
              <w:rPr>
                <w:noProof/>
              </w:rPr>
            </w:pPr>
            <w:r w:rsidRPr="00E60E42">
              <w:rPr>
                <w:rFonts w:ascii="Times New Roman" w:hAnsi="Times New Roman"/>
                <w:noProof/>
                <w:color w:val="000000" w:themeColor="text1"/>
              </w:rPr>
              <w:t>174</w:t>
            </w:r>
          </w:p>
        </w:tc>
        <w:tc>
          <w:tcPr>
            <w:tcW w:w="3082" w:type="dxa"/>
            <w:shd w:val="clear" w:color="auto" w:fill="C6EFCE"/>
            <w:tcMar>
              <w:left w:w="108" w:type="dxa"/>
              <w:right w:w="108" w:type="dxa"/>
            </w:tcMar>
          </w:tcPr>
          <w:p w14:paraId="1E0ED172" w14:textId="77777777" w:rsidR="004E39F6" w:rsidRPr="00E60E42" w:rsidRDefault="00A35BEA">
            <w:pPr>
              <w:spacing w:after="0"/>
              <w:rPr>
                <w:noProof/>
              </w:rPr>
            </w:pPr>
            <w:r w:rsidRPr="00E60E42">
              <w:rPr>
                <w:rFonts w:ascii="Times New Roman" w:hAnsi="Times New Roman"/>
                <w:noProof/>
                <w:color w:val="000000" w:themeColor="text1"/>
              </w:rPr>
              <w:t>6.1.1.3.i. Personnel training with analytical platform and consultancy</w:t>
            </w:r>
          </w:p>
        </w:tc>
        <w:tc>
          <w:tcPr>
            <w:tcW w:w="1418" w:type="dxa"/>
            <w:shd w:val="clear" w:color="auto" w:fill="C6EFCE"/>
            <w:tcMar>
              <w:left w:w="108" w:type="dxa"/>
              <w:right w:w="108" w:type="dxa"/>
            </w:tcMar>
          </w:tcPr>
          <w:p w14:paraId="1E0ED173" w14:textId="77777777" w:rsidR="004E39F6" w:rsidRPr="00E60E42" w:rsidRDefault="00A35BEA" w:rsidP="00B13BA9">
            <w:pPr>
              <w:spacing w:after="0"/>
              <w:jc w:val="center"/>
              <w:rPr>
                <w:noProof/>
              </w:rPr>
            </w:pPr>
            <w:r w:rsidRPr="00E60E42">
              <w:rPr>
                <w:rFonts w:ascii="Times New Roman" w:hAnsi="Times New Roman"/>
                <w:noProof/>
                <w:color w:val="000000" w:themeColor="text1"/>
              </w:rPr>
              <w:t>Target</w:t>
            </w:r>
          </w:p>
        </w:tc>
        <w:tc>
          <w:tcPr>
            <w:tcW w:w="3681" w:type="dxa"/>
            <w:shd w:val="clear" w:color="auto" w:fill="C6EFCE"/>
            <w:tcMar>
              <w:left w:w="108" w:type="dxa"/>
              <w:right w:w="108" w:type="dxa"/>
            </w:tcMar>
          </w:tcPr>
          <w:p w14:paraId="1E0ED174" w14:textId="77777777" w:rsidR="004E39F6" w:rsidRPr="00E60E42" w:rsidRDefault="00A35BEA" w:rsidP="00B13BA9">
            <w:pPr>
              <w:spacing w:after="0"/>
              <w:jc w:val="both"/>
              <w:rPr>
                <w:noProof/>
              </w:rPr>
            </w:pPr>
            <w:r w:rsidRPr="00E60E42">
              <w:rPr>
                <w:rFonts w:ascii="Times New Roman" w:hAnsi="Times New Roman"/>
                <w:noProof/>
                <w:color w:val="000000" w:themeColor="text1"/>
              </w:rPr>
              <w:t>Training of staff to work with the analytical platform</w:t>
            </w:r>
          </w:p>
        </w:tc>
      </w:tr>
      <w:tr w:rsidR="00C56BD9" w:rsidRPr="00E60E42" w14:paraId="1E0ED17A" w14:textId="77777777" w:rsidTr="00884269">
        <w:trPr>
          <w:trHeight w:val="300"/>
          <w:jc w:val="center"/>
        </w:trPr>
        <w:tc>
          <w:tcPr>
            <w:tcW w:w="1449" w:type="dxa"/>
            <w:shd w:val="clear" w:color="auto" w:fill="C6EFCE"/>
            <w:tcMar>
              <w:left w:w="108" w:type="dxa"/>
              <w:right w:w="108" w:type="dxa"/>
            </w:tcMar>
            <w:vAlign w:val="center"/>
          </w:tcPr>
          <w:p w14:paraId="1E0ED176" w14:textId="77777777" w:rsidR="004E39F6" w:rsidRPr="00E60E42" w:rsidRDefault="00A35BEA">
            <w:pPr>
              <w:spacing w:after="0"/>
              <w:jc w:val="center"/>
              <w:rPr>
                <w:noProof/>
              </w:rPr>
            </w:pPr>
            <w:r w:rsidRPr="00E60E42">
              <w:rPr>
                <w:rFonts w:ascii="Times New Roman" w:hAnsi="Times New Roman"/>
                <w:noProof/>
                <w:color w:val="000000" w:themeColor="text1"/>
              </w:rPr>
              <w:t>181</w:t>
            </w:r>
          </w:p>
        </w:tc>
        <w:tc>
          <w:tcPr>
            <w:tcW w:w="3082" w:type="dxa"/>
            <w:shd w:val="clear" w:color="auto" w:fill="C6EFCE"/>
            <w:tcMar>
              <w:left w:w="108" w:type="dxa"/>
              <w:right w:w="108" w:type="dxa"/>
            </w:tcMar>
          </w:tcPr>
          <w:p w14:paraId="1E0ED177" w14:textId="77777777" w:rsidR="004E39F6" w:rsidRPr="00E60E42" w:rsidRDefault="00A35BEA">
            <w:pPr>
              <w:spacing w:after="0"/>
              <w:rPr>
                <w:noProof/>
              </w:rPr>
            </w:pPr>
            <w:r w:rsidRPr="00E60E42">
              <w:rPr>
                <w:rFonts w:ascii="Times New Roman" w:hAnsi="Times New Roman"/>
                <w:noProof/>
                <w:color w:val="000000" w:themeColor="text1"/>
              </w:rPr>
              <w:t>6.1.2.4.i. Creation of infrastructure for the performance of control services in Kundziņsala</w:t>
            </w:r>
          </w:p>
        </w:tc>
        <w:tc>
          <w:tcPr>
            <w:tcW w:w="1418" w:type="dxa"/>
            <w:shd w:val="clear" w:color="auto" w:fill="C6EFCE"/>
            <w:tcMar>
              <w:left w:w="108" w:type="dxa"/>
              <w:right w:w="108" w:type="dxa"/>
            </w:tcMar>
          </w:tcPr>
          <w:p w14:paraId="1E0ED178"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79" w14:textId="77777777" w:rsidR="004E39F6" w:rsidRPr="00E60E42" w:rsidRDefault="00A35BEA" w:rsidP="00B13BA9">
            <w:pPr>
              <w:spacing w:after="0"/>
              <w:jc w:val="both"/>
              <w:rPr>
                <w:noProof/>
              </w:rPr>
            </w:pPr>
            <w:r w:rsidRPr="00E60E42">
              <w:rPr>
                <w:rFonts w:ascii="Times New Roman" w:hAnsi="Times New Roman"/>
                <w:noProof/>
                <w:color w:val="000000" w:themeColor="text1"/>
              </w:rPr>
              <w:t>Joint design – construction contract signed</w:t>
            </w:r>
          </w:p>
        </w:tc>
      </w:tr>
      <w:tr w:rsidR="00C56BD9" w:rsidRPr="00E60E42" w14:paraId="1E0ED17F" w14:textId="77777777" w:rsidTr="00884269">
        <w:trPr>
          <w:trHeight w:val="300"/>
          <w:jc w:val="center"/>
        </w:trPr>
        <w:tc>
          <w:tcPr>
            <w:tcW w:w="1449" w:type="dxa"/>
            <w:shd w:val="clear" w:color="auto" w:fill="C6EFCE"/>
            <w:tcMar>
              <w:left w:w="108" w:type="dxa"/>
              <w:right w:w="108" w:type="dxa"/>
            </w:tcMar>
            <w:vAlign w:val="center"/>
          </w:tcPr>
          <w:p w14:paraId="1E0ED17B" w14:textId="77777777" w:rsidR="004E39F6" w:rsidRPr="00E60E42" w:rsidRDefault="00A35BEA">
            <w:pPr>
              <w:spacing w:after="0"/>
              <w:jc w:val="center"/>
              <w:rPr>
                <w:noProof/>
              </w:rPr>
            </w:pPr>
            <w:r w:rsidRPr="00E60E42">
              <w:rPr>
                <w:rFonts w:ascii="Times New Roman" w:hAnsi="Times New Roman"/>
                <w:noProof/>
                <w:color w:val="000000" w:themeColor="text1"/>
              </w:rPr>
              <w:t>184</w:t>
            </w:r>
          </w:p>
        </w:tc>
        <w:tc>
          <w:tcPr>
            <w:tcW w:w="3082" w:type="dxa"/>
            <w:shd w:val="clear" w:color="auto" w:fill="C6EFCE"/>
            <w:tcMar>
              <w:left w:w="108" w:type="dxa"/>
              <w:right w:w="108" w:type="dxa"/>
            </w:tcMar>
          </w:tcPr>
          <w:p w14:paraId="1E0ED17C" w14:textId="77777777" w:rsidR="004E39F6" w:rsidRPr="00E60E42" w:rsidRDefault="00A35BEA">
            <w:pPr>
              <w:spacing w:after="0"/>
              <w:rPr>
                <w:noProof/>
              </w:rPr>
            </w:pPr>
            <w:r w:rsidRPr="00E60E42">
              <w:rPr>
                <w:rFonts w:ascii="Times New Roman" w:hAnsi="Times New Roman"/>
                <w:noProof/>
                <w:color w:val="000000" w:themeColor="text1"/>
              </w:rPr>
              <w:t>6.1.2.4.i. Creation of infrastructure for the performance of control services in Kundziņsala</w:t>
            </w:r>
          </w:p>
        </w:tc>
        <w:tc>
          <w:tcPr>
            <w:tcW w:w="1418" w:type="dxa"/>
            <w:shd w:val="clear" w:color="auto" w:fill="C6EFCE"/>
            <w:tcMar>
              <w:left w:w="108" w:type="dxa"/>
              <w:right w:w="108" w:type="dxa"/>
            </w:tcMar>
          </w:tcPr>
          <w:p w14:paraId="1E0ED17D"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7E" w14:textId="77777777" w:rsidR="004E39F6" w:rsidRPr="00E60E42" w:rsidRDefault="00A35BEA" w:rsidP="00B13BA9">
            <w:pPr>
              <w:spacing w:after="0"/>
              <w:jc w:val="both"/>
              <w:rPr>
                <w:noProof/>
              </w:rPr>
            </w:pPr>
            <w:r w:rsidRPr="00E60E42">
              <w:rPr>
                <w:rFonts w:ascii="Times New Roman" w:hAnsi="Times New Roman"/>
                <w:noProof/>
                <w:color w:val="000000" w:themeColor="text1"/>
              </w:rPr>
              <w:t>Procurement and conclusion of a contract for the supply and installation of X-ray cargo control equipment</w:t>
            </w:r>
          </w:p>
        </w:tc>
      </w:tr>
      <w:tr w:rsidR="00C56BD9" w:rsidRPr="00E60E42" w14:paraId="1E0ED184" w14:textId="77777777" w:rsidTr="00884269">
        <w:trPr>
          <w:trHeight w:val="300"/>
          <w:jc w:val="center"/>
        </w:trPr>
        <w:tc>
          <w:tcPr>
            <w:tcW w:w="1449" w:type="dxa"/>
            <w:shd w:val="clear" w:color="auto" w:fill="C6EFCE"/>
            <w:tcMar>
              <w:left w:w="108" w:type="dxa"/>
              <w:right w:w="108" w:type="dxa"/>
            </w:tcMar>
            <w:vAlign w:val="center"/>
          </w:tcPr>
          <w:p w14:paraId="1E0ED180" w14:textId="77777777" w:rsidR="004E39F6" w:rsidRPr="00E60E42" w:rsidRDefault="00A35BEA">
            <w:pPr>
              <w:spacing w:after="0"/>
              <w:jc w:val="center"/>
              <w:rPr>
                <w:noProof/>
              </w:rPr>
            </w:pPr>
            <w:r w:rsidRPr="00E60E42">
              <w:rPr>
                <w:rFonts w:ascii="Times New Roman" w:hAnsi="Times New Roman"/>
                <w:noProof/>
                <w:color w:val="000000" w:themeColor="text1"/>
              </w:rPr>
              <w:t>200</w:t>
            </w:r>
          </w:p>
        </w:tc>
        <w:tc>
          <w:tcPr>
            <w:tcW w:w="3082" w:type="dxa"/>
            <w:shd w:val="clear" w:color="auto" w:fill="C6EFCE"/>
            <w:tcMar>
              <w:left w:w="108" w:type="dxa"/>
              <w:right w:w="108" w:type="dxa"/>
            </w:tcMar>
          </w:tcPr>
          <w:p w14:paraId="1E0ED181" w14:textId="77777777" w:rsidR="004E39F6" w:rsidRPr="00E60E42" w:rsidRDefault="00A35BEA">
            <w:pPr>
              <w:spacing w:after="0"/>
              <w:rPr>
                <w:noProof/>
              </w:rPr>
            </w:pPr>
            <w:r w:rsidRPr="00E60E42">
              <w:rPr>
                <w:rFonts w:ascii="Times New Roman" w:hAnsi="Times New Roman"/>
                <w:noProof/>
                <w:color w:val="000000" w:themeColor="text1"/>
              </w:rPr>
              <w:t>6.3.1.1.i. Open, transparent, fair and accountable public administration</w:t>
            </w:r>
          </w:p>
        </w:tc>
        <w:tc>
          <w:tcPr>
            <w:tcW w:w="1418" w:type="dxa"/>
            <w:shd w:val="clear" w:color="auto" w:fill="C6EFCE"/>
            <w:tcMar>
              <w:left w:w="108" w:type="dxa"/>
              <w:right w:w="108" w:type="dxa"/>
            </w:tcMar>
          </w:tcPr>
          <w:p w14:paraId="1E0ED182"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83" w14:textId="77777777" w:rsidR="004E39F6" w:rsidRPr="00E60E42" w:rsidRDefault="00A35BEA" w:rsidP="00B13BA9">
            <w:pPr>
              <w:spacing w:after="0"/>
              <w:jc w:val="both"/>
              <w:rPr>
                <w:noProof/>
              </w:rPr>
            </w:pPr>
            <w:r w:rsidRPr="00E60E42">
              <w:rPr>
                <w:rFonts w:ascii="Times New Roman" w:hAnsi="Times New Roman"/>
                <w:noProof/>
                <w:color w:val="000000" w:themeColor="text1"/>
              </w:rPr>
              <w:t>Competence framework available</w:t>
            </w:r>
          </w:p>
        </w:tc>
      </w:tr>
      <w:tr w:rsidR="00C56BD9" w:rsidRPr="00E60E42" w14:paraId="1E0ED189" w14:textId="77777777" w:rsidTr="00884269">
        <w:trPr>
          <w:trHeight w:val="300"/>
          <w:jc w:val="center"/>
        </w:trPr>
        <w:tc>
          <w:tcPr>
            <w:tcW w:w="1449" w:type="dxa"/>
            <w:shd w:val="clear" w:color="auto" w:fill="C6EFCE"/>
            <w:tcMar>
              <w:left w:w="108" w:type="dxa"/>
              <w:right w:w="108" w:type="dxa"/>
            </w:tcMar>
            <w:vAlign w:val="center"/>
          </w:tcPr>
          <w:p w14:paraId="1E0ED185" w14:textId="77777777" w:rsidR="004E39F6" w:rsidRPr="00E60E42" w:rsidRDefault="00A35BEA">
            <w:pPr>
              <w:spacing w:after="0"/>
              <w:jc w:val="center"/>
              <w:rPr>
                <w:noProof/>
              </w:rPr>
            </w:pPr>
            <w:r w:rsidRPr="00E60E42">
              <w:rPr>
                <w:rFonts w:ascii="Times New Roman" w:hAnsi="Times New Roman"/>
                <w:noProof/>
                <w:color w:val="000000" w:themeColor="text1"/>
              </w:rPr>
              <w:t>202</w:t>
            </w:r>
          </w:p>
        </w:tc>
        <w:tc>
          <w:tcPr>
            <w:tcW w:w="3082" w:type="dxa"/>
            <w:shd w:val="clear" w:color="auto" w:fill="C6EFCE"/>
            <w:tcMar>
              <w:left w:w="108" w:type="dxa"/>
              <w:right w:w="108" w:type="dxa"/>
            </w:tcMar>
          </w:tcPr>
          <w:p w14:paraId="1E0ED186" w14:textId="77777777" w:rsidR="004E39F6" w:rsidRPr="00E60E42" w:rsidRDefault="00A35BEA">
            <w:pPr>
              <w:spacing w:after="0"/>
              <w:rPr>
                <w:noProof/>
              </w:rPr>
            </w:pPr>
            <w:r w:rsidRPr="00E60E42">
              <w:rPr>
                <w:rFonts w:ascii="Times New Roman" w:hAnsi="Times New Roman"/>
                <w:noProof/>
                <w:color w:val="000000" w:themeColor="text1"/>
              </w:rPr>
              <w:t xml:space="preserve">6.3.1.2.i. Professional, open and accountable public administration </w:t>
            </w:r>
          </w:p>
        </w:tc>
        <w:tc>
          <w:tcPr>
            <w:tcW w:w="1418" w:type="dxa"/>
            <w:shd w:val="clear" w:color="auto" w:fill="C6EFCE"/>
            <w:tcMar>
              <w:left w:w="108" w:type="dxa"/>
              <w:right w:w="108" w:type="dxa"/>
            </w:tcMar>
          </w:tcPr>
          <w:p w14:paraId="1E0ED187"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88" w14:textId="77777777" w:rsidR="004E39F6" w:rsidRPr="00E60E42" w:rsidRDefault="00A35BEA" w:rsidP="00B13BA9">
            <w:pPr>
              <w:spacing w:after="0"/>
              <w:jc w:val="both"/>
              <w:rPr>
                <w:noProof/>
              </w:rPr>
            </w:pPr>
            <w:r w:rsidRPr="00E60E42">
              <w:rPr>
                <w:rFonts w:ascii="Times New Roman" w:hAnsi="Times New Roman"/>
                <w:noProof/>
                <w:color w:val="000000" w:themeColor="text1"/>
              </w:rPr>
              <w:t>Competence framework available, including training programmes</w:t>
            </w:r>
          </w:p>
        </w:tc>
      </w:tr>
      <w:tr w:rsidR="00C56BD9" w:rsidRPr="00E60E42" w14:paraId="1E0ED18E" w14:textId="77777777" w:rsidTr="00884269">
        <w:trPr>
          <w:trHeight w:val="300"/>
          <w:jc w:val="center"/>
        </w:trPr>
        <w:tc>
          <w:tcPr>
            <w:tcW w:w="1449" w:type="dxa"/>
            <w:shd w:val="clear" w:color="auto" w:fill="C6EFCE"/>
            <w:tcMar>
              <w:left w:w="108" w:type="dxa"/>
              <w:right w:w="108" w:type="dxa"/>
            </w:tcMar>
            <w:vAlign w:val="center"/>
          </w:tcPr>
          <w:p w14:paraId="1E0ED18A" w14:textId="77777777" w:rsidR="004E39F6" w:rsidRPr="00E60E42" w:rsidRDefault="00A35BEA">
            <w:pPr>
              <w:spacing w:after="0"/>
              <w:jc w:val="center"/>
              <w:rPr>
                <w:noProof/>
              </w:rPr>
            </w:pPr>
            <w:r w:rsidRPr="00E60E42">
              <w:rPr>
                <w:rFonts w:ascii="Times New Roman" w:hAnsi="Times New Roman"/>
                <w:noProof/>
                <w:color w:val="000000" w:themeColor="text1"/>
              </w:rPr>
              <w:t>219</w:t>
            </w:r>
          </w:p>
        </w:tc>
        <w:tc>
          <w:tcPr>
            <w:tcW w:w="3082" w:type="dxa"/>
            <w:shd w:val="clear" w:color="auto" w:fill="C6EFCE"/>
            <w:tcMar>
              <w:left w:w="108" w:type="dxa"/>
              <w:right w:w="108" w:type="dxa"/>
            </w:tcMar>
          </w:tcPr>
          <w:p w14:paraId="1E0ED18B" w14:textId="77777777" w:rsidR="004E39F6" w:rsidRPr="00E60E42" w:rsidRDefault="00A35BEA">
            <w:pPr>
              <w:spacing w:after="0"/>
              <w:rPr>
                <w:noProof/>
              </w:rPr>
            </w:pPr>
            <w:r w:rsidRPr="00E60E42">
              <w:rPr>
                <w:rFonts w:ascii="Times New Roman" w:hAnsi="Times New Roman"/>
                <w:noProof/>
                <w:color w:val="000000" w:themeColor="text1"/>
              </w:rPr>
              <w:t>7.2.i. Security and stability of energy supply, and synchronisation with the Union grid</w:t>
            </w:r>
          </w:p>
        </w:tc>
        <w:tc>
          <w:tcPr>
            <w:tcW w:w="1418" w:type="dxa"/>
            <w:shd w:val="clear" w:color="auto" w:fill="C6EFCE"/>
            <w:tcMar>
              <w:left w:w="108" w:type="dxa"/>
              <w:right w:w="108" w:type="dxa"/>
            </w:tcMar>
          </w:tcPr>
          <w:p w14:paraId="1E0ED18C"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8D" w14:textId="77777777" w:rsidR="004E39F6" w:rsidRPr="00E60E42" w:rsidRDefault="00A35BEA" w:rsidP="00B13BA9">
            <w:pPr>
              <w:spacing w:after="0"/>
              <w:jc w:val="both"/>
              <w:rPr>
                <w:noProof/>
              </w:rPr>
            </w:pPr>
            <w:r w:rsidRPr="00E60E42">
              <w:rPr>
                <w:rFonts w:ascii="Times New Roman" w:hAnsi="Times New Roman"/>
                <w:noProof/>
                <w:color w:val="000000" w:themeColor="text1"/>
              </w:rPr>
              <w:t>Regulations governing the installation of a Battery Energy Storage System</w:t>
            </w:r>
          </w:p>
        </w:tc>
      </w:tr>
      <w:tr w:rsidR="00C56BD9" w:rsidRPr="00E60E42" w14:paraId="1E0ED193" w14:textId="77777777" w:rsidTr="00884269">
        <w:trPr>
          <w:trHeight w:val="300"/>
          <w:jc w:val="center"/>
        </w:trPr>
        <w:tc>
          <w:tcPr>
            <w:tcW w:w="1449" w:type="dxa"/>
            <w:shd w:val="clear" w:color="auto" w:fill="C6EFCE"/>
            <w:tcMar>
              <w:left w:w="108" w:type="dxa"/>
              <w:right w:w="108" w:type="dxa"/>
            </w:tcMar>
            <w:vAlign w:val="center"/>
          </w:tcPr>
          <w:p w14:paraId="1E0ED18F" w14:textId="77777777" w:rsidR="004E39F6" w:rsidRPr="00E60E42" w:rsidRDefault="00A35BEA">
            <w:pPr>
              <w:spacing w:after="0"/>
              <w:jc w:val="center"/>
              <w:rPr>
                <w:noProof/>
              </w:rPr>
            </w:pPr>
            <w:r w:rsidRPr="00E60E42">
              <w:rPr>
                <w:rFonts w:ascii="Times New Roman" w:hAnsi="Times New Roman"/>
                <w:noProof/>
                <w:color w:val="000000" w:themeColor="text1"/>
              </w:rPr>
              <w:t>223</w:t>
            </w:r>
          </w:p>
        </w:tc>
        <w:tc>
          <w:tcPr>
            <w:tcW w:w="3082" w:type="dxa"/>
            <w:shd w:val="clear" w:color="auto" w:fill="C6EFCE"/>
            <w:tcMar>
              <w:left w:w="108" w:type="dxa"/>
              <w:right w:w="108" w:type="dxa"/>
            </w:tcMar>
          </w:tcPr>
          <w:p w14:paraId="1E0ED190" w14:textId="77777777" w:rsidR="004E39F6" w:rsidRPr="00E60E42" w:rsidRDefault="00A35BEA">
            <w:pPr>
              <w:spacing w:after="0"/>
              <w:rPr>
                <w:noProof/>
              </w:rPr>
            </w:pPr>
            <w:r w:rsidRPr="00E60E42">
              <w:rPr>
                <w:rFonts w:ascii="Times New Roman" w:hAnsi="Times New Roman"/>
                <w:noProof/>
                <w:color w:val="000000" w:themeColor="text1"/>
              </w:rPr>
              <w:t>7.3.i. Upgrading, digitalising and securing the electricity transmission and distribution networks</w:t>
            </w:r>
          </w:p>
        </w:tc>
        <w:tc>
          <w:tcPr>
            <w:tcW w:w="1418" w:type="dxa"/>
            <w:shd w:val="clear" w:color="auto" w:fill="C6EFCE"/>
            <w:tcMar>
              <w:left w:w="108" w:type="dxa"/>
              <w:right w:w="108" w:type="dxa"/>
            </w:tcMar>
          </w:tcPr>
          <w:p w14:paraId="1E0ED191"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92" w14:textId="77777777" w:rsidR="004E39F6" w:rsidRPr="00E60E42" w:rsidRDefault="00A35BEA" w:rsidP="00B13BA9">
            <w:pPr>
              <w:spacing w:after="0"/>
              <w:jc w:val="both"/>
              <w:rPr>
                <w:noProof/>
              </w:rPr>
            </w:pPr>
            <w:r w:rsidRPr="00E60E42">
              <w:rPr>
                <w:rFonts w:ascii="Times New Roman" w:hAnsi="Times New Roman"/>
                <w:noProof/>
                <w:color w:val="000000" w:themeColor="text1"/>
              </w:rPr>
              <w:t>Regulations governing investments in the national electricity transmission and distribution networks</w:t>
            </w:r>
          </w:p>
        </w:tc>
      </w:tr>
      <w:tr w:rsidR="00C56BD9" w:rsidRPr="00E60E42" w14:paraId="1E0ED198" w14:textId="77777777" w:rsidTr="00884269">
        <w:trPr>
          <w:trHeight w:val="300"/>
          <w:jc w:val="center"/>
        </w:trPr>
        <w:tc>
          <w:tcPr>
            <w:tcW w:w="1449" w:type="dxa"/>
            <w:shd w:val="clear" w:color="auto" w:fill="C6EFCE"/>
            <w:tcMar>
              <w:left w:w="108" w:type="dxa"/>
              <w:right w:w="108" w:type="dxa"/>
            </w:tcMar>
            <w:vAlign w:val="center"/>
          </w:tcPr>
          <w:p w14:paraId="1E0ED194" w14:textId="77777777" w:rsidR="004E39F6" w:rsidRPr="00E60E42" w:rsidRDefault="00A35BEA">
            <w:pPr>
              <w:spacing w:after="0"/>
              <w:jc w:val="center"/>
              <w:rPr>
                <w:noProof/>
              </w:rPr>
            </w:pPr>
            <w:r w:rsidRPr="00E60E42">
              <w:rPr>
                <w:rFonts w:ascii="Times New Roman" w:hAnsi="Times New Roman"/>
                <w:noProof/>
                <w:color w:val="000000" w:themeColor="text1"/>
              </w:rPr>
              <w:t>229</w:t>
            </w:r>
          </w:p>
        </w:tc>
        <w:tc>
          <w:tcPr>
            <w:tcW w:w="3082" w:type="dxa"/>
            <w:shd w:val="clear" w:color="auto" w:fill="C6EFCE"/>
            <w:tcMar>
              <w:left w:w="108" w:type="dxa"/>
              <w:right w:w="108" w:type="dxa"/>
            </w:tcMar>
          </w:tcPr>
          <w:p w14:paraId="1E0ED195" w14:textId="77777777" w:rsidR="004E39F6" w:rsidRPr="00E60E42" w:rsidRDefault="00A35BEA">
            <w:pPr>
              <w:spacing w:after="0"/>
              <w:rPr>
                <w:noProof/>
              </w:rPr>
            </w:pPr>
            <w:r w:rsidRPr="00E60E42">
              <w:rPr>
                <w:rFonts w:ascii="Times New Roman" w:hAnsi="Times New Roman"/>
                <w:noProof/>
                <w:color w:val="000000" w:themeColor="text1"/>
              </w:rPr>
              <w:t>7.4.i. Increasing the uptake of sustainable biomethane</w:t>
            </w:r>
          </w:p>
        </w:tc>
        <w:tc>
          <w:tcPr>
            <w:tcW w:w="1418" w:type="dxa"/>
            <w:shd w:val="clear" w:color="auto" w:fill="C6EFCE"/>
            <w:tcMar>
              <w:left w:w="108" w:type="dxa"/>
              <w:right w:w="108" w:type="dxa"/>
            </w:tcMar>
          </w:tcPr>
          <w:p w14:paraId="1E0ED196" w14:textId="77777777" w:rsidR="004E39F6" w:rsidRPr="00E60E42" w:rsidRDefault="00A35BEA" w:rsidP="00B13BA9">
            <w:pPr>
              <w:spacing w:after="0"/>
              <w:jc w:val="center"/>
              <w:rPr>
                <w:noProof/>
              </w:rPr>
            </w:pPr>
            <w:r w:rsidRPr="00E60E42">
              <w:rPr>
                <w:rFonts w:ascii="Times New Roman" w:hAnsi="Times New Roman"/>
                <w:noProof/>
                <w:color w:val="000000" w:themeColor="text1"/>
              </w:rPr>
              <w:t>Milestone</w:t>
            </w:r>
          </w:p>
        </w:tc>
        <w:tc>
          <w:tcPr>
            <w:tcW w:w="3681" w:type="dxa"/>
            <w:shd w:val="clear" w:color="auto" w:fill="C6EFCE"/>
            <w:tcMar>
              <w:left w:w="108" w:type="dxa"/>
              <w:right w:w="108" w:type="dxa"/>
            </w:tcMar>
          </w:tcPr>
          <w:p w14:paraId="1E0ED197" w14:textId="77777777" w:rsidR="004E39F6" w:rsidRPr="00E60E42" w:rsidRDefault="00A35BEA" w:rsidP="00B13BA9">
            <w:pPr>
              <w:spacing w:after="0"/>
              <w:jc w:val="both"/>
              <w:rPr>
                <w:noProof/>
              </w:rPr>
            </w:pPr>
            <w:r w:rsidRPr="00E60E42">
              <w:rPr>
                <w:rFonts w:ascii="Times New Roman" w:hAnsi="Times New Roman"/>
                <w:noProof/>
                <w:color w:val="000000" w:themeColor="text1"/>
              </w:rPr>
              <w:t>Regulations governing investments in the biomethane sector</w:t>
            </w:r>
          </w:p>
        </w:tc>
      </w:tr>
      <w:tr w:rsidR="00C56BD9" w:rsidRPr="00E60E42" w14:paraId="1E0ED19D" w14:textId="77777777" w:rsidTr="00884269">
        <w:trPr>
          <w:trHeight w:val="300"/>
          <w:jc w:val="center"/>
        </w:trPr>
        <w:tc>
          <w:tcPr>
            <w:tcW w:w="1449" w:type="dxa"/>
            <w:shd w:val="clear" w:color="auto" w:fill="C6EFCE"/>
            <w:tcMar>
              <w:left w:w="108" w:type="dxa"/>
              <w:right w:w="108" w:type="dxa"/>
            </w:tcMar>
            <w:vAlign w:val="center"/>
          </w:tcPr>
          <w:p w14:paraId="1E0ED199" w14:textId="77777777" w:rsidR="004E39F6" w:rsidRPr="00E60E42" w:rsidRDefault="00A35BEA">
            <w:pPr>
              <w:spacing w:after="0"/>
              <w:jc w:val="center"/>
              <w:rPr>
                <w:noProof/>
              </w:rPr>
            </w:pPr>
            <w:r w:rsidRPr="00E60E42">
              <w:rPr>
                <w:rFonts w:ascii="Times New Roman" w:hAnsi="Times New Roman"/>
                <w:noProof/>
                <w:color w:val="000000" w:themeColor="text1"/>
              </w:rPr>
              <w:t xml:space="preserve"> </w:t>
            </w:r>
          </w:p>
        </w:tc>
        <w:tc>
          <w:tcPr>
            <w:tcW w:w="3082" w:type="dxa"/>
            <w:shd w:val="clear" w:color="auto" w:fill="C6EFCE"/>
            <w:tcMar>
              <w:left w:w="108" w:type="dxa"/>
              <w:right w:w="108" w:type="dxa"/>
            </w:tcMar>
            <w:vAlign w:val="center"/>
          </w:tcPr>
          <w:p w14:paraId="1E0ED19A" w14:textId="77777777" w:rsidR="004E39F6" w:rsidRPr="00E60E42" w:rsidRDefault="00A35BEA">
            <w:pPr>
              <w:spacing w:after="0"/>
              <w:rPr>
                <w:noProof/>
              </w:rPr>
            </w:pPr>
            <w:r w:rsidRPr="00E60E42">
              <w:rPr>
                <w:rFonts w:ascii="Times New Roman" w:hAnsi="Times New Roman"/>
                <w:noProof/>
                <w:color w:val="000000" w:themeColor="text1"/>
              </w:rPr>
              <w:t xml:space="preserve"> </w:t>
            </w:r>
          </w:p>
        </w:tc>
        <w:tc>
          <w:tcPr>
            <w:tcW w:w="1418" w:type="dxa"/>
            <w:shd w:val="clear" w:color="auto" w:fill="C6EFCE"/>
            <w:tcMar>
              <w:left w:w="108" w:type="dxa"/>
              <w:right w:w="108" w:type="dxa"/>
            </w:tcMar>
          </w:tcPr>
          <w:p w14:paraId="1E0ED19B" w14:textId="77777777" w:rsidR="004E39F6" w:rsidRPr="00E60E42" w:rsidRDefault="00A35BEA" w:rsidP="00B13BA9">
            <w:pPr>
              <w:spacing w:after="0"/>
              <w:jc w:val="center"/>
              <w:rPr>
                <w:noProof/>
              </w:rPr>
            </w:pPr>
            <w:r w:rsidRPr="00E60E42">
              <w:rPr>
                <w:rFonts w:ascii="Times New Roman" w:hAnsi="Times New Roman"/>
                <w:noProof/>
                <w:color w:val="000000" w:themeColor="text1"/>
              </w:rPr>
              <w:t>Instalment Amount</w:t>
            </w:r>
          </w:p>
        </w:tc>
        <w:tc>
          <w:tcPr>
            <w:tcW w:w="3681" w:type="dxa"/>
            <w:shd w:val="clear" w:color="auto" w:fill="C6EFCE"/>
            <w:tcMar>
              <w:left w:w="108" w:type="dxa"/>
              <w:right w:w="108" w:type="dxa"/>
            </w:tcMar>
            <w:vAlign w:val="center"/>
          </w:tcPr>
          <w:p w14:paraId="1E0ED19C" w14:textId="77777777" w:rsidR="004E39F6" w:rsidRPr="00E60E42" w:rsidRDefault="00A35BEA" w:rsidP="00B13BA9">
            <w:pPr>
              <w:spacing w:after="0"/>
              <w:jc w:val="both"/>
              <w:rPr>
                <w:noProof/>
              </w:rPr>
            </w:pPr>
            <w:r w:rsidRPr="00E60E42">
              <w:rPr>
                <w:rFonts w:ascii="Times New Roman" w:hAnsi="Times New Roman"/>
                <w:noProof/>
                <w:color w:val="000000" w:themeColor="text1"/>
              </w:rPr>
              <w:t>EUR 339 038 937</w:t>
            </w:r>
          </w:p>
        </w:tc>
      </w:tr>
    </w:tbl>
    <w:p w14:paraId="1E0ED19E" w14:textId="77777777" w:rsidR="004E39F6" w:rsidRPr="00E60E42" w:rsidRDefault="004E39F6" w:rsidP="00C56BD9">
      <w:pPr>
        <w:pStyle w:val="ListParagraph"/>
        <w:spacing w:after="0" w:line="257" w:lineRule="auto"/>
        <w:ind w:left="567" w:hanging="567"/>
        <w:jc w:val="both"/>
        <w:rPr>
          <w:rFonts w:ascii="Times New Roman" w:eastAsia="Times New Roman" w:hAnsi="Times New Roman" w:cs="Times New Roman"/>
          <w:noProof/>
        </w:rPr>
      </w:pPr>
    </w:p>
    <w:p w14:paraId="1E0ED19F" w14:textId="77777777" w:rsidR="004E39F6" w:rsidRPr="00E60E42" w:rsidRDefault="00A35BEA" w:rsidP="00C56BD9">
      <w:pPr>
        <w:pStyle w:val="ListParagraph"/>
        <w:numPr>
          <w:ilvl w:val="1"/>
          <w:numId w:val="37"/>
        </w:numPr>
        <w:spacing w:after="0" w:line="257" w:lineRule="auto"/>
        <w:ind w:left="567" w:hanging="567"/>
        <w:jc w:val="both"/>
        <w:rPr>
          <w:rFonts w:ascii="Times New Roman" w:eastAsia="Times New Roman" w:hAnsi="Times New Roman" w:cs="Times New Roman"/>
          <w:noProof/>
        </w:rPr>
      </w:pPr>
      <w:r w:rsidRPr="00E60E42">
        <w:rPr>
          <w:rFonts w:ascii="Times New Roman" w:hAnsi="Times New Roman"/>
          <w:noProof/>
        </w:rPr>
        <w:t>Fourth Instalment (non-repayable support):</w:t>
      </w:r>
    </w:p>
    <w:p w14:paraId="1E0ED1A0" w14:textId="77777777" w:rsidR="004E39F6" w:rsidRPr="00E60E42" w:rsidRDefault="004E39F6" w:rsidP="00C56BD9">
      <w:pPr>
        <w:pStyle w:val="ListParagraph"/>
        <w:spacing w:after="0" w:line="257" w:lineRule="auto"/>
        <w:ind w:left="567" w:hanging="567"/>
        <w:jc w:val="both"/>
        <w:rPr>
          <w:rFonts w:ascii="Times New Roman" w:eastAsia="Times New Roman" w:hAnsi="Times New Roman" w:cs="Times New Roman"/>
          <w:noProof/>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0"/>
      </w:tblGrid>
      <w:tr w:rsidR="00C56BD9" w:rsidRPr="00E60E42" w14:paraId="1E0ED1A5" w14:textId="77777777" w:rsidTr="00884269">
        <w:trPr>
          <w:trHeight w:val="300"/>
          <w:tblHeader/>
          <w:jc w:val="center"/>
        </w:trPr>
        <w:tc>
          <w:tcPr>
            <w:tcW w:w="1413" w:type="dxa"/>
            <w:shd w:val="clear" w:color="auto" w:fill="BDD7EE"/>
            <w:tcMar>
              <w:left w:w="108" w:type="dxa"/>
              <w:right w:w="108" w:type="dxa"/>
            </w:tcMar>
            <w:vAlign w:val="center"/>
          </w:tcPr>
          <w:p w14:paraId="1E0ED1A1"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b/>
                <w:noProof/>
                <w:color w:val="000000"/>
              </w:rPr>
              <w:t>Sequential Number</w:t>
            </w:r>
          </w:p>
        </w:tc>
        <w:tc>
          <w:tcPr>
            <w:tcW w:w="3118" w:type="dxa"/>
            <w:shd w:val="clear" w:color="auto" w:fill="BDD7EE"/>
            <w:tcMar>
              <w:left w:w="108" w:type="dxa"/>
              <w:right w:w="108" w:type="dxa"/>
            </w:tcMar>
            <w:vAlign w:val="center"/>
          </w:tcPr>
          <w:p w14:paraId="1E0ED1A2" w14:textId="5C880BE0"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b/>
                <w:noProof/>
                <w:color w:val="000000"/>
              </w:rPr>
              <w:t xml:space="preserve">Related Measure </w:t>
            </w:r>
            <w:r w:rsidRPr="00E60E42">
              <w:rPr>
                <w:rFonts w:ascii="Calibri" w:eastAsia="Calibri" w:hAnsi="Calibri" w:cs="Arial"/>
                <w:noProof/>
              </w:rPr>
              <w:br/>
            </w:r>
            <w:r w:rsidRPr="00E60E42">
              <w:rPr>
                <w:rFonts w:ascii="Times New Roman" w:eastAsia="Calibri" w:hAnsi="Times New Roman" w:cs="Arial"/>
                <w:b/>
                <w:noProof/>
                <w:color w:val="000000"/>
              </w:rPr>
              <w:t>(Reform or Investment)</w:t>
            </w:r>
          </w:p>
        </w:tc>
        <w:tc>
          <w:tcPr>
            <w:tcW w:w="1418" w:type="dxa"/>
            <w:shd w:val="clear" w:color="auto" w:fill="BDD7EE"/>
            <w:tcMar>
              <w:left w:w="108" w:type="dxa"/>
              <w:right w:w="108" w:type="dxa"/>
            </w:tcMar>
            <w:vAlign w:val="center"/>
          </w:tcPr>
          <w:p w14:paraId="1E0ED1A3"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b/>
                <w:noProof/>
                <w:color w:val="000000"/>
              </w:rPr>
              <w:t>Milestone / Target</w:t>
            </w:r>
          </w:p>
        </w:tc>
        <w:tc>
          <w:tcPr>
            <w:tcW w:w="3680" w:type="dxa"/>
            <w:shd w:val="clear" w:color="auto" w:fill="BDD7EE"/>
            <w:tcMar>
              <w:left w:w="108" w:type="dxa"/>
              <w:right w:w="108" w:type="dxa"/>
            </w:tcMar>
            <w:vAlign w:val="center"/>
          </w:tcPr>
          <w:p w14:paraId="1E0ED1A4"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b/>
                <w:noProof/>
                <w:color w:val="000000"/>
              </w:rPr>
              <w:t>Name</w:t>
            </w:r>
          </w:p>
        </w:tc>
      </w:tr>
      <w:tr w:rsidR="00C56BD9" w:rsidRPr="00E60E42" w14:paraId="1E0ED1AA" w14:textId="77777777" w:rsidTr="00884269">
        <w:trPr>
          <w:trHeight w:val="300"/>
          <w:jc w:val="center"/>
        </w:trPr>
        <w:tc>
          <w:tcPr>
            <w:tcW w:w="1413" w:type="dxa"/>
            <w:shd w:val="clear" w:color="auto" w:fill="C6EFCE"/>
            <w:tcMar>
              <w:left w:w="108" w:type="dxa"/>
              <w:right w:w="108" w:type="dxa"/>
            </w:tcMar>
            <w:vAlign w:val="center"/>
          </w:tcPr>
          <w:p w14:paraId="1E0ED1A6"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8</w:t>
            </w:r>
          </w:p>
        </w:tc>
        <w:tc>
          <w:tcPr>
            <w:tcW w:w="3118" w:type="dxa"/>
            <w:shd w:val="clear" w:color="auto" w:fill="C6EFCE"/>
            <w:tcMar>
              <w:left w:w="108" w:type="dxa"/>
              <w:right w:w="108" w:type="dxa"/>
            </w:tcMar>
          </w:tcPr>
          <w:p w14:paraId="1E0ED1A7"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1.2.1.1.i. Improving the energy efficiency of multi-apartment buildings </w:t>
            </w:r>
          </w:p>
        </w:tc>
        <w:tc>
          <w:tcPr>
            <w:tcW w:w="1418" w:type="dxa"/>
            <w:shd w:val="clear" w:color="auto" w:fill="C6EFCE"/>
            <w:tcMar>
              <w:left w:w="108" w:type="dxa"/>
              <w:right w:w="108" w:type="dxa"/>
            </w:tcMar>
          </w:tcPr>
          <w:p w14:paraId="1E0ED1A8"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A9"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Contracts signed </w:t>
            </w:r>
          </w:p>
        </w:tc>
      </w:tr>
      <w:tr w:rsidR="00C56BD9" w:rsidRPr="00E60E42" w14:paraId="1E0ED1AF" w14:textId="77777777" w:rsidTr="00884269">
        <w:trPr>
          <w:trHeight w:val="300"/>
          <w:jc w:val="center"/>
        </w:trPr>
        <w:tc>
          <w:tcPr>
            <w:tcW w:w="1413" w:type="dxa"/>
            <w:shd w:val="clear" w:color="auto" w:fill="C6EFCE"/>
            <w:tcMar>
              <w:left w:w="108" w:type="dxa"/>
              <w:right w:w="108" w:type="dxa"/>
            </w:tcMar>
            <w:vAlign w:val="center"/>
          </w:tcPr>
          <w:p w14:paraId="1E0ED1AB"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14</w:t>
            </w:r>
          </w:p>
        </w:tc>
        <w:tc>
          <w:tcPr>
            <w:tcW w:w="3118" w:type="dxa"/>
            <w:shd w:val="clear" w:color="auto" w:fill="C6EFCE"/>
            <w:tcMar>
              <w:left w:w="108" w:type="dxa"/>
              <w:right w:w="108" w:type="dxa"/>
            </w:tcMar>
          </w:tcPr>
          <w:p w14:paraId="1E0ED1AC"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1.2.1.3.i. Improving energy efficiency of municipal buildings </w:t>
            </w:r>
          </w:p>
        </w:tc>
        <w:tc>
          <w:tcPr>
            <w:tcW w:w="1418" w:type="dxa"/>
            <w:shd w:val="clear" w:color="auto" w:fill="C6EFCE"/>
            <w:tcMar>
              <w:left w:w="108" w:type="dxa"/>
              <w:right w:w="108" w:type="dxa"/>
            </w:tcMar>
          </w:tcPr>
          <w:p w14:paraId="1E0ED1AD"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AE"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Award of contracts </w:t>
            </w:r>
          </w:p>
        </w:tc>
      </w:tr>
      <w:tr w:rsidR="00C56BD9" w:rsidRPr="00E60E42" w14:paraId="1E0ED1B4" w14:textId="77777777" w:rsidTr="00884269">
        <w:trPr>
          <w:trHeight w:val="300"/>
          <w:jc w:val="center"/>
        </w:trPr>
        <w:tc>
          <w:tcPr>
            <w:tcW w:w="1413" w:type="dxa"/>
            <w:shd w:val="clear" w:color="auto" w:fill="C6EFCE"/>
            <w:tcMar>
              <w:left w:w="108" w:type="dxa"/>
              <w:right w:w="108" w:type="dxa"/>
            </w:tcMar>
            <w:vAlign w:val="center"/>
          </w:tcPr>
          <w:p w14:paraId="1E0ED1B0"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21</w:t>
            </w:r>
          </w:p>
        </w:tc>
        <w:tc>
          <w:tcPr>
            <w:tcW w:w="3118" w:type="dxa"/>
            <w:shd w:val="clear" w:color="auto" w:fill="C6EFCE"/>
            <w:tcMar>
              <w:left w:w="108" w:type="dxa"/>
              <w:right w:w="108" w:type="dxa"/>
            </w:tcMar>
          </w:tcPr>
          <w:p w14:paraId="1E0ED1B1"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1.2.1.5.i. Modernisation of electricity transmission and distribution networks</w:t>
            </w:r>
          </w:p>
        </w:tc>
        <w:tc>
          <w:tcPr>
            <w:tcW w:w="1418" w:type="dxa"/>
            <w:shd w:val="clear" w:color="auto" w:fill="C6EFCE"/>
            <w:tcMar>
              <w:left w:w="108" w:type="dxa"/>
              <w:right w:w="108" w:type="dxa"/>
            </w:tcMar>
          </w:tcPr>
          <w:p w14:paraId="1E0ED1B2"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1B3"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Entry into force of legal act(s) on wind energy on public land </w:t>
            </w:r>
          </w:p>
        </w:tc>
      </w:tr>
      <w:tr w:rsidR="00C56BD9" w:rsidRPr="00E60E42" w14:paraId="1E0ED1B9" w14:textId="77777777" w:rsidTr="00884269">
        <w:trPr>
          <w:trHeight w:val="300"/>
          <w:jc w:val="center"/>
        </w:trPr>
        <w:tc>
          <w:tcPr>
            <w:tcW w:w="1413" w:type="dxa"/>
            <w:shd w:val="clear" w:color="auto" w:fill="C6EFCE"/>
            <w:tcMar>
              <w:left w:w="108" w:type="dxa"/>
              <w:right w:w="108" w:type="dxa"/>
            </w:tcMar>
            <w:vAlign w:val="center"/>
          </w:tcPr>
          <w:p w14:paraId="1E0ED1B5"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24</w:t>
            </w:r>
          </w:p>
        </w:tc>
        <w:tc>
          <w:tcPr>
            <w:tcW w:w="3118" w:type="dxa"/>
            <w:shd w:val="clear" w:color="auto" w:fill="C6EFCE"/>
            <w:tcMar>
              <w:left w:w="108" w:type="dxa"/>
              <w:right w:w="108" w:type="dxa"/>
            </w:tcMar>
          </w:tcPr>
          <w:p w14:paraId="1E0ED1B6" w14:textId="77777777" w:rsidR="004E39F6" w:rsidRPr="00E60E42" w:rsidRDefault="00A35BEA">
            <w:pPr>
              <w:spacing w:after="0"/>
              <w:rPr>
                <w:rFonts w:ascii="Times New Roman" w:eastAsia="Times New Roman" w:hAnsi="Times New Roman" w:cs="Times New Roman"/>
                <w:noProof/>
                <w:color w:val="000000"/>
              </w:rPr>
            </w:pPr>
            <w:r w:rsidRPr="00E60E42">
              <w:rPr>
                <w:rFonts w:ascii="Times New Roman" w:eastAsia="Calibri" w:hAnsi="Times New Roman" w:cs="Arial"/>
                <w:noProof/>
                <w:color w:val="000000"/>
              </w:rPr>
              <w:t>1.3.1.r. Disaster management system adaptation to climate change, rescue and rapid response services</w:t>
            </w:r>
          </w:p>
        </w:tc>
        <w:tc>
          <w:tcPr>
            <w:tcW w:w="1418" w:type="dxa"/>
            <w:shd w:val="clear" w:color="auto" w:fill="C6EFCE"/>
            <w:tcMar>
              <w:left w:w="108" w:type="dxa"/>
              <w:right w:w="108" w:type="dxa"/>
            </w:tcMar>
          </w:tcPr>
          <w:p w14:paraId="1E0ED1B7" w14:textId="77777777" w:rsidR="004E39F6" w:rsidRPr="00E60E42" w:rsidRDefault="00A35BEA" w:rsidP="00B13BA9">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1B8" w14:textId="77777777" w:rsidR="004E39F6" w:rsidRPr="00E60E42" w:rsidRDefault="00A35BEA" w:rsidP="00B13BA9">
            <w:pPr>
              <w:spacing w:after="0"/>
              <w:jc w:val="both"/>
              <w:rPr>
                <w:rFonts w:ascii="Times New Roman" w:eastAsia="Times New Roman" w:hAnsi="Times New Roman" w:cs="Times New Roman"/>
                <w:noProof/>
                <w:color w:val="000000"/>
              </w:rPr>
            </w:pPr>
            <w:r w:rsidRPr="00E60E42">
              <w:rPr>
                <w:rFonts w:ascii="Times New Roman" w:eastAsia="Calibri" w:hAnsi="Times New Roman" w:cs="Arial"/>
                <w:noProof/>
                <w:color w:val="000000"/>
              </w:rPr>
              <w:t>Legal act on the national early warning system</w:t>
            </w:r>
          </w:p>
        </w:tc>
      </w:tr>
      <w:tr w:rsidR="00C56BD9" w:rsidRPr="00E60E42" w14:paraId="1E0ED1BE" w14:textId="77777777" w:rsidTr="00884269">
        <w:trPr>
          <w:trHeight w:val="300"/>
          <w:jc w:val="center"/>
        </w:trPr>
        <w:tc>
          <w:tcPr>
            <w:tcW w:w="1413" w:type="dxa"/>
            <w:shd w:val="clear" w:color="auto" w:fill="C6EFCE"/>
            <w:tcMar>
              <w:left w:w="108" w:type="dxa"/>
              <w:right w:w="108" w:type="dxa"/>
            </w:tcMar>
            <w:vAlign w:val="center"/>
          </w:tcPr>
          <w:p w14:paraId="1E0ED1BA"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25</w:t>
            </w:r>
          </w:p>
        </w:tc>
        <w:tc>
          <w:tcPr>
            <w:tcW w:w="3118" w:type="dxa"/>
            <w:shd w:val="clear" w:color="auto" w:fill="C6EFCE"/>
            <w:tcMar>
              <w:left w:w="108" w:type="dxa"/>
              <w:right w:w="108" w:type="dxa"/>
            </w:tcMar>
          </w:tcPr>
          <w:p w14:paraId="1E0ED1BB"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1.3.1.2.i. Investments in flood risk reduction infrastructure</w:t>
            </w:r>
          </w:p>
        </w:tc>
        <w:tc>
          <w:tcPr>
            <w:tcW w:w="1418" w:type="dxa"/>
            <w:shd w:val="clear" w:color="auto" w:fill="C6EFCE"/>
            <w:tcMar>
              <w:left w:w="108" w:type="dxa"/>
              <w:right w:w="108" w:type="dxa"/>
            </w:tcMar>
          </w:tcPr>
          <w:p w14:paraId="1E0ED1BC"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BD"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Construction contracts signed</w:t>
            </w:r>
          </w:p>
        </w:tc>
      </w:tr>
      <w:tr w:rsidR="00C56BD9" w:rsidRPr="00E60E42" w14:paraId="1E0ED1C3" w14:textId="77777777" w:rsidTr="00884269">
        <w:trPr>
          <w:trHeight w:val="300"/>
          <w:jc w:val="center"/>
        </w:trPr>
        <w:tc>
          <w:tcPr>
            <w:tcW w:w="1413" w:type="dxa"/>
            <w:shd w:val="clear" w:color="auto" w:fill="C6EFCE"/>
            <w:tcMar>
              <w:left w:w="108" w:type="dxa"/>
              <w:right w:w="108" w:type="dxa"/>
            </w:tcMar>
            <w:vAlign w:val="center"/>
          </w:tcPr>
          <w:p w14:paraId="1E0ED1BF"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36</w:t>
            </w:r>
          </w:p>
        </w:tc>
        <w:tc>
          <w:tcPr>
            <w:tcW w:w="3118" w:type="dxa"/>
            <w:shd w:val="clear" w:color="auto" w:fill="C6EFCE"/>
            <w:tcMar>
              <w:left w:w="108" w:type="dxa"/>
              <w:right w:w="108" w:type="dxa"/>
            </w:tcMar>
          </w:tcPr>
          <w:p w14:paraId="1E0ED1C0"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2.1.2.2.i. Cloud services</w:t>
            </w:r>
          </w:p>
        </w:tc>
        <w:tc>
          <w:tcPr>
            <w:tcW w:w="1418" w:type="dxa"/>
            <w:shd w:val="clear" w:color="auto" w:fill="C6EFCE"/>
            <w:tcMar>
              <w:left w:w="108" w:type="dxa"/>
              <w:right w:w="108" w:type="dxa"/>
            </w:tcMar>
          </w:tcPr>
          <w:p w14:paraId="1E0ED1C1"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C2"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themeColor="text1"/>
              </w:rPr>
              <w:t>Cloud services provided to public authorities</w:t>
            </w:r>
          </w:p>
        </w:tc>
      </w:tr>
      <w:tr w:rsidR="00C56BD9" w:rsidRPr="00E60E42" w14:paraId="1E0ED1C8" w14:textId="77777777" w:rsidTr="00884269">
        <w:trPr>
          <w:trHeight w:val="300"/>
          <w:jc w:val="center"/>
        </w:trPr>
        <w:tc>
          <w:tcPr>
            <w:tcW w:w="1413" w:type="dxa"/>
            <w:shd w:val="clear" w:color="auto" w:fill="C6EFCE"/>
            <w:tcMar>
              <w:left w:w="108" w:type="dxa"/>
              <w:right w:w="108" w:type="dxa"/>
            </w:tcMar>
            <w:vAlign w:val="center"/>
          </w:tcPr>
          <w:p w14:paraId="1E0ED1C4"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44</w:t>
            </w:r>
          </w:p>
        </w:tc>
        <w:tc>
          <w:tcPr>
            <w:tcW w:w="3118" w:type="dxa"/>
            <w:shd w:val="clear" w:color="auto" w:fill="C6EFCE"/>
            <w:tcMar>
              <w:left w:w="108" w:type="dxa"/>
              <w:right w:w="108" w:type="dxa"/>
            </w:tcMar>
          </w:tcPr>
          <w:p w14:paraId="1E0ED1C5"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themeColor="text1"/>
              </w:rPr>
              <w:t xml:space="preserve">2.2.1.1.i. Support for the establishment of Digital Innovation Hubs and regional contact points </w:t>
            </w:r>
          </w:p>
        </w:tc>
        <w:tc>
          <w:tcPr>
            <w:tcW w:w="1418" w:type="dxa"/>
            <w:shd w:val="clear" w:color="auto" w:fill="C6EFCE"/>
            <w:tcMar>
              <w:left w:w="108" w:type="dxa"/>
              <w:right w:w="108" w:type="dxa"/>
            </w:tcMar>
          </w:tcPr>
          <w:p w14:paraId="1E0ED1C6"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C7"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Digital transformation roadmaps </w:t>
            </w:r>
          </w:p>
        </w:tc>
      </w:tr>
      <w:tr w:rsidR="00C56BD9" w:rsidRPr="00E60E42" w14:paraId="1E0ED1CD" w14:textId="77777777" w:rsidTr="00884269">
        <w:trPr>
          <w:trHeight w:val="300"/>
          <w:jc w:val="center"/>
        </w:trPr>
        <w:tc>
          <w:tcPr>
            <w:tcW w:w="1413" w:type="dxa"/>
            <w:shd w:val="clear" w:color="auto" w:fill="C6EFCE"/>
            <w:tcMar>
              <w:left w:w="108" w:type="dxa"/>
              <w:right w:w="108" w:type="dxa"/>
            </w:tcMar>
            <w:vAlign w:val="center"/>
          </w:tcPr>
          <w:p w14:paraId="1E0ED1C9"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46</w:t>
            </w:r>
          </w:p>
        </w:tc>
        <w:tc>
          <w:tcPr>
            <w:tcW w:w="3118" w:type="dxa"/>
            <w:shd w:val="clear" w:color="auto" w:fill="C6EFCE"/>
            <w:tcMar>
              <w:left w:w="108" w:type="dxa"/>
              <w:right w:w="108" w:type="dxa"/>
            </w:tcMar>
          </w:tcPr>
          <w:p w14:paraId="1E0ED1CA"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themeColor="text1"/>
              </w:rPr>
              <w:t>2.2.1.2.i. Digitalisation of entities</w:t>
            </w:r>
          </w:p>
        </w:tc>
        <w:tc>
          <w:tcPr>
            <w:tcW w:w="1418" w:type="dxa"/>
            <w:shd w:val="clear" w:color="auto" w:fill="C6EFCE"/>
            <w:tcMar>
              <w:left w:w="108" w:type="dxa"/>
              <w:right w:w="108" w:type="dxa"/>
            </w:tcMar>
          </w:tcPr>
          <w:p w14:paraId="1E0ED1CB"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CC"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themeColor="text1"/>
              </w:rPr>
              <w:t xml:space="preserve">Improvement in entities’ Digital Maturity Test </w:t>
            </w:r>
          </w:p>
        </w:tc>
      </w:tr>
      <w:tr w:rsidR="00C56BD9" w:rsidRPr="00E60E42" w14:paraId="1E0ED1D2" w14:textId="77777777" w:rsidTr="00884269">
        <w:trPr>
          <w:trHeight w:val="300"/>
          <w:jc w:val="center"/>
        </w:trPr>
        <w:tc>
          <w:tcPr>
            <w:tcW w:w="1413" w:type="dxa"/>
            <w:shd w:val="clear" w:color="auto" w:fill="C6EFCE"/>
            <w:tcMar>
              <w:left w:w="108" w:type="dxa"/>
              <w:right w:w="108" w:type="dxa"/>
            </w:tcMar>
            <w:vAlign w:val="center"/>
          </w:tcPr>
          <w:p w14:paraId="1E0ED1CE"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themeColor="text1"/>
              </w:rPr>
              <w:t>48</w:t>
            </w:r>
          </w:p>
        </w:tc>
        <w:tc>
          <w:tcPr>
            <w:tcW w:w="3118" w:type="dxa"/>
            <w:shd w:val="clear" w:color="auto" w:fill="C6EFCE"/>
            <w:tcMar>
              <w:left w:w="108" w:type="dxa"/>
              <w:right w:w="108" w:type="dxa"/>
            </w:tcMar>
          </w:tcPr>
          <w:p w14:paraId="1E0ED1CF" w14:textId="77777777" w:rsidR="004E39F6" w:rsidRPr="00E60E42" w:rsidRDefault="00A35BEA">
            <w:pPr>
              <w:spacing w:after="0"/>
              <w:rPr>
                <w:rFonts w:ascii="Calibri" w:eastAsia="Calibri" w:hAnsi="Calibri" w:cs="Arial"/>
                <w:noProof/>
              </w:rPr>
            </w:pPr>
            <w:r w:rsidRPr="00E60E42" w:rsidDel="00CE6D4C">
              <w:rPr>
                <w:rFonts w:ascii="Times New Roman" w:eastAsia="Calibri" w:hAnsi="Times New Roman" w:cs="Arial"/>
                <w:noProof/>
                <w:color w:val="000000"/>
              </w:rPr>
              <w:t xml:space="preserve">2.2.1.3.i. </w:t>
            </w:r>
            <w:r w:rsidRPr="00E60E42">
              <w:rPr>
                <w:rFonts w:ascii="Times New Roman" w:eastAsia="Calibri" w:hAnsi="Times New Roman" w:cs="Arial"/>
                <w:noProof/>
              </w:rPr>
              <w:t xml:space="preserve">Support for the introduction of </w:t>
            </w:r>
            <w:r w:rsidRPr="00E60E42" w:rsidDel="00CE6D4C">
              <w:rPr>
                <w:rFonts w:ascii="Times New Roman" w:eastAsia="Calibri" w:hAnsi="Times New Roman" w:cs="Arial"/>
                <w:noProof/>
              </w:rPr>
              <w:t>products and services into business</w:t>
            </w:r>
          </w:p>
        </w:tc>
        <w:tc>
          <w:tcPr>
            <w:tcW w:w="1418" w:type="dxa"/>
            <w:shd w:val="clear" w:color="auto" w:fill="C6EFCE"/>
            <w:tcMar>
              <w:left w:w="108" w:type="dxa"/>
              <w:right w:w="108" w:type="dxa"/>
            </w:tcMar>
          </w:tcPr>
          <w:p w14:paraId="1E0ED1D0" w14:textId="77777777" w:rsidR="004E39F6" w:rsidRPr="00E60E42" w:rsidRDefault="00A35BEA" w:rsidP="00B13BA9">
            <w:pPr>
              <w:spacing w:after="0"/>
              <w:jc w:val="center"/>
              <w:rPr>
                <w:rFonts w:ascii="Calibri" w:eastAsia="Calibri" w:hAnsi="Calibri" w:cs="Arial"/>
                <w:noProof/>
              </w:rPr>
            </w:pPr>
            <w:r w:rsidRPr="00E60E42" w:rsidDel="00CE6D4C">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D1" w14:textId="77777777" w:rsidR="004E39F6" w:rsidRPr="00E60E42" w:rsidRDefault="00A35BEA" w:rsidP="00B13BA9">
            <w:pPr>
              <w:spacing w:after="0"/>
              <w:jc w:val="both"/>
              <w:rPr>
                <w:rFonts w:ascii="Times New Roman" w:hAnsi="Times New Roman"/>
                <w:noProof/>
                <w:sz w:val="20"/>
                <w:szCs w:val="20"/>
              </w:rPr>
            </w:pPr>
            <w:r w:rsidRPr="00E60E42">
              <w:rPr>
                <w:rFonts w:ascii="Times New Roman" w:hAnsi="Times New Roman"/>
                <w:noProof/>
              </w:rPr>
              <w:t>Grant agreements signed and private financing committed</w:t>
            </w:r>
          </w:p>
        </w:tc>
      </w:tr>
      <w:tr w:rsidR="00C56BD9" w:rsidRPr="00E60E42" w14:paraId="1E0ED1D7" w14:textId="77777777" w:rsidTr="00884269">
        <w:trPr>
          <w:trHeight w:val="300"/>
          <w:jc w:val="center"/>
        </w:trPr>
        <w:tc>
          <w:tcPr>
            <w:tcW w:w="1413" w:type="dxa"/>
            <w:shd w:val="clear" w:color="auto" w:fill="C6EFCE"/>
            <w:tcMar>
              <w:left w:w="108" w:type="dxa"/>
              <w:right w:w="108" w:type="dxa"/>
            </w:tcMar>
            <w:vAlign w:val="center"/>
          </w:tcPr>
          <w:p w14:paraId="1E0ED1D3"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51</w:t>
            </w:r>
          </w:p>
        </w:tc>
        <w:tc>
          <w:tcPr>
            <w:tcW w:w="3118" w:type="dxa"/>
            <w:shd w:val="clear" w:color="auto" w:fill="C6EFCE"/>
            <w:tcMar>
              <w:left w:w="108" w:type="dxa"/>
              <w:right w:w="108" w:type="dxa"/>
            </w:tcMar>
          </w:tcPr>
          <w:p w14:paraId="1E0ED1D4"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2.2.1.4.i. Financial instrument to facilitate the digital transformation of economic operators</w:t>
            </w:r>
          </w:p>
        </w:tc>
        <w:tc>
          <w:tcPr>
            <w:tcW w:w="1418" w:type="dxa"/>
            <w:shd w:val="clear" w:color="auto" w:fill="C6EFCE"/>
            <w:tcMar>
              <w:left w:w="108" w:type="dxa"/>
              <w:right w:w="108" w:type="dxa"/>
            </w:tcMar>
          </w:tcPr>
          <w:p w14:paraId="1E0ED1D5"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D6" w14:textId="77777777" w:rsidR="004E39F6" w:rsidRPr="00E60E42" w:rsidRDefault="00A35BEA" w:rsidP="00B13BA9">
            <w:pPr>
              <w:spacing w:after="0"/>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Loan contracts signed and private financing committed</w:t>
            </w:r>
          </w:p>
        </w:tc>
      </w:tr>
      <w:tr w:rsidR="00C56BD9" w:rsidRPr="00E60E42" w14:paraId="1E0ED1DC" w14:textId="77777777" w:rsidTr="00884269">
        <w:trPr>
          <w:trHeight w:val="300"/>
          <w:jc w:val="center"/>
        </w:trPr>
        <w:tc>
          <w:tcPr>
            <w:tcW w:w="1413" w:type="dxa"/>
            <w:shd w:val="clear" w:color="auto" w:fill="C6EFCE"/>
            <w:tcMar>
              <w:left w:w="108" w:type="dxa"/>
              <w:right w:w="108" w:type="dxa"/>
            </w:tcMar>
            <w:vAlign w:val="center"/>
          </w:tcPr>
          <w:p w14:paraId="1E0ED1D8" w14:textId="77777777" w:rsidR="004E39F6" w:rsidRPr="00E60E42" w:rsidRDefault="00A35BEA">
            <w:pPr>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54</w:t>
            </w:r>
          </w:p>
        </w:tc>
        <w:tc>
          <w:tcPr>
            <w:tcW w:w="3118" w:type="dxa"/>
            <w:shd w:val="clear" w:color="auto" w:fill="C6EFCE"/>
            <w:tcMar>
              <w:left w:w="108" w:type="dxa"/>
              <w:right w:w="108" w:type="dxa"/>
            </w:tcMar>
          </w:tcPr>
          <w:p w14:paraId="1E0ED1D9" w14:textId="77777777" w:rsidR="004E39F6" w:rsidRPr="00E60E42" w:rsidRDefault="00A35BEA">
            <w:pP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2.2.1.5.i. Fostering the digital transformation of media companies</w:t>
            </w:r>
          </w:p>
        </w:tc>
        <w:tc>
          <w:tcPr>
            <w:tcW w:w="1418" w:type="dxa"/>
            <w:shd w:val="clear" w:color="auto" w:fill="C6EFCE"/>
            <w:tcMar>
              <w:left w:w="108" w:type="dxa"/>
              <w:right w:w="108" w:type="dxa"/>
            </w:tcMar>
          </w:tcPr>
          <w:p w14:paraId="1E0ED1DA" w14:textId="77777777" w:rsidR="004E39F6" w:rsidRPr="00E60E42" w:rsidRDefault="00A35BEA" w:rsidP="00B13BA9">
            <w:pPr>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1DB" w14:textId="77777777" w:rsidR="004E39F6" w:rsidRPr="00E60E42" w:rsidRDefault="00A35BEA" w:rsidP="00B13BA9">
            <w:pPr>
              <w:jc w:val="both"/>
              <w:rPr>
                <w:rFonts w:ascii="Times New Roman" w:eastAsia="Calibri" w:hAnsi="Times New Roman" w:cs="Arial"/>
                <w:noProof/>
                <w:color w:val="000000" w:themeColor="text1"/>
              </w:rPr>
            </w:pPr>
            <w:r w:rsidRPr="00E60E42" w:rsidDel="009F5389">
              <w:rPr>
                <w:rFonts w:ascii="Times New Roman" w:eastAsia="Calibri" w:hAnsi="Times New Roman" w:cs="Arial"/>
                <w:noProof/>
                <w:color w:val="000000" w:themeColor="text1"/>
              </w:rPr>
              <w:t>Support scheme established</w:t>
            </w:r>
          </w:p>
        </w:tc>
      </w:tr>
      <w:tr w:rsidR="00C56BD9" w:rsidRPr="00E60E42" w14:paraId="1E0ED1E1" w14:textId="77777777" w:rsidTr="00884269">
        <w:trPr>
          <w:trHeight w:val="300"/>
          <w:jc w:val="center"/>
        </w:trPr>
        <w:tc>
          <w:tcPr>
            <w:tcW w:w="1413" w:type="dxa"/>
            <w:shd w:val="clear" w:color="auto" w:fill="C6EFCE"/>
            <w:tcMar>
              <w:left w:w="108" w:type="dxa"/>
              <w:right w:w="108" w:type="dxa"/>
            </w:tcMar>
            <w:vAlign w:val="center"/>
          </w:tcPr>
          <w:p w14:paraId="1E0ED1DD"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86</w:t>
            </w:r>
          </w:p>
        </w:tc>
        <w:tc>
          <w:tcPr>
            <w:tcW w:w="3118" w:type="dxa"/>
            <w:shd w:val="clear" w:color="auto" w:fill="C6EFCE"/>
            <w:tcMar>
              <w:left w:w="108" w:type="dxa"/>
              <w:right w:w="108" w:type="dxa"/>
            </w:tcMar>
          </w:tcPr>
          <w:p w14:paraId="1E0ED1DE"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3.1.1.1.i. Improvement of the network of regional and local roads </w:t>
            </w:r>
          </w:p>
        </w:tc>
        <w:tc>
          <w:tcPr>
            <w:tcW w:w="1418" w:type="dxa"/>
            <w:shd w:val="clear" w:color="auto" w:fill="C6EFCE"/>
            <w:tcMar>
              <w:left w:w="108" w:type="dxa"/>
              <w:right w:w="108" w:type="dxa"/>
            </w:tcMar>
          </w:tcPr>
          <w:p w14:paraId="1E0ED1DF"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E0"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Renovated or rebuilt regional and local roads</w:t>
            </w:r>
          </w:p>
        </w:tc>
      </w:tr>
      <w:tr w:rsidR="00C56BD9" w:rsidRPr="00E60E42" w14:paraId="1E0ED1E6" w14:textId="77777777" w:rsidTr="00884269">
        <w:trPr>
          <w:trHeight w:val="300"/>
          <w:jc w:val="center"/>
        </w:trPr>
        <w:tc>
          <w:tcPr>
            <w:tcW w:w="1413" w:type="dxa"/>
            <w:shd w:val="clear" w:color="auto" w:fill="C6EFCE"/>
            <w:tcMar>
              <w:left w:w="108" w:type="dxa"/>
              <w:right w:w="108" w:type="dxa"/>
            </w:tcMar>
            <w:vAlign w:val="center"/>
          </w:tcPr>
          <w:p w14:paraId="1E0ED1E2"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90</w:t>
            </w:r>
          </w:p>
        </w:tc>
        <w:tc>
          <w:tcPr>
            <w:tcW w:w="3118" w:type="dxa"/>
            <w:shd w:val="clear" w:color="auto" w:fill="C6EFCE"/>
            <w:tcMar>
              <w:left w:w="108" w:type="dxa"/>
              <w:right w:w="108" w:type="dxa"/>
            </w:tcMar>
          </w:tcPr>
          <w:p w14:paraId="1E0ED1E3"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themeColor="text1"/>
              </w:rPr>
              <w:t xml:space="preserve">3.1.1.2.i. Strengthening the capacity of municipalities to improve service efficiency and quality </w:t>
            </w:r>
          </w:p>
        </w:tc>
        <w:tc>
          <w:tcPr>
            <w:tcW w:w="1418" w:type="dxa"/>
            <w:shd w:val="clear" w:color="auto" w:fill="C6EFCE"/>
            <w:tcMar>
              <w:left w:w="108" w:type="dxa"/>
              <w:right w:w="108" w:type="dxa"/>
            </w:tcMar>
          </w:tcPr>
          <w:p w14:paraId="1E0ED1E4"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1E5"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Assessment of local government public services </w:t>
            </w:r>
          </w:p>
        </w:tc>
      </w:tr>
      <w:tr w:rsidR="00C56BD9" w:rsidRPr="00E60E42" w14:paraId="1E0ED1EB" w14:textId="77777777" w:rsidTr="00884269">
        <w:trPr>
          <w:trHeight w:val="300"/>
          <w:jc w:val="center"/>
        </w:trPr>
        <w:tc>
          <w:tcPr>
            <w:tcW w:w="1413" w:type="dxa"/>
            <w:shd w:val="clear" w:color="auto" w:fill="C6EFCE"/>
            <w:tcMar>
              <w:left w:w="108" w:type="dxa"/>
              <w:right w:w="108" w:type="dxa"/>
            </w:tcMar>
            <w:vAlign w:val="center"/>
          </w:tcPr>
          <w:p w14:paraId="1E0ED1E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92</w:t>
            </w:r>
          </w:p>
        </w:tc>
        <w:tc>
          <w:tcPr>
            <w:tcW w:w="3118" w:type="dxa"/>
            <w:shd w:val="clear" w:color="auto" w:fill="C6EFCE"/>
            <w:tcMar>
              <w:left w:w="108" w:type="dxa"/>
              <w:right w:w="108" w:type="dxa"/>
            </w:tcMar>
          </w:tcPr>
          <w:p w14:paraId="1E0ED1E8"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 xml:space="preserve">3.1.1.2.i. Strengthening the capacity of municipalities to improve service efficiency and quality </w:t>
            </w:r>
          </w:p>
        </w:tc>
        <w:tc>
          <w:tcPr>
            <w:tcW w:w="1418" w:type="dxa"/>
            <w:shd w:val="clear" w:color="auto" w:fill="C6EFCE"/>
            <w:tcMar>
              <w:left w:w="108" w:type="dxa"/>
              <w:right w:w="108" w:type="dxa"/>
            </w:tcMar>
          </w:tcPr>
          <w:p w14:paraId="1E0ED1E9"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EA"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 xml:space="preserve">People trained </w:t>
            </w:r>
          </w:p>
        </w:tc>
      </w:tr>
      <w:tr w:rsidR="00C56BD9" w:rsidRPr="00E60E42" w14:paraId="1E0ED1F0" w14:textId="77777777" w:rsidTr="00884269">
        <w:trPr>
          <w:trHeight w:val="300"/>
          <w:jc w:val="center"/>
        </w:trPr>
        <w:tc>
          <w:tcPr>
            <w:tcW w:w="1413" w:type="dxa"/>
            <w:shd w:val="clear" w:color="auto" w:fill="C6EFCE"/>
            <w:tcMar>
              <w:left w:w="108" w:type="dxa"/>
              <w:right w:w="108" w:type="dxa"/>
            </w:tcMar>
            <w:vAlign w:val="center"/>
          </w:tcPr>
          <w:p w14:paraId="1E0ED1EC"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102</w:t>
            </w:r>
          </w:p>
        </w:tc>
        <w:tc>
          <w:tcPr>
            <w:tcW w:w="3118" w:type="dxa"/>
            <w:shd w:val="clear" w:color="auto" w:fill="C6EFCE"/>
            <w:tcMar>
              <w:left w:w="108" w:type="dxa"/>
              <w:right w:w="108" w:type="dxa"/>
            </w:tcMar>
          </w:tcPr>
          <w:p w14:paraId="1E0ED1ED"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3.1.1.4.i. Establishing a financing fund for the construction of low-rent housing </w:t>
            </w:r>
          </w:p>
        </w:tc>
        <w:tc>
          <w:tcPr>
            <w:tcW w:w="1418" w:type="dxa"/>
            <w:shd w:val="clear" w:color="auto" w:fill="C6EFCE"/>
            <w:tcMar>
              <w:left w:w="108" w:type="dxa"/>
              <w:right w:w="108" w:type="dxa"/>
            </w:tcMar>
          </w:tcPr>
          <w:p w14:paraId="1E0ED1EE"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EF"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 xml:space="preserve">Number of apartments </w:t>
            </w:r>
          </w:p>
        </w:tc>
      </w:tr>
      <w:tr w:rsidR="00C56BD9" w:rsidRPr="00E60E42" w14:paraId="1E0ED1F5" w14:textId="77777777" w:rsidTr="00884269">
        <w:trPr>
          <w:trHeight w:val="300"/>
          <w:jc w:val="center"/>
        </w:trPr>
        <w:tc>
          <w:tcPr>
            <w:tcW w:w="1413" w:type="dxa"/>
            <w:shd w:val="clear" w:color="auto" w:fill="C6EFCE"/>
            <w:tcMar>
              <w:left w:w="108" w:type="dxa"/>
              <w:right w:w="108" w:type="dxa"/>
            </w:tcMar>
            <w:vAlign w:val="center"/>
          </w:tcPr>
          <w:p w14:paraId="1E0ED1F1"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115</w:t>
            </w:r>
          </w:p>
        </w:tc>
        <w:tc>
          <w:tcPr>
            <w:tcW w:w="3118" w:type="dxa"/>
            <w:shd w:val="clear" w:color="auto" w:fill="C6EFCE"/>
            <w:tcMar>
              <w:left w:w="108" w:type="dxa"/>
              <w:right w:w="108" w:type="dxa"/>
            </w:tcMar>
          </w:tcPr>
          <w:p w14:paraId="1E0ED1F2"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3.1.2.1.i. Measures to promote access to public services and employment for people with functional impairments</w:t>
            </w:r>
          </w:p>
        </w:tc>
        <w:tc>
          <w:tcPr>
            <w:tcW w:w="1418" w:type="dxa"/>
            <w:shd w:val="clear" w:color="auto" w:fill="C6EFCE"/>
            <w:tcMar>
              <w:left w:w="108" w:type="dxa"/>
              <w:right w:w="108" w:type="dxa"/>
            </w:tcMar>
          </w:tcPr>
          <w:p w14:paraId="1E0ED1F3"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1F4"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Selection of target group to adapt their dwelling </w:t>
            </w:r>
          </w:p>
        </w:tc>
      </w:tr>
      <w:tr w:rsidR="00C56BD9" w:rsidRPr="00E60E42" w14:paraId="1E0ED1FA" w14:textId="77777777" w:rsidTr="00884269">
        <w:trPr>
          <w:trHeight w:val="300"/>
          <w:jc w:val="center"/>
        </w:trPr>
        <w:tc>
          <w:tcPr>
            <w:tcW w:w="1413" w:type="dxa"/>
            <w:shd w:val="clear" w:color="auto" w:fill="C6EFCE"/>
            <w:tcMar>
              <w:left w:w="108" w:type="dxa"/>
              <w:right w:w="108" w:type="dxa"/>
            </w:tcMar>
            <w:vAlign w:val="center"/>
          </w:tcPr>
          <w:p w14:paraId="1E0ED1F6"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130</w:t>
            </w:r>
          </w:p>
        </w:tc>
        <w:tc>
          <w:tcPr>
            <w:tcW w:w="3118" w:type="dxa"/>
            <w:shd w:val="clear" w:color="auto" w:fill="C6EFCE"/>
            <w:tcMar>
              <w:left w:w="108" w:type="dxa"/>
              <w:right w:w="108" w:type="dxa"/>
            </w:tcMar>
          </w:tcPr>
          <w:p w14:paraId="1E0ED1F7"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3.1.2.5.i. Participation in the labour market of unemployed, jobseekers and people at risk of unemployment</w:t>
            </w:r>
          </w:p>
        </w:tc>
        <w:tc>
          <w:tcPr>
            <w:tcW w:w="1418" w:type="dxa"/>
            <w:shd w:val="clear" w:color="auto" w:fill="C6EFCE"/>
            <w:tcMar>
              <w:left w:w="108" w:type="dxa"/>
              <w:right w:w="108" w:type="dxa"/>
            </w:tcMar>
          </w:tcPr>
          <w:p w14:paraId="1E0ED1F8"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1F9" w14:textId="77777777" w:rsidR="004E39F6" w:rsidRPr="00E60E42" w:rsidDel="00CB61ED" w:rsidRDefault="00A35BEA" w:rsidP="00B13BA9">
            <w:pPr>
              <w:spacing w:after="0"/>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Persons participating in training</w:t>
            </w:r>
          </w:p>
        </w:tc>
      </w:tr>
      <w:tr w:rsidR="00C56BD9" w:rsidRPr="00E60E42" w14:paraId="1E0ED1FF" w14:textId="77777777" w:rsidTr="00884269">
        <w:trPr>
          <w:trHeight w:val="300"/>
          <w:jc w:val="center"/>
        </w:trPr>
        <w:tc>
          <w:tcPr>
            <w:tcW w:w="1413" w:type="dxa"/>
            <w:shd w:val="clear" w:color="auto" w:fill="C6EFCE"/>
            <w:tcMar>
              <w:left w:w="108" w:type="dxa"/>
              <w:right w:w="108" w:type="dxa"/>
            </w:tcMar>
            <w:vAlign w:val="center"/>
          </w:tcPr>
          <w:p w14:paraId="1E0ED1FB"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133</w:t>
            </w:r>
          </w:p>
        </w:tc>
        <w:tc>
          <w:tcPr>
            <w:tcW w:w="3118" w:type="dxa"/>
            <w:shd w:val="clear" w:color="auto" w:fill="C6EFCE"/>
            <w:tcMar>
              <w:left w:w="108" w:type="dxa"/>
              <w:right w:w="108" w:type="dxa"/>
            </w:tcMar>
          </w:tcPr>
          <w:p w14:paraId="1E0ED1FC"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4.1.1.r. Sustainability and resilience of a human-centred, comprehensive, integrated healthcare system</w:t>
            </w:r>
          </w:p>
        </w:tc>
        <w:tc>
          <w:tcPr>
            <w:tcW w:w="1418" w:type="dxa"/>
            <w:shd w:val="clear" w:color="auto" w:fill="C6EFCE"/>
            <w:tcMar>
              <w:left w:w="108" w:type="dxa"/>
              <w:right w:w="108" w:type="dxa"/>
            </w:tcMar>
          </w:tcPr>
          <w:p w14:paraId="1E0ED1FD"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1FE"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Genome reference of the Latvian population </w:t>
            </w:r>
          </w:p>
        </w:tc>
      </w:tr>
      <w:tr w:rsidR="00C56BD9" w:rsidRPr="00E60E42" w14:paraId="1E0ED204" w14:textId="77777777" w:rsidTr="00884269">
        <w:trPr>
          <w:trHeight w:val="300"/>
          <w:jc w:val="center"/>
        </w:trPr>
        <w:tc>
          <w:tcPr>
            <w:tcW w:w="1413" w:type="dxa"/>
            <w:shd w:val="clear" w:color="auto" w:fill="C6EFCE"/>
            <w:tcMar>
              <w:left w:w="108" w:type="dxa"/>
              <w:right w:w="108" w:type="dxa"/>
            </w:tcMar>
            <w:vAlign w:val="center"/>
          </w:tcPr>
          <w:p w14:paraId="1E0ED200"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134</w:t>
            </w:r>
          </w:p>
        </w:tc>
        <w:tc>
          <w:tcPr>
            <w:tcW w:w="3118" w:type="dxa"/>
            <w:shd w:val="clear" w:color="auto" w:fill="C6EFCE"/>
            <w:tcMar>
              <w:left w:w="108" w:type="dxa"/>
              <w:right w:w="108" w:type="dxa"/>
            </w:tcMar>
          </w:tcPr>
          <w:p w14:paraId="1E0ED201"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4.1.1.r. Sustainability and resilience of a human-centred, comprehensive, integrated healthcare system</w:t>
            </w:r>
          </w:p>
        </w:tc>
        <w:tc>
          <w:tcPr>
            <w:tcW w:w="1418" w:type="dxa"/>
            <w:shd w:val="clear" w:color="auto" w:fill="C6EFCE"/>
            <w:tcMar>
              <w:left w:w="108" w:type="dxa"/>
              <w:right w:w="108" w:type="dxa"/>
            </w:tcMar>
          </w:tcPr>
          <w:p w14:paraId="1E0ED202"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03" w14:textId="77777777" w:rsidR="004E39F6" w:rsidRPr="00E60E42" w:rsidDel="00CB61ED" w:rsidRDefault="00A35BEA" w:rsidP="00B13BA9">
            <w:pPr>
              <w:spacing w:after="0"/>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Methodological management in the field of oncology</w:t>
            </w:r>
          </w:p>
        </w:tc>
      </w:tr>
      <w:tr w:rsidR="00C56BD9" w:rsidRPr="00E60E42" w14:paraId="1E0ED209" w14:textId="77777777" w:rsidTr="00884269">
        <w:trPr>
          <w:trHeight w:val="300"/>
          <w:jc w:val="center"/>
        </w:trPr>
        <w:tc>
          <w:tcPr>
            <w:tcW w:w="1413" w:type="dxa"/>
            <w:shd w:val="clear" w:color="auto" w:fill="C6EFCE"/>
            <w:tcMar>
              <w:left w:w="108" w:type="dxa"/>
              <w:right w:w="108" w:type="dxa"/>
            </w:tcMar>
            <w:vAlign w:val="center"/>
          </w:tcPr>
          <w:p w14:paraId="1E0ED205"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141</w:t>
            </w:r>
          </w:p>
        </w:tc>
        <w:tc>
          <w:tcPr>
            <w:tcW w:w="3118" w:type="dxa"/>
            <w:shd w:val="clear" w:color="auto" w:fill="C6EFCE"/>
            <w:tcMar>
              <w:left w:w="108" w:type="dxa"/>
              <w:right w:w="108" w:type="dxa"/>
            </w:tcMar>
          </w:tcPr>
          <w:p w14:paraId="1E0ED206"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themeColor="text1"/>
              </w:rPr>
              <w:t>4.1.1.3.i. Support for infrastructure or equipment of secondary outpatient healthcare service providers</w:t>
            </w:r>
          </w:p>
        </w:tc>
        <w:tc>
          <w:tcPr>
            <w:tcW w:w="1418" w:type="dxa"/>
            <w:shd w:val="clear" w:color="auto" w:fill="C6EFCE"/>
            <w:tcMar>
              <w:left w:w="108" w:type="dxa"/>
              <w:right w:w="108" w:type="dxa"/>
            </w:tcMar>
          </w:tcPr>
          <w:p w14:paraId="1E0ED207"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08"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rPr>
              <w:t xml:space="preserve">Secondary outpatient healthcare service providers </w:t>
            </w:r>
          </w:p>
        </w:tc>
      </w:tr>
      <w:tr w:rsidR="00C56BD9" w:rsidRPr="00E60E42" w14:paraId="1E0ED20E" w14:textId="77777777" w:rsidTr="00884269">
        <w:trPr>
          <w:trHeight w:val="300"/>
          <w:jc w:val="center"/>
        </w:trPr>
        <w:tc>
          <w:tcPr>
            <w:tcW w:w="1413" w:type="dxa"/>
            <w:shd w:val="clear" w:color="auto" w:fill="C6EFCE"/>
            <w:tcMar>
              <w:left w:w="108" w:type="dxa"/>
              <w:right w:w="108" w:type="dxa"/>
            </w:tcMar>
            <w:vAlign w:val="center"/>
          </w:tcPr>
          <w:p w14:paraId="1E0ED20A"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145</w:t>
            </w:r>
          </w:p>
        </w:tc>
        <w:tc>
          <w:tcPr>
            <w:tcW w:w="3118" w:type="dxa"/>
            <w:shd w:val="clear" w:color="auto" w:fill="C6EFCE"/>
            <w:tcMar>
              <w:left w:w="108" w:type="dxa"/>
              <w:right w:w="108" w:type="dxa"/>
            </w:tcMar>
          </w:tcPr>
          <w:p w14:paraId="1E0ED20B"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4.2.1.r. Provision of human resources and upskilling</w:t>
            </w:r>
          </w:p>
        </w:tc>
        <w:tc>
          <w:tcPr>
            <w:tcW w:w="1418" w:type="dxa"/>
            <w:shd w:val="clear" w:color="auto" w:fill="C6EFCE"/>
            <w:tcMar>
              <w:left w:w="108" w:type="dxa"/>
              <w:right w:w="108" w:type="dxa"/>
            </w:tcMar>
          </w:tcPr>
          <w:p w14:paraId="1E0ED20C"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0D"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themeColor="text1"/>
              </w:rPr>
              <w:t>New remuneration model for healthcare staff</w:t>
            </w:r>
          </w:p>
        </w:tc>
      </w:tr>
      <w:tr w:rsidR="00C56BD9" w:rsidRPr="00E60E42" w14:paraId="1E0ED213" w14:textId="77777777" w:rsidTr="00884269">
        <w:trPr>
          <w:trHeight w:val="300"/>
          <w:jc w:val="center"/>
        </w:trPr>
        <w:tc>
          <w:tcPr>
            <w:tcW w:w="1413" w:type="dxa"/>
            <w:shd w:val="clear" w:color="auto" w:fill="C6EFCE"/>
            <w:tcMar>
              <w:left w:w="108" w:type="dxa"/>
              <w:right w:w="108" w:type="dxa"/>
            </w:tcMar>
            <w:vAlign w:val="center"/>
          </w:tcPr>
          <w:p w14:paraId="1E0ED20F" w14:textId="77777777" w:rsidR="004E39F6" w:rsidRPr="00E60E42" w:rsidRDefault="00A35BEA">
            <w:pPr>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148</w:t>
            </w:r>
          </w:p>
        </w:tc>
        <w:tc>
          <w:tcPr>
            <w:tcW w:w="3118" w:type="dxa"/>
            <w:shd w:val="clear" w:color="auto" w:fill="C6EFCE"/>
            <w:tcMar>
              <w:left w:w="108" w:type="dxa"/>
              <w:right w:w="108" w:type="dxa"/>
            </w:tcMar>
          </w:tcPr>
          <w:p w14:paraId="1E0ED210" w14:textId="77777777" w:rsidR="004E39F6" w:rsidRPr="00E60E42" w:rsidRDefault="00A35BEA">
            <w:pP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4.2.1.1.i. Support for the implementation of the human resources development system</w:t>
            </w:r>
          </w:p>
        </w:tc>
        <w:tc>
          <w:tcPr>
            <w:tcW w:w="1418" w:type="dxa"/>
            <w:shd w:val="clear" w:color="auto" w:fill="C6EFCE"/>
            <w:tcMar>
              <w:left w:w="108" w:type="dxa"/>
              <w:right w:w="108" w:type="dxa"/>
            </w:tcMar>
          </w:tcPr>
          <w:p w14:paraId="1E0ED211" w14:textId="77777777" w:rsidR="004E39F6" w:rsidRPr="00E60E42" w:rsidRDefault="00A35BEA" w:rsidP="00B13BA9">
            <w:pPr>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212" w14:textId="77777777" w:rsidR="004E39F6" w:rsidRPr="00E60E42" w:rsidRDefault="00A35BEA" w:rsidP="00B13BA9">
            <w:pPr>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Simulations in medical education</w:t>
            </w:r>
          </w:p>
        </w:tc>
      </w:tr>
      <w:tr w:rsidR="00C56BD9" w:rsidRPr="00E60E42" w14:paraId="1E0ED218" w14:textId="77777777" w:rsidTr="00884269">
        <w:trPr>
          <w:trHeight w:val="300"/>
          <w:jc w:val="center"/>
        </w:trPr>
        <w:tc>
          <w:tcPr>
            <w:tcW w:w="1413" w:type="dxa"/>
            <w:shd w:val="clear" w:color="auto" w:fill="C6EFCE"/>
            <w:tcMar>
              <w:left w:w="108" w:type="dxa"/>
              <w:right w:w="108" w:type="dxa"/>
            </w:tcMar>
            <w:vAlign w:val="center"/>
          </w:tcPr>
          <w:p w14:paraId="1E0ED214"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153</w:t>
            </w:r>
          </w:p>
        </w:tc>
        <w:tc>
          <w:tcPr>
            <w:tcW w:w="3118" w:type="dxa"/>
            <w:shd w:val="clear" w:color="auto" w:fill="C6EFCE"/>
            <w:tcMar>
              <w:left w:w="108" w:type="dxa"/>
              <w:right w:w="108" w:type="dxa"/>
            </w:tcMar>
          </w:tcPr>
          <w:p w14:paraId="1E0ED215"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4.3.1.1.i. Support for assessing and improving the quality and accessibility of non-hospital secondary healthcare</w:t>
            </w:r>
          </w:p>
        </w:tc>
        <w:tc>
          <w:tcPr>
            <w:tcW w:w="1418" w:type="dxa"/>
            <w:shd w:val="clear" w:color="auto" w:fill="C6EFCE"/>
            <w:tcMar>
              <w:left w:w="108" w:type="dxa"/>
              <w:right w:w="108" w:type="dxa"/>
            </w:tcMar>
          </w:tcPr>
          <w:p w14:paraId="1E0ED216"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17"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themeColor="text1"/>
              </w:rPr>
              <w:t>Public health policies</w:t>
            </w:r>
          </w:p>
        </w:tc>
      </w:tr>
      <w:tr w:rsidR="00C56BD9" w:rsidRPr="00E60E42" w14:paraId="1E0ED21D" w14:textId="77777777" w:rsidTr="00884269">
        <w:trPr>
          <w:trHeight w:val="300"/>
          <w:jc w:val="center"/>
        </w:trPr>
        <w:tc>
          <w:tcPr>
            <w:tcW w:w="1413" w:type="dxa"/>
            <w:shd w:val="clear" w:color="auto" w:fill="C6EFCE"/>
            <w:tcMar>
              <w:left w:w="108" w:type="dxa"/>
              <w:right w:w="108" w:type="dxa"/>
            </w:tcMar>
            <w:vAlign w:val="center"/>
          </w:tcPr>
          <w:p w14:paraId="1E0ED219"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157</w:t>
            </w:r>
          </w:p>
        </w:tc>
        <w:tc>
          <w:tcPr>
            <w:tcW w:w="3118" w:type="dxa"/>
            <w:shd w:val="clear" w:color="auto" w:fill="C6EFCE"/>
            <w:tcMar>
              <w:left w:w="108" w:type="dxa"/>
              <w:right w:w="108" w:type="dxa"/>
            </w:tcMar>
          </w:tcPr>
          <w:p w14:paraId="1E0ED21A"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5.1.1.2.i. Support instrument for research and internationalization</w:t>
            </w:r>
          </w:p>
        </w:tc>
        <w:tc>
          <w:tcPr>
            <w:tcW w:w="1418" w:type="dxa"/>
            <w:shd w:val="clear" w:color="auto" w:fill="C6EFCE"/>
            <w:tcMar>
              <w:left w:w="108" w:type="dxa"/>
              <w:right w:w="108" w:type="dxa"/>
            </w:tcMar>
          </w:tcPr>
          <w:p w14:paraId="1E0ED21B"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1C"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Entry into force of legal act(s) governing four support programmes</w:t>
            </w:r>
          </w:p>
        </w:tc>
      </w:tr>
      <w:tr w:rsidR="00C56BD9" w:rsidRPr="00E60E42" w14:paraId="1E0ED222" w14:textId="77777777" w:rsidTr="00884269">
        <w:trPr>
          <w:trHeight w:val="300"/>
          <w:jc w:val="center"/>
        </w:trPr>
        <w:tc>
          <w:tcPr>
            <w:tcW w:w="1413" w:type="dxa"/>
            <w:shd w:val="clear" w:color="auto" w:fill="C6EFCE"/>
            <w:tcMar>
              <w:left w:w="108" w:type="dxa"/>
              <w:right w:w="108" w:type="dxa"/>
            </w:tcMar>
            <w:vAlign w:val="center"/>
          </w:tcPr>
          <w:p w14:paraId="1E0ED21E"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172</w:t>
            </w:r>
          </w:p>
        </w:tc>
        <w:tc>
          <w:tcPr>
            <w:tcW w:w="3118" w:type="dxa"/>
            <w:shd w:val="clear" w:color="auto" w:fill="C6EFCE"/>
            <w:tcMar>
              <w:left w:w="108" w:type="dxa"/>
              <w:right w:w="108" w:type="dxa"/>
            </w:tcMar>
          </w:tcPr>
          <w:p w14:paraId="1E0ED21F"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6.1.1.1.i. Modernisation of existing analytical solutions</w:t>
            </w:r>
          </w:p>
        </w:tc>
        <w:tc>
          <w:tcPr>
            <w:tcW w:w="1418" w:type="dxa"/>
            <w:shd w:val="clear" w:color="auto" w:fill="C6EFCE"/>
            <w:tcMar>
              <w:left w:w="108" w:type="dxa"/>
              <w:right w:w="108" w:type="dxa"/>
            </w:tcMar>
          </w:tcPr>
          <w:p w14:paraId="1E0ED220"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21"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Changes to IT systems</w:t>
            </w:r>
          </w:p>
        </w:tc>
      </w:tr>
      <w:tr w:rsidR="00C56BD9" w:rsidRPr="00E60E42" w14:paraId="1E0ED227" w14:textId="77777777" w:rsidTr="00884269">
        <w:trPr>
          <w:trHeight w:val="300"/>
          <w:jc w:val="center"/>
        </w:trPr>
        <w:tc>
          <w:tcPr>
            <w:tcW w:w="1413" w:type="dxa"/>
            <w:shd w:val="clear" w:color="auto" w:fill="C6EFCE"/>
            <w:tcMar>
              <w:left w:w="108" w:type="dxa"/>
              <w:right w:w="108" w:type="dxa"/>
            </w:tcMar>
            <w:vAlign w:val="center"/>
          </w:tcPr>
          <w:p w14:paraId="1E0ED223"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173</w:t>
            </w:r>
          </w:p>
        </w:tc>
        <w:tc>
          <w:tcPr>
            <w:tcW w:w="3118" w:type="dxa"/>
            <w:shd w:val="clear" w:color="auto" w:fill="C6EFCE"/>
            <w:tcMar>
              <w:left w:w="108" w:type="dxa"/>
              <w:right w:w="108" w:type="dxa"/>
            </w:tcMar>
          </w:tcPr>
          <w:p w14:paraId="1E0ED224"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6.1.1.2.i. Development of new analytical systems</w:t>
            </w:r>
          </w:p>
        </w:tc>
        <w:tc>
          <w:tcPr>
            <w:tcW w:w="1418" w:type="dxa"/>
            <w:shd w:val="clear" w:color="auto" w:fill="C6EFCE"/>
            <w:tcMar>
              <w:left w:w="108" w:type="dxa"/>
              <w:right w:w="108" w:type="dxa"/>
            </w:tcMar>
          </w:tcPr>
          <w:p w14:paraId="1E0ED225"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26"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Taxpayer segmentation system </w:t>
            </w:r>
          </w:p>
        </w:tc>
      </w:tr>
      <w:tr w:rsidR="00C56BD9" w:rsidRPr="00E60E42" w14:paraId="1E0ED22C" w14:textId="77777777" w:rsidTr="00884269">
        <w:trPr>
          <w:trHeight w:val="300"/>
          <w:jc w:val="center"/>
        </w:trPr>
        <w:tc>
          <w:tcPr>
            <w:tcW w:w="1413" w:type="dxa"/>
            <w:shd w:val="clear" w:color="auto" w:fill="C6EFCE"/>
            <w:tcMar>
              <w:left w:w="108" w:type="dxa"/>
              <w:right w:w="108" w:type="dxa"/>
            </w:tcMar>
            <w:vAlign w:val="center"/>
          </w:tcPr>
          <w:p w14:paraId="1E0ED228"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182</w:t>
            </w:r>
          </w:p>
        </w:tc>
        <w:tc>
          <w:tcPr>
            <w:tcW w:w="3118" w:type="dxa"/>
            <w:shd w:val="clear" w:color="auto" w:fill="C6EFCE"/>
            <w:tcMar>
              <w:left w:w="108" w:type="dxa"/>
              <w:right w:w="108" w:type="dxa"/>
            </w:tcMar>
          </w:tcPr>
          <w:p w14:paraId="1E0ED229"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 6.1.2.4.i. Creation of infrastructure for the performance of control services in Kundziņsala</w:t>
            </w:r>
          </w:p>
        </w:tc>
        <w:tc>
          <w:tcPr>
            <w:tcW w:w="1418" w:type="dxa"/>
            <w:shd w:val="clear" w:color="auto" w:fill="C6EFCE"/>
            <w:tcMar>
              <w:left w:w="108" w:type="dxa"/>
              <w:right w:w="108" w:type="dxa"/>
            </w:tcMar>
          </w:tcPr>
          <w:p w14:paraId="1E0ED22A"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2B"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Building permit received </w:t>
            </w:r>
          </w:p>
        </w:tc>
      </w:tr>
      <w:tr w:rsidR="00C56BD9" w:rsidRPr="00E60E42" w14:paraId="1E0ED231" w14:textId="77777777" w:rsidTr="00884269">
        <w:trPr>
          <w:trHeight w:val="300"/>
          <w:jc w:val="center"/>
        </w:trPr>
        <w:tc>
          <w:tcPr>
            <w:tcW w:w="1413" w:type="dxa"/>
            <w:shd w:val="clear" w:color="auto" w:fill="C6EFCE"/>
            <w:tcMar>
              <w:left w:w="108" w:type="dxa"/>
              <w:right w:w="108" w:type="dxa"/>
            </w:tcMar>
            <w:vAlign w:val="center"/>
          </w:tcPr>
          <w:p w14:paraId="1E0ED22D" w14:textId="77777777" w:rsidR="004E39F6" w:rsidRPr="00E60E42" w:rsidRDefault="00A35BEA">
            <w:pPr>
              <w:jc w:val="center"/>
              <w:rPr>
                <w:rFonts w:ascii="Times New Roman" w:eastAsia="Calibri" w:hAnsi="Times New Roman" w:cs="Arial"/>
                <w:noProof/>
                <w:color w:val="000000"/>
              </w:rPr>
            </w:pPr>
            <w:r w:rsidRPr="00E60E42">
              <w:rPr>
                <w:rFonts w:ascii="Times New Roman" w:eastAsia="Calibri" w:hAnsi="Times New Roman" w:cs="Arial"/>
                <w:noProof/>
                <w:color w:val="000000"/>
              </w:rPr>
              <w:t>187</w:t>
            </w:r>
          </w:p>
        </w:tc>
        <w:tc>
          <w:tcPr>
            <w:tcW w:w="3118" w:type="dxa"/>
            <w:shd w:val="clear" w:color="auto" w:fill="C6EFCE"/>
            <w:tcMar>
              <w:left w:w="108" w:type="dxa"/>
              <w:right w:w="108" w:type="dxa"/>
            </w:tcMar>
          </w:tcPr>
          <w:p w14:paraId="1E0ED22E" w14:textId="77777777" w:rsidR="004E39F6" w:rsidRPr="00E60E42" w:rsidRDefault="00A35BEA">
            <w:pPr>
              <w:rPr>
                <w:rFonts w:ascii="Times New Roman" w:eastAsia="Calibri" w:hAnsi="Times New Roman" w:cs="Arial"/>
                <w:noProof/>
                <w:color w:val="000000"/>
              </w:rPr>
            </w:pPr>
            <w:r w:rsidRPr="00E60E42">
              <w:rPr>
                <w:rFonts w:ascii="Times New Roman" w:eastAsia="Calibri" w:hAnsi="Times New Roman" w:cs="Arial"/>
                <w:noProof/>
                <w:color w:val="000000"/>
              </w:rPr>
              <w:t>6.2.1.1.i. Establishment of AML Innovation Hub to improve the identification of money laundering</w:t>
            </w:r>
          </w:p>
        </w:tc>
        <w:tc>
          <w:tcPr>
            <w:tcW w:w="1418" w:type="dxa"/>
            <w:shd w:val="clear" w:color="auto" w:fill="C6EFCE"/>
            <w:tcMar>
              <w:left w:w="108" w:type="dxa"/>
              <w:right w:w="108" w:type="dxa"/>
            </w:tcMar>
          </w:tcPr>
          <w:p w14:paraId="1E0ED22F" w14:textId="77777777" w:rsidR="004E39F6" w:rsidRPr="00E60E42" w:rsidRDefault="00A35BEA" w:rsidP="00B13BA9">
            <w:pPr>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30" w14:textId="77777777" w:rsidR="004E39F6" w:rsidRPr="00E60E42" w:rsidRDefault="00A35BEA" w:rsidP="00B13BA9">
            <w:pPr>
              <w:jc w:val="both"/>
              <w:rPr>
                <w:rFonts w:ascii="Times New Roman" w:eastAsia="Calibri" w:hAnsi="Times New Roman" w:cs="Arial"/>
                <w:noProof/>
                <w:color w:val="000000"/>
              </w:rPr>
            </w:pPr>
            <w:r w:rsidRPr="00E60E42">
              <w:rPr>
                <w:rFonts w:ascii="Times New Roman" w:eastAsia="Calibri" w:hAnsi="Times New Roman" w:cs="Arial"/>
                <w:noProof/>
              </w:rPr>
              <w:t>Cooperation platform for financial intelligence and knowledge-sharing in identifying money laundering</w:t>
            </w:r>
          </w:p>
        </w:tc>
      </w:tr>
      <w:tr w:rsidR="00C56BD9" w:rsidRPr="00E60E42" w14:paraId="1E0ED236" w14:textId="77777777" w:rsidTr="00884269">
        <w:trPr>
          <w:trHeight w:val="300"/>
          <w:jc w:val="center"/>
        </w:trPr>
        <w:tc>
          <w:tcPr>
            <w:tcW w:w="1413" w:type="dxa"/>
            <w:shd w:val="clear" w:color="auto" w:fill="C6EFCE"/>
            <w:tcMar>
              <w:left w:w="108" w:type="dxa"/>
              <w:right w:w="108" w:type="dxa"/>
            </w:tcMar>
            <w:vAlign w:val="center"/>
          </w:tcPr>
          <w:p w14:paraId="1E0ED232"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190</w:t>
            </w:r>
          </w:p>
        </w:tc>
        <w:tc>
          <w:tcPr>
            <w:tcW w:w="3118" w:type="dxa"/>
            <w:shd w:val="clear" w:color="auto" w:fill="C6EFCE"/>
            <w:tcMar>
              <w:left w:w="108" w:type="dxa"/>
              <w:right w:w="108" w:type="dxa"/>
            </w:tcMar>
          </w:tcPr>
          <w:p w14:paraId="1E0ED233"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6.2.1.2.i. Strengthening the capacity to investigate economic crime</w:t>
            </w:r>
          </w:p>
        </w:tc>
        <w:tc>
          <w:tcPr>
            <w:tcW w:w="1418" w:type="dxa"/>
            <w:shd w:val="clear" w:color="auto" w:fill="C6EFCE"/>
            <w:tcMar>
              <w:left w:w="108" w:type="dxa"/>
              <w:right w:w="108" w:type="dxa"/>
            </w:tcMar>
          </w:tcPr>
          <w:p w14:paraId="1E0ED234"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35"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rPr>
              <w:t>Number of law enforcement officials with a certificate on investigation of money laundering</w:t>
            </w:r>
          </w:p>
        </w:tc>
      </w:tr>
      <w:tr w:rsidR="00C56BD9" w:rsidRPr="00E60E42" w14:paraId="1E0ED23B" w14:textId="77777777" w:rsidTr="00884269">
        <w:trPr>
          <w:trHeight w:val="300"/>
          <w:jc w:val="center"/>
        </w:trPr>
        <w:tc>
          <w:tcPr>
            <w:tcW w:w="1413" w:type="dxa"/>
            <w:shd w:val="clear" w:color="auto" w:fill="C6EFCE"/>
            <w:tcMar>
              <w:left w:w="108" w:type="dxa"/>
              <w:right w:w="108" w:type="dxa"/>
            </w:tcMar>
            <w:vAlign w:val="center"/>
          </w:tcPr>
          <w:p w14:paraId="1E0ED23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191</w:t>
            </w:r>
          </w:p>
        </w:tc>
        <w:tc>
          <w:tcPr>
            <w:tcW w:w="3118" w:type="dxa"/>
            <w:shd w:val="clear" w:color="auto" w:fill="C6EFCE"/>
            <w:tcMar>
              <w:left w:w="108" w:type="dxa"/>
              <w:right w:w="108" w:type="dxa"/>
            </w:tcMar>
          </w:tcPr>
          <w:p w14:paraId="1E0ED238"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6.2.1.2.i. Strengthening the capacity to investigate economic crime</w:t>
            </w:r>
          </w:p>
        </w:tc>
        <w:tc>
          <w:tcPr>
            <w:tcW w:w="1418" w:type="dxa"/>
            <w:shd w:val="clear" w:color="auto" w:fill="C6EFCE"/>
            <w:tcMar>
              <w:left w:w="108" w:type="dxa"/>
              <w:right w:w="108" w:type="dxa"/>
            </w:tcMar>
          </w:tcPr>
          <w:p w14:paraId="1E0ED239"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3A"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 xml:space="preserve">Equipment for law enforcement officials </w:t>
            </w:r>
          </w:p>
        </w:tc>
      </w:tr>
      <w:tr w:rsidR="00C56BD9" w:rsidRPr="00E60E42" w14:paraId="1E0ED240" w14:textId="77777777" w:rsidTr="00884269">
        <w:trPr>
          <w:trHeight w:val="300"/>
          <w:jc w:val="center"/>
        </w:trPr>
        <w:tc>
          <w:tcPr>
            <w:tcW w:w="1413" w:type="dxa"/>
            <w:shd w:val="clear" w:color="auto" w:fill="C6EFCE"/>
            <w:tcMar>
              <w:left w:w="108" w:type="dxa"/>
              <w:right w:w="108" w:type="dxa"/>
            </w:tcMar>
            <w:vAlign w:val="center"/>
          </w:tcPr>
          <w:p w14:paraId="1E0ED23C"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192</w:t>
            </w:r>
          </w:p>
        </w:tc>
        <w:tc>
          <w:tcPr>
            <w:tcW w:w="3118" w:type="dxa"/>
            <w:shd w:val="clear" w:color="auto" w:fill="C6EFCE"/>
            <w:tcMar>
              <w:left w:w="108" w:type="dxa"/>
              <w:right w:w="108" w:type="dxa"/>
            </w:tcMar>
          </w:tcPr>
          <w:p w14:paraId="1E0ED23D"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6.2.1.3.i. Establishment of a training centre </w:t>
            </w:r>
          </w:p>
        </w:tc>
        <w:tc>
          <w:tcPr>
            <w:tcW w:w="1418" w:type="dxa"/>
            <w:shd w:val="clear" w:color="auto" w:fill="C6EFCE"/>
            <w:tcMar>
              <w:left w:w="108" w:type="dxa"/>
              <w:right w:w="108" w:type="dxa"/>
            </w:tcMar>
          </w:tcPr>
          <w:p w14:paraId="1E0ED23E"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3F"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rPr>
              <w:t>Legal act(s) related to the training centre</w:t>
            </w:r>
          </w:p>
        </w:tc>
      </w:tr>
      <w:tr w:rsidR="00C56BD9" w:rsidRPr="00E60E42" w14:paraId="1E0ED245" w14:textId="77777777" w:rsidTr="00884269">
        <w:trPr>
          <w:trHeight w:val="300"/>
          <w:jc w:val="center"/>
        </w:trPr>
        <w:tc>
          <w:tcPr>
            <w:tcW w:w="1413" w:type="dxa"/>
            <w:shd w:val="clear" w:color="auto" w:fill="C6EFCE"/>
            <w:tcMar>
              <w:left w:w="108" w:type="dxa"/>
              <w:right w:w="108" w:type="dxa"/>
            </w:tcMar>
            <w:vAlign w:val="center"/>
          </w:tcPr>
          <w:p w14:paraId="1E0ED241"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193</w:t>
            </w:r>
          </w:p>
        </w:tc>
        <w:tc>
          <w:tcPr>
            <w:tcW w:w="3118" w:type="dxa"/>
            <w:shd w:val="clear" w:color="auto" w:fill="C6EFCE"/>
            <w:tcMar>
              <w:left w:w="108" w:type="dxa"/>
              <w:right w:w="108" w:type="dxa"/>
            </w:tcMar>
          </w:tcPr>
          <w:p w14:paraId="1E0ED242"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bCs/>
                <w:noProof/>
              </w:rPr>
              <w:t xml:space="preserve">6.2.1.3.i. Establishment of a training centre </w:t>
            </w:r>
          </w:p>
        </w:tc>
        <w:tc>
          <w:tcPr>
            <w:tcW w:w="1418" w:type="dxa"/>
            <w:shd w:val="clear" w:color="auto" w:fill="C6EFCE"/>
            <w:tcMar>
              <w:left w:w="108" w:type="dxa"/>
              <w:right w:w="108" w:type="dxa"/>
            </w:tcMar>
          </w:tcPr>
          <w:p w14:paraId="1E0ED243"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44"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New training programmes </w:t>
            </w:r>
          </w:p>
        </w:tc>
      </w:tr>
      <w:tr w:rsidR="00C56BD9" w:rsidRPr="00E60E42" w14:paraId="1E0ED24A" w14:textId="77777777" w:rsidTr="00884269">
        <w:trPr>
          <w:trHeight w:val="300"/>
          <w:jc w:val="center"/>
        </w:trPr>
        <w:tc>
          <w:tcPr>
            <w:tcW w:w="1413" w:type="dxa"/>
            <w:shd w:val="clear" w:color="auto" w:fill="C6EFCE"/>
            <w:tcMar>
              <w:left w:w="108" w:type="dxa"/>
              <w:right w:w="108" w:type="dxa"/>
            </w:tcMar>
            <w:vAlign w:val="center"/>
          </w:tcPr>
          <w:p w14:paraId="1E0ED246"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195</w:t>
            </w:r>
          </w:p>
        </w:tc>
        <w:tc>
          <w:tcPr>
            <w:tcW w:w="3118" w:type="dxa"/>
            <w:shd w:val="clear" w:color="auto" w:fill="C6EFCE"/>
            <w:tcMar>
              <w:left w:w="108" w:type="dxa"/>
              <w:right w:w="108" w:type="dxa"/>
            </w:tcMar>
          </w:tcPr>
          <w:p w14:paraId="1E0ED247"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bCs/>
                <w:noProof/>
              </w:rPr>
              <w:t xml:space="preserve">6.2.1.3.i. Establishment of a training centre </w:t>
            </w:r>
          </w:p>
        </w:tc>
        <w:tc>
          <w:tcPr>
            <w:tcW w:w="1418" w:type="dxa"/>
            <w:shd w:val="clear" w:color="auto" w:fill="C6EFCE"/>
            <w:tcMar>
              <w:left w:w="108" w:type="dxa"/>
              <w:right w:w="108" w:type="dxa"/>
            </w:tcMar>
          </w:tcPr>
          <w:p w14:paraId="1E0ED248"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49"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rPr>
              <w:t>Training centre refurbished and equipped</w:t>
            </w:r>
          </w:p>
        </w:tc>
      </w:tr>
      <w:tr w:rsidR="00C56BD9" w:rsidRPr="00E60E42" w14:paraId="1E0ED24F" w14:textId="77777777" w:rsidTr="00884269">
        <w:trPr>
          <w:trHeight w:val="300"/>
          <w:jc w:val="center"/>
        </w:trPr>
        <w:tc>
          <w:tcPr>
            <w:tcW w:w="1413" w:type="dxa"/>
            <w:shd w:val="clear" w:color="auto" w:fill="C6EFCE"/>
            <w:tcMar>
              <w:left w:w="108" w:type="dxa"/>
              <w:right w:w="108" w:type="dxa"/>
            </w:tcMar>
            <w:vAlign w:val="center"/>
          </w:tcPr>
          <w:p w14:paraId="1E0ED24B"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203</w:t>
            </w:r>
          </w:p>
        </w:tc>
        <w:tc>
          <w:tcPr>
            <w:tcW w:w="3118" w:type="dxa"/>
            <w:shd w:val="clear" w:color="auto" w:fill="C6EFCE"/>
            <w:tcMar>
              <w:left w:w="108" w:type="dxa"/>
              <w:right w:w="108" w:type="dxa"/>
            </w:tcMar>
          </w:tcPr>
          <w:p w14:paraId="1E0ED24C"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bCs/>
                <w:noProof/>
              </w:rPr>
              <w:t>6.3.1.2.i. Professional, open and accountable public administration</w:t>
            </w:r>
            <w:r w:rsidRPr="00E60E42">
              <w:rPr>
                <w:rFonts w:ascii="Times New Roman" w:eastAsia="Calibri" w:hAnsi="Times New Roman" w:cs="Arial"/>
                <w:b/>
                <w:noProof/>
                <w:sz w:val="20"/>
              </w:rPr>
              <w:t xml:space="preserve"> </w:t>
            </w:r>
          </w:p>
        </w:tc>
        <w:tc>
          <w:tcPr>
            <w:tcW w:w="1418" w:type="dxa"/>
            <w:shd w:val="clear" w:color="auto" w:fill="C6EFCE"/>
            <w:tcMar>
              <w:left w:w="108" w:type="dxa"/>
              <w:right w:w="108" w:type="dxa"/>
            </w:tcMar>
          </w:tcPr>
          <w:p w14:paraId="1E0ED24D"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4E"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rPr>
              <w:t xml:space="preserve">Trainings attended </w:t>
            </w:r>
          </w:p>
        </w:tc>
      </w:tr>
      <w:tr w:rsidR="00C56BD9" w:rsidRPr="00E60E42" w14:paraId="1E0ED254" w14:textId="77777777" w:rsidTr="00884269">
        <w:trPr>
          <w:trHeight w:val="300"/>
          <w:jc w:val="center"/>
        </w:trPr>
        <w:tc>
          <w:tcPr>
            <w:tcW w:w="1413" w:type="dxa"/>
            <w:shd w:val="clear" w:color="auto" w:fill="C6EFCE"/>
            <w:tcMar>
              <w:left w:w="108" w:type="dxa"/>
              <w:right w:w="108" w:type="dxa"/>
            </w:tcMar>
            <w:vAlign w:val="center"/>
          </w:tcPr>
          <w:p w14:paraId="1E0ED250"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themeColor="text1"/>
              </w:rPr>
              <w:t>204</w:t>
            </w:r>
          </w:p>
        </w:tc>
        <w:tc>
          <w:tcPr>
            <w:tcW w:w="3118" w:type="dxa"/>
            <w:shd w:val="clear" w:color="auto" w:fill="C6EFCE"/>
            <w:tcMar>
              <w:left w:w="108" w:type="dxa"/>
              <w:right w:w="108" w:type="dxa"/>
            </w:tcMar>
          </w:tcPr>
          <w:p w14:paraId="1E0ED251"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themeColor="text1"/>
              </w:rPr>
              <w:t xml:space="preserve">6.3.1.3.i. Development of the innovation ecosystem of public administration </w:t>
            </w:r>
          </w:p>
        </w:tc>
        <w:tc>
          <w:tcPr>
            <w:tcW w:w="1418" w:type="dxa"/>
            <w:shd w:val="clear" w:color="auto" w:fill="C6EFCE"/>
            <w:tcMar>
              <w:left w:w="108" w:type="dxa"/>
              <w:right w:w="108" w:type="dxa"/>
            </w:tcMar>
          </w:tcPr>
          <w:p w14:paraId="1E0ED252"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253"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rPr>
              <w:t>Innovation lab</w:t>
            </w:r>
          </w:p>
        </w:tc>
      </w:tr>
      <w:tr w:rsidR="00C56BD9" w:rsidRPr="00E60E42" w14:paraId="1E0ED259" w14:textId="77777777" w:rsidTr="00884269">
        <w:trPr>
          <w:trHeight w:val="300"/>
          <w:jc w:val="center"/>
        </w:trPr>
        <w:tc>
          <w:tcPr>
            <w:tcW w:w="1413" w:type="dxa"/>
            <w:shd w:val="clear" w:color="auto" w:fill="C6EFCE"/>
            <w:tcMar>
              <w:left w:w="108" w:type="dxa"/>
              <w:right w:w="108" w:type="dxa"/>
            </w:tcMar>
            <w:vAlign w:val="center"/>
          </w:tcPr>
          <w:p w14:paraId="1E0ED255" w14:textId="77777777" w:rsidR="004E39F6" w:rsidRPr="00E60E42" w:rsidRDefault="00A35BEA">
            <w:pPr>
              <w:spacing w:after="0"/>
              <w:jc w:val="center"/>
              <w:rPr>
                <w:rFonts w:ascii="Times New Roman" w:eastAsia="Calibri" w:hAnsi="Times New Roman" w:cs="Times New Roman"/>
                <w:noProof/>
                <w:color w:val="000000"/>
              </w:rPr>
            </w:pPr>
            <w:r w:rsidRPr="00E60E42">
              <w:rPr>
                <w:rStyle w:val="normaltextrun"/>
                <w:rFonts w:ascii="Times New Roman" w:hAnsi="Times New Roman" w:cs="Times New Roman"/>
                <w:noProof/>
                <w:color w:val="000000"/>
              </w:rPr>
              <w:t>207</w:t>
            </w:r>
            <w:r w:rsidRPr="00E60E42">
              <w:rPr>
                <w:rStyle w:val="eop"/>
                <w:rFonts w:ascii="Times New Roman" w:hAnsi="Times New Roman" w:cs="Times New Roman" w:hint="eastAsia"/>
                <w:noProof/>
                <w:color w:val="000000"/>
              </w:rPr>
              <w:t> </w:t>
            </w:r>
          </w:p>
        </w:tc>
        <w:tc>
          <w:tcPr>
            <w:tcW w:w="3118" w:type="dxa"/>
            <w:shd w:val="clear" w:color="auto" w:fill="C6EFCE"/>
            <w:tcMar>
              <w:left w:w="108" w:type="dxa"/>
              <w:right w:w="108" w:type="dxa"/>
            </w:tcMar>
          </w:tcPr>
          <w:p w14:paraId="1E0ED256" w14:textId="77777777" w:rsidR="004E39F6" w:rsidRPr="00E60E42" w:rsidRDefault="00A35BEA">
            <w:pPr>
              <w:spacing w:after="0"/>
              <w:rPr>
                <w:rFonts w:ascii="Times New Roman" w:eastAsia="Calibri" w:hAnsi="Times New Roman" w:cs="Times New Roman"/>
                <w:bCs/>
                <w:noProof/>
              </w:rPr>
            </w:pPr>
            <w:r w:rsidRPr="00E60E42">
              <w:rPr>
                <w:rStyle w:val="normaltextrun"/>
                <w:rFonts w:ascii="Times New Roman" w:hAnsi="Times New Roman" w:cs="Times New Roman"/>
                <w:noProof/>
                <w:color w:val="000000"/>
              </w:rPr>
              <w:t>6.3.1.4.i. Growth of non-governmental organisations to strengthen social security representation and monitor public interests</w:t>
            </w:r>
            <w:r w:rsidRPr="00E60E42">
              <w:rPr>
                <w:rStyle w:val="eop"/>
                <w:rFonts w:ascii="Times New Roman" w:hAnsi="Times New Roman" w:cs="Times New Roman" w:hint="eastAsia"/>
                <w:noProof/>
                <w:color w:val="000000"/>
              </w:rPr>
              <w:t> </w:t>
            </w:r>
          </w:p>
        </w:tc>
        <w:tc>
          <w:tcPr>
            <w:tcW w:w="1418" w:type="dxa"/>
            <w:shd w:val="clear" w:color="auto" w:fill="C6EFCE"/>
            <w:tcMar>
              <w:left w:w="108" w:type="dxa"/>
              <w:right w:w="108" w:type="dxa"/>
            </w:tcMar>
          </w:tcPr>
          <w:p w14:paraId="1E0ED257" w14:textId="77777777" w:rsidR="004E39F6" w:rsidRPr="00E60E42" w:rsidRDefault="00A35BEA" w:rsidP="00B13BA9">
            <w:pPr>
              <w:spacing w:after="0"/>
              <w:jc w:val="center"/>
              <w:rPr>
                <w:rFonts w:ascii="Times New Roman" w:eastAsia="Calibri" w:hAnsi="Times New Roman" w:cs="Times New Roman"/>
                <w:noProof/>
                <w:color w:val="000000"/>
              </w:rPr>
            </w:pPr>
            <w:r w:rsidRPr="00E60E42">
              <w:rPr>
                <w:rStyle w:val="normaltextrun"/>
                <w:rFonts w:ascii="Times New Roman" w:hAnsi="Times New Roman" w:cs="Times New Roman"/>
                <w:noProof/>
                <w:color w:val="000000"/>
              </w:rPr>
              <w:t>Target</w:t>
            </w:r>
          </w:p>
        </w:tc>
        <w:tc>
          <w:tcPr>
            <w:tcW w:w="3680" w:type="dxa"/>
            <w:shd w:val="clear" w:color="auto" w:fill="C6EFCE"/>
            <w:tcMar>
              <w:left w:w="108" w:type="dxa"/>
              <w:right w:w="108" w:type="dxa"/>
            </w:tcMar>
          </w:tcPr>
          <w:p w14:paraId="1E0ED258" w14:textId="77777777" w:rsidR="004E39F6" w:rsidRPr="00E60E42" w:rsidRDefault="00A35BEA" w:rsidP="00B13BA9">
            <w:pPr>
              <w:spacing w:after="0"/>
              <w:jc w:val="both"/>
              <w:rPr>
                <w:rFonts w:ascii="Times New Roman" w:eastAsia="Calibri" w:hAnsi="Times New Roman" w:cs="Times New Roman"/>
                <w:noProof/>
              </w:rPr>
            </w:pPr>
            <w:r w:rsidRPr="00E60E42">
              <w:rPr>
                <w:rStyle w:val="normaltextrun"/>
                <w:rFonts w:ascii="Times New Roman" w:hAnsi="Times New Roman" w:cs="Times New Roman"/>
                <w:noProof/>
                <w:color w:val="000000"/>
              </w:rPr>
              <w:t>Beneficiaries of the support programme</w:t>
            </w:r>
          </w:p>
        </w:tc>
      </w:tr>
      <w:tr w:rsidR="00C56BD9" w:rsidRPr="00E60E42" w14:paraId="1E0ED25E" w14:textId="77777777" w:rsidTr="00884269">
        <w:trPr>
          <w:trHeight w:val="300"/>
          <w:jc w:val="center"/>
        </w:trPr>
        <w:tc>
          <w:tcPr>
            <w:tcW w:w="1413" w:type="dxa"/>
            <w:shd w:val="clear" w:color="auto" w:fill="C6EFCE"/>
            <w:tcMar>
              <w:left w:w="108" w:type="dxa"/>
              <w:right w:w="108" w:type="dxa"/>
            </w:tcMar>
            <w:vAlign w:val="center"/>
          </w:tcPr>
          <w:p w14:paraId="1E0ED25A"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212</w:t>
            </w:r>
          </w:p>
        </w:tc>
        <w:tc>
          <w:tcPr>
            <w:tcW w:w="3118" w:type="dxa"/>
            <w:shd w:val="clear" w:color="auto" w:fill="C6EFCE"/>
            <w:tcMar>
              <w:left w:w="108" w:type="dxa"/>
              <w:right w:w="108" w:type="dxa"/>
            </w:tcMar>
          </w:tcPr>
          <w:p w14:paraId="1E0ED25B"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6.4.3.r. Development and implementation of a professionalisation strategy </w:t>
            </w:r>
          </w:p>
        </w:tc>
        <w:tc>
          <w:tcPr>
            <w:tcW w:w="1418" w:type="dxa"/>
            <w:shd w:val="clear" w:color="auto" w:fill="C6EFCE"/>
            <w:tcMar>
              <w:left w:w="108" w:type="dxa"/>
              <w:right w:w="108" w:type="dxa"/>
            </w:tcMar>
          </w:tcPr>
          <w:p w14:paraId="1E0ED25C" w14:textId="77777777" w:rsidR="004E39F6" w:rsidRPr="00E60E42" w:rsidRDefault="00A35BEA" w:rsidP="00B13BA9">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5D" w14:textId="77777777" w:rsidR="004E39F6" w:rsidRPr="00E60E42" w:rsidRDefault="00A35BEA" w:rsidP="00B13BA9">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Centralization of procurement </w:t>
            </w:r>
          </w:p>
        </w:tc>
      </w:tr>
      <w:tr w:rsidR="00C56BD9" w:rsidRPr="00E60E42" w14:paraId="1E0ED263" w14:textId="77777777" w:rsidTr="00884269">
        <w:trPr>
          <w:trHeight w:val="300"/>
          <w:jc w:val="center"/>
        </w:trPr>
        <w:tc>
          <w:tcPr>
            <w:tcW w:w="1413" w:type="dxa"/>
            <w:shd w:val="clear" w:color="auto" w:fill="C6EFCE"/>
            <w:tcMar>
              <w:left w:w="108" w:type="dxa"/>
              <w:right w:w="108" w:type="dxa"/>
            </w:tcMar>
            <w:vAlign w:val="center"/>
          </w:tcPr>
          <w:p w14:paraId="1E0ED25F"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214</w:t>
            </w:r>
          </w:p>
        </w:tc>
        <w:tc>
          <w:tcPr>
            <w:tcW w:w="3118" w:type="dxa"/>
            <w:shd w:val="clear" w:color="auto" w:fill="C6EFCE"/>
            <w:tcMar>
              <w:left w:w="108" w:type="dxa"/>
              <w:right w:w="108" w:type="dxa"/>
            </w:tcMar>
          </w:tcPr>
          <w:p w14:paraId="1E0ED260"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6.4.4.r. IUB IT and analytical capacity building</w:t>
            </w:r>
          </w:p>
        </w:tc>
        <w:tc>
          <w:tcPr>
            <w:tcW w:w="1418" w:type="dxa"/>
            <w:shd w:val="clear" w:color="auto" w:fill="C6EFCE"/>
            <w:tcMar>
              <w:left w:w="108" w:type="dxa"/>
              <w:right w:w="108" w:type="dxa"/>
            </w:tcMar>
          </w:tcPr>
          <w:p w14:paraId="1E0ED261"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62"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 xml:space="preserve">Publications management system </w:t>
            </w:r>
          </w:p>
        </w:tc>
      </w:tr>
      <w:tr w:rsidR="00C56BD9" w:rsidRPr="00E60E42" w14:paraId="1E0ED268" w14:textId="77777777" w:rsidTr="00884269">
        <w:trPr>
          <w:trHeight w:val="300"/>
          <w:jc w:val="center"/>
        </w:trPr>
        <w:tc>
          <w:tcPr>
            <w:tcW w:w="1413" w:type="dxa"/>
            <w:shd w:val="clear" w:color="auto" w:fill="C6EFCE"/>
            <w:tcMar>
              <w:left w:w="108" w:type="dxa"/>
              <w:right w:w="108" w:type="dxa"/>
            </w:tcMar>
            <w:vAlign w:val="center"/>
          </w:tcPr>
          <w:p w14:paraId="1E0ED264"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215</w:t>
            </w:r>
          </w:p>
        </w:tc>
        <w:tc>
          <w:tcPr>
            <w:tcW w:w="3118" w:type="dxa"/>
            <w:shd w:val="clear" w:color="auto" w:fill="C6EFCE"/>
            <w:tcMar>
              <w:left w:w="108" w:type="dxa"/>
              <w:right w:w="108" w:type="dxa"/>
            </w:tcMar>
          </w:tcPr>
          <w:p w14:paraId="1E0ED265"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7.1.r. Transforming the national energy sector</w:t>
            </w:r>
          </w:p>
        </w:tc>
        <w:tc>
          <w:tcPr>
            <w:tcW w:w="1418" w:type="dxa"/>
            <w:shd w:val="clear" w:color="auto" w:fill="C6EFCE"/>
            <w:tcMar>
              <w:left w:w="108" w:type="dxa"/>
              <w:right w:w="108" w:type="dxa"/>
            </w:tcMar>
          </w:tcPr>
          <w:p w14:paraId="1E0ED266"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67"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Legal acts establishing a framework for registering and operating energy communities</w:t>
            </w:r>
          </w:p>
        </w:tc>
      </w:tr>
      <w:tr w:rsidR="00C56BD9" w:rsidRPr="00E60E42" w14:paraId="1E0ED26D" w14:textId="77777777" w:rsidTr="00884269">
        <w:trPr>
          <w:trHeight w:val="300"/>
          <w:jc w:val="center"/>
        </w:trPr>
        <w:tc>
          <w:tcPr>
            <w:tcW w:w="1413" w:type="dxa"/>
            <w:shd w:val="clear" w:color="auto" w:fill="C6EFCE"/>
            <w:tcMar>
              <w:left w:w="108" w:type="dxa"/>
              <w:right w:w="108" w:type="dxa"/>
            </w:tcMar>
            <w:vAlign w:val="center"/>
          </w:tcPr>
          <w:p w14:paraId="1E0ED269"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216</w:t>
            </w:r>
          </w:p>
        </w:tc>
        <w:tc>
          <w:tcPr>
            <w:tcW w:w="3118" w:type="dxa"/>
            <w:shd w:val="clear" w:color="auto" w:fill="C6EFCE"/>
            <w:tcMar>
              <w:left w:w="108" w:type="dxa"/>
              <w:right w:w="108" w:type="dxa"/>
            </w:tcMar>
          </w:tcPr>
          <w:p w14:paraId="1E0ED26A"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7.1.r. Transforming the national energy sector</w:t>
            </w:r>
          </w:p>
        </w:tc>
        <w:tc>
          <w:tcPr>
            <w:tcW w:w="1418" w:type="dxa"/>
            <w:shd w:val="clear" w:color="auto" w:fill="C6EFCE"/>
            <w:tcMar>
              <w:left w:w="108" w:type="dxa"/>
              <w:right w:w="108" w:type="dxa"/>
            </w:tcMar>
          </w:tcPr>
          <w:p w14:paraId="1E0ED26B"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vAlign w:val="center"/>
          </w:tcPr>
          <w:p w14:paraId="1E0ED26C"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Legislation amending norms on electricity trade and consumption</w:t>
            </w:r>
          </w:p>
        </w:tc>
      </w:tr>
      <w:tr w:rsidR="00C56BD9" w:rsidRPr="00E60E42" w14:paraId="1E0ED272" w14:textId="77777777" w:rsidTr="00884269">
        <w:trPr>
          <w:trHeight w:val="300"/>
          <w:jc w:val="center"/>
        </w:trPr>
        <w:tc>
          <w:tcPr>
            <w:tcW w:w="1413" w:type="dxa"/>
            <w:shd w:val="clear" w:color="auto" w:fill="C6EFCE"/>
            <w:tcMar>
              <w:left w:w="108" w:type="dxa"/>
              <w:right w:w="108" w:type="dxa"/>
            </w:tcMar>
            <w:vAlign w:val="center"/>
          </w:tcPr>
          <w:p w14:paraId="1E0ED26E" w14:textId="77777777" w:rsidR="004E39F6" w:rsidRPr="00E60E42" w:rsidRDefault="00A35BEA">
            <w:pPr>
              <w:spacing w:after="0"/>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217</w:t>
            </w:r>
          </w:p>
        </w:tc>
        <w:tc>
          <w:tcPr>
            <w:tcW w:w="3118" w:type="dxa"/>
            <w:shd w:val="clear" w:color="auto" w:fill="C6EFCE"/>
            <w:tcMar>
              <w:left w:w="108" w:type="dxa"/>
              <w:right w:w="108" w:type="dxa"/>
            </w:tcMar>
          </w:tcPr>
          <w:p w14:paraId="1E0ED26F" w14:textId="77777777" w:rsidR="004E39F6" w:rsidRPr="00E60E42" w:rsidRDefault="00A35BEA">
            <w:pPr>
              <w:spacing w:after="0"/>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7.1.r. Transforming the national energy sector</w:t>
            </w:r>
          </w:p>
        </w:tc>
        <w:tc>
          <w:tcPr>
            <w:tcW w:w="1418" w:type="dxa"/>
            <w:shd w:val="clear" w:color="auto" w:fill="C6EFCE"/>
            <w:tcMar>
              <w:left w:w="108" w:type="dxa"/>
              <w:right w:w="108" w:type="dxa"/>
            </w:tcMar>
          </w:tcPr>
          <w:p w14:paraId="1E0ED270" w14:textId="77777777" w:rsidR="004E39F6" w:rsidRPr="00E60E42" w:rsidRDefault="00A35BEA" w:rsidP="00B13BA9">
            <w:pPr>
              <w:spacing w:after="0"/>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vAlign w:val="center"/>
          </w:tcPr>
          <w:p w14:paraId="1E0ED271" w14:textId="77777777" w:rsidR="004E39F6" w:rsidRPr="00E60E42" w:rsidRDefault="00A35BEA" w:rsidP="00B13BA9">
            <w:pPr>
              <w:spacing w:after="0"/>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Legislation on electricity network optimisation</w:t>
            </w:r>
          </w:p>
        </w:tc>
      </w:tr>
      <w:tr w:rsidR="00C56BD9" w:rsidRPr="00E60E42" w14:paraId="1E0ED277" w14:textId="77777777" w:rsidTr="00884269">
        <w:trPr>
          <w:trHeight w:val="300"/>
          <w:jc w:val="center"/>
        </w:trPr>
        <w:tc>
          <w:tcPr>
            <w:tcW w:w="1413" w:type="dxa"/>
            <w:shd w:val="clear" w:color="auto" w:fill="C6EFCE"/>
            <w:tcMar>
              <w:left w:w="108" w:type="dxa"/>
              <w:right w:w="108" w:type="dxa"/>
            </w:tcMar>
            <w:vAlign w:val="center"/>
          </w:tcPr>
          <w:p w14:paraId="1E0ED273"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 xml:space="preserve"> </w:t>
            </w:r>
          </w:p>
        </w:tc>
        <w:tc>
          <w:tcPr>
            <w:tcW w:w="3118" w:type="dxa"/>
            <w:shd w:val="clear" w:color="auto" w:fill="C6EFCE"/>
            <w:tcMar>
              <w:left w:w="108" w:type="dxa"/>
              <w:right w:w="108" w:type="dxa"/>
            </w:tcMar>
            <w:vAlign w:val="center"/>
          </w:tcPr>
          <w:p w14:paraId="1E0ED274"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 </w:t>
            </w:r>
          </w:p>
        </w:tc>
        <w:tc>
          <w:tcPr>
            <w:tcW w:w="1418" w:type="dxa"/>
            <w:shd w:val="clear" w:color="auto" w:fill="C6EFCE"/>
            <w:tcMar>
              <w:left w:w="108" w:type="dxa"/>
              <w:right w:w="108" w:type="dxa"/>
            </w:tcMar>
          </w:tcPr>
          <w:p w14:paraId="1E0ED275"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noProof/>
                <w:color w:val="000000"/>
              </w:rPr>
              <w:t>Instalment Amount</w:t>
            </w:r>
          </w:p>
        </w:tc>
        <w:tc>
          <w:tcPr>
            <w:tcW w:w="3680" w:type="dxa"/>
            <w:shd w:val="clear" w:color="auto" w:fill="C6EFCE"/>
            <w:tcMar>
              <w:left w:w="108" w:type="dxa"/>
              <w:right w:w="108" w:type="dxa"/>
            </w:tcMar>
            <w:vAlign w:val="center"/>
          </w:tcPr>
          <w:p w14:paraId="1E0ED276" w14:textId="77777777" w:rsidR="004E39F6" w:rsidRPr="00E60E42" w:rsidRDefault="00A35BEA" w:rsidP="00B13BA9">
            <w:pPr>
              <w:spacing w:after="0"/>
              <w:jc w:val="both"/>
              <w:rPr>
                <w:rFonts w:ascii="Times New Roman" w:eastAsia="Times New Roman" w:hAnsi="Times New Roman" w:cs="Times New Roman"/>
                <w:noProof/>
                <w:color w:val="000000"/>
              </w:rPr>
            </w:pPr>
            <w:r w:rsidRPr="00E60E42">
              <w:rPr>
                <w:rFonts w:ascii="Times New Roman" w:eastAsia="Calibri" w:hAnsi="Times New Roman" w:cs="Arial"/>
                <w:noProof/>
                <w:color w:val="000000" w:themeColor="text1"/>
              </w:rPr>
              <w:t>EUR 428 996 309</w:t>
            </w:r>
          </w:p>
        </w:tc>
      </w:tr>
    </w:tbl>
    <w:p w14:paraId="1E0ED278" w14:textId="77777777" w:rsidR="004E39F6" w:rsidRPr="00E60E42" w:rsidRDefault="004E39F6" w:rsidP="00C56BD9">
      <w:pPr>
        <w:spacing w:after="0" w:line="257" w:lineRule="auto"/>
        <w:ind w:left="567" w:hanging="567"/>
        <w:contextualSpacing/>
        <w:jc w:val="both"/>
        <w:rPr>
          <w:rFonts w:ascii="Times New Roman" w:eastAsia="Times New Roman" w:hAnsi="Times New Roman" w:cs="Times New Roman"/>
          <w:noProof/>
        </w:rPr>
      </w:pPr>
    </w:p>
    <w:p w14:paraId="1E0ED279" w14:textId="77777777" w:rsidR="004E39F6" w:rsidRPr="00E60E42" w:rsidRDefault="00A35BEA" w:rsidP="00C56BD9">
      <w:pPr>
        <w:numPr>
          <w:ilvl w:val="1"/>
          <w:numId w:val="37"/>
        </w:numPr>
        <w:spacing w:after="0" w:line="257" w:lineRule="auto"/>
        <w:ind w:left="567" w:hanging="567"/>
        <w:contextualSpacing/>
        <w:jc w:val="both"/>
        <w:rPr>
          <w:rFonts w:ascii="Times New Roman" w:eastAsia="Times New Roman" w:hAnsi="Times New Roman" w:cs="Times New Roman"/>
          <w:noProof/>
        </w:rPr>
      </w:pPr>
      <w:r w:rsidRPr="00E60E42">
        <w:rPr>
          <w:rFonts w:ascii="Times New Roman" w:eastAsia="Calibri" w:hAnsi="Times New Roman" w:cs="Arial"/>
          <w:noProof/>
        </w:rPr>
        <w:t>Fifth Instalment (non-repayable support):</w:t>
      </w:r>
    </w:p>
    <w:p w14:paraId="1E0ED27A" w14:textId="77777777" w:rsidR="004E39F6" w:rsidRPr="00E60E42" w:rsidRDefault="004E39F6" w:rsidP="00C56BD9">
      <w:pPr>
        <w:spacing w:after="0" w:line="257" w:lineRule="auto"/>
        <w:ind w:left="567" w:hanging="567"/>
        <w:contextualSpacing/>
        <w:jc w:val="both"/>
        <w:rPr>
          <w:rFonts w:ascii="Times New Roman" w:eastAsia="Times New Roman" w:hAnsi="Times New Roman" w:cs="Times New Roman"/>
          <w:noProof/>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0"/>
      </w:tblGrid>
      <w:tr w:rsidR="00C56BD9" w:rsidRPr="00E60E42" w14:paraId="1E0ED27F" w14:textId="77777777" w:rsidTr="00884269">
        <w:trPr>
          <w:trHeight w:val="300"/>
          <w:tblHeader/>
          <w:jc w:val="center"/>
        </w:trPr>
        <w:tc>
          <w:tcPr>
            <w:tcW w:w="1413" w:type="dxa"/>
            <w:shd w:val="clear" w:color="auto" w:fill="BDD7EE"/>
            <w:tcMar>
              <w:left w:w="108" w:type="dxa"/>
              <w:right w:w="108" w:type="dxa"/>
            </w:tcMar>
            <w:vAlign w:val="center"/>
          </w:tcPr>
          <w:p w14:paraId="1E0ED27B"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b/>
                <w:noProof/>
                <w:color w:val="000000"/>
              </w:rPr>
              <w:t>Sequential Number</w:t>
            </w:r>
          </w:p>
        </w:tc>
        <w:tc>
          <w:tcPr>
            <w:tcW w:w="3118" w:type="dxa"/>
            <w:shd w:val="clear" w:color="auto" w:fill="BDD7EE"/>
            <w:tcMar>
              <w:left w:w="108" w:type="dxa"/>
              <w:right w:w="108" w:type="dxa"/>
            </w:tcMar>
            <w:vAlign w:val="center"/>
          </w:tcPr>
          <w:p w14:paraId="1E0ED27C" w14:textId="6A3C790C"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b/>
                <w:noProof/>
                <w:color w:val="000000"/>
              </w:rPr>
              <w:t xml:space="preserve">Related Measure </w:t>
            </w:r>
            <w:r w:rsidRPr="00E60E42">
              <w:rPr>
                <w:rFonts w:ascii="Calibri" w:eastAsia="Calibri" w:hAnsi="Calibri" w:cs="Arial"/>
                <w:noProof/>
              </w:rPr>
              <w:br/>
            </w:r>
            <w:r w:rsidRPr="00E60E42">
              <w:rPr>
                <w:rFonts w:ascii="Times New Roman" w:eastAsia="Calibri" w:hAnsi="Times New Roman" w:cs="Arial"/>
                <w:b/>
                <w:noProof/>
                <w:color w:val="000000"/>
              </w:rPr>
              <w:t>(Reform or Investment)</w:t>
            </w:r>
          </w:p>
        </w:tc>
        <w:tc>
          <w:tcPr>
            <w:tcW w:w="1418" w:type="dxa"/>
            <w:shd w:val="clear" w:color="auto" w:fill="BDD7EE"/>
            <w:tcMar>
              <w:left w:w="108" w:type="dxa"/>
              <w:right w:w="108" w:type="dxa"/>
            </w:tcMar>
            <w:vAlign w:val="center"/>
          </w:tcPr>
          <w:p w14:paraId="1E0ED27D"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b/>
                <w:noProof/>
                <w:color w:val="000000"/>
              </w:rPr>
              <w:t>Milestone / Target</w:t>
            </w:r>
          </w:p>
        </w:tc>
        <w:tc>
          <w:tcPr>
            <w:tcW w:w="3680" w:type="dxa"/>
            <w:shd w:val="clear" w:color="auto" w:fill="BDD7EE"/>
            <w:tcMar>
              <w:left w:w="108" w:type="dxa"/>
              <w:right w:w="108" w:type="dxa"/>
            </w:tcMar>
            <w:vAlign w:val="center"/>
          </w:tcPr>
          <w:p w14:paraId="1E0ED27E" w14:textId="77777777" w:rsidR="004E39F6" w:rsidRPr="00E60E42" w:rsidRDefault="00A35BEA" w:rsidP="00B13BA9">
            <w:pPr>
              <w:spacing w:after="0"/>
              <w:jc w:val="center"/>
              <w:rPr>
                <w:rFonts w:ascii="Calibri" w:eastAsia="Calibri" w:hAnsi="Calibri" w:cs="Arial"/>
                <w:noProof/>
              </w:rPr>
            </w:pPr>
            <w:r w:rsidRPr="00E60E42">
              <w:rPr>
                <w:rFonts w:ascii="Times New Roman" w:eastAsia="Calibri" w:hAnsi="Times New Roman" w:cs="Arial"/>
                <w:b/>
                <w:noProof/>
                <w:color w:val="000000"/>
              </w:rPr>
              <w:t>Name</w:t>
            </w:r>
          </w:p>
        </w:tc>
      </w:tr>
      <w:tr w:rsidR="00C56BD9" w:rsidRPr="00E60E42" w14:paraId="1E0ED284" w14:textId="77777777" w:rsidTr="00884269">
        <w:trPr>
          <w:trHeight w:val="300"/>
          <w:jc w:val="center"/>
        </w:trPr>
        <w:tc>
          <w:tcPr>
            <w:tcW w:w="1413" w:type="dxa"/>
            <w:shd w:val="clear" w:color="auto" w:fill="C6EFCE"/>
            <w:tcMar>
              <w:left w:w="108" w:type="dxa"/>
              <w:right w:w="108" w:type="dxa"/>
            </w:tcMar>
            <w:vAlign w:val="center"/>
          </w:tcPr>
          <w:p w14:paraId="1E0ED280"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w:t>
            </w:r>
          </w:p>
        </w:tc>
        <w:tc>
          <w:tcPr>
            <w:tcW w:w="3118" w:type="dxa"/>
            <w:shd w:val="clear" w:color="auto" w:fill="C6EFCE"/>
            <w:tcMar>
              <w:left w:w="108" w:type="dxa"/>
              <w:right w:w="108" w:type="dxa"/>
            </w:tcMar>
          </w:tcPr>
          <w:p w14:paraId="1E0ED281"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1.1.1.r. A sustainable transport system</w:t>
            </w:r>
          </w:p>
        </w:tc>
        <w:tc>
          <w:tcPr>
            <w:tcW w:w="1418" w:type="dxa"/>
            <w:shd w:val="clear" w:color="auto" w:fill="C6EFCE"/>
            <w:tcMar>
              <w:left w:w="108" w:type="dxa"/>
              <w:right w:w="108" w:type="dxa"/>
            </w:tcMar>
          </w:tcPr>
          <w:p w14:paraId="1E0ED282"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83"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Sustainable public transport reform</w:t>
            </w:r>
          </w:p>
        </w:tc>
      </w:tr>
      <w:tr w:rsidR="00C56BD9" w:rsidRPr="00E60E42" w14:paraId="1E0ED289" w14:textId="77777777" w:rsidTr="00884269">
        <w:trPr>
          <w:trHeight w:val="300"/>
          <w:jc w:val="center"/>
        </w:trPr>
        <w:tc>
          <w:tcPr>
            <w:tcW w:w="1413" w:type="dxa"/>
            <w:shd w:val="clear" w:color="auto" w:fill="C6EFCE"/>
            <w:tcMar>
              <w:left w:w="108" w:type="dxa"/>
              <w:right w:w="108" w:type="dxa"/>
            </w:tcMar>
            <w:vAlign w:val="center"/>
          </w:tcPr>
          <w:p w14:paraId="1E0ED285"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3</w:t>
            </w:r>
          </w:p>
        </w:tc>
        <w:tc>
          <w:tcPr>
            <w:tcW w:w="3118" w:type="dxa"/>
            <w:shd w:val="clear" w:color="auto" w:fill="C6EFCE"/>
            <w:tcMar>
              <w:left w:w="108" w:type="dxa"/>
              <w:right w:w="108" w:type="dxa"/>
            </w:tcMar>
          </w:tcPr>
          <w:p w14:paraId="1E0ED286"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1.1.1.i. Improving Riga metropolitan transport infrastructure</w:t>
            </w:r>
          </w:p>
        </w:tc>
        <w:tc>
          <w:tcPr>
            <w:tcW w:w="1418" w:type="dxa"/>
            <w:shd w:val="clear" w:color="auto" w:fill="C6EFCE"/>
            <w:tcMar>
              <w:left w:w="108" w:type="dxa"/>
              <w:right w:w="108" w:type="dxa"/>
            </w:tcMar>
          </w:tcPr>
          <w:p w14:paraId="1E0ED287" w14:textId="77777777" w:rsidR="004E39F6" w:rsidRPr="00E60E42" w:rsidRDefault="00A35BEA">
            <w:pPr>
              <w:spacing w:after="0"/>
              <w:jc w:val="center"/>
              <w:rPr>
                <w:rFonts w:ascii="Times New Roman" w:eastAsia="Calibri" w:hAnsi="Times New Roman" w:cs="Arial"/>
                <w:noProof/>
                <w:color w:val="000000"/>
                <w:highlight w:val="yellow"/>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88" w14:textId="77777777" w:rsidR="004E39F6" w:rsidRPr="00E60E42" w:rsidRDefault="00A35BEA" w:rsidP="00B13BA9">
            <w:pPr>
              <w:spacing w:after="0"/>
              <w:jc w:val="both"/>
              <w:rPr>
                <w:rFonts w:ascii="Times New Roman" w:eastAsia="Calibri" w:hAnsi="Times New Roman" w:cs="Arial"/>
                <w:noProof/>
                <w:color w:val="000000"/>
                <w:highlight w:val="yellow"/>
              </w:rPr>
            </w:pPr>
            <w:r w:rsidRPr="00E60E42">
              <w:rPr>
                <w:rFonts w:ascii="Times New Roman" w:eastAsia="Calibri" w:hAnsi="Times New Roman" w:cs="Arial"/>
                <w:noProof/>
                <w:color w:val="000000"/>
              </w:rPr>
              <w:t>Transport projects</w:t>
            </w:r>
          </w:p>
        </w:tc>
      </w:tr>
      <w:tr w:rsidR="00C56BD9" w:rsidRPr="00E60E42" w14:paraId="1E0ED28E" w14:textId="77777777" w:rsidTr="00884269">
        <w:trPr>
          <w:trHeight w:val="300"/>
          <w:jc w:val="center"/>
        </w:trPr>
        <w:tc>
          <w:tcPr>
            <w:tcW w:w="1413" w:type="dxa"/>
            <w:shd w:val="clear" w:color="auto" w:fill="C6EFCE"/>
            <w:tcMar>
              <w:left w:w="108" w:type="dxa"/>
              <w:right w:w="108" w:type="dxa"/>
            </w:tcMar>
            <w:vAlign w:val="center"/>
          </w:tcPr>
          <w:p w14:paraId="1E0ED28A"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4</w:t>
            </w:r>
          </w:p>
        </w:tc>
        <w:tc>
          <w:tcPr>
            <w:tcW w:w="3118" w:type="dxa"/>
            <w:shd w:val="clear" w:color="auto" w:fill="C6EFCE"/>
            <w:tcMar>
              <w:left w:w="108" w:type="dxa"/>
              <w:right w:w="108" w:type="dxa"/>
            </w:tcMar>
          </w:tcPr>
          <w:p w14:paraId="1E0ED28B" w14:textId="77777777" w:rsidR="004E39F6" w:rsidRPr="00E60E42" w:rsidRDefault="00A35BEA">
            <w:pPr>
              <w:spacing w:after="0"/>
              <w:rPr>
                <w:rFonts w:ascii="Times New Roman" w:eastAsia="Times New Roman" w:hAnsi="Times New Roman" w:cs="Times New Roman"/>
                <w:noProof/>
                <w:color w:val="000000"/>
              </w:rPr>
            </w:pPr>
            <w:r w:rsidRPr="00E60E42">
              <w:rPr>
                <w:rFonts w:ascii="Times New Roman" w:eastAsia="Calibri" w:hAnsi="Times New Roman" w:cs="Arial"/>
                <w:noProof/>
                <w:color w:val="000000"/>
              </w:rPr>
              <w:t>1.1.1.i. Improving Riga metropolitan transport infrastructure</w:t>
            </w:r>
          </w:p>
        </w:tc>
        <w:tc>
          <w:tcPr>
            <w:tcW w:w="1418" w:type="dxa"/>
            <w:shd w:val="clear" w:color="auto" w:fill="C6EFCE"/>
            <w:tcMar>
              <w:left w:w="108" w:type="dxa"/>
              <w:right w:w="108" w:type="dxa"/>
            </w:tcMar>
          </w:tcPr>
          <w:p w14:paraId="1E0ED28C"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8D" w14:textId="77777777" w:rsidR="004E39F6" w:rsidRPr="00E60E42" w:rsidRDefault="00A35BEA" w:rsidP="00B13BA9">
            <w:pPr>
              <w:spacing w:after="0"/>
              <w:jc w:val="both"/>
              <w:rPr>
                <w:rFonts w:ascii="Times New Roman" w:eastAsia="Times New Roman" w:hAnsi="Times New Roman" w:cs="Times New Roman"/>
                <w:noProof/>
                <w:color w:val="000000"/>
              </w:rPr>
            </w:pPr>
            <w:r w:rsidRPr="00E60E42">
              <w:rPr>
                <w:rFonts w:ascii="Times New Roman" w:eastAsia="Calibri" w:hAnsi="Times New Roman" w:cs="Arial"/>
                <w:noProof/>
                <w:color w:val="000000"/>
              </w:rPr>
              <w:t>Signature of contract(s) for Riga Central Railway Station</w:t>
            </w:r>
          </w:p>
        </w:tc>
      </w:tr>
      <w:tr w:rsidR="00C56BD9" w:rsidRPr="00E60E42" w14:paraId="1E0ED293" w14:textId="77777777" w:rsidTr="00884269">
        <w:trPr>
          <w:trHeight w:val="300"/>
          <w:jc w:val="center"/>
        </w:trPr>
        <w:tc>
          <w:tcPr>
            <w:tcW w:w="1413" w:type="dxa"/>
            <w:shd w:val="clear" w:color="auto" w:fill="C6EFCE"/>
            <w:tcMar>
              <w:left w:w="108" w:type="dxa"/>
              <w:right w:w="108" w:type="dxa"/>
            </w:tcMar>
            <w:vAlign w:val="center"/>
          </w:tcPr>
          <w:p w14:paraId="1E0ED28F" w14:textId="77777777" w:rsidR="004E39F6" w:rsidRPr="00E60E42" w:rsidDel="00F14628"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4a</w:t>
            </w:r>
          </w:p>
        </w:tc>
        <w:tc>
          <w:tcPr>
            <w:tcW w:w="3118" w:type="dxa"/>
            <w:shd w:val="clear" w:color="auto" w:fill="C6EFCE"/>
            <w:tcMar>
              <w:left w:w="108" w:type="dxa"/>
              <w:right w:w="108" w:type="dxa"/>
            </w:tcMar>
          </w:tcPr>
          <w:p w14:paraId="1E0ED290" w14:textId="77777777" w:rsidR="004E39F6" w:rsidRPr="00E60E42" w:rsidDel="00F14628"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1.1.1.i. Improving Riga metropolitan transport infrastructure</w:t>
            </w:r>
          </w:p>
        </w:tc>
        <w:tc>
          <w:tcPr>
            <w:tcW w:w="1418" w:type="dxa"/>
            <w:shd w:val="clear" w:color="auto" w:fill="C6EFCE"/>
            <w:tcMar>
              <w:left w:w="108" w:type="dxa"/>
              <w:right w:w="108" w:type="dxa"/>
            </w:tcMar>
          </w:tcPr>
          <w:p w14:paraId="1E0ED291" w14:textId="77777777" w:rsidR="004E39F6" w:rsidRPr="00E60E42" w:rsidDel="00F14628"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92" w14:textId="77777777" w:rsidR="004E39F6" w:rsidRPr="00E60E42" w:rsidDel="00F14628"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Riga Central Railway Station</w:t>
            </w:r>
          </w:p>
        </w:tc>
      </w:tr>
      <w:tr w:rsidR="00C56BD9" w:rsidRPr="00E60E42" w14:paraId="1E0ED298" w14:textId="77777777" w:rsidTr="00884269">
        <w:trPr>
          <w:trHeight w:val="300"/>
          <w:jc w:val="center"/>
        </w:trPr>
        <w:tc>
          <w:tcPr>
            <w:tcW w:w="1413" w:type="dxa"/>
            <w:shd w:val="clear" w:color="auto" w:fill="C6EFCE"/>
            <w:tcMar>
              <w:left w:w="108" w:type="dxa"/>
              <w:right w:w="108" w:type="dxa"/>
            </w:tcMar>
            <w:vAlign w:val="center"/>
          </w:tcPr>
          <w:p w14:paraId="1E0ED294"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9</w:t>
            </w:r>
          </w:p>
        </w:tc>
        <w:tc>
          <w:tcPr>
            <w:tcW w:w="3118" w:type="dxa"/>
            <w:shd w:val="clear" w:color="auto" w:fill="C6EFCE"/>
            <w:tcMar>
              <w:left w:w="108" w:type="dxa"/>
              <w:right w:w="108" w:type="dxa"/>
            </w:tcMar>
          </w:tcPr>
          <w:p w14:paraId="1E0ED295"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1.2.1.1.i. Improving the energy efficiency of multi-apartment buildings </w:t>
            </w:r>
          </w:p>
        </w:tc>
        <w:tc>
          <w:tcPr>
            <w:tcW w:w="1418" w:type="dxa"/>
            <w:shd w:val="clear" w:color="auto" w:fill="C6EFCE"/>
            <w:tcMar>
              <w:left w:w="108" w:type="dxa"/>
              <w:right w:w="108" w:type="dxa"/>
            </w:tcMar>
          </w:tcPr>
          <w:p w14:paraId="1E0ED296"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97"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Reduction of primary energy consumption in multi-apartment buildings</w:t>
            </w:r>
          </w:p>
        </w:tc>
      </w:tr>
      <w:tr w:rsidR="00C56BD9" w:rsidRPr="00E60E42" w14:paraId="1E0ED2A2" w14:textId="77777777" w:rsidTr="00884269">
        <w:trPr>
          <w:trHeight w:val="300"/>
          <w:jc w:val="center"/>
        </w:trPr>
        <w:tc>
          <w:tcPr>
            <w:tcW w:w="1413" w:type="dxa"/>
            <w:shd w:val="clear" w:color="auto" w:fill="C6EFCE"/>
            <w:tcMar>
              <w:left w:w="108" w:type="dxa"/>
              <w:right w:w="108" w:type="dxa"/>
            </w:tcMar>
            <w:vAlign w:val="center"/>
          </w:tcPr>
          <w:p w14:paraId="1E0ED29E"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12</w:t>
            </w:r>
          </w:p>
        </w:tc>
        <w:tc>
          <w:tcPr>
            <w:tcW w:w="3118" w:type="dxa"/>
            <w:shd w:val="clear" w:color="auto" w:fill="C6EFCE"/>
            <w:tcMar>
              <w:left w:w="108" w:type="dxa"/>
              <w:right w:w="108" w:type="dxa"/>
            </w:tcMar>
          </w:tcPr>
          <w:p w14:paraId="1E0ED29F"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1.2.1.2.i. Increasing energy efficiency in business in the form of a combined financial instrument</w:t>
            </w:r>
          </w:p>
        </w:tc>
        <w:tc>
          <w:tcPr>
            <w:tcW w:w="1418" w:type="dxa"/>
            <w:shd w:val="clear" w:color="auto" w:fill="C6EFCE"/>
            <w:tcMar>
              <w:left w:w="108" w:type="dxa"/>
              <w:right w:w="108" w:type="dxa"/>
            </w:tcMar>
          </w:tcPr>
          <w:p w14:paraId="1E0ED2A0"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A1"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Contracts signed</w:t>
            </w:r>
          </w:p>
        </w:tc>
      </w:tr>
      <w:tr w:rsidR="00C56BD9" w:rsidRPr="00E60E42" w14:paraId="1E0ED2A7" w14:textId="77777777" w:rsidTr="00884269">
        <w:trPr>
          <w:trHeight w:val="300"/>
          <w:jc w:val="center"/>
        </w:trPr>
        <w:tc>
          <w:tcPr>
            <w:tcW w:w="1413" w:type="dxa"/>
            <w:shd w:val="clear" w:color="auto" w:fill="C6EFCE"/>
            <w:tcMar>
              <w:left w:w="108" w:type="dxa"/>
              <w:right w:w="108" w:type="dxa"/>
            </w:tcMar>
            <w:vAlign w:val="center"/>
          </w:tcPr>
          <w:p w14:paraId="1E0ED2A3"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15</w:t>
            </w:r>
          </w:p>
        </w:tc>
        <w:tc>
          <w:tcPr>
            <w:tcW w:w="3118" w:type="dxa"/>
            <w:shd w:val="clear" w:color="auto" w:fill="C6EFCE"/>
            <w:tcMar>
              <w:left w:w="108" w:type="dxa"/>
              <w:right w:w="108" w:type="dxa"/>
            </w:tcMar>
          </w:tcPr>
          <w:p w14:paraId="1E0ED2A4"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1.2.1.3.i. Improving energy efficiency of municipal buildings </w:t>
            </w:r>
          </w:p>
        </w:tc>
        <w:tc>
          <w:tcPr>
            <w:tcW w:w="1418" w:type="dxa"/>
            <w:shd w:val="clear" w:color="auto" w:fill="C6EFCE"/>
            <w:tcMar>
              <w:left w:w="108" w:type="dxa"/>
              <w:right w:w="108" w:type="dxa"/>
            </w:tcMar>
          </w:tcPr>
          <w:p w14:paraId="1E0ED2A5"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A6"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Reduction in primary energy consumption in municipal buildings</w:t>
            </w:r>
          </w:p>
        </w:tc>
      </w:tr>
      <w:tr w:rsidR="00C56BD9" w:rsidRPr="00E60E42" w14:paraId="1E0ED2AC" w14:textId="77777777" w:rsidTr="00884269">
        <w:trPr>
          <w:trHeight w:val="300"/>
          <w:jc w:val="center"/>
        </w:trPr>
        <w:tc>
          <w:tcPr>
            <w:tcW w:w="1413" w:type="dxa"/>
            <w:shd w:val="clear" w:color="auto" w:fill="C6EFCE"/>
            <w:tcMar>
              <w:left w:w="108" w:type="dxa"/>
              <w:right w:w="108" w:type="dxa"/>
            </w:tcMar>
            <w:vAlign w:val="center"/>
          </w:tcPr>
          <w:p w14:paraId="1E0ED2A8"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18</w:t>
            </w:r>
          </w:p>
        </w:tc>
        <w:tc>
          <w:tcPr>
            <w:tcW w:w="3118" w:type="dxa"/>
            <w:shd w:val="clear" w:color="auto" w:fill="C6EFCE"/>
            <w:tcMar>
              <w:left w:w="108" w:type="dxa"/>
              <w:right w:w="108" w:type="dxa"/>
            </w:tcMar>
          </w:tcPr>
          <w:p w14:paraId="1E0ED2A9"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1.2.1.4.i. Improving the energy efficiency of public sector buildings</w:t>
            </w:r>
          </w:p>
        </w:tc>
        <w:tc>
          <w:tcPr>
            <w:tcW w:w="1418" w:type="dxa"/>
            <w:shd w:val="clear" w:color="auto" w:fill="C6EFCE"/>
            <w:tcMar>
              <w:left w:w="108" w:type="dxa"/>
              <w:right w:w="108" w:type="dxa"/>
            </w:tcMar>
          </w:tcPr>
          <w:p w14:paraId="1E0ED2AA"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AB"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Reduction of primary energy consumption in public buildings</w:t>
            </w:r>
          </w:p>
        </w:tc>
      </w:tr>
      <w:tr w:rsidR="00C56BD9" w:rsidRPr="00E60E42" w14:paraId="1E0ED2B1" w14:textId="77777777" w:rsidTr="00884269">
        <w:trPr>
          <w:trHeight w:val="300"/>
          <w:jc w:val="center"/>
        </w:trPr>
        <w:tc>
          <w:tcPr>
            <w:tcW w:w="1413" w:type="dxa"/>
            <w:shd w:val="clear" w:color="auto" w:fill="C6EFCE"/>
            <w:tcMar>
              <w:left w:w="108" w:type="dxa"/>
              <w:right w:w="108" w:type="dxa"/>
            </w:tcMar>
            <w:vAlign w:val="center"/>
          </w:tcPr>
          <w:p w14:paraId="1E0ED2AD"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20</w:t>
            </w:r>
          </w:p>
        </w:tc>
        <w:tc>
          <w:tcPr>
            <w:tcW w:w="3118" w:type="dxa"/>
            <w:shd w:val="clear" w:color="auto" w:fill="C6EFCE"/>
            <w:tcMar>
              <w:left w:w="108" w:type="dxa"/>
              <w:right w:w="108" w:type="dxa"/>
            </w:tcMar>
          </w:tcPr>
          <w:p w14:paraId="1E0ED2AE"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1.2.1.5.i. Modernisation of electricity transmission and distribution networks</w:t>
            </w:r>
          </w:p>
        </w:tc>
        <w:tc>
          <w:tcPr>
            <w:tcW w:w="1418" w:type="dxa"/>
            <w:shd w:val="clear" w:color="auto" w:fill="C6EFCE"/>
            <w:tcMar>
              <w:left w:w="108" w:type="dxa"/>
              <w:right w:w="108" w:type="dxa"/>
            </w:tcMar>
          </w:tcPr>
          <w:p w14:paraId="1E0ED2AF"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B0"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Connection points for charging electric vehicles and microgeneration installations</w:t>
            </w:r>
          </w:p>
        </w:tc>
      </w:tr>
      <w:tr w:rsidR="00C56BD9" w:rsidRPr="00E60E42" w14:paraId="1E0ED2B6" w14:textId="77777777" w:rsidTr="00884269">
        <w:trPr>
          <w:trHeight w:val="300"/>
          <w:jc w:val="center"/>
        </w:trPr>
        <w:tc>
          <w:tcPr>
            <w:tcW w:w="1413" w:type="dxa"/>
            <w:shd w:val="clear" w:color="auto" w:fill="C6EFCE"/>
            <w:tcMar>
              <w:left w:w="108" w:type="dxa"/>
              <w:right w:w="108" w:type="dxa"/>
            </w:tcMar>
            <w:vAlign w:val="center"/>
          </w:tcPr>
          <w:p w14:paraId="1E0ED2B2"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23</w:t>
            </w:r>
          </w:p>
        </w:tc>
        <w:tc>
          <w:tcPr>
            <w:tcW w:w="3118" w:type="dxa"/>
            <w:shd w:val="clear" w:color="auto" w:fill="C6EFCE"/>
            <w:tcMar>
              <w:left w:w="108" w:type="dxa"/>
              <w:right w:w="108" w:type="dxa"/>
            </w:tcMar>
          </w:tcPr>
          <w:p w14:paraId="1E0ED2B3"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1.3.1.1.i. Increasing the capacity of the rescue services</w:t>
            </w:r>
          </w:p>
        </w:tc>
        <w:tc>
          <w:tcPr>
            <w:tcW w:w="1418" w:type="dxa"/>
            <w:shd w:val="clear" w:color="auto" w:fill="C6EFCE"/>
            <w:tcMar>
              <w:left w:w="108" w:type="dxa"/>
              <w:right w:w="108" w:type="dxa"/>
            </w:tcMar>
          </w:tcPr>
          <w:p w14:paraId="1E0ED2B4"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B5"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Disaster management centres</w:t>
            </w:r>
          </w:p>
        </w:tc>
      </w:tr>
      <w:tr w:rsidR="00C56BD9" w:rsidRPr="00E60E42" w14:paraId="1E0ED2BB" w14:textId="77777777" w:rsidTr="00884269">
        <w:trPr>
          <w:trHeight w:val="300"/>
          <w:jc w:val="center"/>
        </w:trPr>
        <w:tc>
          <w:tcPr>
            <w:tcW w:w="1413" w:type="dxa"/>
            <w:shd w:val="clear" w:color="auto" w:fill="C6EFCE"/>
            <w:tcMar>
              <w:left w:w="108" w:type="dxa"/>
              <w:right w:w="108" w:type="dxa"/>
            </w:tcMar>
            <w:vAlign w:val="center"/>
          </w:tcPr>
          <w:p w14:paraId="1E0ED2B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26</w:t>
            </w:r>
          </w:p>
        </w:tc>
        <w:tc>
          <w:tcPr>
            <w:tcW w:w="3118" w:type="dxa"/>
            <w:shd w:val="clear" w:color="auto" w:fill="C6EFCE"/>
            <w:tcMar>
              <w:left w:w="108" w:type="dxa"/>
              <w:right w:w="108" w:type="dxa"/>
            </w:tcMar>
          </w:tcPr>
          <w:p w14:paraId="1E0ED2B8"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1.3.1.2.i. Investments in flood risk reduction infrastructure</w:t>
            </w:r>
          </w:p>
        </w:tc>
        <w:tc>
          <w:tcPr>
            <w:tcW w:w="1418" w:type="dxa"/>
            <w:shd w:val="clear" w:color="auto" w:fill="C6EFCE"/>
            <w:tcMar>
              <w:left w:w="108" w:type="dxa"/>
              <w:right w:w="108" w:type="dxa"/>
            </w:tcMar>
          </w:tcPr>
          <w:p w14:paraId="1E0ED2B9"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BA"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Projects protecting against flood risk</w:t>
            </w:r>
          </w:p>
        </w:tc>
      </w:tr>
      <w:tr w:rsidR="00C56BD9" w:rsidRPr="00E60E42" w14:paraId="1E0ED2C0" w14:textId="77777777" w:rsidTr="00884269">
        <w:trPr>
          <w:trHeight w:val="300"/>
          <w:jc w:val="center"/>
        </w:trPr>
        <w:tc>
          <w:tcPr>
            <w:tcW w:w="1413" w:type="dxa"/>
            <w:shd w:val="clear" w:color="auto" w:fill="C6EFCE"/>
            <w:tcMar>
              <w:left w:w="108" w:type="dxa"/>
              <w:right w:w="108" w:type="dxa"/>
            </w:tcMar>
            <w:vAlign w:val="center"/>
          </w:tcPr>
          <w:p w14:paraId="1E0ED2BC"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30</w:t>
            </w:r>
          </w:p>
        </w:tc>
        <w:tc>
          <w:tcPr>
            <w:tcW w:w="3118" w:type="dxa"/>
            <w:shd w:val="clear" w:color="auto" w:fill="C6EFCE"/>
            <w:tcMar>
              <w:left w:w="108" w:type="dxa"/>
              <w:right w:w="108" w:type="dxa"/>
            </w:tcMar>
          </w:tcPr>
          <w:p w14:paraId="1E0ED2BD"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2.1.1.1.i. Administration modernisation and digital transformation of services</w:t>
            </w:r>
          </w:p>
        </w:tc>
        <w:tc>
          <w:tcPr>
            <w:tcW w:w="1418" w:type="dxa"/>
            <w:shd w:val="clear" w:color="auto" w:fill="C6EFCE"/>
            <w:tcMar>
              <w:left w:w="108" w:type="dxa"/>
              <w:right w:w="108" w:type="dxa"/>
            </w:tcMar>
          </w:tcPr>
          <w:p w14:paraId="1E0ED2BE"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BF"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ICT solutions or systems</w:t>
            </w:r>
          </w:p>
        </w:tc>
      </w:tr>
      <w:tr w:rsidR="00C56BD9" w:rsidRPr="00E60E42" w14:paraId="1E0ED2C5" w14:textId="77777777" w:rsidTr="00884269">
        <w:trPr>
          <w:trHeight w:val="300"/>
          <w:jc w:val="center"/>
        </w:trPr>
        <w:tc>
          <w:tcPr>
            <w:tcW w:w="1413" w:type="dxa"/>
            <w:shd w:val="clear" w:color="auto" w:fill="C6EFCE"/>
            <w:tcMar>
              <w:left w:w="108" w:type="dxa"/>
              <w:right w:w="108" w:type="dxa"/>
            </w:tcMar>
            <w:vAlign w:val="center"/>
          </w:tcPr>
          <w:p w14:paraId="1E0ED2C1"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34</w:t>
            </w:r>
          </w:p>
        </w:tc>
        <w:tc>
          <w:tcPr>
            <w:tcW w:w="3118" w:type="dxa"/>
            <w:shd w:val="clear" w:color="auto" w:fill="C6EFCE"/>
            <w:tcMar>
              <w:left w:w="108" w:type="dxa"/>
              <w:right w:w="108" w:type="dxa"/>
            </w:tcMar>
          </w:tcPr>
          <w:p w14:paraId="1E0ED2C2" w14:textId="77777777" w:rsidR="004E39F6" w:rsidRPr="00E60E42" w:rsidRDefault="00A35BEA">
            <w:pPr>
              <w:spacing w:after="0"/>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 xml:space="preserve">2.1.2.1.i. Centralised platforms, solutions or systems </w:t>
            </w:r>
          </w:p>
        </w:tc>
        <w:tc>
          <w:tcPr>
            <w:tcW w:w="1418" w:type="dxa"/>
            <w:shd w:val="clear" w:color="auto" w:fill="C6EFCE"/>
            <w:tcMar>
              <w:left w:w="108" w:type="dxa"/>
              <w:right w:w="108" w:type="dxa"/>
            </w:tcMar>
          </w:tcPr>
          <w:p w14:paraId="1E0ED2C3"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C4"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Centralised ICT platforms, solutions or systems</w:t>
            </w:r>
          </w:p>
        </w:tc>
      </w:tr>
      <w:tr w:rsidR="00C56BD9" w:rsidRPr="00E60E42" w14:paraId="1E0ED2CA" w14:textId="77777777" w:rsidTr="00884269">
        <w:trPr>
          <w:trHeight w:val="300"/>
          <w:jc w:val="center"/>
        </w:trPr>
        <w:tc>
          <w:tcPr>
            <w:tcW w:w="1413" w:type="dxa"/>
            <w:shd w:val="clear" w:color="auto" w:fill="C6EFCE"/>
            <w:tcMar>
              <w:left w:w="108" w:type="dxa"/>
              <w:right w:w="108" w:type="dxa"/>
            </w:tcMar>
            <w:vAlign w:val="center"/>
          </w:tcPr>
          <w:p w14:paraId="1E0ED2C6"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39</w:t>
            </w:r>
          </w:p>
        </w:tc>
        <w:tc>
          <w:tcPr>
            <w:tcW w:w="3118" w:type="dxa"/>
            <w:shd w:val="clear" w:color="auto" w:fill="C6EFCE"/>
            <w:tcMar>
              <w:left w:w="108" w:type="dxa"/>
              <w:right w:w="108" w:type="dxa"/>
            </w:tcMar>
          </w:tcPr>
          <w:p w14:paraId="1E0ED2C7"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2.1.3.1.i. Data availability, sharing and analysis</w:t>
            </w:r>
          </w:p>
        </w:tc>
        <w:tc>
          <w:tcPr>
            <w:tcW w:w="1418" w:type="dxa"/>
            <w:shd w:val="clear" w:color="auto" w:fill="C6EFCE"/>
            <w:tcMar>
              <w:left w:w="108" w:type="dxa"/>
              <w:right w:w="108" w:type="dxa"/>
            </w:tcMar>
          </w:tcPr>
          <w:p w14:paraId="1E0ED2C8"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C9"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Availability of datasets on platforms</w:t>
            </w:r>
          </w:p>
        </w:tc>
      </w:tr>
      <w:tr w:rsidR="00C56BD9" w:rsidRPr="00E60E42" w14:paraId="1E0ED2CF" w14:textId="77777777" w:rsidTr="00884269">
        <w:trPr>
          <w:trHeight w:val="300"/>
          <w:jc w:val="center"/>
        </w:trPr>
        <w:tc>
          <w:tcPr>
            <w:tcW w:w="1413" w:type="dxa"/>
            <w:shd w:val="clear" w:color="auto" w:fill="C6EFCE"/>
            <w:tcMar>
              <w:left w:w="108" w:type="dxa"/>
              <w:right w:w="108" w:type="dxa"/>
            </w:tcMar>
            <w:vAlign w:val="center"/>
          </w:tcPr>
          <w:p w14:paraId="1E0ED2CB"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44a</w:t>
            </w:r>
          </w:p>
        </w:tc>
        <w:tc>
          <w:tcPr>
            <w:tcW w:w="3118" w:type="dxa"/>
            <w:shd w:val="clear" w:color="auto" w:fill="C6EFCE"/>
            <w:tcMar>
              <w:left w:w="108" w:type="dxa"/>
              <w:right w:w="108" w:type="dxa"/>
            </w:tcMar>
          </w:tcPr>
          <w:p w14:paraId="1E0ED2CC"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2.2.1.1.i. Support for the establishment of Digital Innovation Hubs and regional contact points</w:t>
            </w:r>
          </w:p>
        </w:tc>
        <w:tc>
          <w:tcPr>
            <w:tcW w:w="1418" w:type="dxa"/>
            <w:shd w:val="clear" w:color="auto" w:fill="C6EFCE"/>
            <w:tcMar>
              <w:left w:w="108" w:type="dxa"/>
              <w:right w:w="108" w:type="dxa"/>
            </w:tcMar>
          </w:tcPr>
          <w:p w14:paraId="1E0ED2CD"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2CE"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Support for the digital transformation of entities by the European Digital Innovation Hubs (EDIH)</w:t>
            </w:r>
          </w:p>
        </w:tc>
      </w:tr>
      <w:tr w:rsidR="00C56BD9" w:rsidRPr="00E60E42" w14:paraId="1E0ED2D4" w14:textId="77777777" w:rsidTr="00884269">
        <w:trPr>
          <w:trHeight w:val="300"/>
          <w:jc w:val="center"/>
        </w:trPr>
        <w:tc>
          <w:tcPr>
            <w:tcW w:w="1413" w:type="dxa"/>
            <w:shd w:val="clear" w:color="auto" w:fill="C6EFCE"/>
            <w:tcMar>
              <w:left w:w="108" w:type="dxa"/>
              <w:right w:w="108" w:type="dxa"/>
            </w:tcMar>
            <w:vAlign w:val="center"/>
          </w:tcPr>
          <w:p w14:paraId="1E0ED2D0"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53</w:t>
            </w:r>
          </w:p>
        </w:tc>
        <w:tc>
          <w:tcPr>
            <w:tcW w:w="3118" w:type="dxa"/>
            <w:shd w:val="clear" w:color="auto" w:fill="C6EFCE"/>
            <w:tcMar>
              <w:left w:w="108" w:type="dxa"/>
              <w:right w:w="108" w:type="dxa"/>
            </w:tcMar>
          </w:tcPr>
          <w:p w14:paraId="1E0ED2D1"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2.2.1.5.i. Fostering the digital transformation of media companies</w:t>
            </w:r>
          </w:p>
        </w:tc>
        <w:tc>
          <w:tcPr>
            <w:tcW w:w="1418" w:type="dxa"/>
            <w:shd w:val="clear" w:color="auto" w:fill="C6EFCE"/>
            <w:tcMar>
              <w:left w:w="108" w:type="dxa"/>
              <w:right w:w="108" w:type="dxa"/>
            </w:tcMar>
          </w:tcPr>
          <w:p w14:paraId="1E0ED2D2"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D3"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Platforms or IT solutions</w:t>
            </w:r>
          </w:p>
        </w:tc>
      </w:tr>
      <w:tr w:rsidR="00C56BD9" w:rsidRPr="00E60E42" w14:paraId="1E0ED2D9" w14:textId="77777777" w:rsidTr="00884269">
        <w:trPr>
          <w:trHeight w:val="300"/>
          <w:jc w:val="center"/>
        </w:trPr>
        <w:tc>
          <w:tcPr>
            <w:tcW w:w="1413" w:type="dxa"/>
            <w:shd w:val="clear" w:color="auto" w:fill="C6EFCE"/>
            <w:tcMar>
              <w:left w:w="108" w:type="dxa"/>
              <w:right w:w="108" w:type="dxa"/>
            </w:tcMar>
            <w:vAlign w:val="center"/>
          </w:tcPr>
          <w:p w14:paraId="1E0ED2D5"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61</w:t>
            </w:r>
          </w:p>
        </w:tc>
        <w:tc>
          <w:tcPr>
            <w:tcW w:w="3118" w:type="dxa"/>
            <w:shd w:val="clear" w:color="auto" w:fill="C6EFCE"/>
            <w:tcMar>
              <w:left w:w="108" w:type="dxa"/>
              <w:right w:w="108" w:type="dxa"/>
            </w:tcMar>
          </w:tcPr>
          <w:p w14:paraId="1E0ED2D6"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2.3.1.r. Development of a sustainable and socially responsible support framework for adult learning </w:t>
            </w:r>
          </w:p>
        </w:tc>
        <w:tc>
          <w:tcPr>
            <w:tcW w:w="1418" w:type="dxa"/>
            <w:shd w:val="clear" w:color="auto" w:fill="C6EFCE"/>
            <w:tcMar>
              <w:left w:w="108" w:type="dxa"/>
              <w:right w:w="108" w:type="dxa"/>
            </w:tcMar>
          </w:tcPr>
          <w:p w14:paraId="1E0ED2D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2D8" w14:textId="77777777" w:rsidR="004E39F6" w:rsidRPr="00E60E42" w:rsidRDefault="00A35BEA" w:rsidP="00B13BA9">
            <w:pPr>
              <w:spacing w:after="0"/>
              <w:jc w:val="both"/>
              <w:rPr>
                <w:rFonts w:ascii="Times New Roman" w:eastAsia="Calibri" w:hAnsi="Times New Roman" w:cs="Arial"/>
                <w:noProof/>
                <w:sz w:val="20"/>
                <w:szCs w:val="20"/>
              </w:rPr>
            </w:pPr>
            <w:r w:rsidRPr="00E60E42">
              <w:rPr>
                <w:rFonts w:ascii="Times New Roman" w:eastAsia="Calibri" w:hAnsi="Times New Roman" w:cs="Arial"/>
                <w:noProof/>
                <w:color w:val="000000" w:themeColor="text1"/>
              </w:rPr>
              <w:t>Individual learning account approach</w:t>
            </w:r>
          </w:p>
        </w:tc>
      </w:tr>
      <w:tr w:rsidR="00C56BD9" w:rsidRPr="00E60E42" w14:paraId="1E0ED2DE" w14:textId="77777777" w:rsidTr="00884269">
        <w:trPr>
          <w:trHeight w:val="300"/>
          <w:jc w:val="center"/>
        </w:trPr>
        <w:tc>
          <w:tcPr>
            <w:tcW w:w="1413" w:type="dxa"/>
            <w:shd w:val="clear" w:color="auto" w:fill="C6EFCE"/>
            <w:tcMar>
              <w:left w:w="108" w:type="dxa"/>
              <w:right w:w="108" w:type="dxa"/>
            </w:tcMar>
            <w:vAlign w:val="center"/>
          </w:tcPr>
          <w:p w14:paraId="1E0ED2DA"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62</w:t>
            </w:r>
          </w:p>
        </w:tc>
        <w:tc>
          <w:tcPr>
            <w:tcW w:w="3118" w:type="dxa"/>
            <w:shd w:val="clear" w:color="auto" w:fill="C6EFCE"/>
            <w:tcMar>
              <w:left w:w="108" w:type="dxa"/>
              <w:right w:w="108" w:type="dxa"/>
            </w:tcMar>
          </w:tcPr>
          <w:p w14:paraId="1E0ED2DB"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2.3.1.1.i. Delivering digital skills</w:t>
            </w:r>
          </w:p>
        </w:tc>
        <w:tc>
          <w:tcPr>
            <w:tcW w:w="1418" w:type="dxa"/>
            <w:shd w:val="clear" w:color="auto" w:fill="C6EFCE"/>
            <w:tcMar>
              <w:left w:w="108" w:type="dxa"/>
              <w:right w:w="108" w:type="dxa"/>
            </w:tcMar>
          </w:tcPr>
          <w:p w14:paraId="1E0ED2DC"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DD" w14:textId="77777777" w:rsidR="004E39F6" w:rsidRPr="00E60E42" w:rsidRDefault="00A35BEA" w:rsidP="00B13BA9">
            <w:pPr>
              <w:spacing w:after="0"/>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 xml:space="preserve">Modules </w:t>
            </w:r>
            <w:r w:rsidRPr="00E60E42">
              <w:rPr>
                <w:rFonts w:ascii="Times New Roman" w:eastAsia="Calibri" w:hAnsi="Times New Roman" w:cs="Times New Roman"/>
                <w:noProof/>
                <w:color w:val="000000" w:themeColor="text1"/>
              </w:rPr>
              <w:t>designed for higher education study programmes</w:t>
            </w:r>
          </w:p>
        </w:tc>
      </w:tr>
      <w:tr w:rsidR="00C56BD9" w:rsidRPr="00E60E42" w14:paraId="1E0ED2E3" w14:textId="77777777" w:rsidTr="00884269">
        <w:trPr>
          <w:trHeight w:val="300"/>
          <w:jc w:val="center"/>
        </w:trPr>
        <w:tc>
          <w:tcPr>
            <w:tcW w:w="1413" w:type="dxa"/>
            <w:shd w:val="clear" w:color="auto" w:fill="C6EFCE"/>
            <w:tcMar>
              <w:left w:w="108" w:type="dxa"/>
              <w:right w:w="108" w:type="dxa"/>
            </w:tcMar>
            <w:vAlign w:val="center"/>
          </w:tcPr>
          <w:p w14:paraId="1E0ED2DF"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64</w:t>
            </w:r>
          </w:p>
        </w:tc>
        <w:tc>
          <w:tcPr>
            <w:tcW w:w="3118" w:type="dxa"/>
            <w:shd w:val="clear" w:color="auto" w:fill="C6EFCE"/>
            <w:tcMar>
              <w:left w:w="108" w:type="dxa"/>
              <w:right w:w="108" w:type="dxa"/>
            </w:tcMar>
          </w:tcPr>
          <w:p w14:paraId="1E0ED2E0"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2.3.1.2.i. Development of digital skills </w:t>
            </w:r>
          </w:p>
        </w:tc>
        <w:tc>
          <w:tcPr>
            <w:tcW w:w="1418" w:type="dxa"/>
            <w:shd w:val="clear" w:color="auto" w:fill="C6EFCE"/>
            <w:tcMar>
              <w:left w:w="108" w:type="dxa"/>
              <w:right w:w="108" w:type="dxa"/>
            </w:tcMar>
          </w:tcPr>
          <w:p w14:paraId="1E0ED2E1"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E2" w14:textId="77777777" w:rsidR="004E39F6" w:rsidRPr="00E60E42" w:rsidRDefault="00A35BEA" w:rsidP="00B13BA9">
            <w:pPr>
              <w:spacing w:after="0"/>
              <w:jc w:val="both"/>
              <w:rPr>
                <w:rFonts w:ascii="Times New Roman" w:eastAsia="Calibri" w:hAnsi="Times New Roman" w:cs="Arial"/>
                <w:noProof/>
              </w:rPr>
            </w:pPr>
            <w:r w:rsidRPr="00E60E42">
              <w:rPr>
                <w:rFonts w:ascii="Times New Roman" w:eastAsia="Calibri" w:hAnsi="Times New Roman" w:cs="Arial"/>
                <w:noProof/>
              </w:rPr>
              <w:t>Digital skills trainings</w:t>
            </w:r>
          </w:p>
        </w:tc>
      </w:tr>
      <w:tr w:rsidR="00C56BD9" w:rsidRPr="00E60E42" w14:paraId="1E0ED2E8" w14:textId="77777777" w:rsidTr="00884269">
        <w:trPr>
          <w:trHeight w:val="300"/>
          <w:jc w:val="center"/>
        </w:trPr>
        <w:tc>
          <w:tcPr>
            <w:tcW w:w="1413" w:type="dxa"/>
            <w:shd w:val="clear" w:color="auto" w:fill="C6EFCE"/>
            <w:tcMar>
              <w:left w:w="108" w:type="dxa"/>
              <w:right w:w="108" w:type="dxa"/>
            </w:tcMar>
            <w:vAlign w:val="center"/>
          </w:tcPr>
          <w:p w14:paraId="1E0ED2E4" w14:textId="77777777" w:rsidR="004E39F6" w:rsidRPr="00E60E42" w:rsidRDefault="00A35BEA">
            <w:pPr>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68a</w:t>
            </w:r>
          </w:p>
        </w:tc>
        <w:tc>
          <w:tcPr>
            <w:tcW w:w="3118" w:type="dxa"/>
            <w:shd w:val="clear" w:color="auto" w:fill="C6EFCE"/>
            <w:tcMar>
              <w:left w:w="108" w:type="dxa"/>
              <w:right w:w="108" w:type="dxa"/>
            </w:tcMar>
          </w:tcPr>
          <w:p w14:paraId="1E0ED2E5" w14:textId="77777777" w:rsidR="004E39F6" w:rsidRPr="00E60E42" w:rsidRDefault="00A35BEA">
            <w:pP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2.3.1.5.i. Digital skills through the individual learning account platform</w:t>
            </w:r>
          </w:p>
        </w:tc>
        <w:tc>
          <w:tcPr>
            <w:tcW w:w="1418" w:type="dxa"/>
            <w:shd w:val="clear" w:color="auto" w:fill="C6EFCE"/>
            <w:tcMar>
              <w:left w:w="108" w:type="dxa"/>
              <w:right w:w="108" w:type="dxa"/>
            </w:tcMar>
          </w:tcPr>
          <w:p w14:paraId="1E0ED2E6" w14:textId="77777777" w:rsidR="004E39F6" w:rsidRPr="00E60E42" w:rsidRDefault="00A35BEA">
            <w:pPr>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Target</w:t>
            </w:r>
          </w:p>
        </w:tc>
        <w:tc>
          <w:tcPr>
            <w:tcW w:w="3680" w:type="dxa"/>
            <w:shd w:val="clear" w:color="auto" w:fill="C6EFCE"/>
            <w:tcMar>
              <w:left w:w="108" w:type="dxa"/>
              <w:right w:w="108" w:type="dxa"/>
            </w:tcMar>
          </w:tcPr>
          <w:p w14:paraId="1E0ED2E7" w14:textId="77777777" w:rsidR="004E39F6" w:rsidRPr="00E60E42" w:rsidRDefault="00A35BEA" w:rsidP="00B13BA9">
            <w:pPr>
              <w:jc w:val="both"/>
              <w:rPr>
                <w:rFonts w:ascii="Times New Roman" w:eastAsia="Calibri" w:hAnsi="Times New Roman" w:cs="Arial"/>
                <w:noProof/>
              </w:rPr>
            </w:pPr>
            <w:r w:rsidRPr="00E60E42">
              <w:rPr>
                <w:rFonts w:ascii="Times New Roman" w:eastAsia="Calibri" w:hAnsi="Times New Roman" w:cs="Arial"/>
                <w:noProof/>
              </w:rPr>
              <w:t>Digital skills trainings</w:t>
            </w:r>
          </w:p>
        </w:tc>
      </w:tr>
      <w:tr w:rsidR="00C56BD9" w:rsidRPr="00E60E42" w14:paraId="1E0ED2ED" w14:textId="77777777" w:rsidTr="00884269">
        <w:trPr>
          <w:trHeight w:val="300"/>
          <w:jc w:val="center"/>
        </w:trPr>
        <w:tc>
          <w:tcPr>
            <w:tcW w:w="1413" w:type="dxa"/>
            <w:shd w:val="clear" w:color="auto" w:fill="C6EFCE"/>
            <w:tcMar>
              <w:left w:w="108" w:type="dxa"/>
              <w:right w:w="108" w:type="dxa"/>
            </w:tcMar>
            <w:vAlign w:val="center"/>
          </w:tcPr>
          <w:p w14:paraId="1E0ED2E9"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themeColor="text1"/>
              </w:rPr>
              <w:t>73</w:t>
            </w:r>
          </w:p>
        </w:tc>
        <w:tc>
          <w:tcPr>
            <w:tcW w:w="3118" w:type="dxa"/>
            <w:shd w:val="clear" w:color="auto" w:fill="C6EFCE"/>
            <w:tcMar>
              <w:left w:w="108" w:type="dxa"/>
              <w:right w:w="108" w:type="dxa"/>
            </w:tcMar>
          </w:tcPr>
          <w:p w14:paraId="1E0ED2EA"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2.3.2.1.i. Digital skills for people, including youth</w:t>
            </w:r>
          </w:p>
        </w:tc>
        <w:tc>
          <w:tcPr>
            <w:tcW w:w="1418" w:type="dxa"/>
            <w:shd w:val="clear" w:color="auto" w:fill="C6EFCE"/>
            <w:tcMar>
              <w:left w:w="108" w:type="dxa"/>
              <w:right w:w="108" w:type="dxa"/>
            </w:tcMar>
          </w:tcPr>
          <w:p w14:paraId="1E0ED2EB"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2EC" w14:textId="77777777" w:rsidR="004E39F6" w:rsidRPr="00E60E42" w:rsidRDefault="00A35BEA" w:rsidP="00B13BA9">
            <w:pPr>
              <w:spacing w:after="0"/>
              <w:jc w:val="both"/>
              <w:rPr>
                <w:rFonts w:ascii="Times New Roman" w:eastAsia="Calibri" w:hAnsi="Times New Roman" w:cs="Arial"/>
                <w:noProof/>
                <w:sz w:val="20"/>
                <w:szCs w:val="20"/>
              </w:rPr>
            </w:pPr>
            <w:r w:rsidRPr="00E60E42">
              <w:rPr>
                <w:rFonts w:ascii="Times New Roman" w:eastAsia="Calibri" w:hAnsi="Times New Roman" w:cs="Arial"/>
                <w:noProof/>
                <w:color w:val="000000" w:themeColor="text1"/>
              </w:rPr>
              <w:t>Digital youth work system in municipalities</w:t>
            </w:r>
          </w:p>
        </w:tc>
      </w:tr>
      <w:tr w:rsidR="00C56BD9" w:rsidRPr="00E60E42" w14:paraId="1E0ED2F2" w14:textId="77777777" w:rsidTr="00884269">
        <w:trPr>
          <w:trHeight w:val="300"/>
          <w:jc w:val="center"/>
        </w:trPr>
        <w:tc>
          <w:tcPr>
            <w:tcW w:w="1413" w:type="dxa"/>
            <w:shd w:val="clear" w:color="auto" w:fill="C6EFCE"/>
            <w:tcMar>
              <w:left w:w="108" w:type="dxa"/>
              <w:right w:w="108" w:type="dxa"/>
            </w:tcMar>
            <w:vAlign w:val="center"/>
          </w:tcPr>
          <w:p w14:paraId="1E0ED2EE"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76</w:t>
            </w:r>
          </w:p>
        </w:tc>
        <w:tc>
          <w:tcPr>
            <w:tcW w:w="3118" w:type="dxa"/>
            <w:shd w:val="clear" w:color="auto" w:fill="C6EFCE"/>
            <w:tcMar>
              <w:left w:w="108" w:type="dxa"/>
              <w:right w:w="108" w:type="dxa"/>
            </w:tcMar>
          </w:tcPr>
          <w:p w14:paraId="1E0ED2EF"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2.3.2.2.i. Development of state and local government digital transformation skills and capabilities</w:t>
            </w:r>
          </w:p>
        </w:tc>
        <w:tc>
          <w:tcPr>
            <w:tcW w:w="1418" w:type="dxa"/>
            <w:shd w:val="clear" w:color="auto" w:fill="C6EFCE"/>
            <w:tcMar>
              <w:left w:w="108" w:type="dxa"/>
              <w:right w:w="108" w:type="dxa"/>
            </w:tcMar>
          </w:tcPr>
          <w:p w14:paraId="1E0ED2F0"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F1" w14:textId="77777777" w:rsidR="004E39F6" w:rsidRPr="00E60E42" w:rsidRDefault="00A35BEA" w:rsidP="00B13BA9">
            <w:pPr>
              <w:spacing w:after="0"/>
              <w:jc w:val="both"/>
              <w:rPr>
                <w:rFonts w:ascii="Times New Roman" w:eastAsia="Calibri" w:hAnsi="Times New Roman" w:cs="Arial"/>
                <w:noProof/>
                <w:sz w:val="20"/>
                <w:szCs w:val="20"/>
              </w:rPr>
            </w:pPr>
            <w:r w:rsidRPr="00E60E42">
              <w:rPr>
                <w:rFonts w:ascii="Times New Roman" w:eastAsia="Calibri" w:hAnsi="Times New Roman" w:cs="Arial"/>
                <w:noProof/>
                <w:color w:val="000000" w:themeColor="text1"/>
              </w:rPr>
              <w:t>Trainings attended</w:t>
            </w:r>
          </w:p>
        </w:tc>
      </w:tr>
      <w:tr w:rsidR="00C56BD9" w:rsidRPr="00E60E42" w14:paraId="1E0ED2F7" w14:textId="77777777" w:rsidTr="00884269">
        <w:trPr>
          <w:trHeight w:val="300"/>
          <w:jc w:val="center"/>
        </w:trPr>
        <w:tc>
          <w:tcPr>
            <w:tcW w:w="1413" w:type="dxa"/>
            <w:shd w:val="clear" w:color="auto" w:fill="C6EFCE"/>
            <w:tcMar>
              <w:left w:w="108" w:type="dxa"/>
              <w:right w:w="108" w:type="dxa"/>
            </w:tcMar>
            <w:vAlign w:val="center"/>
          </w:tcPr>
          <w:p w14:paraId="1E0ED2F3"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83</w:t>
            </w:r>
          </w:p>
        </w:tc>
        <w:tc>
          <w:tcPr>
            <w:tcW w:w="3118" w:type="dxa"/>
            <w:shd w:val="clear" w:color="auto" w:fill="C6EFCE"/>
            <w:tcMar>
              <w:left w:w="108" w:type="dxa"/>
              <w:right w:w="108" w:type="dxa"/>
            </w:tcMar>
          </w:tcPr>
          <w:p w14:paraId="1E0ED2F4"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2.4.1.2.i. Broadband or very high capacity network “last mile” infrastructure development</w:t>
            </w:r>
          </w:p>
        </w:tc>
        <w:tc>
          <w:tcPr>
            <w:tcW w:w="1418" w:type="dxa"/>
            <w:shd w:val="clear" w:color="auto" w:fill="C6EFCE"/>
            <w:tcMar>
              <w:left w:w="108" w:type="dxa"/>
              <w:right w:w="108" w:type="dxa"/>
            </w:tcMar>
          </w:tcPr>
          <w:p w14:paraId="1E0ED2F5"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2F6" w14:textId="77777777" w:rsidR="004E39F6" w:rsidRPr="00E60E42" w:rsidRDefault="00A35BEA" w:rsidP="00B13BA9">
            <w:pPr>
              <w:spacing w:after="0"/>
              <w:jc w:val="both"/>
              <w:rPr>
                <w:rFonts w:ascii="Times New Roman" w:eastAsia="Calibri" w:hAnsi="Times New Roman" w:cs="Arial"/>
                <w:noProof/>
                <w:sz w:val="20"/>
                <w:szCs w:val="20"/>
              </w:rPr>
            </w:pPr>
            <w:r w:rsidRPr="00E60E42">
              <w:rPr>
                <w:rFonts w:ascii="Times New Roman" w:eastAsia="Calibri" w:hAnsi="Times New Roman" w:cs="Arial"/>
                <w:noProof/>
                <w:color w:val="000000" w:themeColor="text1"/>
              </w:rPr>
              <w:t>Access to very high capacity broadband network</w:t>
            </w:r>
          </w:p>
        </w:tc>
      </w:tr>
      <w:tr w:rsidR="00C56BD9" w:rsidRPr="00E60E42" w14:paraId="1E0ED2FC" w14:textId="77777777" w:rsidTr="00884269">
        <w:trPr>
          <w:trHeight w:val="1164"/>
          <w:jc w:val="center"/>
        </w:trPr>
        <w:tc>
          <w:tcPr>
            <w:tcW w:w="1413" w:type="dxa"/>
            <w:shd w:val="clear" w:color="auto" w:fill="C6EFCE"/>
            <w:tcMar>
              <w:left w:w="108" w:type="dxa"/>
              <w:right w:w="108" w:type="dxa"/>
            </w:tcMar>
            <w:vAlign w:val="center"/>
          </w:tcPr>
          <w:p w14:paraId="1E0ED2F8"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themeColor="text1"/>
              </w:rPr>
              <w:t>96</w:t>
            </w:r>
          </w:p>
        </w:tc>
        <w:tc>
          <w:tcPr>
            <w:tcW w:w="3118" w:type="dxa"/>
            <w:shd w:val="clear" w:color="auto" w:fill="C6EFCE"/>
            <w:tcMar>
              <w:left w:w="108" w:type="dxa"/>
              <w:right w:w="108" w:type="dxa"/>
            </w:tcMar>
          </w:tcPr>
          <w:p w14:paraId="1E0ED2F9"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3.1.1.3.i. Investments in public infrastructure to develop industrial parks in the regions </w:t>
            </w:r>
          </w:p>
        </w:tc>
        <w:tc>
          <w:tcPr>
            <w:tcW w:w="1418" w:type="dxa"/>
            <w:shd w:val="clear" w:color="auto" w:fill="C6EFCE"/>
            <w:tcMar>
              <w:left w:w="108" w:type="dxa"/>
              <w:right w:w="108" w:type="dxa"/>
            </w:tcMar>
          </w:tcPr>
          <w:p w14:paraId="1E0ED2FA" w14:textId="77777777" w:rsidR="004E39F6" w:rsidRPr="00E60E42" w:rsidRDefault="00A35BEA">
            <w:pPr>
              <w:spacing w:after="0"/>
              <w:jc w:val="center"/>
              <w:rPr>
                <w:rFonts w:ascii="Times New Roman" w:eastAsia="Calibri" w:hAnsi="Times New Roman" w:cs="Times New Roman"/>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2FB" w14:textId="77777777" w:rsidR="004E39F6" w:rsidRPr="00E60E42" w:rsidRDefault="00A35BEA" w:rsidP="00B13BA9">
            <w:pPr>
              <w:spacing w:after="0"/>
              <w:jc w:val="both"/>
              <w:rPr>
                <w:rFonts w:ascii="Times New Roman" w:eastAsia="Calibri" w:hAnsi="Times New Roman" w:cs="Arial"/>
                <w:noProof/>
                <w:color w:val="000000" w:themeColor="text1"/>
              </w:rPr>
            </w:pPr>
            <w:r w:rsidRPr="00E60E42">
              <w:rPr>
                <w:rFonts w:ascii="Times New Roman" w:eastAsiaTheme="minorEastAsia" w:hAnsi="Times New Roman" w:cs="Times New Roman"/>
                <w:noProof/>
                <w:color w:val="000000" w:themeColor="text1"/>
              </w:rPr>
              <w:t>Industrial parks and territories in the regions</w:t>
            </w:r>
          </w:p>
        </w:tc>
      </w:tr>
      <w:tr w:rsidR="00C56BD9" w:rsidRPr="00E60E42" w14:paraId="1E0ED301" w14:textId="77777777" w:rsidTr="00884269">
        <w:trPr>
          <w:trHeight w:val="300"/>
          <w:jc w:val="center"/>
        </w:trPr>
        <w:tc>
          <w:tcPr>
            <w:tcW w:w="1413" w:type="dxa"/>
            <w:shd w:val="clear" w:color="auto" w:fill="C6EFCE"/>
            <w:tcMar>
              <w:left w:w="108" w:type="dxa"/>
              <w:right w:w="108" w:type="dxa"/>
            </w:tcMar>
            <w:vAlign w:val="center"/>
          </w:tcPr>
          <w:p w14:paraId="1E0ED2FD"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themeColor="text1"/>
              </w:rPr>
              <w:t>103</w:t>
            </w:r>
          </w:p>
        </w:tc>
        <w:tc>
          <w:tcPr>
            <w:tcW w:w="3118" w:type="dxa"/>
            <w:shd w:val="clear" w:color="auto" w:fill="C6EFCE"/>
            <w:tcMar>
              <w:left w:w="108" w:type="dxa"/>
              <w:right w:w="108" w:type="dxa"/>
            </w:tcMar>
          </w:tcPr>
          <w:p w14:paraId="1E0ED2FE"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3.1.1.4.i. Establishing a financing fund for the construction of low-rent housing</w:t>
            </w:r>
          </w:p>
        </w:tc>
        <w:tc>
          <w:tcPr>
            <w:tcW w:w="1418" w:type="dxa"/>
            <w:shd w:val="clear" w:color="auto" w:fill="C6EFCE"/>
            <w:tcMar>
              <w:left w:w="108" w:type="dxa"/>
              <w:right w:w="108" w:type="dxa"/>
            </w:tcMar>
          </w:tcPr>
          <w:p w14:paraId="1E0ED2FF"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00" w14:textId="77777777" w:rsidR="004E39F6" w:rsidRPr="00E60E42" w:rsidRDefault="00A35BEA" w:rsidP="00B13BA9">
            <w:pPr>
              <w:spacing w:after="0"/>
              <w:jc w:val="both"/>
              <w:rPr>
                <w:rFonts w:ascii="Times New Roman" w:eastAsia="Calibri" w:hAnsi="Times New Roman" w:cs="Arial"/>
                <w:noProof/>
                <w:sz w:val="20"/>
                <w:szCs w:val="20"/>
              </w:rPr>
            </w:pPr>
            <w:r w:rsidRPr="00E60E42">
              <w:rPr>
                <w:rFonts w:ascii="Times New Roman" w:eastAsia="Calibri" w:hAnsi="Times New Roman" w:cs="Arial"/>
                <w:noProof/>
                <w:color w:val="000000" w:themeColor="text1"/>
              </w:rPr>
              <w:t>Number of apartments ready for operation</w:t>
            </w:r>
          </w:p>
        </w:tc>
      </w:tr>
      <w:tr w:rsidR="00C56BD9" w:rsidRPr="00E60E42" w14:paraId="1E0ED306" w14:textId="77777777" w:rsidTr="00884269">
        <w:trPr>
          <w:trHeight w:val="300"/>
          <w:jc w:val="center"/>
        </w:trPr>
        <w:tc>
          <w:tcPr>
            <w:tcW w:w="1413" w:type="dxa"/>
            <w:shd w:val="clear" w:color="auto" w:fill="C6EFCE"/>
            <w:tcMar>
              <w:left w:w="108" w:type="dxa"/>
              <w:right w:w="108" w:type="dxa"/>
            </w:tcMar>
            <w:vAlign w:val="center"/>
          </w:tcPr>
          <w:p w14:paraId="1E0ED302"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106</w:t>
            </w:r>
          </w:p>
        </w:tc>
        <w:tc>
          <w:tcPr>
            <w:tcW w:w="3118" w:type="dxa"/>
            <w:shd w:val="clear" w:color="auto" w:fill="C6EFCE"/>
            <w:tcMar>
              <w:left w:w="108" w:type="dxa"/>
              <w:right w:w="108" w:type="dxa"/>
            </w:tcMar>
          </w:tcPr>
          <w:p w14:paraId="1E0ED303"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3.1.1.5.i. Development of infrastructure and equipment of educational institutions </w:t>
            </w:r>
          </w:p>
        </w:tc>
        <w:tc>
          <w:tcPr>
            <w:tcW w:w="1418" w:type="dxa"/>
            <w:shd w:val="clear" w:color="auto" w:fill="C6EFCE"/>
            <w:tcMar>
              <w:left w:w="108" w:type="dxa"/>
              <w:right w:w="108" w:type="dxa"/>
            </w:tcMar>
          </w:tcPr>
          <w:p w14:paraId="1E0ED304"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05" w14:textId="77777777" w:rsidR="004E39F6" w:rsidRPr="00E60E42" w:rsidRDefault="00A35BEA" w:rsidP="00B13BA9">
            <w:pPr>
              <w:spacing w:after="0"/>
              <w:jc w:val="both"/>
              <w:rPr>
                <w:rFonts w:ascii="Times New Roman" w:eastAsia="Calibri" w:hAnsi="Times New Roman" w:cs="Arial"/>
                <w:noProof/>
                <w:sz w:val="20"/>
                <w:szCs w:val="20"/>
              </w:rPr>
            </w:pPr>
            <w:r w:rsidRPr="00E60E42">
              <w:rPr>
                <w:rFonts w:ascii="Times New Roman" w:eastAsia="Calibri" w:hAnsi="Times New Roman" w:cs="Arial"/>
                <w:noProof/>
                <w:color w:val="000000"/>
              </w:rPr>
              <w:t>Upgrade of schools’ infrastructure</w:t>
            </w:r>
          </w:p>
        </w:tc>
      </w:tr>
      <w:tr w:rsidR="00C56BD9" w:rsidRPr="00E60E42" w14:paraId="1E0ED30B" w14:textId="77777777" w:rsidTr="00884269">
        <w:trPr>
          <w:trHeight w:val="300"/>
          <w:jc w:val="center"/>
        </w:trPr>
        <w:tc>
          <w:tcPr>
            <w:tcW w:w="1413" w:type="dxa"/>
            <w:shd w:val="clear" w:color="auto" w:fill="C6EFCE"/>
            <w:tcMar>
              <w:left w:w="108" w:type="dxa"/>
              <w:right w:w="108" w:type="dxa"/>
            </w:tcMar>
            <w:vAlign w:val="center"/>
          </w:tcPr>
          <w:p w14:paraId="1E0ED307"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109</w:t>
            </w:r>
          </w:p>
        </w:tc>
        <w:tc>
          <w:tcPr>
            <w:tcW w:w="3118" w:type="dxa"/>
            <w:shd w:val="clear" w:color="auto" w:fill="C6EFCE"/>
            <w:tcMar>
              <w:left w:w="108" w:type="dxa"/>
              <w:right w:w="108" w:type="dxa"/>
            </w:tcMar>
          </w:tcPr>
          <w:p w14:paraId="1E0ED308"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 xml:space="preserve">3.1.1.6.i. Purchase of electric school buses </w:t>
            </w:r>
          </w:p>
        </w:tc>
        <w:tc>
          <w:tcPr>
            <w:tcW w:w="1418" w:type="dxa"/>
            <w:shd w:val="clear" w:color="auto" w:fill="C6EFCE"/>
            <w:tcMar>
              <w:left w:w="108" w:type="dxa"/>
              <w:right w:w="108" w:type="dxa"/>
            </w:tcMar>
          </w:tcPr>
          <w:p w14:paraId="1E0ED309"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0A"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Electric school buses</w:t>
            </w:r>
          </w:p>
        </w:tc>
      </w:tr>
      <w:tr w:rsidR="00C56BD9" w:rsidRPr="00E60E42" w14:paraId="1E0ED310" w14:textId="77777777" w:rsidTr="00884269">
        <w:trPr>
          <w:trHeight w:val="300"/>
          <w:jc w:val="center"/>
        </w:trPr>
        <w:tc>
          <w:tcPr>
            <w:tcW w:w="1413" w:type="dxa"/>
            <w:shd w:val="clear" w:color="auto" w:fill="C6EFCE"/>
            <w:tcMar>
              <w:left w:w="108" w:type="dxa"/>
              <w:right w:w="108" w:type="dxa"/>
            </w:tcMar>
            <w:vAlign w:val="center"/>
          </w:tcPr>
          <w:p w14:paraId="1E0ED30C" w14:textId="77777777" w:rsidR="004E39F6" w:rsidRPr="00E60E42" w:rsidRDefault="00A35BEA">
            <w:pPr>
              <w:spacing w:after="0"/>
              <w:jc w:val="center"/>
              <w:rPr>
                <w:rFonts w:ascii="Times New Roman" w:eastAsia="Calibri" w:hAnsi="Times New Roman" w:cs="Times New Roman"/>
                <w:noProof/>
                <w:color w:val="000000"/>
              </w:rPr>
            </w:pPr>
            <w:r w:rsidRPr="00E60E42">
              <w:rPr>
                <w:rStyle w:val="normaltextrun"/>
                <w:rFonts w:ascii="Times New Roman" w:hAnsi="Times New Roman" w:cs="Times New Roman"/>
                <w:noProof/>
                <w:color w:val="000000"/>
              </w:rPr>
              <w:t>109a</w:t>
            </w:r>
            <w:r w:rsidRPr="00E60E42">
              <w:rPr>
                <w:rStyle w:val="eop"/>
                <w:rFonts w:ascii="Times New Roman" w:hAnsi="Times New Roman" w:cs="Times New Roman"/>
                <w:noProof/>
                <w:color w:val="000000"/>
              </w:rPr>
              <w:t> </w:t>
            </w:r>
          </w:p>
        </w:tc>
        <w:tc>
          <w:tcPr>
            <w:tcW w:w="3118" w:type="dxa"/>
            <w:shd w:val="clear" w:color="auto" w:fill="C6EFCE"/>
            <w:tcMar>
              <w:left w:w="108" w:type="dxa"/>
              <w:right w:w="108" w:type="dxa"/>
            </w:tcMar>
          </w:tcPr>
          <w:p w14:paraId="1E0ED30D" w14:textId="77777777" w:rsidR="004E39F6" w:rsidRPr="00E60E42" w:rsidRDefault="00A35BEA">
            <w:pPr>
              <w:spacing w:after="0"/>
              <w:rPr>
                <w:rFonts w:ascii="Times New Roman" w:eastAsia="Calibri" w:hAnsi="Times New Roman" w:cs="Times New Roman"/>
                <w:noProof/>
                <w:color w:val="000000"/>
              </w:rPr>
            </w:pPr>
            <w:r w:rsidRPr="00E60E42">
              <w:rPr>
                <w:rStyle w:val="normaltextrun"/>
                <w:rFonts w:ascii="Times New Roman" w:hAnsi="Times New Roman" w:cs="Times New Roman"/>
                <w:noProof/>
                <w:color w:val="000000"/>
              </w:rPr>
              <w:t>3.1.1.7.i. Loans to real estate developers for the construction of low-rent dwellings</w:t>
            </w:r>
            <w:r w:rsidRPr="00E60E42">
              <w:rPr>
                <w:rStyle w:val="eop"/>
                <w:rFonts w:ascii="Times New Roman" w:hAnsi="Times New Roman" w:cs="Times New Roman"/>
                <w:noProof/>
                <w:color w:val="000000"/>
              </w:rPr>
              <w:t> </w:t>
            </w:r>
          </w:p>
        </w:tc>
        <w:tc>
          <w:tcPr>
            <w:tcW w:w="1418" w:type="dxa"/>
            <w:shd w:val="clear" w:color="auto" w:fill="C6EFCE"/>
            <w:tcMar>
              <w:left w:w="108" w:type="dxa"/>
              <w:right w:w="108" w:type="dxa"/>
            </w:tcMar>
          </w:tcPr>
          <w:p w14:paraId="1E0ED30E" w14:textId="77777777" w:rsidR="004E39F6" w:rsidRPr="00E60E42" w:rsidRDefault="00A35BEA">
            <w:pPr>
              <w:spacing w:after="0"/>
              <w:jc w:val="center"/>
              <w:rPr>
                <w:rFonts w:ascii="Times New Roman" w:eastAsia="Calibri" w:hAnsi="Times New Roman" w:cs="Times New Roman"/>
                <w:noProof/>
                <w:color w:val="000000"/>
              </w:rPr>
            </w:pPr>
            <w:r w:rsidRPr="00E60E42">
              <w:rPr>
                <w:rStyle w:val="normaltextrun"/>
                <w:rFonts w:ascii="Times New Roman" w:hAnsi="Times New Roman" w:cs="Times New Roman"/>
                <w:noProof/>
                <w:color w:val="000000"/>
              </w:rPr>
              <w:t>Milestone</w:t>
            </w:r>
          </w:p>
        </w:tc>
        <w:tc>
          <w:tcPr>
            <w:tcW w:w="3680" w:type="dxa"/>
            <w:shd w:val="clear" w:color="auto" w:fill="C6EFCE"/>
            <w:tcMar>
              <w:left w:w="108" w:type="dxa"/>
              <w:right w:w="108" w:type="dxa"/>
            </w:tcMar>
          </w:tcPr>
          <w:p w14:paraId="1E0ED30F" w14:textId="77777777" w:rsidR="004E39F6" w:rsidRPr="00E60E42" w:rsidDel="4679D9D3" w:rsidRDefault="00A35BEA" w:rsidP="00B13BA9">
            <w:pPr>
              <w:spacing w:after="0"/>
              <w:jc w:val="both"/>
              <w:rPr>
                <w:rFonts w:ascii="Times New Roman" w:eastAsia="Calibri" w:hAnsi="Times New Roman" w:cs="Times New Roman"/>
                <w:noProof/>
                <w:color w:val="000000" w:themeColor="text1"/>
              </w:rPr>
            </w:pPr>
            <w:r w:rsidRPr="00E60E42">
              <w:rPr>
                <w:rStyle w:val="normaltextrun"/>
                <w:rFonts w:ascii="Times New Roman" w:hAnsi="Times New Roman" w:cs="Times New Roman"/>
                <w:noProof/>
                <w:color w:val="000000"/>
              </w:rPr>
              <w:t>Implementing Agreement and completion of the investment</w:t>
            </w:r>
          </w:p>
        </w:tc>
      </w:tr>
      <w:tr w:rsidR="00C56BD9" w:rsidRPr="00E60E42" w14:paraId="1E0ED315" w14:textId="77777777" w:rsidTr="00884269">
        <w:trPr>
          <w:trHeight w:val="300"/>
          <w:jc w:val="center"/>
        </w:trPr>
        <w:tc>
          <w:tcPr>
            <w:tcW w:w="1413" w:type="dxa"/>
            <w:shd w:val="clear" w:color="auto" w:fill="C6EFCE"/>
            <w:tcMar>
              <w:left w:w="108" w:type="dxa"/>
              <w:right w:w="108" w:type="dxa"/>
            </w:tcMar>
            <w:vAlign w:val="center"/>
          </w:tcPr>
          <w:p w14:paraId="1E0ED311"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109b</w:t>
            </w:r>
          </w:p>
        </w:tc>
        <w:tc>
          <w:tcPr>
            <w:tcW w:w="3118" w:type="dxa"/>
            <w:shd w:val="clear" w:color="auto" w:fill="C6EFCE"/>
            <w:tcMar>
              <w:left w:w="108" w:type="dxa"/>
              <w:right w:w="108" w:type="dxa"/>
            </w:tcMar>
          </w:tcPr>
          <w:p w14:paraId="1E0ED312"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3.1.1.7.i. Loans to real estate developers for the construction of low-rent dwellings</w:t>
            </w:r>
          </w:p>
        </w:tc>
        <w:tc>
          <w:tcPr>
            <w:tcW w:w="1418" w:type="dxa"/>
            <w:shd w:val="clear" w:color="auto" w:fill="C6EFCE"/>
            <w:tcMar>
              <w:left w:w="108" w:type="dxa"/>
              <w:right w:w="108" w:type="dxa"/>
            </w:tcMar>
          </w:tcPr>
          <w:p w14:paraId="1E0ED313"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14"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Legal agreements signed with final beneficiaries</w:t>
            </w:r>
          </w:p>
        </w:tc>
      </w:tr>
      <w:tr w:rsidR="00C56BD9" w:rsidRPr="00E60E42" w14:paraId="1E0ED31A" w14:textId="77777777" w:rsidTr="00884269">
        <w:trPr>
          <w:trHeight w:val="300"/>
          <w:jc w:val="center"/>
        </w:trPr>
        <w:tc>
          <w:tcPr>
            <w:tcW w:w="1413" w:type="dxa"/>
            <w:shd w:val="clear" w:color="auto" w:fill="C6EFCE"/>
            <w:tcMar>
              <w:left w:w="108" w:type="dxa"/>
              <w:right w:w="108" w:type="dxa"/>
            </w:tcMar>
            <w:vAlign w:val="center"/>
          </w:tcPr>
          <w:p w14:paraId="1E0ED316"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114</w:t>
            </w:r>
          </w:p>
        </w:tc>
        <w:tc>
          <w:tcPr>
            <w:tcW w:w="3118" w:type="dxa"/>
            <w:shd w:val="clear" w:color="auto" w:fill="C6EFCE"/>
            <w:tcMar>
              <w:left w:w="108" w:type="dxa"/>
              <w:right w:w="108" w:type="dxa"/>
            </w:tcMar>
          </w:tcPr>
          <w:p w14:paraId="1E0ED317"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3.1.2.1.i. Measures to promote access to public services and employment for people with functional impairments</w:t>
            </w:r>
          </w:p>
        </w:tc>
        <w:tc>
          <w:tcPr>
            <w:tcW w:w="1418" w:type="dxa"/>
            <w:shd w:val="clear" w:color="auto" w:fill="C6EFCE"/>
            <w:tcMar>
              <w:left w:w="108" w:type="dxa"/>
              <w:right w:w="108" w:type="dxa"/>
            </w:tcMar>
          </w:tcPr>
          <w:p w14:paraId="1E0ED318"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19"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Adaptation of state and local government buildings</w:t>
            </w:r>
          </w:p>
        </w:tc>
      </w:tr>
      <w:tr w:rsidR="00C56BD9" w:rsidRPr="00E60E42" w14:paraId="1E0ED31F" w14:textId="77777777" w:rsidTr="00884269">
        <w:trPr>
          <w:trHeight w:val="300"/>
          <w:jc w:val="center"/>
        </w:trPr>
        <w:tc>
          <w:tcPr>
            <w:tcW w:w="1413" w:type="dxa"/>
            <w:shd w:val="clear" w:color="auto" w:fill="C6EFCE"/>
            <w:tcMar>
              <w:left w:w="108" w:type="dxa"/>
              <w:right w:w="108" w:type="dxa"/>
            </w:tcMar>
            <w:vAlign w:val="center"/>
          </w:tcPr>
          <w:p w14:paraId="1E0ED31B"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117</w:t>
            </w:r>
          </w:p>
        </w:tc>
        <w:tc>
          <w:tcPr>
            <w:tcW w:w="3118" w:type="dxa"/>
            <w:shd w:val="clear" w:color="auto" w:fill="C6EFCE"/>
            <w:tcMar>
              <w:left w:w="108" w:type="dxa"/>
              <w:right w:w="108" w:type="dxa"/>
            </w:tcMar>
          </w:tcPr>
          <w:p w14:paraId="1E0ED31C"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3.1.2.1.i. Measures to promote access to public services and employment for with functional impairments</w:t>
            </w:r>
          </w:p>
        </w:tc>
        <w:tc>
          <w:tcPr>
            <w:tcW w:w="1418" w:type="dxa"/>
            <w:shd w:val="clear" w:color="auto" w:fill="C6EFCE"/>
            <w:tcMar>
              <w:left w:w="108" w:type="dxa"/>
              <w:right w:w="108" w:type="dxa"/>
            </w:tcMar>
          </w:tcPr>
          <w:p w14:paraId="1E0ED31D"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1E"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Adaptation of dwelling</w:t>
            </w:r>
          </w:p>
        </w:tc>
      </w:tr>
      <w:tr w:rsidR="00C56BD9" w:rsidRPr="00E60E42" w14:paraId="1E0ED324" w14:textId="77777777" w:rsidTr="00884269">
        <w:trPr>
          <w:trHeight w:val="300"/>
          <w:jc w:val="center"/>
        </w:trPr>
        <w:tc>
          <w:tcPr>
            <w:tcW w:w="1413" w:type="dxa"/>
            <w:shd w:val="clear" w:color="auto" w:fill="C6EFCE"/>
            <w:tcMar>
              <w:left w:w="108" w:type="dxa"/>
              <w:right w:w="108" w:type="dxa"/>
            </w:tcMar>
            <w:vAlign w:val="center"/>
          </w:tcPr>
          <w:p w14:paraId="1E0ED320"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120</w:t>
            </w:r>
          </w:p>
        </w:tc>
        <w:tc>
          <w:tcPr>
            <w:tcW w:w="3118" w:type="dxa"/>
            <w:shd w:val="clear" w:color="auto" w:fill="C6EFCE"/>
            <w:tcMar>
              <w:left w:w="108" w:type="dxa"/>
              <w:right w:w="108" w:type="dxa"/>
            </w:tcMar>
          </w:tcPr>
          <w:p w14:paraId="1E0ED321"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3.1.2.2.i. Development of a forecast tool </w:t>
            </w:r>
          </w:p>
        </w:tc>
        <w:tc>
          <w:tcPr>
            <w:tcW w:w="1418" w:type="dxa"/>
            <w:shd w:val="clear" w:color="auto" w:fill="C6EFCE"/>
            <w:tcMar>
              <w:left w:w="108" w:type="dxa"/>
              <w:right w:w="108" w:type="dxa"/>
            </w:tcMar>
          </w:tcPr>
          <w:p w14:paraId="1E0ED322"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23"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Development of a forecasting tool</w:t>
            </w:r>
          </w:p>
        </w:tc>
      </w:tr>
      <w:tr w:rsidR="00C56BD9" w:rsidRPr="00E60E42" w14:paraId="1E0ED329" w14:textId="77777777" w:rsidTr="00884269">
        <w:trPr>
          <w:trHeight w:val="300"/>
          <w:jc w:val="center"/>
        </w:trPr>
        <w:tc>
          <w:tcPr>
            <w:tcW w:w="1413" w:type="dxa"/>
            <w:shd w:val="clear" w:color="auto" w:fill="C6EFCE"/>
            <w:tcMar>
              <w:left w:w="108" w:type="dxa"/>
              <w:right w:w="108" w:type="dxa"/>
            </w:tcMar>
            <w:vAlign w:val="center"/>
          </w:tcPr>
          <w:p w14:paraId="1E0ED325"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123</w:t>
            </w:r>
          </w:p>
        </w:tc>
        <w:tc>
          <w:tcPr>
            <w:tcW w:w="3118" w:type="dxa"/>
            <w:shd w:val="clear" w:color="auto" w:fill="C6EFCE"/>
            <w:tcMar>
              <w:left w:w="108" w:type="dxa"/>
              <w:right w:w="108" w:type="dxa"/>
            </w:tcMar>
          </w:tcPr>
          <w:p w14:paraId="1E0ED326"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3.1.2.3.i. Resilience and continuity of the long-term social care service </w:t>
            </w:r>
          </w:p>
        </w:tc>
        <w:tc>
          <w:tcPr>
            <w:tcW w:w="1418" w:type="dxa"/>
            <w:shd w:val="clear" w:color="auto" w:fill="C6EFCE"/>
            <w:tcMar>
              <w:left w:w="108" w:type="dxa"/>
              <w:right w:w="108" w:type="dxa"/>
            </w:tcMar>
          </w:tcPr>
          <w:p w14:paraId="1E0ED32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28" w14:textId="77777777" w:rsidR="004E39F6" w:rsidRPr="00E60E42" w:rsidRDefault="00A35BEA" w:rsidP="00B13BA9">
            <w:pPr>
              <w:spacing w:after="0"/>
              <w:jc w:val="both"/>
              <w:rPr>
                <w:rFonts w:ascii="Times New Roman" w:eastAsia="Calibri" w:hAnsi="Times New Roman" w:cs="Arial"/>
                <w:noProof/>
                <w:color w:val="000000"/>
              </w:rPr>
            </w:pPr>
            <w:r w:rsidRPr="00E60E42" w:rsidDel="00C42479">
              <w:rPr>
                <w:rFonts w:ascii="Times New Roman" w:eastAsia="Calibri" w:hAnsi="Times New Roman" w:cs="Arial"/>
                <w:noProof/>
                <w:color w:val="000000" w:themeColor="text1"/>
              </w:rPr>
              <w:t xml:space="preserve">Provision of </w:t>
            </w:r>
            <w:r w:rsidRPr="00E60E42">
              <w:rPr>
                <w:rFonts w:ascii="Times New Roman" w:eastAsia="Calibri" w:hAnsi="Times New Roman" w:cs="Arial"/>
                <w:noProof/>
                <w:color w:val="000000" w:themeColor="text1"/>
              </w:rPr>
              <w:t>places for long-term care services</w:t>
            </w:r>
          </w:p>
        </w:tc>
      </w:tr>
      <w:tr w:rsidR="00C56BD9" w:rsidRPr="00E60E42" w14:paraId="1E0ED32E" w14:textId="77777777" w:rsidTr="00884269">
        <w:trPr>
          <w:trHeight w:val="300"/>
          <w:jc w:val="center"/>
        </w:trPr>
        <w:tc>
          <w:tcPr>
            <w:tcW w:w="1413" w:type="dxa"/>
            <w:shd w:val="clear" w:color="auto" w:fill="C6EFCE"/>
            <w:tcMar>
              <w:left w:w="108" w:type="dxa"/>
              <w:right w:w="108" w:type="dxa"/>
            </w:tcMar>
            <w:vAlign w:val="center"/>
          </w:tcPr>
          <w:p w14:paraId="1E0ED32A" w14:textId="77777777" w:rsidR="004E39F6" w:rsidRPr="00E60E42" w:rsidRDefault="00A35BEA">
            <w:pPr>
              <w:spacing w:after="0"/>
              <w:jc w:val="center"/>
              <w:rPr>
                <w:rFonts w:ascii="Times New Roman" w:eastAsia="Times New Roman" w:hAnsi="Times New Roman" w:cs="Times New Roman"/>
                <w:noProof/>
                <w:color w:val="000000"/>
              </w:rPr>
            </w:pPr>
            <w:r w:rsidRPr="00E60E42">
              <w:rPr>
                <w:rFonts w:ascii="Times New Roman" w:eastAsia="Calibri" w:hAnsi="Times New Roman" w:cs="Arial"/>
                <w:noProof/>
                <w:color w:val="000000"/>
              </w:rPr>
              <w:t>125</w:t>
            </w:r>
          </w:p>
        </w:tc>
        <w:tc>
          <w:tcPr>
            <w:tcW w:w="3118" w:type="dxa"/>
            <w:shd w:val="clear" w:color="auto" w:fill="C6EFCE"/>
            <w:tcMar>
              <w:left w:w="108" w:type="dxa"/>
              <w:right w:w="108" w:type="dxa"/>
            </w:tcMar>
          </w:tcPr>
          <w:p w14:paraId="1E0ED32B"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 xml:space="preserve">3.1.2.4.i. Synergistic development of social and vocational rehabilitation services for the promotion of the resilience of people with functional impairments </w:t>
            </w:r>
          </w:p>
        </w:tc>
        <w:tc>
          <w:tcPr>
            <w:tcW w:w="1418" w:type="dxa"/>
            <w:shd w:val="clear" w:color="auto" w:fill="C6EFCE"/>
            <w:tcMar>
              <w:left w:w="108" w:type="dxa"/>
              <w:right w:w="108" w:type="dxa"/>
            </w:tcMar>
          </w:tcPr>
          <w:p w14:paraId="1E0ED32C"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2D"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Adaptation of buildings</w:t>
            </w:r>
          </w:p>
        </w:tc>
      </w:tr>
      <w:tr w:rsidR="00C56BD9" w:rsidRPr="00E60E42" w14:paraId="1E0ED333" w14:textId="77777777" w:rsidTr="00884269">
        <w:trPr>
          <w:trHeight w:val="300"/>
          <w:jc w:val="center"/>
        </w:trPr>
        <w:tc>
          <w:tcPr>
            <w:tcW w:w="1413" w:type="dxa"/>
            <w:shd w:val="clear" w:color="auto" w:fill="C6EFCE"/>
            <w:tcMar>
              <w:left w:w="108" w:type="dxa"/>
              <w:right w:w="108" w:type="dxa"/>
            </w:tcMar>
            <w:vAlign w:val="center"/>
          </w:tcPr>
          <w:p w14:paraId="1E0ED32F" w14:textId="77777777" w:rsidR="004E39F6" w:rsidRPr="00E60E42" w:rsidRDefault="00A35BEA">
            <w:pPr>
              <w:spacing w:after="0"/>
              <w:jc w:val="center"/>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130a</w:t>
            </w:r>
          </w:p>
        </w:tc>
        <w:tc>
          <w:tcPr>
            <w:tcW w:w="3118" w:type="dxa"/>
            <w:shd w:val="clear" w:color="auto" w:fill="C6EFCE"/>
            <w:tcMar>
              <w:left w:w="108" w:type="dxa"/>
              <w:right w:w="108" w:type="dxa"/>
            </w:tcMar>
          </w:tcPr>
          <w:p w14:paraId="1E0ED330"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3.1.2.6.i. Facilitating the availability of technical aids</w:t>
            </w:r>
          </w:p>
        </w:tc>
        <w:tc>
          <w:tcPr>
            <w:tcW w:w="1418" w:type="dxa"/>
            <w:shd w:val="clear" w:color="auto" w:fill="C6EFCE"/>
            <w:tcMar>
              <w:left w:w="108" w:type="dxa"/>
              <w:right w:w="108" w:type="dxa"/>
            </w:tcMar>
          </w:tcPr>
          <w:p w14:paraId="1E0ED331"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32"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EUR 7.6 million paid to NRC “Vaivari” to facilitate the availability of technical aids</w:t>
            </w:r>
          </w:p>
        </w:tc>
      </w:tr>
      <w:tr w:rsidR="00C56BD9" w:rsidRPr="00E60E42" w14:paraId="1E0ED338" w14:textId="77777777" w:rsidTr="00884269">
        <w:trPr>
          <w:trHeight w:val="300"/>
          <w:jc w:val="center"/>
        </w:trPr>
        <w:tc>
          <w:tcPr>
            <w:tcW w:w="1413" w:type="dxa"/>
            <w:shd w:val="clear" w:color="auto" w:fill="C6EFCE"/>
            <w:tcMar>
              <w:left w:w="108" w:type="dxa"/>
              <w:right w:w="108" w:type="dxa"/>
            </w:tcMar>
            <w:vAlign w:val="center"/>
          </w:tcPr>
          <w:p w14:paraId="1E0ED334"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137</w:t>
            </w:r>
          </w:p>
        </w:tc>
        <w:tc>
          <w:tcPr>
            <w:tcW w:w="3118" w:type="dxa"/>
            <w:shd w:val="clear" w:color="auto" w:fill="C6EFCE"/>
            <w:tcMar>
              <w:left w:w="108" w:type="dxa"/>
              <w:right w:w="108" w:type="dxa"/>
            </w:tcMar>
          </w:tcPr>
          <w:p w14:paraId="1E0ED335"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4.1.1.1.i. Support for public health research</w:t>
            </w:r>
          </w:p>
        </w:tc>
        <w:tc>
          <w:tcPr>
            <w:tcW w:w="1418" w:type="dxa"/>
            <w:shd w:val="clear" w:color="auto" w:fill="C6EFCE"/>
            <w:tcMar>
              <w:left w:w="108" w:type="dxa"/>
              <w:right w:w="108" w:type="dxa"/>
            </w:tcMar>
          </w:tcPr>
          <w:p w14:paraId="1E0ED336"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37"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Public health policies and studies</w:t>
            </w:r>
          </w:p>
        </w:tc>
      </w:tr>
      <w:tr w:rsidR="00C56BD9" w:rsidRPr="00E60E42" w14:paraId="1E0ED33D" w14:textId="77777777" w:rsidTr="00884269">
        <w:trPr>
          <w:trHeight w:val="300"/>
          <w:jc w:val="center"/>
        </w:trPr>
        <w:tc>
          <w:tcPr>
            <w:tcW w:w="1413" w:type="dxa"/>
            <w:shd w:val="clear" w:color="auto" w:fill="C6EFCE"/>
            <w:tcMar>
              <w:left w:w="108" w:type="dxa"/>
              <w:right w:w="108" w:type="dxa"/>
            </w:tcMar>
            <w:vAlign w:val="center"/>
          </w:tcPr>
          <w:p w14:paraId="1E0ED339"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140</w:t>
            </w:r>
          </w:p>
        </w:tc>
        <w:tc>
          <w:tcPr>
            <w:tcW w:w="3118" w:type="dxa"/>
            <w:shd w:val="clear" w:color="auto" w:fill="C6EFCE"/>
            <w:tcMar>
              <w:left w:w="108" w:type="dxa"/>
              <w:right w:w="108" w:type="dxa"/>
            </w:tcMar>
          </w:tcPr>
          <w:p w14:paraId="1E0ED33A"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4.1.1.2.i. Support for infrastructure or equipment of hospitals</w:t>
            </w:r>
          </w:p>
        </w:tc>
        <w:tc>
          <w:tcPr>
            <w:tcW w:w="1418" w:type="dxa"/>
            <w:shd w:val="clear" w:color="auto" w:fill="C6EFCE"/>
            <w:tcMar>
              <w:left w:w="108" w:type="dxa"/>
              <w:right w:w="108" w:type="dxa"/>
            </w:tcMar>
          </w:tcPr>
          <w:p w14:paraId="1E0ED33B"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themeColor="text1"/>
              </w:rPr>
              <w:t>Milestone</w:t>
            </w:r>
          </w:p>
        </w:tc>
        <w:tc>
          <w:tcPr>
            <w:tcW w:w="3680" w:type="dxa"/>
            <w:shd w:val="clear" w:color="auto" w:fill="C6EFCE"/>
            <w:tcMar>
              <w:left w:w="108" w:type="dxa"/>
              <w:right w:w="108" w:type="dxa"/>
            </w:tcMar>
          </w:tcPr>
          <w:p w14:paraId="1E0ED33C"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Hospital infrastructure or equipment</w:t>
            </w:r>
          </w:p>
        </w:tc>
      </w:tr>
      <w:tr w:rsidR="00C56BD9" w:rsidRPr="00E60E42" w14:paraId="1E0ED342" w14:textId="77777777" w:rsidTr="00884269">
        <w:trPr>
          <w:trHeight w:val="300"/>
          <w:jc w:val="center"/>
        </w:trPr>
        <w:tc>
          <w:tcPr>
            <w:tcW w:w="1413" w:type="dxa"/>
            <w:shd w:val="clear" w:color="auto" w:fill="C6EFCE"/>
            <w:tcMar>
              <w:left w:w="108" w:type="dxa"/>
              <w:right w:w="108" w:type="dxa"/>
            </w:tcMar>
            <w:vAlign w:val="center"/>
          </w:tcPr>
          <w:p w14:paraId="1E0ED33E"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142</w:t>
            </w:r>
          </w:p>
        </w:tc>
        <w:tc>
          <w:tcPr>
            <w:tcW w:w="3118" w:type="dxa"/>
            <w:shd w:val="clear" w:color="auto" w:fill="C6EFCE"/>
            <w:tcMar>
              <w:left w:w="108" w:type="dxa"/>
              <w:right w:w="108" w:type="dxa"/>
            </w:tcMar>
          </w:tcPr>
          <w:p w14:paraId="1E0ED33F"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4.1.1.3.i. Support for infrastructure or equipment of secondary outpatient healthcare service providers</w:t>
            </w:r>
          </w:p>
        </w:tc>
        <w:tc>
          <w:tcPr>
            <w:tcW w:w="1418" w:type="dxa"/>
            <w:shd w:val="clear" w:color="auto" w:fill="C6EFCE"/>
            <w:tcMar>
              <w:left w:w="108" w:type="dxa"/>
              <w:right w:w="108" w:type="dxa"/>
            </w:tcMar>
          </w:tcPr>
          <w:p w14:paraId="1E0ED340"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41"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Secondary outpatient healthcare service providers</w:t>
            </w:r>
          </w:p>
        </w:tc>
      </w:tr>
      <w:tr w:rsidR="00C56BD9" w:rsidRPr="00E60E42" w14:paraId="1E0ED347" w14:textId="77777777" w:rsidTr="00884269">
        <w:trPr>
          <w:trHeight w:val="300"/>
          <w:jc w:val="center"/>
        </w:trPr>
        <w:tc>
          <w:tcPr>
            <w:tcW w:w="1413" w:type="dxa"/>
            <w:shd w:val="clear" w:color="auto" w:fill="C6EFCE"/>
            <w:tcMar>
              <w:left w:w="108" w:type="dxa"/>
              <w:right w:w="108" w:type="dxa"/>
            </w:tcMar>
            <w:vAlign w:val="center"/>
          </w:tcPr>
          <w:p w14:paraId="1E0ED343"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150</w:t>
            </w:r>
          </w:p>
        </w:tc>
        <w:tc>
          <w:tcPr>
            <w:tcW w:w="3118" w:type="dxa"/>
            <w:shd w:val="clear" w:color="auto" w:fill="C6EFCE"/>
            <w:tcMar>
              <w:left w:w="108" w:type="dxa"/>
              <w:right w:w="108" w:type="dxa"/>
            </w:tcMar>
          </w:tcPr>
          <w:p w14:paraId="1E0ED344"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themeColor="text1"/>
              </w:rPr>
              <w:t xml:space="preserve">4.3.1.r. </w:t>
            </w:r>
            <w:r w:rsidRPr="00E60E42">
              <w:rPr>
                <w:rFonts w:ascii="Times New Roman" w:eastAsia="Times New Roman" w:hAnsi="Times New Roman" w:cs="Times New Roman"/>
                <w:noProof/>
              </w:rPr>
              <w:t xml:space="preserve">Sustainability of healthcare and efficient use of health resources </w:t>
            </w:r>
          </w:p>
        </w:tc>
        <w:tc>
          <w:tcPr>
            <w:tcW w:w="1418" w:type="dxa"/>
            <w:shd w:val="clear" w:color="auto" w:fill="C6EFCE"/>
            <w:tcMar>
              <w:left w:w="108" w:type="dxa"/>
              <w:right w:w="108" w:type="dxa"/>
            </w:tcMar>
          </w:tcPr>
          <w:p w14:paraId="1E0ED345"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46"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New healthcare service delivery models</w:t>
            </w:r>
          </w:p>
        </w:tc>
      </w:tr>
      <w:tr w:rsidR="00C56BD9" w:rsidRPr="00E60E42" w14:paraId="1E0ED34C" w14:textId="77777777" w:rsidTr="00884269">
        <w:trPr>
          <w:trHeight w:val="300"/>
          <w:jc w:val="center"/>
        </w:trPr>
        <w:tc>
          <w:tcPr>
            <w:tcW w:w="1413" w:type="dxa"/>
            <w:shd w:val="clear" w:color="auto" w:fill="C6EFCE"/>
            <w:tcMar>
              <w:left w:w="108" w:type="dxa"/>
              <w:right w:w="108" w:type="dxa"/>
            </w:tcMar>
            <w:vAlign w:val="center"/>
          </w:tcPr>
          <w:p w14:paraId="1E0ED348"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156</w:t>
            </w:r>
          </w:p>
        </w:tc>
        <w:tc>
          <w:tcPr>
            <w:tcW w:w="3118" w:type="dxa"/>
            <w:shd w:val="clear" w:color="auto" w:fill="C6EFCE"/>
            <w:tcMar>
              <w:left w:w="108" w:type="dxa"/>
              <w:right w:w="108" w:type="dxa"/>
            </w:tcMar>
          </w:tcPr>
          <w:p w14:paraId="1E0ED349"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5.1.1.1.i. Support for a fully-fledged innovation system governance model</w:t>
            </w:r>
          </w:p>
        </w:tc>
        <w:tc>
          <w:tcPr>
            <w:tcW w:w="1418" w:type="dxa"/>
            <w:shd w:val="clear" w:color="auto" w:fill="C6EFCE"/>
            <w:tcMar>
              <w:left w:w="108" w:type="dxa"/>
              <w:right w:w="108" w:type="dxa"/>
            </w:tcMar>
          </w:tcPr>
          <w:p w14:paraId="1E0ED34A"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4B"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Monitoring reports</w:t>
            </w:r>
          </w:p>
        </w:tc>
      </w:tr>
      <w:tr w:rsidR="00C56BD9" w:rsidRPr="00E60E42" w14:paraId="1E0ED351" w14:textId="77777777" w:rsidTr="00884269">
        <w:trPr>
          <w:trHeight w:val="300"/>
          <w:jc w:val="center"/>
        </w:trPr>
        <w:tc>
          <w:tcPr>
            <w:tcW w:w="1413" w:type="dxa"/>
            <w:shd w:val="clear" w:color="auto" w:fill="C6EFCE"/>
            <w:tcMar>
              <w:left w:w="108" w:type="dxa"/>
              <w:right w:w="108" w:type="dxa"/>
            </w:tcMar>
            <w:vAlign w:val="center"/>
          </w:tcPr>
          <w:p w14:paraId="1E0ED34D"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158</w:t>
            </w:r>
          </w:p>
        </w:tc>
        <w:tc>
          <w:tcPr>
            <w:tcW w:w="3118" w:type="dxa"/>
            <w:shd w:val="clear" w:color="auto" w:fill="C6EFCE"/>
            <w:tcMar>
              <w:left w:w="108" w:type="dxa"/>
              <w:right w:w="108" w:type="dxa"/>
            </w:tcMar>
          </w:tcPr>
          <w:p w14:paraId="1E0ED34E"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5.1.1.2.i. Support instrument for research and internationalization</w:t>
            </w:r>
          </w:p>
        </w:tc>
        <w:tc>
          <w:tcPr>
            <w:tcW w:w="1418" w:type="dxa"/>
            <w:shd w:val="clear" w:color="auto" w:fill="C6EFCE"/>
            <w:tcMar>
              <w:left w:w="108" w:type="dxa"/>
              <w:right w:w="108" w:type="dxa"/>
            </w:tcMar>
          </w:tcPr>
          <w:p w14:paraId="1E0ED34F"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50"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Commitment of funding</w:t>
            </w:r>
          </w:p>
        </w:tc>
      </w:tr>
      <w:tr w:rsidR="00C56BD9" w:rsidRPr="00E60E42" w14:paraId="1E0ED356" w14:textId="77777777" w:rsidTr="00884269">
        <w:trPr>
          <w:trHeight w:val="300"/>
          <w:jc w:val="center"/>
        </w:trPr>
        <w:tc>
          <w:tcPr>
            <w:tcW w:w="1413" w:type="dxa"/>
            <w:shd w:val="clear" w:color="auto" w:fill="C6EFCE"/>
            <w:tcMar>
              <w:left w:w="108" w:type="dxa"/>
              <w:right w:w="108" w:type="dxa"/>
            </w:tcMar>
            <w:vAlign w:val="center"/>
          </w:tcPr>
          <w:p w14:paraId="1E0ED352"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160</w:t>
            </w:r>
          </w:p>
        </w:tc>
        <w:tc>
          <w:tcPr>
            <w:tcW w:w="3118" w:type="dxa"/>
            <w:shd w:val="clear" w:color="auto" w:fill="C6EFCE"/>
            <w:tcMar>
              <w:left w:w="108" w:type="dxa"/>
              <w:right w:w="108" w:type="dxa"/>
            </w:tcMar>
          </w:tcPr>
          <w:p w14:paraId="1E0ED353"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5.2.1.r. Reform of Higher Education and Scientific Excellence and Governance</w:t>
            </w:r>
          </w:p>
        </w:tc>
        <w:tc>
          <w:tcPr>
            <w:tcW w:w="1418" w:type="dxa"/>
            <w:shd w:val="clear" w:color="auto" w:fill="C6EFCE"/>
            <w:tcMar>
              <w:left w:w="108" w:type="dxa"/>
              <w:right w:w="108" w:type="dxa"/>
            </w:tcMar>
          </w:tcPr>
          <w:p w14:paraId="1E0ED354"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55"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hAnsi="Times New Roman"/>
                <w:noProof/>
              </w:rPr>
              <w:t>Higher education reform</w:t>
            </w:r>
          </w:p>
        </w:tc>
      </w:tr>
      <w:tr w:rsidR="00C56BD9" w:rsidRPr="00E60E42" w14:paraId="1E0ED35B" w14:textId="77777777" w:rsidTr="00884269">
        <w:trPr>
          <w:trHeight w:val="300"/>
          <w:jc w:val="center"/>
        </w:trPr>
        <w:tc>
          <w:tcPr>
            <w:tcW w:w="1413" w:type="dxa"/>
            <w:shd w:val="clear" w:color="auto" w:fill="C6EFCE"/>
            <w:tcMar>
              <w:left w:w="108" w:type="dxa"/>
              <w:right w:w="108" w:type="dxa"/>
            </w:tcMar>
            <w:vAlign w:val="center"/>
          </w:tcPr>
          <w:p w14:paraId="1E0ED35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162</w:t>
            </w:r>
          </w:p>
        </w:tc>
        <w:tc>
          <w:tcPr>
            <w:tcW w:w="3118" w:type="dxa"/>
            <w:shd w:val="clear" w:color="auto" w:fill="C6EFCE"/>
            <w:tcMar>
              <w:left w:w="108" w:type="dxa"/>
              <w:right w:w="108" w:type="dxa"/>
            </w:tcMar>
          </w:tcPr>
          <w:p w14:paraId="1E0ED358"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5.2.1.r. Reform of Higher Education and Scientific Excellence and Governance</w:t>
            </w:r>
          </w:p>
        </w:tc>
        <w:tc>
          <w:tcPr>
            <w:tcW w:w="1418" w:type="dxa"/>
            <w:shd w:val="clear" w:color="auto" w:fill="C6EFCE"/>
            <w:tcMar>
              <w:left w:w="108" w:type="dxa"/>
              <w:right w:w="108" w:type="dxa"/>
            </w:tcMar>
          </w:tcPr>
          <w:p w14:paraId="1E0ED359"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5A"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Governance changes in public universities</w:t>
            </w:r>
          </w:p>
        </w:tc>
      </w:tr>
      <w:tr w:rsidR="00C56BD9" w:rsidRPr="00E60E42" w14:paraId="1E0ED360" w14:textId="77777777" w:rsidTr="00884269">
        <w:trPr>
          <w:trHeight w:val="300"/>
          <w:jc w:val="center"/>
        </w:trPr>
        <w:tc>
          <w:tcPr>
            <w:tcW w:w="1413" w:type="dxa"/>
            <w:shd w:val="clear" w:color="auto" w:fill="C6EFCE"/>
            <w:tcMar>
              <w:left w:w="108" w:type="dxa"/>
              <w:right w:w="108" w:type="dxa"/>
            </w:tcMar>
            <w:vAlign w:val="center"/>
          </w:tcPr>
          <w:p w14:paraId="1E0ED35C"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163</w:t>
            </w:r>
          </w:p>
        </w:tc>
        <w:tc>
          <w:tcPr>
            <w:tcW w:w="3118" w:type="dxa"/>
            <w:shd w:val="clear" w:color="auto" w:fill="C6EFCE"/>
            <w:tcMar>
              <w:left w:w="108" w:type="dxa"/>
              <w:right w:w="108" w:type="dxa"/>
            </w:tcMar>
          </w:tcPr>
          <w:p w14:paraId="1E0ED35D"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5.2.1.1.i. Research, development and consolidation grants</w:t>
            </w:r>
          </w:p>
        </w:tc>
        <w:tc>
          <w:tcPr>
            <w:tcW w:w="1418" w:type="dxa"/>
            <w:shd w:val="clear" w:color="auto" w:fill="C6EFCE"/>
            <w:tcMar>
              <w:left w:w="108" w:type="dxa"/>
              <w:right w:w="108" w:type="dxa"/>
            </w:tcMar>
          </w:tcPr>
          <w:p w14:paraId="1E0ED35E"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5F"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Final payment decisions for consolidation plans</w:t>
            </w:r>
          </w:p>
        </w:tc>
      </w:tr>
      <w:tr w:rsidR="00C56BD9" w:rsidRPr="00E60E42" w14:paraId="1E0ED365" w14:textId="77777777" w:rsidTr="00884269">
        <w:trPr>
          <w:trHeight w:val="300"/>
          <w:jc w:val="center"/>
        </w:trPr>
        <w:tc>
          <w:tcPr>
            <w:tcW w:w="1413" w:type="dxa"/>
            <w:shd w:val="clear" w:color="auto" w:fill="C6EFCE"/>
            <w:tcMar>
              <w:left w:w="108" w:type="dxa"/>
              <w:right w:w="108" w:type="dxa"/>
            </w:tcMar>
            <w:vAlign w:val="center"/>
          </w:tcPr>
          <w:p w14:paraId="1E0ED361"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164</w:t>
            </w:r>
          </w:p>
        </w:tc>
        <w:tc>
          <w:tcPr>
            <w:tcW w:w="3118" w:type="dxa"/>
            <w:shd w:val="clear" w:color="auto" w:fill="C6EFCE"/>
            <w:tcMar>
              <w:left w:w="108" w:type="dxa"/>
              <w:right w:w="108" w:type="dxa"/>
            </w:tcMar>
          </w:tcPr>
          <w:p w14:paraId="1E0ED362"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5.2.1.1.i. Research, development and consolidation grants</w:t>
            </w:r>
          </w:p>
        </w:tc>
        <w:tc>
          <w:tcPr>
            <w:tcW w:w="1418" w:type="dxa"/>
            <w:shd w:val="clear" w:color="auto" w:fill="C6EFCE"/>
            <w:tcMar>
              <w:left w:w="108" w:type="dxa"/>
              <w:right w:w="108" w:type="dxa"/>
            </w:tcMar>
          </w:tcPr>
          <w:p w14:paraId="1E0ED363"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64"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Academic career and research grant agreements signed</w:t>
            </w:r>
          </w:p>
        </w:tc>
      </w:tr>
      <w:tr w:rsidR="00C56BD9" w:rsidRPr="00E60E42" w14:paraId="1E0ED36A" w14:textId="77777777" w:rsidTr="00884269">
        <w:trPr>
          <w:trHeight w:val="300"/>
          <w:jc w:val="center"/>
        </w:trPr>
        <w:tc>
          <w:tcPr>
            <w:tcW w:w="1413" w:type="dxa"/>
            <w:shd w:val="clear" w:color="auto" w:fill="C6EFCE"/>
            <w:tcMar>
              <w:left w:w="108" w:type="dxa"/>
              <w:right w:w="108" w:type="dxa"/>
            </w:tcMar>
            <w:vAlign w:val="center"/>
          </w:tcPr>
          <w:p w14:paraId="1E0ED366"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176</w:t>
            </w:r>
          </w:p>
        </w:tc>
        <w:tc>
          <w:tcPr>
            <w:tcW w:w="3118" w:type="dxa"/>
            <w:shd w:val="clear" w:color="auto" w:fill="C6EFCE"/>
            <w:tcMar>
              <w:left w:w="108" w:type="dxa"/>
              <w:right w:w="108" w:type="dxa"/>
            </w:tcMar>
          </w:tcPr>
          <w:p w14:paraId="1E0ED367"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6.1.2.1.i. Connecting railway scanners to BAXE and developing x-ray image analysis platform</w:t>
            </w:r>
          </w:p>
        </w:tc>
        <w:tc>
          <w:tcPr>
            <w:tcW w:w="1418" w:type="dxa"/>
            <w:shd w:val="clear" w:color="auto" w:fill="C6EFCE"/>
            <w:tcMar>
              <w:left w:w="108" w:type="dxa"/>
              <w:right w:w="108" w:type="dxa"/>
            </w:tcMar>
          </w:tcPr>
          <w:p w14:paraId="1E0ED368"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69"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Railway scanners connected to BAXE information system</w:t>
            </w:r>
          </w:p>
        </w:tc>
      </w:tr>
      <w:tr w:rsidR="00C56BD9" w:rsidRPr="00E60E42" w14:paraId="1E0ED36F" w14:textId="77777777" w:rsidTr="00884269">
        <w:trPr>
          <w:trHeight w:val="300"/>
          <w:jc w:val="center"/>
        </w:trPr>
        <w:tc>
          <w:tcPr>
            <w:tcW w:w="1413" w:type="dxa"/>
            <w:shd w:val="clear" w:color="auto" w:fill="C6EFCE"/>
            <w:tcMar>
              <w:left w:w="108" w:type="dxa"/>
              <w:right w:w="108" w:type="dxa"/>
            </w:tcMar>
            <w:vAlign w:val="center"/>
          </w:tcPr>
          <w:p w14:paraId="1E0ED36B"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177</w:t>
            </w:r>
          </w:p>
        </w:tc>
        <w:tc>
          <w:tcPr>
            <w:tcW w:w="3118" w:type="dxa"/>
            <w:shd w:val="clear" w:color="auto" w:fill="C6EFCE"/>
            <w:tcMar>
              <w:left w:w="108" w:type="dxa"/>
              <w:right w:w="108" w:type="dxa"/>
            </w:tcMar>
          </w:tcPr>
          <w:p w14:paraId="1E0ED36C" w14:textId="77777777" w:rsidR="004E39F6" w:rsidRPr="00E60E42" w:rsidRDefault="00A35BEA">
            <w:pPr>
              <w:spacing w:after="0" w:line="240" w:lineRule="auto"/>
              <w:rPr>
                <w:rFonts w:ascii="Times New Roman" w:eastAsia="Calibri" w:hAnsi="Times New Roman" w:cs="Arial"/>
                <w:noProof/>
                <w:color w:val="000000"/>
              </w:rPr>
            </w:pPr>
            <w:r w:rsidRPr="00E60E42">
              <w:rPr>
                <w:rFonts w:ascii="Times New Roman" w:eastAsia="Calibri" w:hAnsi="Times New Roman" w:cs="Arial"/>
                <w:bCs/>
                <w:noProof/>
              </w:rPr>
              <w:t>6.1.2.1.i. Connecting railway scanners to BAXE and creating x-ray image analysis platform</w:t>
            </w:r>
            <w:r w:rsidRPr="00E60E42">
              <w:rPr>
                <w:rFonts w:ascii="Times New Roman" w:eastAsia="Calibri" w:hAnsi="Times New Roman" w:cs="Arial"/>
                <w:noProof/>
                <w:color w:val="000000"/>
              </w:rPr>
              <w:t xml:space="preserve"> </w:t>
            </w:r>
          </w:p>
        </w:tc>
        <w:tc>
          <w:tcPr>
            <w:tcW w:w="1418" w:type="dxa"/>
            <w:shd w:val="clear" w:color="auto" w:fill="C6EFCE"/>
            <w:tcMar>
              <w:left w:w="108" w:type="dxa"/>
              <w:right w:w="108" w:type="dxa"/>
            </w:tcMar>
          </w:tcPr>
          <w:p w14:paraId="1E0ED36D"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6E"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rPr>
              <w:t>X-ray image analysis platform</w:t>
            </w:r>
          </w:p>
        </w:tc>
      </w:tr>
      <w:tr w:rsidR="00C56BD9" w:rsidRPr="00E60E42" w14:paraId="1E0ED374" w14:textId="77777777" w:rsidTr="00884269">
        <w:trPr>
          <w:trHeight w:val="300"/>
          <w:jc w:val="center"/>
        </w:trPr>
        <w:tc>
          <w:tcPr>
            <w:tcW w:w="1413" w:type="dxa"/>
            <w:shd w:val="clear" w:color="auto" w:fill="C6EFCE"/>
            <w:tcMar>
              <w:left w:w="108" w:type="dxa"/>
              <w:right w:w="108" w:type="dxa"/>
            </w:tcMar>
            <w:vAlign w:val="center"/>
          </w:tcPr>
          <w:p w14:paraId="1E0ED370"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180</w:t>
            </w:r>
          </w:p>
        </w:tc>
        <w:tc>
          <w:tcPr>
            <w:tcW w:w="3118" w:type="dxa"/>
            <w:shd w:val="clear" w:color="auto" w:fill="C6EFCE"/>
            <w:tcMar>
              <w:left w:w="108" w:type="dxa"/>
              <w:right w:w="108" w:type="dxa"/>
            </w:tcMar>
          </w:tcPr>
          <w:p w14:paraId="1E0ED371"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6.1.2.3.i. Improvement of customs control of received postal items at Airport customs control point</w:t>
            </w:r>
          </w:p>
        </w:tc>
        <w:tc>
          <w:tcPr>
            <w:tcW w:w="1418" w:type="dxa"/>
            <w:shd w:val="clear" w:color="auto" w:fill="C6EFCE"/>
            <w:tcMar>
              <w:left w:w="108" w:type="dxa"/>
              <w:right w:w="108" w:type="dxa"/>
            </w:tcMar>
          </w:tcPr>
          <w:p w14:paraId="1E0ED372"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73"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rPr>
              <w:t>Mail scanning and sorting line at Riga airport</w:t>
            </w:r>
          </w:p>
        </w:tc>
      </w:tr>
      <w:tr w:rsidR="00C56BD9" w:rsidRPr="00E60E42" w14:paraId="1E0ED379" w14:textId="77777777" w:rsidTr="00884269">
        <w:trPr>
          <w:trHeight w:val="300"/>
          <w:jc w:val="center"/>
        </w:trPr>
        <w:tc>
          <w:tcPr>
            <w:tcW w:w="1413" w:type="dxa"/>
            <w:shd w:val="clear" w:color="auto" w:fill="C6EFCE"/>
            <w:tcMar>
              <w:left w:w="108" w:type="dxa"/>
              <w:right w:w="108" w:type="dxa"/>
            </w:tcMar>
            <w:vAlign w:val="center"/>
          </w:tcPr>
          <w:p w14:paraId="1E0ED375"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183</w:t>
            </w:r>
          </w:p>
        </w:tc>
        <w:tc>
          <w:tcPr>
            <w:tcW w:w="3118" w:type="dxa"/>
            <w:shd w:val="clear" w:color="auto" w:fill="C6EFCE"/>
            <w:tcMar>
              <w:left w:w="108" w:type="dxa"/>
              <w:right w:w="108" w:type="dxa"/>
            </w:tcMar>
          </w:tcPr>
          <w:p w14:paraId="1E0ED376"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6.1.2.4.i. Creation of infrastructure for the performance of control services in Kundziņsala</w:t>
            </w:r>
          </w:p>
        </w:tc>
        <w:tc>
          <w:tcPr>
            <w:tcW w:w="1418" w:type="dxa"/>
            <w:shd w:val="clear" w:color="auto" w:fill="C6EFCE"/>
            <w:tcMar>
              <w:left w:w="108" w:type="dxa"/>
              <w:right w:w="108" w:type="dxa"/>
            </w:tcMar>
          </w:tcPr>
          <w:p w14:paraId="1E0ED377"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78" w14:textId="77777777" w:rsidR="004E39F6" w:rsidRPr="00E60E42" w:rsidRDefault="00A35BEA" w:rsidP="00B13BA9">
            <w:pPr>
              <w:spacing w:after="0"/>
              <w:jc w:val="both"/>
              <w:rPr>
                <w:rFonts w:ascii="Times New Roman" w:eastAsia="Calibri" w:hAnsi="Times New Roman" w:cs="Arial"/>
                <w:noProof/>
              </w:rPr>
            </w:pPr>
            <w:r w:rsidRPr="00E60E42">
              <w:rPr>
                <w:rFonts w:ascii="Times New Roman" w:eastAsia="Calibri" w:hAnsi="Times New Roman" w:cs="Arial"/>
                <w:noProof/>
              </w:rPr>
              <w:t>Bearing and enclosing structures and equipment</w:t>
            </w:r>
          </w:p>
        </w:tc>
      </w:tr>
      <w:tr w:rsidR="00C56BD9" w:rsidRPr="00E60E42" w14:paraId="1E0ED37E" w14:textId="77777777" w:rsidTr="00884269">
        <w:trPr>
          <w:trHeight w:val="300"/>
          <w:jc w:val="center"/>
        </w:trPr>
        <w:tc>
          <w:tcPr>
            <w:tcW w:w="1413" w:type="dxa"/>
            <w:shd w:val="clear" w:color="auto" w:fill="C6EFCE"/>
            <w:tcMar>
              <w:left w:w="108" w:type="dxa"/>
              <w:right w:w="108" w:type="dxa"/>
            </w:tcMar>
            <w:vAlign w:val="center"/>
          </w:tcPr>
          <w:p w14:paraId="1E0ED37A"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221</w:t>
            </w:r>
          </w:p>
        </w:tc>
        <w:tc>
          <w:tcPr>
            <w:tcW w:w="3118" w:type="dxa"/>
            <w:shd w:val="clear" w:color="auto" w:fill="C6EFCE"/>
            <w:tcMar>
              <w:left w:w="108" w:type="dxa"/>
              <w:right w:w="108" w:type="dxa"/>
            </w:tcMar>
          </w:tcPr>
          <w:p w14:paraId="1E0ED37B"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7.2.i. Security and stability of energy supply, and synchronisation with the Union grid</w:t>
            </w:r>
          </w:p>
        </w:tc>
        <w:tc>
          <w:tcPr>
            <w:tcW w:w="1418" w:type="dxa"/>
            <w:shd w:val="clear" w:color="auto" w:fill="C6EFCE"/>
            <w:tcMar>
              <w:left w:w="108" w:type="dxa"/>
              <w:right w:w="108" w:type="dxa"/>
            </w:tcMar>
          </w:tcPr>
          <w:p w14:paraId="1E0ED37C"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7D"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Battery Energy Storage System (BESS)</w:t>
            </w:r>
          </w:p>
        </w:tc>
      </w:tr>
      <w:tr w:rsidR="00C56BD9" w:rsidRPr="00E60E42" w14:paraId="1E0ED383" w14:textId="77777777" w:rsidTr="00884269">
        <w:trPr>
          <w:trHeight w:val="300"/>
          <w:jc w:val="center"/>
        </w:trPr>
        <w:tc>
          <w:tcPr>
            <w:tcW w:w="1413" w:type="dxa"/>
            <w:shd w:val="clear" w:color="auto" w:fill="C6EFCE"/>
            <w:tcMar>
              <w:left w:w="108" w:type="dxa"/>
              <w:right w:w="108" w:type="dxa"/>
            </w:tcMar>
            <w:vAlign w:val="center"/>
          </w:tcPr>
          <w:p w14:paraId="1E0ED37F"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224</w:t>
            </w:r>
          </w:p>
        </w:tc>
        <w:tc>
          <w:tcPr>
            <w:tcW w:w="3118" w:type="dxa"/>
            <w:shd w:val="clear" w:color="auto" w:fill="C6EFCE"/>
            <w:tcMar>
              <w:left w:w="108" w:type="dxa"/>
              <w:right w:w="108" w:type="dxa"/>
            </w:tcMar>
          </w:tcPr>
          <w:p w14:paraId="1E0ED380"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7.3.i. Upgrading, digitalising and securing the electricity transmission and distribution networks</w:t>
            </w:r>
          </w:p>
        </w:tc>
        <w:tc>
          <w:tcPr>
            <w:tcW w:w="1418" w:type="dxa"/>
            <w:shd w:val="clear" w:color="auto" w:fill="C6EFCE"/>
            <w:tcMar>
              <w:left w:w="108" w:type="dxa"/>
              <w:right w:w="108" w:type="dxa"/>
            </w:tcMar>
          </w:tcPr>
          <w:p w14:paraId="1E0ED381"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themeColor="text1"/>
              </w:rPr>
              <w:t>Target</w:t>
            </w:r>
          </w:p>
        </w:tc>
        <w:tc>
          <w:tcPr>
            <w:tcW w:w="3680" w:type="dxa"/>
            <w:shd w:val="clear" w:color="auto" w:fill="C6EFCE"/>
            <w:tcMar>
              <w:left w:w="108" w:type="dxa"/>
              <w:right w:w="108" w:type="dxa"/>
            </w:tcMar>
          </w:tcPr>
          <w:p w14:paraId="1E0ED382"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Additional electricity grid capacity</w:t>
            </w:r>
          </w:p>
        </w:tc>
      </w:tr>
      <w:tr w:rsidR="00C56BD9" w:rsidRPr="00E60E42" w14:paraId="1E0ED388" w14:textId="77777777" w:rsidTr="00884269">
        <w:trPr>
          <w:trHeight w:val="300"/>
          <w:jc w:val="center"/>
        </w:trPr>
        <w:tc>
          <w:tcPr>
            <w:tcW w:w="1413" w:type="dxa"/>
            <w:shd w:val="clear" w:color="auto" w:fill="C6EFCE"/>
            <w:tcMar>
              <w:left w:w="108" w:type="dxa"/>
              <w:right w:w="108" w:type="dxa"/>
            </w:tcMar>
            <w:vAlign w:val="center"/>
          </w:tcPr>
          <w:p w14:paraId="1E0ED384"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225</w:t>
            </w:r>
          </w:p>
        </w:tc>
        <w:tc>
          <w:tcPr>
            <w:tcW w:w="3118" w:type="dxa"/>
            <w:shd w:val="clear" w:color="auto" w:fill="C6EFCE"/>
            <w:tcMar>
              <w:left w:w="108" w:type="dxa"/>
              <w:right w:w="108" w:type="dxa"/>
            </w:tcMar>
          </w:tcPr>
          <w:p w14:paraId="1E0ED385"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7.3.i. Upgrading, digitalising and securing the electricity transmission and distribution networks</w:t>
            </w:r>
          </w:p>
        </w:tc>
        <w:tc>
          <w:tcPr>
            <w:tcW w:w="1418" w:type="dxa"/>
            <w:shd w:val="clear" w:color="auto" w:fill="C6EFCE"/>
            <w:tcMar>
              <w:left w:w="108" w:type="dxa"/>
              <w:right w:w="108" w:type="dxa"/>
            </w:tcMar>
          </w:tcPr>
          <w:p w14:paraId="1E0ED386"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87"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Substations</w:t>
            </w:r>
          </w:p>
        </w:tc>
      </w:tr>
      <w:tr w:rsidR="00C56BD9" w:rsidRPr="00E60E42" w14:paraId="1E0ED38D" w14:textId="77777777" w:rsidTr="00884269">
        <w:trPr>
          <w:trHeight w:val="300"/>
          <w:jc w:val="center"/>
        </w:trPr>
        <w:tc>
          <w:tcPr>
            <w:tcW w:w="1413" w:type="dxa"/>
            <w:shd w:val="clear" w:color="auto" w:fill="C6EFCE"/>
            <w:tcMar>
              <w:left w:w="108" w:type="dxa"/>
              <w:right w:w="108" w:type="dxa"/>
            </w:tcMar>
            <w:vAlign w:val="center"/>
          </w:tcPr>
          <w:p w14:paraId="1E0ED389"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themeColor="text1"/>
              </w:rPr>
              <w:t>226</w:t>
            </w:r>
          </w:p>
        </w:tc>
        <w:tc>
          <w:tcPr>
            <w:tcW w:w="3118" w:type="dxa"/>
            <w:shd w:val="clear" w:color="auto" w:fill="C6EFCE"/>
            <w:tcMar>
              <w:left w:w="108" w:type="dxa"/>
              <w:right w:w="108" w:type="dxa"/>
            </w:tcMar>
          </w:tcPr>
          <w:p w14:paraId="1E0ED38A"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7.3.i. Upgrading, digitalising and securing the electricity transmission and distribution networks</w:t>
            </w:r>
          </w:p>
        </w:tc>
        <w:tc>
          <w:tcPr>
            <w:tcW w:w="1418" w:type="dxa"/>
            <w:shd w:val="clear" w:color="auto" w:fill="C6EFCE"/>
            <w:tcMar>
              <w:left w:w="108" w:type="dxa"/>
              <w:right w:w="108" w:type="dxa"/>
            </w:tcMar>
          </w:tcPr>
          <w:p w14:paraId="1E0ED38B"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Target</w:t>
            </w:r>
          </w:p>
        </w:tc>
        <w:tc>
          <w:tcPr>
            <w:tcW w:w="3680" w:type="dxa"/>
            <w:shd w:val="clear" w:color="auto" w:fill="C6EFCE"/>
            <w:tcMar>
              <w:left w:w="108" w:type="dxa"/>
              <w:right w:w="108" w:type="dxa"/>
            </w:tcMar>
          </w:tcPr>
          <w:p w14:paraId="1E0ED38C"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Built power lines</w:t>
            </w:r>
          </w:p>
        </w:tc>
      </w:tr>
      <w:tr w:rsidR="00C56BD9" w:rsidRPr="00E60E42" w14:paraId="1E0ED392" w14:textId="77777777" w:rsidTr="00884269">
        <w:trPr>
          <w:trHeight w:val="300"/>
          <w:jc w:val="center"/>
        </w:trPr>
        <w:tc>
          <w:tcPr>
            <w:tcW w:w="1413" w:type="dxa"/>
            <w:shd w:val="clear" w:color="auto" w:fill="C6EFCE"/>
            <w:tcMar>
              <w:left w:w="108" w:type="dxa"/>
              <w:right w:w="108" w:type="dxa"/>
            </w:tcMar>
            <w:vAlign w:val="center"/>
          </w:tcPr>
          <w:p w14:paraId="1E0ED38E"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227</w:t>
            </w:r>
          </w:p>
        </w:tc>
        <w:tc>
          <w:tcPr>
            <w:tcW w:w="3118" w:type="dxa"/>
            <w:shd w:val="clear" w:color="auto" w:fill="C6EFCE"/>
            <w:tcMar>
              <w:left w:w="108" w:type="dxa"/>
              <w:right w:w="108" w:type="dxa"/>
            </w:tcMar>
          </w:tcPr>
          <w:p w14:paraId="1E0ED38F"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7.3.i. Upgrading, digitalising and securing the electricity transmission and distribution networks</w:t>
            </w:r>
          </w:p>
        </w:tc>
        <w:tc>
          <w:tcPr>
            <w:tcW w:w="1418" w:type="dxa"/>
            <w:shd w:val="clear" w:color="auto" w:fill="C6EFCE"/>
            <w:tcMar>
              <w:left w:w="108" w:type="dxa"/>
              <w:right w:w="108" w:type="dxa"/>
            </w:tcMar>
          </w:tcPr>
          <w:p w14:paraId="1E0ED390"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91"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Distribution network management system upgrades and circuit breakers</w:t>
            </w:r>
          </w:p>
        </w:tc>
      </w:tr>
      <w:tr w:rsidR="00C56BD9" w:rsidRPr="00E60E42" w14:paraId="1E0ED397" w14:textId="77777777" w:rsidTr="00884269">
        <w:trPr>
          <w:trHeight w:val="300"/>
          <w:jc w:val="center"/>
        </w:trPr>
        <w:tc>
          <w:tcPr>
            <w:tcW w:w="1413" w:type="dxa"/>
            <w:shd w:val="clear" w:color="auto" w:fill="C6EFCE"/>
            <w:tcMar>
              <w:left w:w="108" w:type="dxa"/>
              <w:right w:w="108" w:type="dxa"/>
            </w:tcMar>
            <w:vAlign w:val="center"/>
          </w:tcPr>
          <w:p w14:paraId="1E0ED393"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231</w:t>
            </w:r>
          </w:p>
        </w:tc>
        <w:tc>
          <w:tcPr>
            <w:tcW w:w="3118" w:type="dxa"/>
            <w:shd w:val="clear" w:color="auto" w:fill="C6EFCE"/>
            <w:tcMar>
              <w:left w:w="108" w:type="dxa"/>
              <w:right w:w="108" w:type="dxa"/>
            </w:tcMar>
          </w:tcPr>
          <w:p w14:paraId="1E0ED394" w14:textId="77777777" w:rsidR="004E39F6" w:rsidRPr="00E60E42" w:rsidRDefault="00A35BEA">
            <w:pPr>
              <w:spacing w:after="0"/>
              <w:rPr>
                <w:rFonts w:ascii="Calibri" w:eastAsia="Calibri" w:hAnsi="Calibri" w:cs="Arial"/>
                <w:noProof/>
              </w:rPr>
            </w:pPr>
            <w:r w:rsidRPr="00E60E42">
              <w:rPr>
                <w:rFonts w:ascii="Times New Roman" w:eastAsia="Calibri" w:hAnsi="Times New Roman" w:cs="Arial"/>
                <w:noProof/>
                <w:color w:val="000000"/>
              </w:rPr>
              <w:t>7.4.i. Increasing the uptake of sustainable biomethane</w:t>
            </w:r>
          </w:p>
        </w:tc>
        <w:tc>
          <w:tcPr>
            <w:tcW w:w="1418" w:type="dxa"/>
            <w:shd w:val="clear" w:color="auto" w:fill="C6EFCE"/>
            <w:tcMar>
              <w:left w:w="108" w:type="dxa"/>
              <w:right w:w="108" w:type="dxa"/>
            </w:tcMar>
          </w:tcPr>
          <w:p w14:paraId="1E0ED395" w14:textId="77777777" w:rsidR="004E39F6" w:rsidRPr="00E60E42" w:rsidRDefault="00A35BEA">
            <w:pPr>
              <w:spacing w:after="0"/>
              <w:jc w:val="center"/>
              <w:rPr>
                <w:rFonts w:ascii="Calibri" w:eastAsia="Calibri" w:hAnsi="Calibri" w:cs="Arial"/>
                <w:noProof/>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96" w14:textId="77777777" w:rsidR="004E39F6" w:rsidRPr="00E60E42" w:rsidRDefault="00A35BEA" w:rsidP="00B13BA9">
            <w:pPr>
              <w:spacing w:after="0"/>
              <w:jc w:val="both"/>
              <w:rPr>
                <w:rFonts w:ascii="Calibri" w:eastAsia="Calibri" w:hAnsi="Calibri" w:cs="Arial"/>
                <w:noProof/>
              </w:rPr>
            </w:pPr>
            <w:r w:rsidRPr="00E60E42">
              <w:rPr>
                <w:rFonts w:ascii="Times New Roman" w:eastAsia="Calibri" w:hAnsi="Times New Roman" w:cs="Arial"/>
                <w:noProof/>
                <w:color w:val="000000"/>
              </w:rPr>
              <w:t>Biomethane injection point</w:t>
            </w:r>
          </w:p>
        </w:tc>
      </w:tr>
      <w:tr w:rsidR="00C56BD9" w:rsidRPr="00E60E42" w14:paraId="1E0ED39C" w14:textId="77777777" w:rsidTr="00884269">
        <w:trPr>
          <w:trHeight w:val="300"/>
          <w:jc w:val="center"/>
        </w:trPr>
        <w:tc>
          <w:tcPr>
            <w:tcW w:w="1413" w:type="dxa"/>
            <w:shd w:val="clear" w:color="auto" w:fill="C6EFCE"/>
            <w:tcMar>
              <w:left w:w="108" w:type="dxa"/>
              <w:right w:w="108" w:type="dxa"/>
            </w:tcMar>
            <w:vAlign w:val="center"/>
          </w:tcPr>
          <w:p w14:paraId="1E0ED398"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232</w:t>
            </w:r>
          </w:p>
        </w:tc>
        <w:tc>
          <w:tcPr>
            <w:tcW w:w="3118" w:type="dxa"/>
            <w:shd w:val="clear" w:color="auto" w:fill="C6EFCE"/>
            <w:tcMar>
              <w:left w:w="108" w:type="dxa"/>
              <w:right w:w="108" w:type="dxa"/>
            </w:tcMar>
          </w:tcPr>
          <w:p w14:paraId="1E0ED399" w14:textId="77777777" w:rsidR="004E39F6" w:rsidRPr="00E60E42" w:rsidRDefault="00A35BEA">
            <w:pPr>
              <w:spacing w:after="0"/>
              <w:rPr>
                <w:rFonts w:ascii="Times New Roman" w:eastAsia="Calibri" w:hAnsi="Times New Roman" w:cs="Arial"/>
                <w:noProof/>
                <w:color w:val="000000"/>
              </w:rPr>
            </w:pPr>
            <w:r w:rsidRPr="00E60E42">
              <w:rPr>
                <w:rFonts w:ascii="Times New Roman" w:eastAsia="Calibri" w:hAnsi="Times New Roman" w:cs="Arial"/>
                <w:noProof/>
                <w:color w:val="000000"/>
              </w:rPr>
              <w:t>7.4.i. Increasing the uptake of sustainable biomethane</w:t>
            </w:r>
          </w:p>
        </w:tc>
        <w:tc>
          <w:tcPr>
            <w:tcW w:w="1418" w:type="dxa"/>
            <w:shd w:val="clear" w:color="auto" w:fill="C6EFCE"/>
            <w:tcMar>
              <w:left w:w="108" w:type="dxa"/>
              <w:right w:w="108" w:type="dxa"/>
            </w:tcMar>
          </w:tcPr>
          <w:p w14:paraId="1E0ED39A"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Milestone</w:t>
            </w:r>
          </w:p>
        </w:tc>
        <w:tc>
          <w:tcPr>
            <w:tcW w:w="3680" w:type="dxa"/>
            <w:shd w:val="clear" w:color="auto" w:fill="C6EFCE"/>
            <w:tcMar>
              <w:left w:w="108" w:type="dxa"/>
              <w:right w:w="108" w:type="dxa"/>
            </w:tcMar>
          </w:tcPr>
          <w:p w14:paraId="1E0ED39B" w14:textId="77777777" w:rsidR="004E39F6" w:rsidRPr="00E60E42" w:rsidRDefault="00A35BEA" w:rsidP="00B13BA9">
            <w:pPr>
              <w:spacing w:after="0"/>
              <w:jc w:val="both"/>
              <w:rPr>
                <w:rFonts w:ascii="Times New Roman" w:eastAsia="Calibri" w:hAnsi="Times New Roman" w:cs="Arial"/>
                <w:noProof/>
                <w:color w:val="000000"/>
              </w:rPr>
            </w:pPr>
            <w:r w:rsidRPr="00E60E42">
              <w:rPr>
                <w:rFonts w:ascii="Times New Roman" w:eastAsia="Calibri" w:hAnsi="Times New Roman" w:cs="Arial"/>
                <w:noProof/>
                <w:color w:val="000000" w:themeColor="text1"/>
              </w:rPr>
              <w:t>IT solutions for the management of the biomethane injection point (BIP)</w:t>
            </w:r>
          </w:p>
        </w:tc>
      </w:tr>
      <w:tr w:rsidR="00C56BD9" w:rsidRPr="00E60E42" w14:paraId="1E0ED3A1" w14:textId="77777777" w:rsidTr="00884269">
        <w:trPr>
          <w:trHeight w:val="300"/>
          <w:jc w:val="center"/>
        </w:trPr>
        <w:tc>
          <w:tcPr>
            <w:tcW w:w="1413" w:type="dxa"/>
            <w:shd w:val="clear" w:color="auto" w:fill="C6EFCE"/>
            <w:tcMar>
              <w:left w:w="108" w:type="dxa"/>
              <w:right w:w="108" w:type="dxa"/>
            </w:tcMar>
            <w:vAlign w:val="center"/>
          </w:tcPr>
          <w:p w14:paraId="1E0ED39D" w14:textId="77777777" w:rsidR="004E39F6" w:rsidRPr="00E60E42" w:rsidRDefault="004E39F6">
            <w:pPr>
              <w:spacing w:after="0"/>
              <w:jc w:val="center"/>
              <w:rPr>
                <w:rFonts w:ascii="Times New Roman" w:eastAsia="Calibri" w:hAnsi="Times New Roman" w:cs="Arial"/>
                <w:noProof/>
                <w:color w:val="000000"/>
              </w:rPr>
            </w:pPr>
          </w:p>
        </w:tc>
        <w:tc>
          <w:tcPr>
            <w:tcW w:w="3118" w:type="dxa"/>
            <w:shd w:val="clear" w:color="auto" w:fill="C6EFCE"/>
            <w:tcMar>
              <w:left w:w="108" w:type="dxa"/>
              <w:right w:w="108" w:type="dxa"/>
            </w:tcMar>
          </w:tcPr>
          <w:p w14:paraId="1E0ED39E" w14:textId="77777777" w:rsidR="004E39F6" w:rsidRPr="00E60E42" w:rsidRDefault="004E39F6">
            <w:pPr>
              <w:spacing w:after="0"/>
              <w:rPr>
                <w:rFonts w:ascii="Times New Roman" w:eastAsia="Calibri" w:hAnsi="Times New Roman" w:cs="Arial"/>
                <w:noProof/>
                <w:color w:val="000000"/>
              </w:rPr>
            </w:pPr>
          </w:p>
        </w:tc>
        <w:tc>
          <w:tcPr>
            <w:tcW w:w="1418" w:type="dxa"/>
            <w:shd w:val="clear" w:color="auto" w:fill="C6EFCE"/>
            <w:tcMar>
              <w:left w:w="108" w:type="dxa"/>
              <w:right w:w="108" w:type="dxa"/>
            </w:tcMar>
          </w:tcPr>
          <w:p w14:paraId="1E0ED39F" w14:textId="77777777" w:rsidR="004E39F6" w:rsidRPr="00E60E42" w:rsidRDefault="00A35BEA">
            <w:pPr>
              <w:spacing w:after="0"/>
              <w:jc w:val="center"/>
              <w:rPr>
                <w:rFonts w:ascii="Times New Roman" w:eastAsia="Calibri" w:hAnsi="Times New Roman" w:cs="Arial"/>
                <w:noProof/>
                <w:color w:val="000000"/>
              </w:rPr>
            </w:pPr>
            <w:r w:rsidRPr="00E60E42">
              <w:rPr>
                <w:rFonts w:ascii="Times New Roman" w:eastAsia="Calibri" w:hAnsi="Times New Roman" w:cs="Arial"/>
                <w:noProof/>
                <w:color w:val="000000"/>
              </w:rPr>
              <w:t>Instalment Amount</w:t>
            </w:r>
          </w:p>
        </w:tc>
        <w:tc>
          <w:tcPr>
            <w:tcW w:w="3680" w:type="dxa"/>
            <w:shd w:val="clear" w:color="auto" w:fill="C6EFCE"/>
            <w:tcMar>
              <w:left w:w="108" w:type="dxa"/>
              <w:right w:w="108" w:type="dxa"/>
            </w:tcMar>
            <w:vAlign w:val="center"/>
          </w:tcPr>
          <w:p w14:paraId="1E0ED3A0" w14:textId="77777777" w:rsidR="004E39F6" w:rsidRPr="00E60E42" w:rsidRDefault="00A35BEA" w:rsidP="00B13BA9">
            <w:pPr>
              <w:spacing w:after="0"/>
              <w:jc w:val="both"/>
              <w:rPr>
                <w:rFonts w:ascii="Times New Roman" w:eastAsia="Calibri" w:hAnsi="Times New Roman" w:cs="Arial"/>
                <w:noProof/>
                <w:color w:val="000000" w:themeColor="text1"/>
              </w:rPr>
            </w:pPr>
            <w:r w:rsidRPr="00E60E42">
              <w:rPr>
                <w:rFonts w:ascii="Times New Roman" w:eastAsia="Calibri" w:hAnsi="Times New Roman" w:cs="Arial"/>
                <w:noProof/>
                <w:color w:val="000000" w:themeColor="text1"/>
              </w:rPr>
              <w:t>EUR 582 209 276</w:t>
            </w:r>
          </w:p>
        </w:tc>
      </w:tr>
    </w:tbl>
    <w:p w14:paraId="1E0ED3A2" w14:textId="77777777" w:rsidR="004E39F6" w:rsidRPr="00E60E42" w:rsidRDefault="004E39F6" w:rsidP="00C56BD9">
      <w:pPr>
        <w:pStyle w:val="ListParagraph"/>
        <w:spacing w:after="0" w:line="257" w:lineRule="auto"/>
        <w:ind w:left="567" w:hanging="567"/>
        <w:jc w:val="both"/>
        <w:rPr>
          <w:rFonts w:ascii="Times New Roman" w:eastAsia="Times New Roman" w:hAnsi="Times New Roman" w:cs="Times New Roman"/>
          <w:noProof/>
        </w:rPr>
      </w:pPr>
    </w:p>
    <w:p w14:paraId="1E0ED3A3" w14:textId="77777777" w:rsidR="004E39F6" w:rsidRPr="00E60E42" w:rsidRDefault="004E39F6">
      <w:pPr>
        <w:rPr>
          <w:noProof/>
        </w:rPr>
        <w:sectPr w:rsidR="004E39F6" w:rsidRPr="00E60E42" w:rsidSect="0048758A">
          <w:pgSz w:w="11906" w:h="16838"/>
          <w:pgMar w:top="1134" w:right="1134" w:bottom="1134" w:left="1134" w:header="567" w:footer="567" w:gutter="0"/>
          <w:cols w:space="708"/>
          <w:docGrid w:linePitch="360"/>
        </w:sectPr>
      </w:pPr>
    </w:p>
    <w:p w14:paraId="1E0ED3A4" w14:textId="77777777" w:rsidR="004E39F6" w:rsidRPr="00E60E42" w:rsidRDefault="00A35BEA" w:rsidP="00C56BD9">
      <w:pPr>
        <w:spacing w:after="48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b/>
          <w:noProof/>
          <w:kern w:val="0"/>
          <w:szCs w:val="22"/>
          <w14:ligatures w14:val="none"/>
        </w:rPr>
        <w:t xml:space="preserve">SECTION 3: ADDITIONAL ARRANGEMENTS </w:t>
      </w:r>
    </w:p>
    <w:p w14:paraId="1E0ED3A5" w14:textId="77777777" w:rsidR="004E39F6" w:rsidRPr="00E60E42" w:rsidRDefault="00A35BEA" w:rsidP="00C56BD9">
      <w:pPr>
        <w:numPr>
          <w:ilvl w:val="6"/>
          <w:numId w:val="38"/>
        </w:numPr>
        <w:spacing w:after="0" w:line="240" w:lineRule="auto"/>
        <w:ind w:left="567" w:hanging="567"/>
        <w:contextualSpacing/>
        <w:jc w:val="both"/>
        <w:rPr>
          <w:rFonts w:ascii="Times New Roman" w:eastAsia="Times New Roman" w:hAnsi="Times New Roman" w:cs="Times New Roman"/>
          <w:b/>
          <w:bCs/>
          <w:noProof/>
          <w:kern w:val="0"/>
          <w14:ligatures w14:val="none"/>
        </w:rPr>
      </w:pPr>
      <w:r w:rsidRPr="00E60E42">
        <w:rPr>
          <w:rFonts w:ascii="Times New Roman" w:eastAsia="Calibri" w:hAnsi="Times New Roman" w:cs="Arial"/>
          <w:b/>
          <w:noProof/>
          <w:kern w:val="0"/>
          <w:szCs w:val="22"/>
          <w14:ligatures w14:val="none"/>
        </w:rPr>
        <w:t>Arrangements for monitoring and implementation of the recovery and resilience plan</w:t>
      </w:r>
    </w:p>
    <w:p w14:paraId="1E0ED3A6" w14:textId="77777777" w:rsidR="004E39F6" w:rsidRPr="00E60E42" w:rsidRDefault="00A35BEA" w:rsidP="00884269">
      <w:pPr>
        <w:spacing w:before="120"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implementation of the plan shall be coordinated by the Ministry of Finance.</w:t>
      </w:r>
    </w:p>
    <w:p w14:paraId="1E0ED3A7" w14:textId="77777777" w:rsidR="004E39F6" w:rsidRPr="00E60E42" w:rsidRDefault="00A35BEA" w:rsidP="00884269">
      <w:pPr>
        <w:spacing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Ministry of Finance shall perform the functions of the Managing Authority; these shall be separated from its other functions, including those of the Audit Authority.</w:t>
      </w:r>
    </w:p>
    <w:p w14:paraId="1E0ED3A8" w14:textId="77777777" w:rsidR="004E39F6" w:rsidRPr="00E60E42" w:rsidRDefault="00A35BEA" w:rsidP="00884269">
      <w:pPr>
        <w:spacing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Ministry of Finance as the Managing authority is in charge of the development of the management and control system of the plan, coordinating the reporting process during the implementation of the plan (a half-yearly report on the compilation and progress of the plan) and other functions. The Central Finance and Contracting Agency (CFCA) has been designated as an intermediary body delegated with responsibilities for implementation, control and monitoring of the plan.</w:t>
      </w:r>
    </w:p>
    <w:p w14:paraId="1E0ED3A9" w14:textId="77777777" w:rsidR="004E39F6" w:rsidRPr="00E60E42" w:rsidRDefault="00A35BEA" w:rsidP="00884269">
      <w:pPr>
        <w:spacing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Audit Authority, which is independent from the other departments of the Ministry of Finance in its planning, auditing, reporting and opinion, shall develop a plan audit strategy and prepare a summary of the audits carried out to accompany the request for payments. The sectoral ministries and the State Chancellery shall perform the responsibilities related to the implementation of the plan.</w:t>
      </w:r>
    </w:p>
    <w:p w14:paraId="1E0ED3AA" w14:textId="77777777" w:rsidR="004E39F6" w:rsidRPr="00E60E42" w:rsidRDefault="00A35BEA" w:rsidP="00884269">
      <w:pPr>
        <w:spacing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necessary administrative resources for the management and monitoring functions of the plan shall be provided within the existing resources of responsible institutions, making use of additional human resources needed. The involvement of the authorities in the implementation of the plan takes place within the defined framework of their core activities and functions. Financing of sectoral ministries for the implementation of the plan shall be allocated in accordance with the relevant national procedures for the financing from the state budget.</w:t>
      </w:r>
    </w:p>
    <w:p w14:paraId="1E0ED3AC" w14:textId="2BE8810F" w:rsidR="004E39F6" w:rsidRPr="00E60E42" w:rsidRDefault="00A35BEA" w:rsidP="00884269">
      <w:pPr>
        <w:spacing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A separate budget programme for Recovery and Resilience plan-related financial flows is provided in the state budget, which ensures the traceability and separability of the financial flows.</w:t>
      </w:r>
    </w:p>
    <w:p w14:paraId="1E0ED3AD" w14:textId="77777777" w:rsidR="004E39F6" w:rsidRPr="00E60E42" w:rsidRDefault="00A35BEA" w:rsidP="004B4DA2">
      <w:pPr>
        <w:numPr>
          <w:ilvl w:val="6"/>
          <w:numId w:val="38"/>
        </w:numPr>
        <w:spacing w:after="120" w:line="240" w:lineRule="auto"/>
        <w:ind w:left="567" w:hanging="567"/>
        <w:contextualSpacing/>
        <w:jc w:val="both"/>
        <w:rPr>
          <w:rFonts w:ascii="Times New Roman" w:eastAsia="Times New Roman" w:hAnsi="Times New Roman" w:cs="Times New Roman"/>
          <w:b/>
          <w:bCs/>
          <w:noProof/>
          <w:kern w:val="0"/>
          <w14:ligatures w14:val="none"/>
        </w:rPr>
      </w:pPr>
      <w:r w:rsidRPr="00E60E42">
        <w:rPr>
          <w:rFonts w:ascii="Times New Roman" w:eastAsia="Calibri" w:hAnsi="Times New Roman" w:cs="Arial"/>
          <w:b/>
          <w:noProof/>
          <w:kern w:val="0"/>
          <w:szCs w:val="22"/>
          <w14:ligatures w14:val="none"/>
        </w:rPr>
        <w:t>Arrangements for providing full access by the Commission to the underlying data</w:t>
      </w:r>
    </w:p>
    <w:p w14:paraId="1E0ED3AE" w14:textId="77777777" w:rsidR="004E39F6" w:rsidRPr="00E60E42" w:rsidRDefault="00A35BEA" w:rsidP="004B4DA2">
      <w:pPr>
        <w:spacing w:before="120"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The Ministry of Finance, as the central coordinating body for Latvia’s recovery and resilience plan and its implementation, is responsible for overall coordination and monitoring of the plan. Data related to the implementation and monitoring of the plan shall be stored in the existing EU funds management and control system KPVIS. KPVIS shall be adapted to the requirements under Regulation (EU) 2021/241 for data collection, progress reports and payment requests, including to collect indicators and other information necessary to demonstrate and report the achievement of milestones and targets. KPVIS shall be used by all actors involved in the implementation of the plan, including beneficiaries and monitoring authorities between the CFCA, line ministries and Audit Authority and others. Sectoral ministries shall continuously manage and update information in the KPVIS on the progress and results of the plan, on the checks carried out, controls, including deficiencies identified and all corrective actions taken.</w:t>
      </w:r>
    </w:p>
    <w:p w14:paraId="1E0ED3AF" w14:textId="77777777" w:rsidR="004E39F6" w:rsidRPr="00FB4F0D" w:rsidRDefault="00A35BEA" w:rsidP="00FB4F0D">
      <w:pPr>
        <w:spacing w:before="120" w:after="120" w:line="240" w:lineRule="auto"/>
        <w:jc w:val="both"/>
        <w:rPr>
          <w:rFonts w:ascii="Calibri" w:eastAsia="Calibri" w:hAnsi="Calibri" w:cs="Arial"/>
          <w:noProof/>
          <w:kern w:val="0"/>
          <w:sz w:val="22"/>
          <w:szCs w:val="22"/>
          <w14:ligatures w14:val="none"/>
        </w:rPr>
      </w:pPr>
      <w:r w:rsidRPr="00E60E42">
        <w:rPr>
          <w:rFonts w:ascii="Times New Roman" w:eastAsia="Calibri" w:hAnsi="Times New Roman" w:cs="Arial"/>
          <w:noProof/>
          <w:kern w:val="0"/>
          <w:szCs w:val="22"/>
          <w14:ligatures w14:val="none"/>
        </w:rPr>
        <w:t>In accordance with Article 24(2) of Regulation (EU) 2021/241, upon completion of the relevant agreed milestones and targets in Section 2.1 of this Annex, Latvia shall submit to the Commission a duly justified request for payment of the financial contribution. Latvia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4E39F6" w:rsidRPr="00FB4F0D" w:rsidSect="00C56BD9">
      <w:headerReference w:type="even" r:id="rId107"/>
      <w:headerReference w:type="default" r:id="rId108"/>
      <w:footerReference w:type="even" r:id="rId109"/>
      <w:footerReference w:type="default" r:id="rId110"/>
      <w:headerReference w:type="first" r:id="rId111"/>
      <w:footerReference w:type="first" r:id="rId112"/>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5143D" w14:textId="77777777" w:rsidR="00ED084F" w:rsidRPr="00E60E42" w:rsidRDefault="00ED084F" w:rsidP="00A43C50">
      <w:r w:rsidRPr="00E60E42">
        <w:separator/>
      </w:r>
    </w:p>
  </w:endnote>
  <w:endnote w:type="continuationSeparator" w:id="0">
    <w:p w14:paraId="6B946427" w14:textId="77777777" w:rsidR="00ED084F" w:rsidRPr="00E60E42" w:rsidRDefault="00ED084F" w:rsidP="00A43C50">
      <w:r w:rsidRPr="00E60E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38499" w14:textId="4751B088" w:rsidR="00CA4889" w:rsidRPr="00CA4889" w:rsidRDefault="00CA4889" w:rsidP="00CA4889">
    <w:pPr>
      <w:pStyle w:val="FooterCoverPage"/>
      <w:rPr>
        <w:rFonts w:ascii="Arial" w:hAnsi="Arial" w:cs="Arial"/>
        <w:b/>
        <w:sz w:val="48"/>
      </w:rPr>
    </w:pPr>
    <w:r w:rsidRPr="00CA4889">
      <w:rPr>
        <w:rFonts w:ascii="Arial" w:hAnsi="Arial" w:cs="Arial"/>
        <w:b/>
        <w:sz w:val="48"/>
      </w:rPr>
      <w:t>EN</w:t>
    </w:r>
    <w:r w:rsidRPr="00CA4889">
      <w:rPr>
        <w:rFonts w:ascii="Arial" w:hAnsi="Arial" w:cs="Arial"/>
        <w:b/>
        <w:sz w:val="48"/>
      </w:rPr>
      <w:tab/>
    </w:r>
    <w:r w:rsidRPr="00CA4889">
      <w:rPr>
        <w:rFonts w:ascii="Arial" w:hAnsi="Arial" w:cs="Arial"/>
        <w:b/>
        <w:sz w:val="48"/>
      </w:rPr>
      <w:tab/>
    </w:r>
    <w:r w:rsidRPr="00CA4889">
      <w:tab/>
    </w:r>
    <w:r w:rsidRPr="00CA488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DE284" w14:textId="47268470" w:rsidR="00CA4889" w:rsidRPr="00CA4889" w:rsidRDefault="00CA4889" w:rsidP="00CA4889">
    <w:pPr>
      <w:pStyle w:val="FooterCoverPage"/>
      <w:rPr>
        <w:rFonts w:ascii="Arial" w:hAnsi="Arial" w:cs="Arial"/>
        <w:b/>
        <w:sz w:val="48"/>
      </w:rPr>
    </w:pPr>
    <w:r w:rsidRPr="00CA4889">
      <w:rPr>
        <w:rFonts w:ascii="Arial" w:hAnsi="Arial" w:cs="Arial"/>
        <w:b/>
        <w:sz w:val="48"/>
      </w:rPr>
      <w:t>EN</w:t>
    </w:r>
    <w:r w:rsidRPr="00CA4889">
      <w:rPr>
        <w:rFonts w:ascii="Arial" w:hAnsi="Arial" w:cs="Arial"/>
        <w:b/>
        <w:sz w:val="48"/>
      </w:rPr>
      <w:tab/>
    </w:r>
    <w:r w:rsidRPr="00CA4889">
      <w:rPr>
        <w:rFonts w:ascii="Arial" w:hAnsi="Arial" w:cs="Arial"/>
        <w:b/>
        <w:sz w:val="48"/>
      </w:rPr>
      <w:tab/>
    </w:r>
    <w:r w:rsidRPr="00CA4889">
      <w:tab/>
    </w:r>
    <w:r w:rsidRPr="00CA488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76406" w14:textId="77777777" w:rsidR="00CA4889" w:rsidRPr="00CA4889" w:rsidRDefault="00CA4889" w:rsidP="00CA488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C27FC" w14:textId="77777777" w:rsidR="0045167D" w:rsidRPr="00E60E42" w:rsidRDefault="0045167D">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62751242"/>
      <w:docPartObj>
        <w:docPartGallery w:val="Page Numbers (Bottom of Page)"/>
        <w:docPartUnique/>
      </w:docPartObj>
    </w:sdtPr>
    <w:sdtEndPr/>
    <w:sdtContent>
      <w:p w14:paraId="483C9B23" w14:textId="2F42E295" w:rsidR="0045167D" w:rsidRPr="00E60E42" w:rsidRDefault="0045167D">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00CA4889">
          <w:rPr>
            <w:noProof/>
            <w:lang w:val="en-GB"/>
          </w:rPr>
          <w:t>2</w:t>
        </w:r>
        <w:r w:rsidRPr="00E60E42">
          <w:rPr>
            <w:lang w:val="en-GB"/>
          </w:rPr>
          <w:fldChar w:fldCharType="end"/>
        </w:r>
      </w:p>
    </w:sdtContent>
  </w:sdt>
  <w:p w14:paraId="141A8CA1" w14:textId="77777777" w:rsidR="0045167D" w:rsidRPr="00E60E42" w:rsidRDefault="0045167D" w:rsidP="0045167D">
    <w:pPr>
      <w:pStyle w:val="Footer"/>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E114A" w14:textId="77777777" w:rsidR="0045167D" w:rsidRPr="00E60E42" w:rsidRDefault="0045167D">
    <w:pPr>
      <w:pStyle w:val="Footer"/>
      <w:rPr>
        <w:lang w:val="en-GB"/>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8" w14:textId="77777777" w:rsidR="004E39F6" w:rsidRPr="00E60E42" w:rsidRDefault="004E39F6">
    <w:pPr>
      <w:pStyle w:val="Footer"/>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31720782"/>
      <w:docPartObj>
        <w:docPartGallery w:val="Page Numbers (Bottom of Page)"/>
        <w:docPartUnique/>
      </w:docPartObj>
    </w:sdtPr>
    <w:sdtEndPr/>
    <w:sdtContent>
      <w:p w14:paraId="04AADB76" w14:textId="0FD6C2FC" w:rsidR="0045167D" w:rsidRPr="00E60E42" w:rsidRDefault="0045167D">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00CA4889">
          <w:rPr>
            <w:noProof/>
            <w:lang w:val="en-GB"/>
          </w:rPr>
          <w:t>3</w:t>
        </w:r>
        <w:r w:rsidRPr="00E60E42">
          <w:rPr>
            <w:lang w:val="en-GB"/>
          </w:rPr>
          <w:fldChar w:fldCharType="end"/>
        </w:r>
      </w:p>
    </w:sdtContent>
  </w:sdt>
  <w:p w14:paraId="1E0ED3F5" w14:textId="77777777" w:rsidR="00963C9E" w:rsidRPr="00E60E42" w:rsidRDefault="00963C9E" w:rsidP="0045167D">
    <w:pPr>
      <w:pStyle w:val="Footer"/>
      <w:rPr>
        <w:lang w:val="en-GB"/>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7" w14:textId="77777777" w:rsidR="004E39F6" w:rsidRPr="00E60E42" w:rsidRDefault="004E39F6">
    <w:pPr>
      <w:pStyle w:val="Footer"/>
      <w:rPr>
        <w:lang w:val="en-GB"/>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A" w14:textId="77777777" w:rsidR="004E39F6" w:rsidRPr="00E60E42" w:rsidRDefault="004E39F6">
    <w:pPr>
      <w:pStyle w:val="Footer"/>
      <w:rPr>
        <w:lang w:val="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30005469"/>
      <w:docPartObj>
        <w:docPartGallery w:val="Page Numbers (Bottom of Page)"/>
        <w:docPartUnique/>
      </w:docPartObj>
    </w:sdtPr>
    <w:sdtEndPr/>
    <w:sdtContent>
      <w:p w14:paraId="1F33AAB7" w14:textId="773DDF95" w:rsidR="0045167D" w:rsidRPr="00E60E42" w:rsidRDefault="0045167D">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07" w14:textId="77777777" w:rsidR="00963C9E" w:rsidRPr="00E60E42" w:rsidRDefault="00963C9E" w:rsidP="0045167D">
    <w:pPr>
      <w:pStyle w:val="Footer"/>
      <w:rPr>
        <w:lang w:val="en-GB"/>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9" w14:textId="77777777" w:rsidR="004E39F6" w:rsidRPr="00E60E42" w:rsidRDefault="004E39F6">
    <w:pPr>
      <w:pStyle w:val="Footer"/>
      <w:rPr>
        <w:lang w:val="en-GB"/>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C" w14:textId="77777777" w:rsidR="004E39F6" w:rsidRPr="00E60E42" w:rsidRDefault="004E39F6">
    <w:pPr>
      <w:pStyle w:val="Footer"/>
      <w:rPr>
        <w:lang w:val="en-GB"/>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01738798"/>
      <w:docPartObj>
        <w:docPartGallery w:val="Page Numbers (Bottom of Page)"/>
        <w:docPartUnique/>
      </w:docPartObj>
    </w:sdtPr>
    <w:sdtEndPr/>
    <w:sdtContent>
      <w:p w14:paraId="1F255FD7" w14:textId="11B7E0DD" w:rsidR="00AB2D9C" w:rsidRPr="00E60E42" w:rsidRDefault="00AB2D9C">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19" w14:textId="77777777" w:rsidR="00963C9E" w:rsidRPr="00E60E42" w:rsidRDefault="00963C9E" w:rsidP="00AB2D9C">
    <w:pPr>
      <w:pStyle w:val="Footer"/>
      <w:rPr>
        <w:lang w:val="en-GB"/>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B" w14:textId="77777777" w:rsidR="004E39F6" w:rsidRPr="00E60E42" w:rsidRDefault="004E39F6">
    <w:pPr>
      <w:pStyle w:val="Footer"/>
      <w:rPr>
        <w:lang w:val="en-GB"/>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E" w14:textId="77777777" w:rsidR="004E39F6" w:rsidRPr="00E60E42" w:rsidRDefault="004E39F6">
    <w:pPr>
      <w:pStyle w:val="Footer"/>
      <w:rPr>
        <w:lang w:val="en-GB"/>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94084113"/>
      <w:docPartObj>
        <w:docPartGallery w:val="Page Numbers (Bottom of Page)"/>
        <w:docPartUnique/>
      </w:docPartObj>
    </w:sdtPr>
    <w:sdtEndPr/>
    <w:sdtContent>
      <w:p w14:paraId="0C477213" w14:textId="1E9AEC98" w:rsidR="00AB2D9C" w:rsidRPr="00E60E42" w:rsidRDefault="00AB2D9C">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2B" w14:textId="77777777" w:rsidR="00963C9E" w:rsidRPr="00E60E42" w:rsidRDefault="00963C9E" w:rsidP="00AB2D9C">
    <w:pPr>
      <w:pStyle w:val="Footer"/>
      <w:rPr>
        <w:lang w:val="en-GB"/>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D" w14:textId="77777777" w:rsidR="004E39F6" w:rsidRPr="00E60E42" w:rsidRDefault="004E39F6">
    <w:pPr>
      <w:pStyle w:val="Footer"/>
      <w:rPr>
        <w:lang w:val="en-GB"/>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0" w14:textId="77777777" w:rsidR="004E39F6" w:rsidRPr="00E60E42" w:rsidRDefault="004E39F6">
    <w:pPr>
      <w:pStyle w:val="Footer"/>
      <w:rPr>
        <w:lang w:val="en-GB"/>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97064074"/>
      <w:docPartObj>
        <w:docPartGallery w:val="Page Numbers (Bottom of Page)"/>
        <w:docPartUnique/>
      </w:docPartObj>
    </w:sdtPr>
    <w:sdtEndPr/>
    <w:sdtContent>
      <w:p w14:paraId="6D200E53" w14:textId="0BEA6DD7" w:rsidR="00AB2D9C" w:rsidRPr="00E60E42" w:rsidRDefault="00AB2D9C">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3D" w14:textId="77777777" w:rsidR="00963C9E" w:rsidRPr="00E60E42" w:rsidRDefault="00963C9E" w:rsidP="00AB2D9C">
    <w:pPr>
      <w:pStyle w:val="Footer"/>
      <w:rPr>
        <w:lang w:val="en-GB"/>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F" w14:textId="77777777" w:rsidR="004E39F6" w:rsidRPr="00E60E42" w:rsidRDefault="004E39F6">
    <w:pPr>
      <w:pStyle w:val="Footer"/>
      <w:rPr>
        <w:lang w:val="en-GB"/>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2" w14:textId="77777777" w:rsidR="004E39F6" w:rsidRPr="00E60E42" w:rsidRDefault="004E39F6">
    <w:pPr>
      <w:pStyle w:val="Footer"/>
      <w:rPr>
        <w:lang w:val="en-GB"/>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17212500"/>
      <w:docPartObj>
        <w:docPartGallery w:val="Page Numbers (Bottom of Page)"/>
        <w:docPartUnique/>
      </w:docPartObj>
    </w:sdtPr>
    <w:sdtEndPr/>
    <w:sdtContent>
      <w:p w14:paraId="19053C54" w14:textId="5F119751" w:rsidR="00AB2D9C" w:rsidRPr="00E60E42" w:rsidRDefault="00AB2D9C">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4F" w14:textId="77777777" w:rsidR="00963C9E" w:rsidRPr="00E60E42" w:rsidRDefault="00963C9E" w:rsidP="00AB2D9C">
    <w:pPr>
      <w:pStyle w:val="Footer"/>
      <w:rPr>
        <w:lang w:val="en-GB"/>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1" w14:textId="77777777" w:rsidR="004E39F6" w:rsidRPr="00E60E42" w:rsidRDefault="004E39F6">
    <w:pPr>
      <w:pStyle w:val="Footer"/>
      <w:rPr>
        <w:lang w:val="en-GB"/>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4" w14:textId="77777777" w:rsidR="004E39F6" w:rsidRPr="00E60E42" w:rsidRDefault="004E39F6">
    <w:pPr>
      <w:pStyle w:val="Footer"/>
      <w:rPr>
        <w:lang w:val="en-GB"/>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36170589"/>
      <w:docPartObj>
        <w:docPartGallery w:val="Page Numbers (Bottom of Page)"/>
        <w:docPartUnique/>
      </w:docPartObj>
    </w:sdtPr>
    <w:sdtEndPr/>
    <w:sdtContent>
      <w:p w14:paraId="795C698A" w14:textId="79CCC961" w:rsidR="00AB2D9C" w:rsidRPr="00E60E42" w:rsidRDefault="00AB2D9C">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61" w14:textId="77777777" w:rsidR="00963C9E" w:rsidRPr="00E60E42" w:rsidRDefault="00963C9E" w:rsidP="00AB2D9C">
    <w:pPr>
      <w:pStyle w:val="Footer"/>
      <w:rPr>
        <w:lang w:val="en-GB"/>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3" w14:textId="77777777" w:rsidR="004E39F6" w:rsidRPr="00E60E42" w:rsidRDefault="004E39F6">
    <w:pPr>
      <w:pStyle w:val="Footer"/>
      <w:rPr>
        <w:lang w:val="en-GB"/>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6" w14:textId="77777777" w:rsidR="004E39F6" w:rsidRPr="00E60E42" w:rsidRDefault="004E39F6">
    <w:pPr>
      <w:pStyle w:val="Footer"/>
      <w:rPr>
        <w:lang w:val="en-GB"/>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15422286"/>
      <w:docPartObj>
        <w:docPartGallery w:val="Page Numbers (Bottom of Page)"/>
        <w:docPartUnique/>
      </w:docPartObj>
    </w:sdtPr>
    <w:sdtEndPr/>
    <w:sdtContent>
      <w:p w14:paraId="60E18E5D" w14:textId="65BB415D" w:rsidR="00AB2D9C" w:rsidRPr="00E60E42" w:rsidRDefault="00AB2D9C">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73" w14:textId="77777777" w:rsidR="00963C9E" w:rsidRPr="00E60E42" w:rsidRDefault="00963C9E" w:rsidP="00AB2D9C">
    <w:pPr>
      <w:pStyle w:val="Footer"/>
      <w:rPr>
        <w:lang w:val="en-GB"/>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5" w14:textId="77777777" w:rsidR="004E39F6" w:rsidRPr="00E60E42" w:rsidRDefault="004E39F6">
    <w:pPr>
      <w:pStyle w:val="Footer"/>
      <w:rPr>
        <w:lang w:val="en-GB"/>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8" w14:textId="77777777" w:rsidR="004E39F6" w:rsidRPr="00E60E42" w:rsidRDefault="004E39F6">
    <w:pPr>
      <w:pStyle w:val="Footer"/>
      <w:rPr>
        <w:lang w:val="en-GB"/>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63168610"/>
      <w:docPartObj>
        <w:docPartGallery w:val="Page Numbers (Bottom of Page)"/>
        <w:docPartUnique/>
      </w:docPartObj>
    </w:sdtPr>
    <w:sdtEndPr/>
    <w:sdtContent>
      <w:p w14:paraId="1B29207B" w14:textId="4B8FA247" w:rsidR="00D150EA" w:rsidRPr="00E60E42" w:rsidRDefault="00D150EA">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85" w14:textId="77777777" w:rsidR="00963C9E" w:rsidRPr="00E60E42" w:rsidRDefault="00963C9E" w:rsidP="00D150EA">
    <w:pPr>
      <w:pStyle w:val="Footer"/>
      <w:rPr>
        <w:lang w:val="en-GB"/>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7" w14:textId="77777777" w:rsidR="004E39F6" w:rsidRPr="00E60E42" w:rsidRDefault="004E39F6">
    <w:pPr>
      <w:pStyle w:val="Footer"/>
      <w:rPr>
        <w:lang w:val="en-GB"/>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A" w14:textId="77777777" w:rsidR="004E39F6" w:rsidRPr="00E60E42" w:rsidRDefault="004E39F6">
    <w:pPr>
      <w:pStyle w:val="Footer"/>
      <w:rPr>
        <w:lang w:val="en-GB"/>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78688788"/>
      <w:docPartObj>
        <w:docPartGallery w:val="Page Numbers (Bottom of Page)"/>
        <w:docPartUnique/>
      </w:docPartObj>
    </w:sdtPr>
    <w:sdtEndPr/>
    <w:sdtContent>
      <w:p w14:paraId="4A97CE5F" w14:textId="0CD952E7" w:rsidR="00D150EA" w:rsidRPr="00E60E42" w:rsidRDefault="00D150EA">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97" w14:textId="77777777" w:rsidR="00963C9E" w:rsidRPr="00E60E42" w:rsidRDefault="00963C9E" w:rsidP="00D150EA">
    <w:pPr>
      <w:pStyle w:val="Footer"/>
      <w:rPr>
        <w:lang w:val="en-GB"/>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9" w14:textId="77777777" w:rsidR="004E39F6" w:rsidRPr="00E60E42" w:rsidRDefault="004E39F6">
    <w:pPr>
      <w:pStyle w:val="Footer"/>
      <w:rPr>
        <w:lang w:val="en-GB"/>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C" w14:textId="77777777" w:rsidR="004E39F6" w:rsidRPr="00E60E42" w:rsidRDefault="004E39F6">
    <w:pPr>
      <w:pStyle w:val="Footer"/>
      <w:rPr>
        <w:lang w:val="en-GB"/>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84714367"/>
      <w:docPartObj>
        <w:docPartGallery w:val="Page Numbers (Bottom of Page)"/>
        <w:docPartUnique/>
      </w:docPartObj>
    </w:sdtPr>
    <w:sdtEndPr/>
    <w:sdtContent>
      <w:p w14:paraId="4861A8E7" w14:textId="29334712" w:rsidR="00D150EA" w:rsidRPr="00E60E42" w:rsidRDefault="00D150EA">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A9" w14:textId="77777777" w:rsidR="00963C9E" w:rsidRPr="00E60E42" w:rsidRDefault="00963C9E" w:rsidP="00D150EA">
    <w:pPr>
      <w:pStyle w:val="Footer"/>
      <w:rPr>
        <w:lang w:val="en-GB"/>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B" w14:textId="77777777" w:rsidR="004E39F6" w:rsidRPr="00E60E42" w:rsidRDefault="004E39F6">
    <w:pPr>
      <w:pStyle w:val="Footer"/>
      <w:rPr>
        <w:lang w:val="en-GB"/>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E" w14:textId="77777777" w:rsidR="004E39F6" w:rsidRPr="00E60E42" w:rsidRDefault="004E39F6">
    <w:pPr>
      <w:pStyle w:val="Footer"/>
      <w:rPr>
        <w:lang w:val="en-GB"/>
      </w:rP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85943908"/>
      <w:docPartObj>
        <w:docPartGallery w:val="Page Numbers (Bottom of Page)"/>
        <w:docPartUnique/>
      </w:docPartObj>
    </w:sdtPr>
    <w:sdtEndPr/>
    <w:sdtContent>
      <w:p w14:paraId="62FA4D93" w14:textId="5039DBCF" w:rsidR="00D150EA" w:rsidRPr="00E60E42" w:rsidRDefault="00D150EA">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BB" w14:textId="77777777" w:rsidR="00963C9E" w:rsidRPr="00E60E42" w:rsidRDefault="00963C9E" w:rsidP="00D150EA">
    <w:pPr>
      <w:pStyle w:val="Footer"/>
      <w:rPr>
        <w:lang w:val="en-GB"/>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D" w14:textId="77777777" w:rsidR="004E39F6" w:rsidRPr="00E60E42" w:rsidRDefault="004E39F6">
    <w:pPr>
      <w:pStyle w:val="Footer"/>
      <w:rPr>
        <w:lang w:val="en-GB"/>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0" w14:textId="77777777" w:rsidR="004E39F6" w:rsidRPr="00E60E42" w:rsidRDefault="004E39F6">
    <w:pPr>
      <w:pStyle w:val="Footer"/>
      <w:rPr>
        <w:lang w:val="en-GB"/>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18910204"/>
      <w:docPartObj>
        <w:docPartGallery w:val="Page Numbers (Bottom of Page)"/>
        <w:docPartUnique/>
      </w:docPartObj>
    </w:sdtPr>
    <w:sdtEndPr/>
    <w:sdtContent>
      <w:p w14:paraId="751C7BED" w14:textId="2500B5E0" w:rsidR="004B4DA2" w:rsidRPr="00E60E42" w:rsidRDefault="004B4DA2">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CD" w14:textId="77777777" w:rsidR="00963C9E" w:rsidRPr="00E60E42" w:rsidRDefault="00963C9E" w:rsidP="004B4DA2">
    <w:pPr>
      <w:pStyle w:val="Footer"/>
      <w:rPr>
        <w:lang w:val="en-GB"/>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F" w14:textId="77777777" w:rsidR="004E39F6" w:rsidRPr="00E60E42" w:rsidRDefault="004E39F6">
    <w:pPr>
      <w:pStyle w:val="Footer"/>
      <w:rPr>
        <w:lang w:val="en-GB"/>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2" w14:textId="77777777" w:rsidR="004E39F6" w:rsidRPr="00E60E42" w:rsidRDefault="004E39F6">
    <w:pPr>
      <w:pStyle w:val="Footer"/>
      <w:rPr>
        <w:lang w:val="en-GB"/>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90724854"/>
      <w:docPartObj>
        <w:docPartGallery w:val="Page Numbers (Bottom of Page)"/>
        <w:docPartUnique/>
      </w:docPartObj>
    </w:sdtPr>
    <w:sdtEndPr/>
    <w:sdtContent>
      <w:p w14:paraId="6816E401" w14:textId="4471A32E" w:rsidR="004B4DA2" w:rsidRPr="00E60E42" w:rsidRDefault="004B4DA2">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1E0ED4DF" w14:textId="77777777" w:rsidR="00963C9E" w:rsidRPr="00E60E42" w:rsidRDefault="00963C9E" w:rsidP="004B4DA2">
    <w:pPr>
      <w:pStyle w:val="Footer"/>
      <w:rPr>
        <w:lang w:val="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1" w14:textId="77777777" w:rsidR="004E39F6" w:rsidRPr="00E60E42" w:rsidRDefault="004E39F6">
    <w:pPr>
      <w:pStyle w:val="Footer"/>
      <w:rPr>
        <w:lang w:val="en-GB"/>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3" w14:textId="77777777" w:rsidR="004E39F6" w:rsidRPr="00E60E42" w:rsidRDefault="004E39F6">
    <w:pPr>
      <w:pStyle w:val="Footer"/>
      <w:rPr>
        <w:lang w:val="en-GB"/>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66916171"/>
      <w:docPartObj>
        <w:docPartGallery w:val="Page Numbers (Bottom of Page)"/>
        <w:docPartUnique/>
      </w:docPartObj>
    </w:sdtPr>
    <w:sdtEndPr/>
    <w:sdtContent>
      <w:p w14:paraId="3BC52C91" w14:textId="28A24A81" w:rsidR="004B4DA2" w:rsidRPr="00E60E42" w:rsidRDefault="004B4DA2">
        <w:pPr>
          <w:pStyle w:val="Footer"/>
          <w:jc w:val="center"/>
          <w:rPr>
            <w:lang w:val="en-GB"/>
          </w:rPr>
        </w:pPr>
        <w:r w:rsidRPr="00E60E42">
          <w:rPr>
            <w:lang w:val="en-GB"/>
          </w:rPr>
          <w:fldChar w:fldCharType="begin"/>
        </w:r>
        <w:r w:rsidRPr="00E60E42">
          <w:rPr>
            <w:lang w:val="en-GB"/>
          </w:rPr>
          <w:instrText xml:space="preserve"> PAGE   \* MERGEFORMAT </w:instrText>
        </w:r>
        <w:r w:rsidRPr="00E60E42">
          <w:rPr>
            <w:lang w:val="en-GB"/>
          </w:rPr>
          <w:fldChar w:fldCharType="separate"/>
        </w:r>
        <w:r w:rsidRPr="00E60E42">
          <w:rPr>
            <w:lang w:val="en-GB"/>
          </w:rPr>
          <w:t>2</w:t>
        </w:r>
        <w:r w:rsidRPr="00E60E42">
          <w:rPr>
            <w:lang w:val="en-GB"/>
          </w:rPr>
          <w:fldChar w:fldCharType="end"/>
        </w:r>
      </w:p>
    </w:sdtContent>
  </w:sdt>
  <w:p w14:paraId="7547AAE5" w14:textId="77777777" w:rsidR="0045167D" w:rsidRPr="00E60E42" w:rsidRDefault="0045167D" w:rsidP="004B4DA2">
    <w:pPr>
      <w:pStyle w:val="Footer"/>
      <w:rPr>
        <w:lang w:val="en-GB"/>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5" w14:textId="77777777" w:rsidR="004E39F6" w:rsidRPr="00E60E42" w:rsidRDefault="004E39F6">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A4171" w14:textId="77777777" w:rsidR="00ED084F" w:rsidRPr="00E60E42" w:rsidRDefault="00ED084F" w:rsidP="0048758A">
      <w:pPr>
        <w:spacing w:after="0" w:line="240" w:lineRule="auto"/>
      </w:pPr>
      <w:r w:rsidRPr="00E60E42">
        <w:separator/>
      </w:r>
    </w:p>
  </w:footnote>
  <w:footnote w:type="continuationSeparator" w:id="0">
    <w:p w14:paraId="055EF1F5" w14:textId="77777777" w:rsidR="00ED084F" w:rsidRPr="00E60E42" w:rsidRDefault="00ED084F" w:rsidP="0048758A">
      <w:pPr>
        <w:spacing w:after="0" w:line="240" w:lineRule="auto"/>
      </w:pPr>
      <w:r w:rsidRPr="00E60E42">
        <w:continuationSeparator/>
      </w:r>
    </w:p>
  </w:footnote>
  <w:footnote w:id="1">
    <w:p w14:paraId="1E0ED4E6" w14:textId="77777777" w:rsidR="004E39F6" w:rsidRPr="00E60E42" w:rsidRDefault="00A35BEA" w:rsidP="00E1758D">
      <w:pPr>
        <w:pStyle w:val="FootnoteText"/>
        <w:ind w:left="284" w:hanging="284"/>
        <w:jc w:val="both"/>
        <w:rPr>
          <w:rFonts w:ascii="Times New Roman" w:hAnsi="Times New Roman" w:cs="Times New Roman"/>
        </w:rPr>
      </w:pPr>
      <w:r w:rsidRPr="00E60E42">
        <w:rPr>
          <w:rStyle w:val="FootnoteReference"/>
        </w:rPr>
        <w:footnoteRef/>
      </w:r>
      <w:r w:rsidRPr="00E60E42">
        <w:t xml:space="preserve"> </w:t>
      </w:r>
      <w:r w:rsidRPr="00E60E42">
        <w:tab/>
      </w:r>
      <w:r w:rsidRPr="00E60E42">
        <w:rPr>
          <w:rFonts w:ascii="Times New Roman" w:hAnsi="Times New Roman" w:cs="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
    <w:p w14:paraId="1E0ED4E7" w14:textId="77777777" w:rsidR="004E39F6" w:rsidRPr="00E60E42" w:rsidRDefault="00A35BEA" w:rsidP="00E1758D">
      <w:pPr>
        <w:pStyle w:val="FootnoteText"/>
        <w:ind w:left="284" w:hanging="284"/>
        <w:jc w:val="both"/>
        <w:rPr>
          <w:rFonts w:ascii="Times New Roman" w:hAnsi="Times New Roman" w:cs="Times New Roman"/>
        </w:rPr>
      </w:pPr>
      <w:r w:rsidRPr="00E60E42">
        <w:rPr>
          <w:rStyle w:val="FootnoteReference"/>
          <w:rFonts w:ascii="Times New Roman" w:hAnsi="Times New Roman" w:cs="Times New Roman"/>
        </w:rPr>
        <w:footnoteRef/>
      </w:r>
      <w:r w:rsidRPr="00E60E42">
        <w:rPr>
          <w:rFonts w:ascii="Times New Roman" w:hAnsi="Times New Roman" w:cs="Times New Roman"/>
        </w:rPr>
        <w:t xml:space="preserve"> </w:t>
      </w:r>
      <w:r w:rsidRPr="00E60E42">
        <w:rPr>
          <w:rFonts w:ascii="Times New Roman" w:hAnsi="Times New Roman" w:cs="Times New Roman"/>
        </w:rPr>
        <w:tab/>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3">
    <w:p w14:paraId="1E0ED4E8" w14:textId="77777777" w:rsidR="004E39F6" w:rsidRPr="00E60E42" w:rsidRDefault="00A35BEA" w:rsidP="00E1758D">
      <w:pPr>
        <w:pStyle w:val="FootnoteText"/>
        <w:ind w:left="284" w:hanging="284"/>
        <w:jc w:val="both"/>
        <w:rPr>
          <w:rFonts w:ascii="Times New Roman" w:hAnsi="Times New Roman" w:cs="Times New Roman"/>
        </w:rPr>
      </w:pPr>
      <w:r w:rsidRPr="00E60E42">
        <w:rPr>
          <w:rStyle w:val="FootnoteReference"/>
          <w:rFonts w:ascii="Times New Roman" w:hAnsi="Times New Roman" w:cs="Times New Roman"/>
        </w:rPr>
        <w:footnoteRef/>
      </w:r>
      <w:r w:rsidRPr="00E60E42">
        <w:rPr>
          <w:rFonts w:ascii="Times New Roman" w:hAnsi="Times New Roman" w:cs="Times New Roman"/>
        </w:rPr>
        <w:t xml:space="preserve"> </w:t>
      </w:r>
      <w:r w:rsidRPr="00E60E42">
        <w:rPr>
          <w:rFonts w:ascii="Times New Roman" w:hAnsi="Times New Roman" w:cs="Times New Roman"/>
        </w:rPr>
        <w:tab/>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
    <w:p w14:paraId="1E0ED4E9" w14:textId="77777777" w:rsidR="004E39F6" w:rsidRPr="00E1758D" w:rsidRDefault="00A35BEA" w:rsidP="00E1758D">
      <w:pPr>
        <w:pStyle w:val="FootnoteText"/>
        <w:ind w:left="284" w:hanging="284"/>
        <w:jc w:val="both"/>
        <w:rPr>
          <w:rFonts w:ascii="Times New Roman" w:hAnsi="Times New Roman" w:cs="Times New Roman"/>
          <w:lang w:val="en-IE"/>
        </w:rPr>
      </w:pPr>
      <w:r w:rsidRPr="00E60E42">
        <w:rPr>
          <w:rStyle w:val="FootnoteReference"/>
          <w:rFonts w:ascii="Times New Roman" w:hAnsi="Times New Roman" w:cs="Times New Roman"/>
        </w:rPr>
        <w:footnoteRef/>
      </w:r>
      <w:r w:rsidRPr="00E60E42">
        <w:rPr>
          <w:rFonts w:ascii="Times New Roman" w:hAnsi="Times New Roman" w:cs="Times New Roman"/>
        </w:rPr>
        <w:t xml:space="preserve"> </w:t>
      </w:r>
      <w:r w:rsidRPr="00E60E42">
        <w:rPr>
          <w:rFonts w:ascii="Times New Roman" w:hAnsi="Times New Roman" w:cs="Times New Roman"/>
        </w:rPr>
        <w:tab/>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A6F23" w14:textId="77777777" w:rsidR="00CA4889" w:rsidRPr="00CA4889" w:rsidRDefault="00CA4889" w:rsidP="00CA488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4D35" w14:textId="77777777" w:rsidR="00CA4889" w:rsidRPr="00CA4889" w:rsidRDefault="00CA4889" w:rsidP="00CA488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D3BE1" w14:textId="77777777" w:rsidR="00CA4889" w:rsidRPr="00CA4889" w:rsidRDefault="00CA4889" w:rsidP="00CA488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2F338" w14:textId="77777777" w:rsidR="0045167D" w:rsidRPr="00E60E42" w:rsidRDefault="0045167D">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1CA30" w14:textId="77777777" w:rsidR="0045167D" w:rsidRPr="00E60E42" w:rsidRDefault="0045167D">
    <w:r w:rsidRPr="00E60E42">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B7BA0" w14:textId="77777777" w:rsidR="0045167D" w:rsidRPr="00E60E42" w:rsidRDefault="0045167D">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6" w14:textId="77777777" w:rsidR="004E39F6" w:rsidRPr="00E60E42" w:rsidRDefault="004E39F6">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7" w14:textId="77777777" w:rsidR="00963C9E" w:rsidRPr="00E60E42" w:rsidRDefault="00A35BEA">
    <w:r w:rsidRPr="00E60E42">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6" w14:textId="77777777" w:rsidR="004E39F6" w:rsidRPr="00E60E42" w:rsidRDefault="004E39F6">
    <w:pPr>
      <w:pStyle w:val="Header"/>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8" w14:textId="77777777" w:rsidR="004E39F6" w:rsidRPr="00E60E42" w:rsidRDefault="004E39F6">
    <w:pPr>
      <w:pStyle w:val="Header"/>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9" w14:textId="77777777" w:rsidR="00963C9E" w:rsidRPr="00E60E42" w:rsidRDefault="00A35BEA">
    <w:r w:rsidRPr="00E60E42">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8" w14:textId="77777777" w:rsidR="004E39F6" w:rsidRPr="00E60E42" w:rsidRDefault="004E39F6">
    <w:pPr>
      <w:pStyle w:val="Header"/>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A" w14:textId="77777777" w:rsidR="004E39F6" w:rsidRPr="00E60E42" w:rsidRDefault="004E39F6">
    <w:pPr>
      <w:pStyle w:val="Header"/>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B" w14:textId="77777777" w:rsidR="00963C9E" w:rsidRPr="00E60E42" w:rsidRDefault="00A35BEA">
    <w:r w:rsidRPr="00E60E42">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A" w14:textId="77777777" w:rsidR="004E39F6" w:rsidRPr="00E60E42" w:rsidRDefault="004E39F6">
    <w:pPr>
      <w:pStyle w:val="Header"/>
      <w:rPr>
        <w:lang w:val="en-GB"/>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C" w14:textId="77777777" w:rsidR="004E39F6" w:rsidRPr="00E60E42" w:rsidRDefault="004E39F6">
    <w:pPr>
      <w:pStyle w:val="Header"/>
      <w:rPr>
        <w:lang w:val="en-GB"/>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D" w14:textId="77777777" w:rsidR="00963C9E" w:rsidRPr="00E60E42" w:rsidRDefault="00A35BEA">
    <w:r w:rsidRPr="00E60E42">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C" w14:textId="77777777" w:rsidR="004E39F6" w:rsidRPr="00E60E42" w:rsidRDefault="004E39F6">
    <w:pPr>
      <w:pStyle w:val="Header"/>
      <w:rPr>
        <w:lang w:val="en-GB"/>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E" w14:textId="77777777" w:rsidR="004E39F6" w:rsidRPr="00E60E42" w:rsidRDefault="004E39F6">
    <w:pPr>
      <w:pStyle w:val="Header"/>
      <w:rPr>
        <w:lang w:val="en-GB"/>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F" w14:textId="77777777" w:rsidR="00963C9E" w:rsidRPr="00E60E42" w:rsidRDefault="00A35BEA">
    <w:r w:rsidRPr="00E60E42">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E" w14:textId="77777777" w:rsidR="004E39F6" w:rsidRPr="00E60E42" w:rsidRDefault="004E39F6">
    <w:pPr>
      <w:pStyle w:val="Header"/>
      <w:rPr>
        <w:lang w:val="en-GB"/>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0" w14:textId="77777777" w:rsidR="004E39F6" w:rsidRPr="00E60E42" w:rsidRDefault="004E39F6">
    <w:pPr>
      <w:pStyle w:val="Header"/>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1" w14:textId="77777777" w:rsidR="00963C9E" w:rsidRPr="00E60E42" w:rsidRDefault="00A35BEA">
    <w:r w:rsidRPr="00E60E42">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0" w14:textId="77777777" w:rsidR="004E39F6" w:rsidRPr="00E60E42" w:rsidRDefault="004E39F6">
    <w:pPr>
      <w:pStyle w:val="Header"/>
      <w:rPr>
        <w:lang w:val="en-GB"/>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2" w14:textId="77777777" w:rsidR="004E39F6" w:rsidRPr="00E60E42" w:rsidRDefault="004E39F6">
    <w:pPr>
      <w:pStyle w:val="Header"/>
      <w:rPr>
        <w:lang w:val="en-G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3" w14:textId="77777777" w:rsidR="00963C9E" w:rsidRPr="00E60E42" w:rsidRDefault="00A35BEA">
    <w:r w:rsidRPr="00E60E42">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2" w14:textId="77777777" w:rsidR="004E39F6" w:rsidRPr="00E60E42" w:rsidRDefault="004E39F6">
    <w:pPr>
      <w:pStyle w:val="Header"/>
      <w:rPr>
        <w:lang w:val="en-GB"/>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4" w14:textId="77777777" w:rsidR="004E39F6" w:rsidRPr="00E60E42" w:rsidRDefault="004E39F6">
    <w:pPr>
      <w:pStyle w:val="Header"/>
      <w:rPr>
        <w:lang w:val="en-GB"/>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5" w14:textId="77777777" w:rsidR="00963C9E" w:rsidRPr="00E60E42" w:rsidRDefault="00A35BEA">
    <w:r w:rsidRPr="00E60E42">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4" w14:textId="77777777" w:rsidR="004E39F6" w:rsidRPr="00E60E42" w:rsidRDefault="004E39F6">
    <w:pPr>
      <w:pStyle w:val="Header"/>
      <w:rPr>
        <w:lang w:val="en-GB"/>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6" w14:textId="77777777" w:rsidR="004E39F6" w:rsidRPr="00E60E42" w:rsidRDefault="004E39F6">
    <w:pPr>
      <w:pStyle w:val="Header"/>
      <w:rPr>
        <w:lang w:val="en-GB"/>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7" w14:textId="77777777" w:rsidR="00963C9E" w:rsidRPr="00E60E42" w:rsidRDefault="00A35BEA">
    <w:r w:rsidRPr="00E60E42">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6" w14:textId="77777777" w:rsidR="004E39F6" w:rsidRPr="00E60E42" w:rsidRDefault="004E39F6">
    <w:pPr>
      <w:pStyle w:val="Header"/>
      <w:rPr>
        <w:lang w:val="en-GB"/>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8" w14:textId="77777777" w:rsidR="004E39F6" w:rsidRPr="00E60E42" w:rsidRDefault="004E39F6">
    <w:pPr>
      <w:pStyle w:val="Header"/>
      <w:rPr>
        <w:lang w:val="en-GB"/>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9" w14:textId="77777777" w:rsidR="00963C9E" w:rsidRPr="00E60E42" w:rsidRDefault="00A35BEA">
    <w:r w:rsidRPr="00E60E42">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8" w14:textId="77777777" w:rsidR="004E39F6" w:rsidRPr="00E60E42" w:rsidRDefault="004E39F6">
    <w:pPr>
      <w:pStyle w:val="Header"/>
      <w:rPr>
        <w:lang w:val="en-GB"/>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A" w14:textId="77777777" w:rsidR="004E39F6" w:rsidRPr="00E60E42" w:rsidRDefault="004E39F6">
    <w:pPr>
      <w:pStyle w:val="Header"/>
      <w:rPr>
        <w:lang w:val="en-GB"/>
      </w:rP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B" w14:textId="77777777" w:rsidR="00963C9E" w:rsidRPr="00E60E42" w:rsidRDefault="00A35BEA">
    <w:r w:rsidRPr="00E60E42">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A" w14:textId="77777777" w:rsidR="004E39F6" w:rsidRPr="00E60E42" w:rsidRDefault="004E39F6">
    <w:pPr>
      <w:pStyle w:val="Header"/>
      <w:rPr>
        <w:lang w:val="en-GB"/>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C" w14:textId="77777777" w:rsidR="004E39F6" w:rsidRPr="00E60E42" w:rsidRDefault="004E39F6">
    <w:pPr>
      <w:pStyle w:val="Header"/>
      <w:rPr>
        <w:lang w:val="en-G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D" w14:textId="77777777" w:rsidR="00963C9E" w:rsidRPr="00E60E42" w:rsidRDefault="00A35BEA">
    <w:r w:rsidRPr="00E60E42">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C" w14:textId="77777777" w:rsidR="004E39F6" w:rsidRPr="00E60E42" w:rsidRDefault="004E39F6">
    <w:pPr>
      <w:pStyle w:val="Header"/>
      <w:rPr>
        <w:lang w:val="en-GB"/>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E" w14:textId="77777777" w:rsidR="004E39F6" w:rsidRPr="00E60E42" w:rsidRDefault="004E39F6">
    <w:pPr>
      <w:pStyle w:val="Header"/>
      <w:rPr>
        <w:lang w:val="en-GB"/>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F" w14:textId="77777777" w:rsidR="00963C9E" w:rsidRPr="00E60E42" w:rsidRDefault="00A35BEA">
    <w:r w:rsidRPr="00E60E42">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E" w14:textId="77777777" w:rsidR="004E39F6" w:rsidRPr="00E60E42" w:rsidRDefault="004E39F6">
    <w:pPr>
      <w:pStyle w:val="Header"/>
      <w:rPr>
        <w:lang w:val="en-GB"/>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0" w14:textId="77777777" w:rsidR="004E39F6" w:rsidRPr="00E60E42" w:rsidRDefault="004E39F6">
    <w:pPr>
      <w:pStyle w:val="Header"/>
      <w:rPr>
        <w:lang w:val="en-GB"/>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1" w14:textId="77777777" w:rsidR="00963C9E" w:rsidRPr="00E60E42" w:rsidRDefault="00A35BEA">
    <w:r w:rsidRPr="00E60E42">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0" w14:textId="77777777" w:rsidR="004E39F6" w:rsidRPr="00E60E42" w:rsidRDefault="004E39F6">
    <w:pPr>
      <w:pStyle w:val="Header"/>
      <w:rPr>
        <w:lang w:val="en-GB"/>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2" w14:textId="77777777" w:rsidR="004E39F6" w:rsidRPr="00E60E42" w:rsidRDefault="004E39F6">
    <w:pPr>
      <w:pStyle w:val="Header"/>
      <w:rPr>
        <w:lang w:val="en-GB"/>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F0F4" w14:textId="77777777" w:rsidR="0045167D" w:rsidRPr="00E60E42" w:rsidRDefault="0045167D">
    <w:r w:rsidRPr="00E60E42">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4" w14:textId="77777777" w:rsidR="004E39F6" w:rsidRPr="00E60E42" w:rsidRDefault="004E39F6">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C3C87B"/>
    <w:multiLevelType w:val="hybridMultilevel"/>
    <w:tmpl w:val="FFFFFFFF"/>
    <w:lvl w:ilvl="0" w:tplc="8A66F388">
      <w:start w:val="1"/>
      <w:numFmt w:val="decimal"/>
      <w:lvlText w:val="%1."/>
      <w:lvlJc w:val="left"/>
      <w:pPr>
        <w:ind w:left="720" w:hanging="360"/>
      </w:pPr>
    </w:lvl>
    <w:lvl w:ilvl="1" w:tplc="5FA49E40">
      <w:start w:val="1"/>
      <w:numFmt w:val="lowerLetter"/>
      <w:lvlText w:val="%2."/>
      <w:lvlJc w:val="left"/>
      <w:pPr>
        <w:ind w:left="1440" w:hanging="360"/>
      </w:pPr>
    </w:lvl>
    <w:lvl w:ilvl="2" w:tplc="673AB81A">
      <w:start w:val="1"/>
      <w:numFmt w:val="lowerRoman"/>
      <w:lvlText w:val="%3."/>
      <w:lvlJc w:val="right"/>
      <w:pPr>
        <w:ind w:left="2160" w:hanging="180"/>
      </w:pPr>
    </w:lvl>
    <w:lvl w:ilvl="3" w:tplc="5A086774">
      <w:start w:val="1"/>
      <w:numFmt w:val="decimal"/>
      <w:lvlText w:val="%4."/>
      <w:lvlJc w:val="left"/>
      <w:pPr>
        <w:ind w:left="2880" w:hanging="360"/>
      </w:pPr>
    </w:lvl>
    <w:lvl w:ilvl="4" w:tplc="35FEDC4A">
      <w:start w:val="1"/>
      <w:numFmt w:val="lowerLetter"/>
      <w:lvlText w:val="%5."/>
      <w:lvlJc w:val="left"/>
      <w:pPr>
        <w:ind w:left="3600" w:hanging="360"/>
      </w:pPr>
    </w:lvl>
    <w:lvl w:ilvl="5" w:tplc="C0283FBC">
      <w:start w:val="1"/>
      <w:numFmt w:val="lowerRoman"/>
      <w:lvlText w:val="%6."/>
      <w:lvlJc w:val="right"/>
      <w:pPr>
        <w:ind w:left="4320" w:hanging="180"/>
      </w:pPr>
    </w:lvl>
    <w:lvl w:ilvl="6" w:tplc="758841B6">
      <w:start w:val="1"/>
      <w:numFmt w:val="decimal"/>
      <w:lvlText w:val="%7."/>
      <w:lvlJc w:val="left"/>
      <w:pPr>
        <w:ind w:left="5040" w:hanging="360"/>
      </w:pPr>
    </w:lvl>
    <w:lvl w:ilvl="7" w:tplc="3C086934">
      <w:start w:val="1"/>
      <w:numFmt w:val="lowerLetter"/>
      <w:lvlText w:val="%8."/>
      <w:lvlJc w:val="left"/>
      <w:pPr>
        <w:ind w:left="5760" w:hanging="360"/>
      </w:pPr>
    </w:lvl>
    <w:lvl w:ilvl="8" w:tplc="61B82436">
      <w:start w:val="1"/>
      <w:numFmt w:val="lowerRoman"/>
      <w:lvlText w:val="%9."/>
      <w:lvlJc w:val="right"/>
      <w:pPr>
        <w:ind w:left="6480" w:hanging="180"/>
      </w:pPr>
    </w:lvl>
  </w:abstractNum>
  <w:abstractNum w:abstractNumId="5" w15:restartNumberingAfterBreak="0">
    <w:nsid w:val="046425DD"/>
    <w:multiLevelType w:val="hybridMultilevel"/>
    <w:tmpl w:val="A2483014"/>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D0780A"/>
    <w:multiLevelType w:val="hybridMultilevel"/>
    <w:tmpl w:val="F934EEBE"/>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8" w15:restartNumberingAfterBreak="0">
    <w:nsid w:val="1A073459"/>
    <w:multiLevelType w:val="hybridMultilevel"/>
    <w:tmpl w:val="FFFFFFFF"/>
    <w:lvl w:ilvl="0" w:tplc="123E4430">
      <w:start w:val="1"/>
      <w:numFmt w:val="decimal"/>
      <w:lvlText w:val="%1)"/>
      <w:lvlJc w:val="left"/>
      <w:pPr>
        <w:ind w:left="720" w:hanging="360"/>
      </w:pPr>
    </w:lvl>
    <w:lvl w:ilvl="1" w:tplc="7A324778">
      <w:start w:val="1"/>
      <w:numFmt w:val="lowerLetter"/>
      <w:lvlText w:val="%2."/>
      <w:lvlJc w:val="left"/>
      <w:pPr>
        <w:ind w:left="1440" w:hanging="360"/>
      </w:pPr>
    </w:lvl>
    <w:lvl w:ilvl="2" w:tplc="51FCA30A">
      <w:start w:val="1"/>
      <w:numFmt w:val="lowerRoman"/>
      <w:lvlText w:val="%3."/>
      <w:lvlJc w:val="right"/>
      <w:pPr>
        <w:ind w:left="2160" w:hanging="180"/>
      </w:pPr>
    </w:lvl>
    <w:lvl w:ilvl="3" w:tplc="5B149F68">
      <w:start w:val="1"/>
      <w:numFmt w:val="decimal"/>
      <w:lvlText w:val="%4."/>
      <w:lvlJc w:val="left"/>
      <w:pPr>
        <w:ind w:left="2880" w:hanging="360"/>
      </w:pPr>
    </w:lvl>
    <w:lvl w:ilvl="4" w:tplc="ED64A882">
      <w:start w:val="1"/>
      <w:numFmt w:val="lowerLetter"/>
      <w:lvlText w:val="%5."/>
      <w:lvlJc w:val="left"/>
      <w:pPr>
        <w:ind w:left="3600" w:hanging="360"/>
      </w:pPr>
    </w:lvl>
    <w:lvl w:ilvl="5" w:tplc="2E98FD7E">
      <w:start w:val="1"/>
      <w:numFmt w:val="lowerRoman"/>
      <w:lvlText w:val="%6."/>
      <w:lvlJc w:val="right"/>
      <w:pPr>
        <w:ind w:left="4320" w:hanging="180"/>
      </w:pPr>
    </w:lvl>
    <w:lvl w:ilvl="6" w:tplc="877AB83E">
      <w:start w:val="1"/>
      <w:numFmt w:val="decimal"/>
      <w:lvlText w:val="%7."/>
      <w:lvlJc w:val="left"/>
      <w:pPr>
        <w:ind w:left="5040" w:hanging="360"/>
      </w:pPr>
    </w:lvl>
    <w:lvl w:ilvl="7" w:tplc="AFD04244">
      <w:start w:val="1"/>
      <w:numFmt w:val="lowerLetter"/>
      <w:lvlText w:val="%8."/>
      <w:lvlJc w:val="left"/>
      <w:pPr>
        <w:ind w:left="5760" w:hanging="360"/>
      </w:pPr>
    </w:lvl>
    <w:lvl w:ilvl="8" w:tplc="91783B42">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7622F0"/>
    <w:multiLevelType w:val="hybridMultilevel"/>
    <w:tmpl w:val="0E286EA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27FF0"/>
    <w:multiLevelType w:val="hybridMultilevel"/>
    <w:tmpl w:val="EF228A1C"/>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0945C2"/>
    <w:multiLevelType w:val="hybridMultilevel"/>
    <w:tmpl w:val="CB169566"/>
    <w:lvl w:ilvl="0" w:tplc="EAF455E0">
      <w:start w:val="1"/>
      <w:numFmt w:val="decimal"/>
      <w:lvlText w:val="%1."/>
      <w:lvlJc w:val="left"/>
      <w:pPr>
        <w:ind w:left="720" w:hanging="360"/>
      </w:pPr>
    </w:lvl>
    <w:lvl w:ilvl="1" w:tplc="F5DCACF6">
      <w:start w:val="1"/>
      <w:numFmt w:val="lowerLetter"/>
      <w:lvlText w:val="%2."/>
      <w:lvlJc w:val="left"/>
      <w:pPr>
        <w:ind w:left="1440" w:hanging="360"/>
      </w:pPr>
    </w:lvl>
    <w:lvl w:ilvl="2" w:tplc="CC8C8BDC">
      <w:start w:val="1"/>
      <w:numFmt w:val="lowerRoman"/>
      <w:lvlText w:val="%3."/>
      <w:lvlJc w:val="right"/>
      <w:pPr>
        <w:ind w:left="2160" w:hanging="180"/>
      </w:pPr>
    </w:lvl>
    <w:lvl w:ilvl="3" w:tplc="EF7E4B18">
      <w:start w:val="1"/>
      <w:numFmt w:val="decimal"/>
      <w:lvlText w:val="%4."/>
      <w:lvlJc w:val="left"/>
      <w:pPr>
        <w:ind w:left="2880" w:hanging="360"/>
      </w:pPr>
    </w:lvl>
    <w:lvl w:ilvl="4" w:tplc="552E2408">
      <w:start w:val="1"/>
      <w:numFmt w:val="lowerLetter"/>
      <w:lvlText w:val="%5."/>
      <w:lvlJc w:val="left"/>
      <w:pPr>
        <w:ind w:left="3600" w:hanging="360"/>
      </w:pPr>
    </w:lvl>
    <w:lvl w:ilvl="5" w:tplc="A0D21BBE">
      <w:start w:val="1"/>
      <w:numFmt w:val="lowerRoman"/>
      <w:lvlText w:val="%6."/>
      <w:lvlJc w:val="right"/>
      <w:pPr>
        <w:ind w:left="4320" w:hanging="180"/>
      </w:pPr>
    </w:lvl>
    <w:lvl w:ilvl="6" w:tplc="B0C60D04">
      <w:start w:val="1"/>
      <w:numFmt w:val="decimal"/>
      <w:lvlText w:val="%7."/>
      <w:lvlJc w:val="left"/>
      <w:pPr>
        <w:ind w:left="5040" w:hanging="360"/>
      </w:pPr>
    </w:lvl>
    <w:lvl w:ilvl="7" w:tplc="94B202D4">
      <w:start w:val="1"/>
      <w:numFmt w:val="lowerLetter"/>
      <w:lvlText w:val="%8."/>
      <w:lvlJc w:val="left"/>
      <w:pPr>
        <w:ind w:left="5760" w:hanging="360"/>
      </w:pPr>
    </w:lvl>
    <w:lvl w:ilvl="8" w:tplc="E2C41580">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B1FAE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575552"/>
    <w:multiLevelType w:val="hybridMultilevel"/>
    <w:tmpl w:val="EFF090C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E2B597B"/>
    <w:multiLevelType w:val="hybridMultilevel"/>
    <w:tmpl w:val="3A764690"/>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510BAF"/>
    <w:multiLevelType w:val="hybridMultilevel"/>
    <w:tmpl w:val="EDDEF082"/>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078310E"/>
    <w:multiLevelType w:val="hybridMultilevel"/>
    <w:tmpl w:val="5D48E69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29" w15:restartNumberingAfterBreak="0">
    <w:nsid w:val="6221643F"/>
    <w:multiLevelType w:val="hybridMultilevel"/>
    <w:tmpl w:val="4868142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9925810"/>
    <w:multiLevelType w:val="hybridMultilevel"/>
    <w:tmpl w:val="2914455E"/>
    <w:lvl w:ilvl="0" w:tplc="7F683D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D6BDB3"/>
    <w:multiLevelType w:val="hybridMultilevel"/>
    <w:tmpl w:val="FFFFFFFF"/>
    <w:lvl w:ilvl="0" w:tplc="2D16EBCA">
      <w:start w:val="1"/>
      <w:numFmt w:val="decimal"/>
      <w:lvlText w:val="%1."/>
      <w:lvlJc w:val="left"/>
      <w:pPr>
        <w:ind w:left="720" w:hanging="360"/>
      </w:pPr>
    </w:lvl>
    <w:lvl w:ilvl="1" w:tplc="34308672">
      <w:start w:val="1"/>
      <w:numFmt w:val="lowerLetter"/>
      <w:lvlText w:val="%2."/>
      <w:lvlJc w:val="left"/>
      <w:pPr>
        <w:ind w:left="1440" w:hanging="360"/>
      </w:pPr>
    </w:lvl>
    <w:lvl w:ilvl="2" w:tplc="527CD6DE">
      <w:start w:val="1"/>
      <w:numFmt w:val="lowerRoman"/>
      <w:lvlText w:val="%3."/>
      <w:lvlJc w:val="right"/>
      <w:pPr>
        <w:ind w:left="2160" w:hanging="180"/>
      </w:pPr>
    </w:lvl>
    <w:lvl w:ilvl="3" w:tplc="A236814E">
      <w:start w:val="1"/>
      <w:numFmt w:val="decimal"/>
      <w:lvlText w:val="%4."/>
      <w:lvlJc w:val="left"/>
      <w:pPr>
        <w:ind w:left="2880" w:hanging="360"/>
      </w:pPr>
    </w:lvl>
    <w:lvl w:ilvl="4" w:tplc="111A6580">
      <w:start w:val="1"/>
      <w:numFmt w:val="lowerLetter"/>
      <w:lvlText w:val="%5."/>
      <w:lvlJc w:val="left"/>
      <w:pPr>
        <w:ind w:left="3600" w:hanging="360"/>
      </w:pPr>
    </w:lvl>
    <w:lvl w:ilvl="5" w:tplc="5FCA30C2">
      <w:start w:val="1"/>
      <w:numFmt w:val="lowerRoman"/>
      <w:lvlText w:val="%6."/>
      <w:lvlJc w:val="right"/>
      <w:pPr>
        <w:ind w:left="4320" w:hanging="180"/>
      </w:pPr>
    </w:lvl>
    <w:lvl w:ilvl="6" w:tplc="D0002A4C">
      <w:start w:val="1"/>
      <w:numFmt w:val="decimal"/>
      <w:lvlText w:val="%7."/>
      <w:lvlJc w:val="left"/>
      <w:pPr>
        <w:ind w:left="5040" w:hanging="360"/>
      </w:pPr>
    </w:lvl>
    <w:lvl w:ilvl="7" w:tplc="FE386298">
      <w:start w:val="1"/>
      <w:numFmt w:val="lowerLetter"/>
      <w:lvlText w:val="%8."/>
      <w:lvlJc w:val="left"/>
      <w:pPr>
        <w:ind w:left="5760" w:hanging="360"/>
      </w:pPr>
    </w:lvl>
    <w:lvl w:ilvl="8" w:tplc="FE04848E">
      <w:start w:val="1"/>
      <w:numFmt w:val="lowerRoman"/>
      <w:lvlText w:val="%9."/>
      <w:lvlJc w:val="right"/>
      <w:pPr>
        <w:ind w:left="6480" w:hanging="180"/>
      </w:pPr>
    </w:lvl>
  </w:abstractNum>
  <w:abstractNum w:abstractNumId="33" w15:restartNumberingAfterBreak="0">
    <w:nsid w:val="6E115006"/>
    <w:multiLevelType w:val="hybridMultilevel"/>
    <w:tmpl w:val="FFFFFFFF"/>
    <w:lvl w:ilvl="0" w:tplc="10BC4B2A">
      <w:start w:val="1"/>
      <w:numFmt w:val="lowerLetter"/>
      <w:lvlText w:val="%1."/>
      <w:lvlJc w:val="left"/>
      <w:pPr>
        <w:ind w:left="720" w:hanging="360"/>
      </w:pPr>
    </w:lvl>
    <w:lvl w:ilvl="1" w:tplc="F922279A">
      <w:start w:val="1"/>
      <w:numFmt w:val="lowerLetter"/>
      <w:lvlText w:val="%2."/>
      <w:lvlJc w:val="left"/>
      <w:pPr>
        <w:ind w:left="1440" w:hanging="360"/>
      </w:pPr>
    </w:lvl>
    <w:lvl w:ilvl="2" w:tplc="C5BEAAB0">
      <w:start w:val="1"/>
      <w:numFmt w:val="lowerRoman"/>
      <w:lvlText w:val="%3."/>
      <w:lvlJc w:val="right"/>
      <w:pPr>
        <w:ind w:left="2160" w:hanging="180"/>
      </w:pPr>
    </w:lvl>
    <w:lvl w:ilvl="3" w:tplc="C434933C">
      <w:start w:val="1"/>
      <w:numFmt w:val="decimal"/>
      <w:lvlText w:val="%4."/>
      <w:lvlJc w:val="left"/>
      <w:pPr>
        <w:ind w:left="2880" w:hanging="360"/>
      </w:pPr>
    </w:lvl>
    <w:lvl w:ilvl="4" w:tplc="DB2805AC">
      <w:start w:val="1"/>
      <w:numFmt w:val="lowerLetter"/>
      <w:lvlText w:val="%5."/>
      <w:lvlJc w:val="left"/>
      <w:pPr>
        <w:ind w:left="3600" w:hanging="360"/>
      </w:pPr>
    </w:lvl>
    <w:lvl w:ilvl="5" w:tplc="E5CEADE6">
      <w:start w:val="1"/>
      <w:numFmt w:val="lowerRoman"/>
      <w:lvlText w:val="%6."/>
      <w:lvlJc w:val="right"/>
      <w:pPr>
        <w:ind w:left="4320" w:hanging="180"/>
      </w:pPr>
    </w:lvl>
    <w:lvl w:ilvl="6" w:tplc="BB7C1F68">
      <w:start w:val="1"/>
      <w:numFmt w:val="decimal"/>
      <w:lvlText w:val="%7."/>
      <w:lvlJc w:val="left"/>
      <w:pPr>
        <w:ind w:left="5040" w:hanging="360"/>
      </w:pPr>
    </w:lvl>
    <w:lvl w:ilvl="7" w:tplc="2DEC4626">
      <w:start w:val="1"/>
      <w:numFmt w:val="lowerLetter"/>
      <w:lvlText w:val="%8."/>
      <w:lvlJc w:val="left"/>
      <w:pPr>
        <w:ind w:left="5760" w:hanging="360"/>
      </w:pPr>
    </w:lvl>
    <w:lvl w:ilvl="8" w:tplc="B3D22C0C">
      <w:start w:val="1"/>
      <w:numFmt w:val="lowerRoman"/>
      <w:lvlText w:val="%9."/>
      <w:lvlJc w:val="right"/>
      <w:pPr>
        <w:ind w:left="6480" w:hanging="180"/>
      </w:pPr>
    </w:lvl>
  </w:abstractNum>
  <w:abstractNum w:abstractNumId="34" w15:restartNumberingAfterBreak="0">
    <w:nsid w:val="778A4C65"/>
    <w:multiLevelType w:val="hybridMultilevel"/>
    <w:tmpl w:val="EF621046"/>
    <w:lvl w:ilvl="0" w:tplc="CB645FEE">
      <w:start w:val="1"/>
      <w:numFmt w:val="decimal"/>
      <w:lvlText w:val="%1."/>
      <w:lvlJc w:val="left"/>
      <w:pPr>
        <w:ind w:left="720" w:hanging="360"/>
      </w:pPr>
    </w:lvl>
    <w:lvl w:ilvl="1" w:tplc="83F26026">
      <w:start w:val="1"/>
      <w:numFmt w:val="lowerLetter"/>
      <w:lvlText w:val="%2."/>
      <w:lvlJc w:val="left"/>
      <w:pPr>
        <w:ind w:left="1440" w:hanging="360"/>
      </w:pPr>
    </w:lvl>
    <w:lvl w:ilvl="2" w:tplc="2E18D7DC">
      <w:start w:val="1"/>
      <w:numFmt w:val="lowerRoman"/>
      <w:lvlText w:val="%3."/>
      <w:lvlJc w:val="right"/>
      <w:pPr>
        <w:ind w:left="2160" w:hanging="180"/>
      </w:pPr>
    </w:lvl>
    <w:lvl w:ilvl="3" w:tplc="A7142E72">
      <w:start w:val="1"/>
      <w:numFmt w:val="decimal"/>
      <w:lvlText w:val="%4."/>
      <w:lvlJc w:val="left"/>
      <w:pPr>
        <w:ind w:left="2880" w:hanging="360"/>
      </w:pPr>
    </w:lvl>
    <w:lvl w:ilvl="4" w:tplc="42A8742A">
      <w:start w:val="1"/>
      <w:numFmt w:val="lowerLetter"/>
      <w:lvlText w:val="%5."/>
      <w:lvlJc w:val="left"/>
      <w:pPr>
        <w:ind w:left="3600" w:hanging="360"/>
      </w:pPr>
    </w:lvl>
    <w:lvl w:ilvl="5" w:tplc="FB5490CC">
      <w:start w:val="1"/>
      <w:numFmt w:val="lowerRoman"/>
      <w:lvlText w:val="%6."/>
      <w:lvlJc w:val="right"/>
      <w:pPr>
        <w:ind w:left="4320" w:hanging="180"/>
      </w:pPr>
    </w:lvl>
    <w:lvl w:ilvl="6" w:tplc="8D8A8446">
      <w:start w:val="1"/>
      <w:numFmt w:val="decimal"/>
      <w:lvlText w:val="%7."/>
      <w:lvlJc w:val="left"/>
      <w:pPr>
        <w:ind w:left="5040" w:hanging="360"/>
      </w:pPr>
    </w:lvl>
    <w:lvl w:ilvl="7" w:tplc="F7DE84A4">
      <w:start w:val="1"/>
      <w:numFmt w:val="lowerLetter"/>
      <w:lvlText w:val="%8."/>
      <w:lvlJc w:val="left"/>
      <w:pPr>
        <w:ind w:left="5760" w:hanging="360"/>
      </w:pPr>
    </w:lvl>
    <w:lvl w:ilvl="8" w:tplc="04E62464">
      <w:start w:val="1"/>
      <w:numFmt w:val="lowerRoman"/>
      <w:lvlText w:val="%9."/>
      <w:lvlJc w:val="right"/>
      <w:pPr>
        <w:ind w:left="6480" w:hanging="180"/>
      </w:pPr>
    </w:lvl>
  </w:abstractNum>
  <w:abstractNum w:abstractNumId="35" w15:restartNumberingAfterBreak="0">
    <w:nsid w:val="798B097C"/>
    <w:multiLevelType w:val="hybridMultilevel"/>
    <w:tmpl w:val="0B38D1B0"/>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B5675B8"/>
    <w:multiLevelType w:val="hybridMultilevel"/>
    <w:tmpl w:val="68842828"/>
    <w:lvl w:ilvl="0" w:tplc="DFD806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4"/>
  </w:num>
  <w:num w:numId="2">
    <w:abstractNumId w:val="18"/>
  </w:num>
  <w:num w:numId="3">
    <w:abstractNumId w:val="30"/>
  </w:num>
  <w:num w:numId="4">
    <w:abstractNumId w:val="15"/>
  </w:num>
  <w:num w:numId="5">
    <w:abstractNumId w:val="19"/>
  </w:num>
  <w:num w:numId="6">
    <w:abstractNumId w:val="12"/>
  </w:num>
  <w:num w:numId="7">
    <w:abstractNumId w:val="9"/>
  </w:num>
  <w:num w:numId="8">
    <w:abstractNumId w:val="20"/>
  </w:num>
  <w:num w:numId="9">
    <w:abstractNumId w:val="22"/>
  </w:num>
  <w:num w:numId="10">
    <w:abstractNumId w:val="23"/>
  </w:num>
  <w:num w:numId="11">
    <w:abstractNumId w:val="14"/>
  </w:num>
  <w:num w:numId="12">
    <w:abstractNumId w:val="21"/>
  </w:num>
  <w:num w:numId="13">
    <w:abstractNumId w:val="37"/>
  </w:num>
  <w:num w:numId="14">
    <w:abstractNumId w:val="3"/>
  </w:num>
  <w:num w:numId="15">
    <w:abstractNumId w:val="2"/>
  </w:num>
  <w:num w:numId="16">
    <w:abstractNumId w:val="1"/>
  </w:num>
  <w:num w:numId="17">
    <w:abstractNumId w:val="0"/>
  </w:num>
  <w:num w:numId="18">
    <w:abstractNumId w:val="35"/>
  </w:num>
  <w:num w:numId="19">
    <w:abstractNumId w:val="7"/>
  </w:num>
  <w:num w:numId="20">
    <w:abstractNumId w:val="13"/>
  </w:num>
  <w:num w:numId="21">
    <w:abstractNumId w:val="34"/>
  </w:num>
  <w:num w:numId="22">
    <w:abstractNumId w:val="8"/>
  </w:num>
  <w:num w:numId="23">
    <w:abstractNumId w:val="33"/>
  </w:num>
  <w:num w:numId="24">
    <w:abstractNumId w:val="31"/>
  </w:num>
  <w:num w:numId="25">
    <w:abstractNumId w:val="11"/>
  </w:num>
  <w:num w:numId="26">
    <w:abstractNumId w:val="5"/>
  </w:num>
  <w:num w:numId="27">
    <w:abstractNumId w:val="28"/>
  </w:num>
  <w:num w:numId="28">
    <w:abstractNumId w:val="10"/>
  </w:num>
  <w:num w:numId="29">
    <w:abstractNumId w:val="6"/>
  </w:num>
  <w:num w:numId="30">
    <w:abstractNumId w:val="29"/>
  </w:num>
  <w:num w:numId="31">
    <w:abstractNumId w:val="17"/>
  </w:num>
  <w:num w:numId="32">
    <w:abstractNumId w:val="25"/>
  </w:num>
  <w:num w:numId="33">
    <w:abstractNumId w:val="36"/>
  </w:num>
  <w:num w:numId="34">
    <w:abstractNumId w:val="27"/>
  </w:num>
  <w:num w:numId="35">
    <w:abstractNumId w:val="26"/>
  </w:num>
  <w:num w:numId="36">
    <w:abstractNumId w:val="4"/>
  </w:num>
  <w:num w:numId="37">
    <w:abstractNumId w:val="16"/>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5&lt;/text&gt;_x000d__x000a_  &lt;/metadata&gt;_x000d__x000a_  &lt;metadata key=&quot;md_Prefix&quot;&gt;_x000d__x000a_    &lt;text&gt;&lt;/text&gt;_x000d__x000a_  &lt;/metadata&gt;_x000d__x000a_  &lt;metadata key=&quot;md_DocumentNumber&quot;&gt;_x000d__x000a_    &lt;text&gt;10641&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28&lt;/text&gt;_x000d__x000a_      &lt;text&gt;UEM 269&lt;/text&gt;_x000d__x000a_      &lt;text&gt;FIN 902&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57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Latvia&quot;&gt;&amp;lt;FlowDocument xmlns=&quot;http://schemas.microsoft.com/winfx/2006/xaml/presentation&quot;&amp;gt;&amp;lt;Paragraph&amp;gt;ANNEX to the COUNCIL IMPLEMENTING DECISION amending the Implementing Decision of 13 July 2021 on the approval of the assessment of the recovery and resilience plan for Latvia&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FD539B1A-334D-4B25-88D7-04E3E0B72C97"/>
    <w:docVar w:name="LW_COVERPAGE_TYPE" w:val="1"/>
    <w:docVar w:name="LW_CROSSREFERENCE" w:val="&lt;UNUSED&gt;"/>
    <w:docVar w:name="LW_DocType" w:val="DW_COUNCIL"/>
    <w:docVar w:name="LW_EMISSION" w:val="30.7.2026"/>
    <w:docVar w:name="LW_EMISSION_ISODATE" w:val="2026-07-3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Latvia"/>
    <w:docVar w:name="LW_PART_NBR" w:val="1"/>
    <w:docVar w:name="LW_PART_NBR_TOTAL" w:val="1"/>
    <w:docVar w:name="LW_REF.INST.NEW" w:val="COM"/>
    <w:docVar w:name="LW_REF.INST.NEW_ADOPTED" w:val="final"/>
    <w:docVar w:name="LW_REF.INST.NEW_TEXT" w:val="(2026) 4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52D7C"/>
    <w:rsid w:val="00081F4A"/>
    <w:rsid w:val="000876E0"/>
    <w:rsid w:val="000A32A6"/>
    <w:rsid w:val="00117212"/>
    <w:rsid w:val="00132CA1"/>
    <w:rsid w:val="00144FF1"/>
    <w:rsid w:val="00162B3E"/>
    <w:rsid w:val="00171335"/>
    <w:rsid w:val="001725BA"/>
    <w:rsid w:val="00187BD4"/>
    <w:rsid w:val="001C16E9"/>
    <w:rsid w:val="001F2576"/>
    <w:rsid w:val="00220C9A"/>
    <w:rsid w:val="0029439F"/>
    <w:rsid w:val="002A5857"/>
    <w:rsid w:val="0030584C"/>
    <w:rsid w:val="003558E4"/>
    <w:rsid w:val="003608B7"/>
    <w:rsid w:val="003B3627"/>
    <w:rsid w:val="003C184A"/>
    <w:rsid w:val="00443A64"/>
    <w:rsid w:val="0045167D"/>
    <w:rsid w:val="00456949"/>
    <w:rsid w:val="00496D94"/>
    <w:rsid w:val="004B4DA2"/>
    <w:rsid w:val="004D0900"/>
    <w:rsid w:val="004E39F6"/>
    <w:rsid w:val="0054146C"/>
    <w:rsid w:val="00546796"/>
    <w:rsid w:val="005B0420"/>
    <w:rsid w:val="005C6C60"/>
    <w:rsid w:val="0062156D"/>
    <w:rsid w:val="00622671"/>
    <w:rsid w:val="00652E27"/>
    <w:rsid w:val="006B1C55"/>
    <w:rsid w:val="006E29F5"/>
    <w:rsid w:val="006F4C7B"/>
    <w:rsid w:val="00707CC4"/>
    <w:rsid w:val="00727532"/>
    <w:rsid w:val="00731C6D"/>
    <w:rsid w:val="00773164"/>
    <w:rsid w:val="007E613E"/>
    <w:rsid w:val="007F499B"/>
    <w:rsid w:val="007F710D"/>
    <w:rsid w:val="00827FAB"/>
    <w:rsid w:val="008368C7"/>
    <w:rsid w:val="00854E58"/>
    <w:rsid w:val="00884269"/>
    <w:rsid w:val="00894139"/>
    <w:rsid w:val="008A2C3F"/>
    <w:rsid w:val="00917B10"/>
    <w:rsid w:val="00932E5D"/>
    <w:rsid w:val="00951342"/>
    <w:rsid w:val="00951CD1"/>
    <w:rsid w:val="00963C9E"/>
    <w:rsid w:val="009A517F"/>
    <w:rsid w:val="00A35BEA"/>
    <w:rsid w:val="00A43C50"/>
    <w:rsid w:val="00A86151"/>
    <w:rsid w:val="00AB2D9C"/>
    <w:rsid w:val="00AD4607"/>
    <w:rsid w:val="00B00E26"/>
    <w:rsid w:val="00B461D6"/>
    <w:rsid w:val="00BE2788"/>
    <w:rsid w:val="00C840A1"/>
    <w:rsid w:val="00C927B7"/>
    <w:rsid w:val="00CA4889"/>
    <w:rsid w:val="00D150EA"/>
    <w:rsid w:val="00D3039B"/>
    <w:rsid w:val="00D4532F"/>
    <w:rsid w:val="00D546A2"/>
    <w:rsid w:val="00D93DFA"/>
    <w:rsid w:val="00DA5907"/>
    <w:rsid w:val="00DD3F8C"/>
    <w:rsid w:val="00E06F15"/>
    <w:rsid w:val="00E266E9"/>
    <w:rsid w:val="00E42746"/>
    <w:rsid w:val="00E42A63"/>
    <w:rsid w:val="00E60E42"/>
    <w:rsid w:val="00EA2D89"/>
    <w:rsid w:val="00EB1BB4"/>
    <w:rsid w:val="00ED084F"/>
    <w:rsid w:val="00ED525F"/>
    <w:rsid w:val="00F04518"/>
    <w:rsid w:val="00F57889"/>
    <w:rsid w:val="00F6058C"/>
    <w:rsid w:val="00F62670"/>
    <w:rsid w:val="00F939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EC3A7"/>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487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7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7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8A"/>
    <w:rPr>
      <w:rFonts w:eastAsiaTheme="majorEastAsia" w:cstheme="majorBidi"/>
      <w:color w:val="272727" w:themeColor="text1" w:themeTint="D8"/>
    </w:rPr>
  </w:style>
  <w:style w:type="paragraph" w:styleId="Title">
    <w:name w:val="Title"/>
    <w:basedOn w:val="Normal"/>
    <w:next w:val="Normal"/>
    <w:link w:val="TitleChar"/>
    <w:uiPriority w:val="10"/>
    <w:qFormat/>
    <w:rsid w:val="00487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58A"/>
    <w:pPr>
      <w:spacing w:before="160"/>
      <w:jc w:val="center"/>
    </w:pPr>
    <w:rPr>
      <w:i/>
      <w:iCs/>
      <w:color w:val="404040" w:themeColor="text1" w:themeTint="BF"/>
    </w:rPr>
  </w:style>
  <w:style w:type="character" w:customStyle="1" w:styleId="QuoteChar">
    <w:name w:val="Quote Char"/>
    <w:basedOn w:val="DefaultParagraphFont"/>
    <w:link w:val="Quote"/>
    <w:uiPriority w:val="29"/>
    <w:rsid w:val="0048758A"/>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48758A"/>
    <w:pPr>
      <w:ind w:left="720"/>
      <w:contextualSpacing/>
    </w:pPr>
  </w:style>
  <w:style w:type="character" w:styleId="IntenseEmphasis">
    <w:name w:val="Intense Emphasis"/>
    <w:basedOn w:val="DefaultParagraphFont"/>
    <w:uiPriority w:val="21"/>
    <w:qFormat/>
    <w:rsid w:val="0048758A"/>
    <w:rPr>
      <w:i/>
      <w:iCs/>
      <w:color w:val="0F4761" w:themeColor="accent1" w:themeShade="BF"/>
    </w:rPr>
  </w:style>
  <w:style w:type="paragraph" w:styleId="IntenseQuote">
    <w:name w:val="Intense Quote"/>
    <w:basedOn w:val="Normal"/>
    <w:next w:val="Normal"/>
    <w:link w:val="IntenseQuoteChar"/>
    <w:uiPriority w:val="30"/>
    <w:qFormat/>
    <w:rsid w:val="00487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58A"/>
    <w:rPr>
      <w:i/>
      <w:iCs/>
      <w:color w:val="0F4761" w:themeColor="accent1" w:themeShade="BF"/>
    </w:rPr>
  </w:style>
  <w:style w:type="character" w:styleId="IntenseReference">
    <w:name w:val="Intense Reference"/>
    <w:basedOn w:val="DefaultParagraphFont"/>
    <w:uiPriority w:val="32"/>
    <w:qFormat/>
    <w:rsid w:val="0048758A"/>
    <w:rPr>
      <w:b/>
      <w:bCs/>
      <w:smallCaps/>
      <w:color w:val="0F4761" w:themeColor="accent1" w:themeShade="BF"/>
      <w:spacing w:val="5"/>
    </w:rPr>
  </w:style>
  <w:style w:type="paragraph" w:styleId="FootnoteText">
    <w:name w:val="footnote text"/>
    <w:basedOn w:val="Normal"/>
    <w:link w:val="FootnoteTextChar"/>
    <w:uiPriority w:val="99"/>
    <w:unhideWhenUsed/>
    <w:rsid w:val="00487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58A"/>
    <w:rPr>
      <w:sz w:val="20"/>
      <w:szCs w:val="20"/>
    </w:rPr>
  </w:style>
  <w:style w:type="character" w:styleId="FootnoteReference">
    <w:name w:val="footnote reference"/>
    <w:basedOn w:val="DefaultParagraphFont"/>
    <w:uiPriority w:val="99"/>
    <w:unhideWhenUsed/>
    <w:rsid w:val="0048758A"/>
    <w:rPr>
      <w:shd w:val="clear" w:color="auto" w:fill="auto"/>
      <w:vertAlign w:val="superscript"/>
    </w:rPr>
  </w:style>
  <w:style w:type="paragraph" w:customStyle="1" w:styleId="TechnicalBlockBase">
    <w:name w:val="TechnicalBlockBase"/>
    <w:link w:val="TechnicalBlockBaseChar"/>
    <w:rsid w:val="00C56BD9"/>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TechnicalBlockBaseChar">
    <w:name w:val="TechnicalBlockBase Char"/>
    <w:basedOn w:val="EntInstitChar"/>
    <w:link w:val="TechnicalBlockBase"/>
    <w:rsid w:val="00C56BD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C56BD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56BD9"/>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C56BD9"/>
    <w:pPr>
      <w:tabs>
        <w:tab w:val="left" w:pos="2262"/>
      </w:tabs>
    </w:pPr>
    <w:rPr>
      <w:i/>
      <w:iCs/>
      <w:szCs w:val="23"/>
    </w:rPr>
  </w:style>
  <w:style w:type="paragraph" w:customStyle="1" w:styleId="TBEntACP">
    <w:name w:val="TBEntACP"/>
    <w:basedOn w:val="TechnicalBlockBase"/>
    <w:rsid w:val="00C56BD9"/>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56BD9"/>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56BD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56BD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56BD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56BD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56BD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56BD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56BD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C56BD9"/>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56BD9"/>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56BD9"/>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56BD9"/>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56BD9"/>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C56BD9"/>
    <w:pPr>
      <w:spacing w:before="1200" w:after="120" w:line="276" w:lineRule="auto"/>
      <w:ind w:left="1440" w:hanging="1440"/>
    </w:pPr>
    <w:rPr>
      <w:rFonts w:ascii="Times New Roman" w:hAnsi="Times New Roman"/>
      <w:kern w:val="0"/>
      <w:szCs w:val="22"/>
      <w:lang w:val="fr-FR"/>
    </w:rPr>
  </w:style>
  <w:style w:type="paragraph" w:styleId="Header">
    <w:name w:val="header"/>
    <w:basedOn w:val="Normal"/>
    <w:link w:val="HeaderChar"/>
    <w:uiPriority w:val="99"/>
    <w:unhideWhenUsed/>
    <w:rsid w:val="00C56BD9"/>
    <w:pPr>
      <w:tabs>
        <w:tab w:val="center" w:pos="4535"/>
        <w:tab w:val="right" w:pos="9071"/>
      </w:tabs>
      <w:spacing w:after="120" w:line="240" w:lineRule="auto"/>
      <w:jc w:val="both"/>
    </w:pPr>
    <w:rPr>
      <w:rFonts w:ascii="Times New Roman" w:hAnsi="Times New Roman" w:cs="Times New Roman"/>
      <w:kern w:val="0"/>
      <w:szCs w:val="22"/>
      <w:lang w:val="fr-FR"/>
    </w:rPr>
  </w:style>
  <w:style w:type="character" w:customStyle="1" w:styleId="HeaderChar">
    <w:name w:val="Header Char"/>
    <w:basedOn w:val="DefaultParagraphFont"/>
    <w:link w:val="Header"/>
    <w:uiPriority w:val="99"/>
    <w:rsid w:val="00C56BD9"/>
    <w:rPr>
      <w:rFonts w:ascii="Times New Roman" w:hAnsi="Times New Roman" w:cs="Times New Roman"/>
      <w:kern w:val="0"/>
      <w:szCs w:val="22"/>
      <w:lang w:val="fr-FR"/>
    </w:rPr>
  </w:style>
  <w:style w:type="paragraph" w:styleId="Footer">
    <w:name w:val="footer"/>
    <w:basedOn w:val="Normal"/>
    <w:link w:val="FooterChar"/>
    <w:uiPriority w:val="99"/>
    <w:unhideWhenUsed/>
    <w:rsid w:val="00C56BD9"/>
    <w:pPr>
      <w:tabs>
        <w:tab w:val="center" w:pos="4535"/>
        <w:tab w:val="right" w:pos="9071"/>
        <w:tab w:val="right" w:pos="9921"/>
      </w:tabs>
      <w:spacing w:before="360" w:after="0" w:line="240" w:lineRule="auto"/>
      <w:ind w:left="-850" w:right="-850"/>
    </w:pPr>
    <w:rPr>
      <w:rFonts w:ascii="Times New Roman" w:hAnsi="Times New Roman" w:cs="Times New Roman"/>
      <w:kern w:val="0"/>
      <w:szCs w:val="22"/>
      <w:lang w:val="fr-FR"/>
    </w:rPr>
  </w:style>
  <w:style w:type="character" w:customStyle="1" w:styleId="FooterChar">
    <w:name w:val="Footer Char"/>
    <w:basedOn w:val="DefaultParagraphFont"/>
    <w:link w:val="Footer"/>
    <w:uiPriority w:val="99"/>
    <w:rsid w:val="00C56BD9"/>
    <w:rPr>
      <w:rFonts w:ascii="Times New Roman" w:hAnsi="Times New Roman" w:cs="Times New Roman"/>
      <w:kern w:val="0"/>
      <w:szCs w:val="22"/>
      <w:lang w:val="fr-FR"/>
    </w:rPr>
  </w:style>
  <w:style w:type="paragraph" w:styleId="TOCHeading">
    <w:name w:val="TOC Heading"/>
    <w:basedOn w:val="Normal"/>
    <w:next w:val="Normal"/>
    <w:uiPriority w:val="39"/>
    <w:semiHidden/>
    <w:unhideWhenUsed/>
    <w:qFormat/>
    <w:rsid w:val="00C56BD9"/>
    <w:pPr>
      <w:spacing w:before="120" w:after="240" w:line="240" w:lineRule="auto"/>
      <w:jc w:val="center"/>
    </w:pPr>
    <w:rPr>
      <w:rFonts w:ascii="Times New Roman" w:hAnsi="Times New Roman" w:cs="Times New Roman"/>
      <w:b/>
      <w:kern w:val="0"/>
      <w:sz w:val="28"/>
      <w:szCs w:val="22"/>
      <w:lang w:val="fr-FR"/>
    </w:rPr>
  </w:style>
  <w:style w:type="paragraph" w:styleId="TOC1">
    <w:name w:val="toc 1"/>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rPr>
  </w:style>
  <w:style w:type="paragraph" w:styleId="TOC2">
    <w:name w:val="toc 2"/>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rPr>
  </w:style>
  <w:style w:type="paragraph" w:styleId="TOC3">
    <w:name w:val="toc 3"/>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rPr>
  </w:style>
  <w:style w:type="paragraph" w:styleId="TOC4">
    <w:name w:val="toc 4"/>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lang w:val="fr-FR"/>
    </w:rPr>
  </w:style>
  <w:style w:type="paragraph" w:styleId="TOC5">
    <w:name w:val="toc 5"/>
    <w:basedOn w:val="Normal"/>
    <w:next w:val="Normal"/>
    <w:uiPriority w:val="39"/>
    <w:semiHidden/>
    <w:unhideWhenUsed/>
    <w:rsid w:val="00C56BD9"/>
    <w:pPr>
      <w:tabs>
        <w:tab w:val="right" w:leader="dot" w:pos="9071"/>
      </w:tabs>
      <w:spacing w:before="300" w:after="120" w:line="240" w:lineRule="auto"/>
    </w:pPr>
    <w:rPr>
      <w:rFonts w:ascii="Times New Roman" w:hAnsi="Times New Roman" w:cs="Times New Roman"/>
      <w:kern w:val="0"/>
      <w:szCs w:val="22"/>
      <w:lang w:val="fr-FR"/>
    </w:rPr>
  </w:style>
  <w:style w:type="paragraph" w:styleId="TOC6">
    <w:name w:val="toc 6"/>
    <w:basedOn w:val="Normal"/>
    <w:next w:val="Normal"/>
    <w:uiPriority w:val="39"/>
    <w:semiHidden/>
    <w:unhideWhenUsed/>
    <w:rsid w:val="00C56BD9"/>
    <w:pPr>
      <w:tabs>
        <w:tab w:val="right" w:leader="dot" w:pos="9071"/>
      </w:tabs>
      <w:spacing w:before="240" w:after="120" w:line="240" w:lineRule="auto"/>
    </w:pPr>
    <w:rPr>
      <w:rFonts w:ascii="Times New Roman" w:hAnsi="Times New Roman" w:cs="Times New Roman"/>
      <w:kern w:val="0"/>
      <w:szCs w:val="22"/>
      <w:lang w:val="fr-FR"/>
    </w:rPr>
  </w:style>
  <w:style w:type="paragraph" w:styleId="TOC7">
    <w:name w:val="toc 7"/>
    <w:basedOn w:val="Normal"/>
    <w:next w:val="Normal"/>
    <w:uiPriority w:val="39"/>
    <w:semiHidden/>
    <w:unhideWhenUsed/>
    <w:rsid w:val="00C56BD9"/>
    <w:pPr>
      <w:tabs>
        <w:tab w:val="right" w:leader="dot" w:pos="9071"/>
      </w:tabs>
      <w:spacing w:before="180" w:after="120" w:line="240" w:lineRule="auto"/>
    </w:pPr>
    <w:rPr>
      <w:rFonts w:ascii="Times New Roman" w:hAnsi="Times New Roman" w:cs="Times New Roman"/>
      <w:kern w:val="0"/>
      <w:szCs w:val="22"/>
      <w:lang w:val="fr-FR"/>
    </w:rPr>
  </w:style>
  <w:style w:type="paragraph" w:styleId="TOC8">
    <w:name w:val="toc 8"/>
    <w:basedOn w:val="Normal"/>
    <w:next w:val="Normal"/>
    <w:uiPriority w:val="39"/>
    <w:semiHidden/>
    <w:unhideWhenUsed/>
    <w:rsid w:val="00C56BD9"/>
    <w:pPr>
      <w:tabs>
        <w:tab w:val="right" w:leader="dot" w:pos="9071"/>
      </w:tabs>
      <w:spacing w:before="120" w:after="120" w:line="240" w:lineRule="auto"/>
    </w:pPr>
    <w:rPr>
      <w:rFonts w:ascii="Times New Roman" w:hAnsi="Times New Roman" w:cs="Times New Roman"/>
      <w:kern w:val="0"/>
      <w:szCs w:val="22"/>
      <w:lang w:val="fr-FR"/>
    </w:rPr>
  </w:style>
  <w:style w:type="paragraph" w:styleId="TOC9">
    <w:name w:val="toc 9"/>
    <w:basedOn w:val="Normal"/>
    <w:next w:val="Normal"/>
    <w:uiPriority w:val="39"/>
    <w:semiHidden/>
    <w:unhideWhenUsed/>
    <w:rsid w:val="00C56BD9"/>
    <w:pPr>
      <w:tabs>
        <w:tab w:val="right" w:leader="dot" w:pos="9071"/>
      </w:tabs>
      <w:spacing w:before="120" w:after="120" w:line="240" w:lineRule="auto"/>
      <w:jc w:val="both"/>
    </w:pPr>
    <w:rPr>
      <w:rFonts w:ascii="Times New Roman" w:hAnsi="Times New Roman" w:cs="Times New Roman"/>
      <w:kern w:val="0"/>
      <w:szCs w:val="22"/>
      <w:lang w:val="fr-FR"/>
    </w:rPr>
  </w:style>
  <w:style w:type="paragraph" w:customStyle="1" w:styleId="HeaderLandscape">
    <w:name w:val="HeaderLandscape"/>
    <w:basedOn w:val="Normal"/>
    <w:rsid w:val="00C56BD9"/>
    <w:pPr>
      <w:tabs>
        <w:tab w:val="center" w:pos="7285"/>
        <w:tab w:val="right" w:pos="14003"/>
      </w:tabs>
      <w:spacing w:after="120" w:line="240" w:lineRule="auto"/>
      <w:jc w:val="both"/>
    </w:pPr>
    <w:rPr>
      <w:rFonts w:ascii="Times New Roman" w:hAnsi="Times New Roman" w:cs="Times New Roman"/>
      <w:kern w:val="0"/>
      <w:szCs w:val="22"/>
      <w:lang w:val="fr-FR"/>
    </w:rPr>
  </w:style>
  <w:style w:type="paragraph" w:customStyle="1" w:styleId="FooterLandscape">
    <w:name w:val="FooterLandscape"/>
    <w:basedOn w:val="Normal"/>
    <w:rsid w:val="00C56BD9"/>
    <w:pPr>
      <w:tabs>
        <w:tab w:val="center" w:pos="7285"/>
        <w:tab w:val="center" w:pos="10913"/>
        <w:tab w:val="right" w:pos="15137"/>
      </w:tabs>
      <w:spacing w:before="360" w:after="0" w:line="240" w:lineRule="auto"/>
      <w:ind w:left="-567" w:right="-567"/>
    </w:pPr>
    <w:rPr>
      <w:rFonts w:ascii="Times New Roman" w:hAnsi="Times New Roman" w:cs="Times New Roman"/>
      <w:kern w:val="0"/>
      <w:szCs w:val="22"/>
      <w:lang w:val="fr-FR"/>
    </w:rPr>
  </w:style>
  <w:style w:type="paragraph" w:customStyle="1" w:styleId="HeaderSensitivity">
    <w:name w:val="Header Sensitivity"/>
    <w:basedOn w:val="Normal"/>
    <w:rsid w:val="00C56B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56BD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C56B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C56BD9"/>
    <w:pPr>
      <w:spacing w:before="120" w:after="120" w:line="240" w:lineRule="auto"/>
      <w:ind w:left="850"/>
      <w:jc w:val="both"/>
    </w:pPr>
    <w:rPr>
      <w:rFonts w:ascii="Times New Roman" w:hAnsi="Times New Roman" w:cs="Times New Roman"/>
      <w:kern w:val="0"/>
      <w:szCs w:val="22"/>
      <w:lang w:val="fr-FR"/>
    </w:rPr>
  </w:style>
  <w:style w:type="paragraph" w:customStyle="1" w:styleId="Text2">
    <w:name w:val="Text 2"/>
    <w:basedOn w:val="Normal"/>
    <w:rsid w:val="00C56BD9"/>
    <w:pPr>
      <w:spacing w:before="120" w:after="120" w:line="240" w:lineRule="auto"/>
      <w:ind w:left="1417"/>
      <w:jc w:val="both"/>
    </w:pPr>
    <w:rPr>
      <w:rFonts w:ascii="Times New Roman" w:hAnsi="Times New Roman" w:cs="Times New Roman"/>
      <w:kern w:val="0"/>
      <w:szCs w:val="22"/>
      <w:lang w:val="fr-FR"/>
    </w:rPr>
  </w:style>
  <w:style w:type="paragraph" w:customStyle="1" w:styleId="Text3">
    <w:name w:val="Text 3"/>
    <w:basedOn w:val="Normal"/>
    <w:rsid w:val="00C56BD9"/>
    <w:pPr>
      <w:spacing w:before="120" w:after="120" w:line="240" w:lineRule="auto"/>
      <w:ind w:left="1984"/>
      <w:jc w:val="both"/>
    </w:pPr>
    <w:rPr>
      <w:rFonts w:ascii="Times New Roman" w:hAnsi="Times New Roman" w:cs="Times New Roman"/>
      <w:kern w:val="0"/>
      <w:szCs w:val="22"/>
      <w:lang w:val="fr-FR"/>
    </w:rPr>
  </w:style>
  <w:style w:type="paragraph" w:customStyle="1" w:styleId="Text4">
    <w:name w:val="Text 4"/>
    <w:basedOn w:val="Normal"/>
    <w:rsid w:val="00C56BD9"/>
    <w:pPr>
      <w:spacing w:before="120" w:after="120" w:line="240" w:lineRule="auto"/>
      <w:ind w:left="2551"/>
      <w:jc w:val="both"/>
    </w:pPr>
    <w:rPr>
      <w:rFonts w:ascii="Times New Roman" w:hAnsi="Times New Roman" w:cs="Times New Roman"/>
      <w:kern w:val="0"/>
      <w:szCs w:val="22"/>
      <w:lang w:val="fr-FR"/>
    </w:rPr>
  </w:style>
  <w:style w:type="paragraph" w:customStyle="1" w:styleId="NormalCentered">
    <w:name w:val="Normal Centered"/>
    <w:basedOn w:val="Normal"/>
    <w:rsid w:val="00C56BD9"/>
    <w:pPr>
      <w:spacing w:before="120" w:after="120" w:line="240" w:lineRule="auto"/>
      <w:jc w:val="center"/>
    </w:pPr>
    <w:rPr>
      <w:rFonts w:ascii="Times New Roman" w:hAnsi="Times New Roman" w:cs="Times New Roman"/>
      <w:kern w:val="0"/>
      <w:szCs w:val="22"/>
      <w:lang w:val="fr-FR"/>
    </w:rPr>
  </w:style>
  <w:style w:type="paragraph" w:customStyle="1" w:styleId="NormalLeft">
    <w:name w:val="Normal Left"/>
    <w:basedOn w:val="Normal"/>
    <w:rsid w:val="00C56BD9"/>
    <w:pPr>
      <w:spacing w:before="120" w:after="120" w:line="240" w:lineRule="auto"/>
    </w:pPr>
    <w:rPr>
      <w:rFonts w:ascii="Times New Roman" w:hAnsi="Times New Roman" w:cs="Times New Roman"/>
      <w:kern w:val="0"/>
      <w:szCs w:val="22"/>
      <w:lang w:val="fr-FR"/>
    </w:rPr>
  </w:style>
  <w:style w:type="paragraph" w:customStyle="1" w:styleId="NormalRight">
    <w:name w:val="Normal Right"/>
    <w:basedOn w:val="Normal"/>
    <w:rsid w:val="00C56BD9"/>
    <w:pPr>
      <w:spacing w:before="120" w:after="120" w:line="240" w:lineRule="auto"/>
      <w:jc w:val="right"/>
    </w:pPr>
    <w:rPr>
      <w:rFonts w:ascii="Times New Roman" w:hAnsi="Times New Roman" w:cs="Times New Roman"/>
      <w:kern w:val="0"/>
      <w:szCs w:val="22"/>
      <w:lang w:val="fr-FR"/>
    </w:rPr>
  </w:style>
  <w:style w:type="paragraph" w:customStyle="1" w:styleId="QuotedText">
    <w:name w:val="Quoted Text"/>
    <w:basedOn w:val="Normal"/>
    <w:rsid w:val="00C56BD9"/>
    <w:pPr>
      <w:spacing w:before="120" w:after="120" w:line="240" w:lineRule="auto"/>
      <w:ind w:left="1417"/>
      <w:jc w:val="both"/>
    </w:pPr>
    <w:rPr>
      <w:rFonts w:ascii="Times New Roman" w:hAnsi="Times New Roman" w:cs="Times New Roman"/>
      <w:kern w:val="0"/>
      <w:szCs w:val="22"/>
      <w:lang w:val="fr-FR"/>
    </w:rPr>
  </w:style>
  <w:style w:type="paragraph" w:customStyle="1" w:styleId="Point0">
    <w:name w:val="Point 0"/>
    <w:basedOn w:val="Normal"/>
    <w:rsid w:val="00C56BD9"/>
    <w:pPr>
      <w:spacing w:before="120" w:after="120" w:line="240" w:lineRule="auto"/>
      <w:ind w:left="850" w:hanging="850"/>
      <w:jc w:val="both"/>
    </w:pPr>
    <w:rPr>
      <w:rFonts w:ascii="Times New Roman" w:hAnsi="Times New Roman" w:cs="Times New Roman"/>
      <w:kern w:val="0"/>
      <w:szCs w:val="22"/>
      <w:lang w:val="fr-FR"/>
    </w:rPr>
  </w:style>
  <w:style w:type="paragraph" w:customStyle="1" w:styleId="Point1">
    <w:name w:val="Point 1"/>
    <w:basedOn w:val="Normal"/>
    <w:rsid w:val="00C56BD9"/>
    <w:pPr>
      <w:spacing w:before="120" w:after="120" w:line="240" w:lineRule="auto"/>
      <w:ind w:left="1417" w:hanging="567"/>
      <w:jc w:val="both"/>
    </w:pPr>
    <w:rPr>
      <w:rFonts w:ascii="Times New Roman" w:hAnsi="Times New Roman" w:cs="Times New Roman"/>
      <w:kern w:val="0"/>
      <w:szCs w:val="22"/>
      <w:lang w:val="fr-FR"/>
    </w:rPr>
  </w:style>
  <w:style w:type="paragraph" w:customStyle="1" w:styleId="Point2">
    <w:name w:val="Point 2"/>
    <w:basedOn w:val="Normal"/>
    <w:rsid w:val="00C56BD9"/>
    <w:pPr>
      <w:spacing w:before="120" w:after="120" w:line="240" w:lineRule="auto"/>
      <w:ind w:left="1984" w:hanging="567"/>
      <w:jc w:val="both"/>
    </w:pPr>
    <w:rPr>
      <w:rFonts w:ascii="Times New Roman" w:hAnsi="Times New Roman" w:cs="Times New Roman"/>
      <w:kern w:val="0"/>
      <w:szCs w:val="22"/>
      <w:lang w:val="fr-FR"/>
    </w:rPr>
  </w:style>
  <w:style w:type="paragraph" w:customStyle="1" w:styleId="Point3">
    <w:name w:val="Point 3"/>
    <w:basedOn w:val="Normal"/>
    <w:rsid w:val="00C56BD9"/>
    <w:pPr>
      <w:spacing w:before="120" w:after="120" w:line="240" w:lineRule="auto"/>
      <w:ind w:left="2551" w:hanging="567"/>
      <w:jc w:val="both"/>
    </w:pPr>
    <w:rPr>
      <w:rFonts w:ascii="Times New Roman" w:hAnsi="Times New Roman" w:cs="Times New Roman"/>
      <w:kern w:val="0"/>
      <w:szCs w:val="22"/>
      <w:lang w:val="fr-FR"/>
    </w:rPr>
  </w:style>
  <w:style w:type="paragraph" w:customStyle="1" w:styleId="Point4">
    <w:name w:val="Point 4"/>
    <w:basedOn w:val="Normal"/>
    <w:rsid w:val="00C56BD9"/>
    <w:pPr>
      <w:spacing w:before="120" w:after="120" w:line="240" w:lineRule="auto"/>
      <w:ind w:left="3118" w:hanging="567"/>
      <w:jc w:val="both"/>
    </w:pPr>
    <w:rPr>
      <w:rFonts w:ascii="Times New Roman" w:hAnsi="Times New Roman" w:cs="Times New Roman"/>
      <w:kern w:val="0"/>
      <w:szCs w:val="22"/>
      <w:lang w:val="fr-FR"/>
    </w:rPr>
  </w:style>
  <w:style w:type="paragraph" w:customStyle="1" w:styleId="Tiret0">
    <w:name w:val="Tiret 0"/>
    <w:basedOn w:val="Point0"/>
    <w:rsid w:val="00C56BD9"/>
    <w:pPr>
      <w:numPr>
        <w:numId w:val="1"/>
      </w:numPr>
      <w:tabs>
        <w:tab w:val="clear" w:pos="850"/>
      </w:tabs>
      <w:ind w:left="0" w:firstLine="0"/>
    </w:pPr>
  </w:style>
  <w:style w:type="paragraph" w:customStyle="1" w:styleId="Tiret1">
    <w:name w:val="Tiret 1"/>
    <w:basedOn w:val="Point1"/>
    <w:rsid w:val="00C56BD9"/>
    <w:pPr>
      <w:numPr>
        <w:numId w:val="2"/>
      </w:numPr>
      <w:tabs>
        <w:tab w:val="clear" w:pos="1417"/>
      </w:tabs>
      <w:ind w:left="0" w:firstLine="0"/>
    </w:pPr>
  </w:style>
  <w:style w:type="paragraph" w:customStyle="1" w:styleId="Tiret2">
    <w:name w:val="Tiret 2"/>
    <w:basedOn w:val="Point2"/>
    <w:rsid w:val="00C56BD9"/>
    <w:pPr>
      <w:numPr>
        <w:numId w:val="3"/>
      </w:numPr>
      <w:tabs>
        <w:tab w:val="clear" w:pos="1984"/>
      </w:tabs>
      <w:ind w:left="0" w:firstLine="0"/>
    </w:pPr>
  </w:style>
  <w:style w:type="paragraph" w:customStyle="1" w:styleId="Tiret3">
    <w:name w:val="Tiret 3"/>
    <w:basedOn w:val="Point3"/>
    <w:rsid w:val="00C56BD9"/>
    <w:pPr>
      <w:numPr>
        <w:numId w:val="4"/>
      </w:numPr>
      <w:tabs>
        <w:tab w:val="clear" w:pos="2551"/>
      </w:tabs>
      <w:ind w:left="0" w:firstLine="0"/>
    </w:pPr>
  </w:style>
  <w:style w:type="paragraph" w:customStyle="1" w:styleId="Tiret4">
    <w:name w:val="Tiret 4"/>
    <w:basedOn w:val="Point4"/>
    <w:rsid w:val="00C56BD9"/>
    <w:pPr>
      <w:numPr>
        <w:numId w:val="5"/>
      </w:numPr>
      <w:tabs>
        <w:tab w:val="clear" w:pos="3118"/>
      </w:tabs>
      <w:ind w:left="0" w:firstLine="0"/>
    </w:pPr>
  </w:style>
  <w:style w:type="paragraph" w:customStyle="1" w:styleId="PointDouble0">
    <w:name w:val="PointDouble 0"/>
    <w:basedOn w:val="Normal"/>
    <w:rsid w:val="00C56BD9"/>
    <w:pPr>
      <w:tabs>
        <w:tab w:val="left" w:pos="850"/>
      </w:tabs>
      <w:spacing w:before="120" w:after="120" w:line="240" w:lineRule="auto"/>
      <w:ind w:left="1417" w:hanging="1417"/>
      <w:jc w:val="both"/>
    </w:pPr>
    <w:rPr>
      <w:rFonts w:ascii="Times New Roman" w:hAnsi="Times New Roman" w:cs="Times New Roman"/>
      <w:kern w:val="0"/>
      <w:szCs w:val="22"/>
      <w:lang w:val="fr-FR"/>
    </w:rPr>
  </w:style>
  <w:style w:type="paragraph" w:customStyle="1" w:styleId="PointDouble1">
    <w:name w:val="PointDouble 1"/>
    <w:basedOn w:val="Normal"/>
    <w:rsid w:val="00C56BD9"/>
    <w:pPr>
      <w:tabs>
        <w:tab w:val="left" w:pos="1417"/>
      </w:tabs>
      <w:spacing w:before="120" w:after="120" w:line="240" w:lineRule="auto"/>
      <w:ind w:left="1984" w:hanging="1134"/>
      <w:jc w:val="both"/>
    </w:pPr>
    <w:rPr>
      <w:rFonts w:ascii="Times New Roman" w:hAnsi="Times New Roman" w:cs="Times New Roman"/>
      <w:kern w:val="0"/>
      <w:szCs w:val="22"/>
      <w:lang w:val="fr-FR"/>
    </w:rPr>
  </w:style>
  <w:style w:type="paragraph" w:customStyle="1" w:styleId="PointDouble2">
    <w:name w:val="PointDouble 2"/>
    <w:basedOn w:val="Normal"/>
    <w:rsid w:val="00C56BD9"/>
    <w:pPr>
      <w:tabs>
        <w:tab w:val="left" w:pos="1984"/>
      </w:tabs>
      <w:spacing w:before="120" w:after="120" w:line="240" w:lineRule="auto"/>
      <w:ind w:left="2551" w:hanging="1134"/>
      <w:jc w:val="both"/>
    </w:pPr>
    <w:rPr>
      <w:rFonts w:ascii="Times New Roman" w:hAnsi="Times New Roman" w:cs="Times New Roman"/>
      <w:kern w:val="0"/>
      <w:szCs w:val="22"/>
      <w:lang w:val="fr-FR"/>
    </w:rPr>
  </w:style>
  <w:style w:type="paragraph" w:customStyle="1" w:styleId="PointDouble3">
    <w:name w:val="PointDouble 3"/>
    <w:basedOn w:val="Normal"/>
    <w:rsid w:val="00C56BD9"/>
    <w:pPr>
      <w:tabs>
        <w:tab w:val="left" w:pos="2551"/>
      </w:tabs>
      <w:spacing w:before="120" w:after="120" w:line="240" w:lineRule="auto"/>
      <w:ind w:left="3118" w:hanging="1134"/>
      <w:jc w:val="both"/>
    </w:pPr>
    <w:rPr>
      <w:rFonts w:ascii="Times New Roman" w:hAnsi="Times New Roman" w:cs="Times New Roman"/>
      <w:kern w:val="0"/>
      <w:szCs w:val="22"/>
      <w:lang w:val="fr-FR"/>
    </w:rPr>
  </w:style>
  <w:style w:type="paragraph" w:customStyle="1" w:styleId="PointDouble4">
    <w:name w:val="PointDouble 4"/>
    <w:basedOn w:val="Normal"/>
    <w:rsid w:val="00C56BD9"/>
    <w:pPr>
      <w:tabs>
        <w:tab w:val="left" w:pos="3118"/>
      </w:tabs>
      <w:spacing w:before="120" w:after="120" w:line="240" w:lineRule="auto"/>
      <w:ind w:left="3685" w:hanging="1134"/>
      <w:jc w:val="both"/>
    </w:pPr>
    <w:rPr>
      <w:rFonts w:ascii="Times New Roman" w:hAnsi="Times New Roman" w:cs="Times New Roman"/>
      <w:kern w:val="0"/>
      <w:szCs w:val="22"/>
      <w:lang w:val="fr-FR"/>
    </w:rPr>
  </w:style>
  <w:style w:type="paragraph" w:customStyle="1" w:styleId="PointTriple0">
    <w:name w:val="PointTriple 0"/>
    <w:basedOn w:val="Normal"/>
    <w:rsid w:val="00C56BD9"/>
    <w:pPr>
      <w:tabs>
        <w:tab w:val="left" w:pos="850"/>
        <w:tab w:val="left" w:pos="1417"/>
      </w:tabs>
      <w:spacing w:before="120" w:after="120" w:line="240" w:lineRule="auto"/>
      <w:ind w:left="1984" w:hanging="1984"/>
      <w:jc w:val="both"/>
    </w:pPr>
    <w:rPr>
      <w:rFonts w:ascii="Times New Roman" w:hAnsi="Times New Roman" w:cs="Times New Roman"/>
      <w:kern w:val="0"/>
      <w:szCs w:val="22"/>
      <w:lang w:val="fr-FR"/>
    </w:rPr>
  </w:style>
  <w:style w:type="paragraph" w:customStyle="1" w:styleId="PointTriple1">
    <w:name w:val="PointTriple 1"/>
    <w:basedOn w:val="Normal"/>
    <w:rsid w:val="00C56BD9"/>
    <w:pPr>
      <w:tabs>
        <w:tab w:val="left" w:pos="1417"/>
        <w:tab w:val="left" w:pos="1984"/>
      </w:tabs>
      <w:spacing w:before="120" w:after="120" w:line="240" w:lineRule="auto"/>
      <w:ind w:left="2551" w:hanging="1701"/>
      <w:jc w:val="both"/>
    </w:pPr>
    <w:rPr>
      <w:rFonts w:ascii="Times New Roman" w:hAnsi="Times New Roman" w:cs="Times New Roman"/>
      <w:kern w:val="0"/>
      <w:szCs w:val="22"/>
      <w:lang w:val="fr-FR"/>
    </w:rPr>
  </w:style>
  <w:style w:type="paragraph" w:customStyle="1" w:styleId="PointTriple2">
    <w:name w:val="PointTriple 2"/>
    <w:basedOn w:val="Normal"/>
    <w:rsid w:val="00C56BD9"/>
    <w:pPr>
      <w:tabs>
        <w:tab w:val="left" w:pos="1984"/>
        <w:tab w:val="left" w:pos="2551"/>
      </w:tabs>
      <w:spacing w:before="120" w:after="120" w:line="240" w:lineRule="auto"/>
      <w:ind w:left="3118" w:hanging="1701"/>
      <w:jc w:val="both"/>
    </w:pPr>
    <w:rPr>
      <w:rFonts w:ascii="Times New Roman" w:hAnsi="Times New Roman" w:cs="Times New Roman"/>
      <w:kern w:val="0"/>
      <w:szCs w:val="22"/>
      <w:lang w:val="fr-FR"/>
    </w:rPr>
  </w:style>
  <w:style w:type="paragraph" w:customStyle="1" w:styleId="PointTriple3">
    <w:name w:val="PointTriple 3"/>
    <w:basedOn w:val="Normal"/>
    <w:rsid w:val="00C56BD9"/>
    <w:pPr>
      <w:tabs>
        <w:tab w:val="left" w:pos="2551"/>
        <w:tab w:val="left" w:pos="3118"/>
      </w:tabs>
      <w:spacing w:before="120" w:after="120" w:line="240" w:lineRule="auto"/>
      <w:ind w:left="3685" w:hanging="1701"/>
      <w:jc w:val="both"/>
    </w:pPr>
    <w:rPr>
      <w:rFonts w:ascii="Times New Roman" w:hAnsi="Times New Roman" w:cs="Times New Roman"/>
      <w:kern w:val="0"/>
      <w:szCs w:val="22"/>
      <w:lang w:val="fr-FR"/>
    </w:rPr>
  </w:style>
  <w:style w:type="paragraph" w:customStyle="1" w:styleId="PointTriple4">
    <w:name w:val="PointTriple 4"/>
    <w:basedOn w:val="Normal"/>
    <w:rsid w:val="00C56BD9"/>
    <w:pPr>
      <w:tabs>
        <w:tab w:val="left" w:pos="3118"/>
        <w:tab w:val="left" w:pos="3685"/>
      </w:tabs>
      <w:spacing w:before="120" w:after="120" w:line="240" w:lineRule="auto"/>
      <w:ind w:left="4252" w:hanging="1701"/>
      <w:jc w:val="both"/>
    </w:pPr>
    <w:rPr>
      <w:rFonts w:ascii="Times New Roman" w:hAnsi="Times New Roman" w:cs="Times New Roman"/>
      <w:kern w:val="0"/>
      <w:szCs w:val="22"/>
      <w:lang w:val="fr-FR"/>
    </w:rPr>
  </w:style>
  <w:style w:type="paragraph" w:customStyle="1" w:styleId="NumPar1">
    <w:name w:val="NumPar 1"/>
    <w:basedOn w:val="Normal"/>
    <w:next w:val="Text1"/>
    <w:rsid w:val="00C56BD9"/>
    <w:pPr>
      <w:numPr>
        <w:numId w:val="6"/>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NumPar2">
    <w:name w:val="NumPar 2"/>
    <w:basedOn w:val="Normal"/>
    <w:next w:val="Text1"/>
    <w:rsid w:val="00C56BD9"/>
    <w:pPr>
      <w:numPr>
        <w:ilvl w:val="1"/>
        <w:numId w:val="6"/>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NumPar3">
    <w:name w:val="NumPar 3"/>
    <w:basedOn w:val="Normal"/>
    <w:next w:val="Text1"/>
    <w:rsid w:val="00C56BD9"/>
    <w:pPr>
      <w:numPr>
        <w:ilvl w:val="2"/>
        <w:numId w:val="6"/>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NumPar4">
    <w:name w:val="NumPar 4"/>
    <w:basedOn w:val="Normal"/>
    <w:next w:val="Text1"/>
    <w:rsid w:val="00C56BD9"/>
    <w:pPr>
      <w:numPr>
        <w:ilvl w:val="3"/>
        <w:numId w:val="6"/>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ManualNumPar1">
    <w:name w:val="Manual NumPar 1"/>
    <w:basedOn w:val="Normal"/>
    <w:next w:val="Text1"/>
    <w:rsid w:val="00C56BD9"/>
    <w:pPr>
      <w:spacing w:before="120" w:after="120" w:line="240" w:lineRule="auto"/>
      <w:ind w:left="850" w:hanging="850"/>
      <w:jc w:val="both"/>
    </w:pPr>
    <w:rPr>
      <w:rFonts w:ascii="Times New Roman" w:hAnsi="Times New Roman" w:cs="Times New Roman"/>
      <w:kern w:val="0"/>
      <w:szCs w:val="22"/>
      <w:lang w:val="fr-FR"/>
    </w:rPr>
  </w:style>
  <w:style w:type="paragraph" w:customStyle="1" w:styleId="ManualNumPar2">
    <w:name w:val="Manual NumPar 2"/>
    <w:basedOn w:val="Normal"/>
    <w:next w:val="Text1"/>
    <w:rsid w:val="00C56BD9"/>
    <w:pPr>
      <w:spacing w:before="120" w:after="120" w:line="240" w:lineRule="auto"/>
      <w:ind w:left="850" w:hanging="850"/>
      <w:jc w:val="both"/>
    </w:pPr>
    <w:rPr>
      <w:rFonts w:ascii="Times New Roman" w:hAnsi="Times New Roman" w:cs="Times New Roman"/>
      <w:kern w:val="0"/>
      <w:szCs w:val="22"/>
      <w:lang w:val="fr-FR"/>
    </w:rPr>
  </w:style>
  <w:style w:type="paragraph" w:customStyle="1" w:styleId="ManualNumPar3">
    <w:name w:val="Manual NumPar 3"/>
    <w:basedOn w:val="Normal"/>
    <w:next w:val="Text1"/>
    <w:rsid w:val="00C56BD9"/>
    <w:pPr>
      <w:spacing w:before="120" w:after="120" w:line="240" w:lineRule="auto"/>
      <w:ind w:left="850" w:hanging="850"/>
      <w:jc w:val="both"/>
    </w:pPr>
    <w:rPr>
      <w:rFonts w:ascii="Times New Roman" w:hAnsi="Times New Roman" w:cs="Times New Roman"/>
      <w:kern w:val="0"/>
      <w:szCs w:val="22"/>
      <w:lang w:val="fr-FR"/>
    </w:rPr>
  </w:style>
  <w:style w:type="paragraph" w:customStyle="1" w:styleId="ManualNumPar4">
    <w:name w:val="Manual NumPar 4"/>
    <w:basedOn w:val="Normal"/>
    <w:next w:val="Text1"/>
    <w:rsid w:val="00C56BD9"/>
    <w:pPr>
      <w:spacing w:before="120" w:after="120" w:line="240" w:lineRule="auto"/>
      <w:ind w:left="850" w:hanging="850"/>
      <w:jc w:val="both"/>
    </w:pPr>
    <w:rPr>
      <w:rFonts w:ascii="Times New Roman" w:hAnsi="Times New Roman" w:cs="Times New Roman"/>
      <w:kern w:val="0"/>
      <w:szCs w:val="22"/>
      <w:lang w:val="fr-FR"/>
    </w:rPr>
  </w:style>
  <w:style w:type="paragraph" w:customStyle="1" w:styleId="QuotedNumPar">
    <w:name w:val="Quoted NumPar"/>
    <w:basedOn w:val="Normal"/>
    <w:rsid w:val="00C56BD9"/>
    <w:pPr>
      <w:spacing w:before="120" w:after="120" w:line="240" w:lineRule="auto"/>
      <w:ind w:left="1417" w:hanging="567"/>
      <w:jc w:val="both"/>
    </w:pPr>
    <w:rPr>
      <w:rFonts w:ascii="Times New Roman" w:hAnsi="Times New Roman" w:cs="Times New Roman"/>
      <w:kern w:val="0"/>
      <w:szCs w:val="22"/>
      <w:lang w:val="fr-FR"/>
    </w:rPr>
  </w:style>
  <w:style w:type="paragraph" w:customStyle="1" w:styleId="ManualHeading1">
    <w:name w:val="Manual Heading 1"/>
    <w:basedOn w:val="Normal"/>
    <w:next w:val="Text1"/>
    <w:rsid w:val="00C56BD9"/>
    <w:pPr>
      <w:keepNext/>
      <w:tabs>
        <w:tab w:val="left" w:pos="850"/>
      </w:tabs>
      <w:spacing w:before="360" w:after="120" w:line="240" w:lineRule="auto"/>
      <w:ind w:left="850" w:hanging="850"/>
      <w:jc w:val="both"/>
      <w:outlineLvl w:val="0"/>
    </w:pPr>
    <w:rPr>
      <w:rFonts w:ascii="Times New Roman" w:hAnsi="Times New Roman" w:cs="Times New Roman"/>
      <w:b/>
      <w:smallCaps/>
      <w:kern w:val="0"/>
      <w:szCs w:val="22"/>
      <w:lang w:val="fr-FR"/>
    </w:rPr>
  </w:style>
  <w:style w:type="paragraph" w:customStyle="1" w:styleId="ManualHeading2">
    <w:name w:val="Manual Heading 2"/>
    <w:basedOn w:val="Normal"/>
    <w:next w:val="Text1"/>
    <w:rsid w:val="00C56BD9"/>
    <w:pPr>
      <w:keepNext/>
      <w:tabs>
        <w:tab w:val="left" w:pos="850"/>
      </w:tabs>
      <w:spacing w:before="120" w:after="120" w:line="240" w:lineRule="auto"/>
      <w:ind w:left="850" w:hanging="850"/>
      <w:jc w:val="both"/>
      <w:outlineLvl w:val="1"/>
    </w:pPr>
    <w:rPr>
      <w:rFonts w:ascii="Times New Roman" w:hAnsi="Times New Roman" w:cs="Times New Roman"/>
      <w:b/>
      <w:kern w:val="0"/>
      <w:szCs w:val="22"/>
      <w:lang w:val="fr-FR"/>
    </w:rPr>
  </w:style>
  <w:style w:type="paragraph" w:customStyle="1" w:styleId="ManualHeading3">
    <w:name w:val="Manual Heading 3"/>
    <w:basedOn w:val="Normal"/>
    <w:next w:val="Text1"/>
    <w:rsid w:val="00C56BD9"/>
    <w:pPr>
      <w:keepNext/>
      <w:tabs>
        <w:tab w:val="left" w:pos="850"/>
      </w:tabs>
      <w:spacing w:before="120" w:after="120" w:line="240" w:lineRule="auto"/>
      <w:ind w:left="850" w:hanging="850"/>
      <w:jc w:val="both"/>
      <w:outlineLvl w:val="2"/>
    </w:pPr>
    <w:rPr>
      <w:rFonts w:ascii="Times New Roman" w:hAnsi="Times New Roman" w:cs="Times New Roman"/>
      <w:i/>
      <w:kern w:val="0"/>
      <w:szCs w:val="22"/>
      <w:lang w:val="fr-FR"/>
    </w:rPr>
  </w:style>
  <w:style w:type="paragraph" w:customStyle="1" w:styleId="ManualHeading4">
    <w:name w:val="Manual Heading 4"/>
    <w:basedOn w:val="Normal"/>
    <w:next w:val="Text1"/>
    <w:rsid w:val="00C56BD9"/>
    <w:pPr>
      <w:keepNext/>
      <w:tabs>
        <w:tab w:val="left" w:pos="850"/>
      </w:tabs>
      <w:spacing w:before="120" w:after="120" w:line="240" w:lineRule="auto"/>
      <w:ind w:left="850" w:hanging="850"/>
      <w:jc w:val="both"/>
      <w:outlineLvl w:val="3"/>
    </w:pPr>
    <w:rPr>
      <w:rFonts w:ascii="Times New Roman" w:hAnsi="Times New Roman" w:cs="Times New Roman"/>
      <w:kern w:val="0"/>
      <w:szCs w:val="22"/>
      <w:lang w:val="fr-FR"/>
    </w:rPr>
  </w:style>
  <w:style w:type="paragraph" w:customStyle="1" w:styleId="ChapterTitle">
    <w:name w:val="ChapterTitle"/>
    <w:basedOn w:val="Normal"/>
    <w:next w:val="Normal"/>
    <w:rsid w:val="00C56BD9"/>
    <w:pPr>
      <w:keepNext/>
      <w:spacing w:before="120" w:after="360" w:line="240" w:lineRule="auto"/>
      <w:jc w:val="center"/>
    </w:pPr>
    <w:rPr>
      <w:rFonts w:ascii="Times New Roman" w:hAnsi="Times New Roman" w:cs="Times New Roman"/>
      <w:b/>
      <w:kern w:val="0"/>
      <w:sz w:val="32"/>
      <w:szCs w:val="22"/>
      <w:lang w:val="fr-FR"/>
    </w:rPr>
  </w:style>
  <w:style w:type="paragraph" w:customStyle="1" w:styleId="PartTitle">
    <w:name w:val="PartTitle"/>
    <w:basedOn w:val="Normal"/>
    <w:next w:val="ChapterTitle"/>
    <w:rsid w:val="00C56BD9"/>
    <w:pPr>
      <w:keepNext/>
      <w:pageBreakBefore/>
      <w:spacing w:before="120" w:after="360" w:line="240" w:lineRule="auto"/>
      <w:jc w:val="center"/>
    </w:pPr>
    <w:rPr>
      <w:rFonts w:ascii="Times New Roman" w:hAnsi="Times New Roman" w:cs="Times New Roman"/>
      <w:b/>
      <w:kern w:val="0"/>
      <w:sz w:val="36"/>
      <w:szCs w:val="22"/>
      <w:lang w:val="fr-FR"/>
    </w:rPr>
  </w:style>
  <w:style w:type="paragraph" w:customStyle="1" w:styleId="SectionTitle">
    <w:name w:val="SectionTitle"/>
    <w:basedOn w:val="Normal"/>
    <w:next w:val="Heading1"/>
    <w:rsid w:val="00C56BD9"/>
    <w:pPr>
      <w:keepNext/>
      <w:spacing w:before="120" w:after="360" w:line="240" w:lineRule="auto"/>
      <w:jc w:val="center"/>
    </w:pPr>
    <w:rPr>
      <w:rFonts w:ascii="Times New Roman" w:hAnsi="Times New Roman" w:cs="Times New Roman"/>
      <w:b/>
      <w:smallCaps/>
      <w:kern w:val="0"/>
      <w:sz w:val="28"/>
      <w:szCs w:val="22"/>
      <w:lang w:val="fr-FR"/>
    </w:rPr>
  </w:style>
  <w:style w:type="paragraph" w:customStyle="1" w:styleId="TableTitle">
    <w:name w:val="Table Title"/>
    <w:basedOn w:val="Normal"/>
    <w:next w:val="Normal"/>
    <w:rsid w:val="00C56BD9"/>
    <w:pPr>
      <w:spacing w:before="120" w:after="120" w:line="240" w:lineRule="auto"/>
      <w:jc w:val="center"/>
    </w:pPr>
    <w:rPr>
      <w:rFonts w:ascii="Times New Roman" w:hAnsi="Times New Roman" w:cs="Times New Roman"/>
      <w:b/>
      <w:kern w:val="0"/>
      <w:szCs w:val="22"/>
      <w:lang w:val="fr-FR"/>
    </w:rPr>
  </w:style>
  <w:style w:type="character" w:customStyle="1" w:styleId="Marker">
    <w:name w:val="Marker"/>
    <w:basedOn w:val="DefaultParagraphFont"/>
    <w:rsid w:val="00C56BD9"/>
    <w:rPr>
      <w:color w:val="0000FF"/>
      <w:bdr w:val="none" w:sz="0" w:space="0" w:color="auto"/>
      <w:shd w:val="clear" w:color="auto" w:fill="auto"/>
    </w:rPr>
  </w:style>
  <w:style w:type="character" w:customStyle="1" w:styleId="Marker1">
    <w:name w:val="Marker1"/>
    <w:basedOn w:val="DefaultParagraphFont"/>
    <w:rsid w:val="00C56BD9"/>
    <w:rPr>
      <w:color w:val="008000"/>
      <w:shd w:val="clear" w:color="auto" w:fill="auto"/>
    </w:rPr>
  </w:style>
  <w:style w:type="character" w:customStyle="1" w:styleId="Marker2">
    <w:name w:val="Marker2"/>
    <w:basedOn w:val="DefaultParagraphFont"/>
    <w:rsid w:val="00C56BD9"/>
    <w:rPr>
      <w:color w:val="FF0000"/>
      <w:shd w:val="clear" w:color="auto" w:fill="auto"/>
    </w:rPr>
  </w:style>
  <w:style w:type="paragraph" w:customStyle="1" w:styleId="Point0number">
    <w:name w:val="Point 0 (number)"/>
    <w:basedOn w:val="Normal"/>
    <w:rsid w:val="00C56BD9"/>
    <w:pPr>
      <w:numPr>
        <w:numId w:val="7"/>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Point1number">
    <w:name w:val="Point 1 (number)"/>
    <w:basedOn w:val="Normal"/>
    <w:rsid w:val="00C56BD9"/>
    <w:pPr>
      <w:numPr>
        <w:ilvl w:val="2"/>
        <w:numId w:val="7"/>
      </w:numPr>
      <w:tabs>
        <w:tab w:val="clear" w:pos="1417"/>
      </w:tabs>
      <w:spacing w:before="120" w:after="120" w:line="240" w:lineRule="auto"/>
      <w:ind w:left="0" w:firstLine="0"/>
      <w:jc w:val="both"/>
    </w:pPr>
    <w:rPr>
      <w:rFonts w:ascii="Times New Roman" w:hAnsi="Times New Roman" w:cs="Times New Roman"/>
      <w:kern w:val="0"/>
      <w:szCs w:val="22"/>
      <w:lang w:val="fr-FR"/>
    </w:rPr>
  </w:style>
  <w:style w:type="paragraph" w:customStyle="1" w:styleId="Point2number">
    <w:name w:val="Point 2 (number)"/>
    <w:basedOn w:val="Normal"/>
    <w:rsid w:val="00C56BD9"/>
    <w:pPr>
      <w:numPr>
        <w:ilvl w:val="4"/>
        <w:numId w:val="7"/>
      </w:numPr>
      <w:tabs>
        <w:tab w:val="clear" w:pos="1984"/>
      </w:tabs>
      <w:spacing w:before="120" w:after="120" w:line="240" w:lineRule="auto"/>
      <w:ind w:left="0" w:firstLine="0"/>
      <w:jc w:val="both"/>
    </w:pPr>
    <w:rPr>
      <w:rFonts w:ascii="Times New Roman" w:hAnsi="Times New Roman" w:cs="Times New Roman"/>
      <w:kern w:val="0"/>
      <w:szCs w:val="22"/>
      <w:lang w:val="fr-FR"/>
    </w:rPr>
  </w:style>
  <w:style w:type="paragraph" w:customStyle="1" w:styleId="Point3number">
    <w:name w:val="Point 3 (number)"/>
    <w:basedOn w:val="Normal"/>
    <w:rsid w:val="00C56BD9"/>
    <w:pPr>
      <w:numPr>
        <w:ilvl w:val="6"/>
        <w:numId w:val="7"/>
      </w:numPr>
      <w:tabs>
        <w:tab w:val="clear" w:pos="2551"/>
      </w:tabs>
      <w:spacing w:before="120" w:after="120" w:line="240" w:lineRule="auto"/>
      <w:ind w:left="0" w:firstLine="0"/>
      <w:jc w:val="both"/>
    </w:pPr>
    <w:rPr>
      <w:rFonts w:ascii="Times New Roman" w:hAnsi="Times New Roman" w:cs="Times New Roman"/>
      <w:kern w:val="0"/>
      <w:szCs w:val="22"/>
      <w:lang w:val="fr-FR"/>
    </w:rPr>
  </w:style>
  <w:style w:type="paragraph" w:customStyle="1" w:styleId="Point0letter">
    <w:name w:val="Point 0 (letter)"/>
    <w:basedOn w:val="Normal"/>
    <w:rsid w:val="00C56BD9"/>
    <w:pPr>
      <w:numPr>
        <w:ilvl w:val="1"/>
        <w:numId w:val="7"/>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Point1letter">
    <w:name w:val="Point 1 (letter)"/>
    <w:basedOn w:val="Normal"/>
    <w:rsid w:val="00C56BD9"/>
    <w:pPr>
      <w:numPr>
        <w:ilvl w:val="3"/>
        <w:numId w:val="7"/>
      </w:numPr>
      <w:tabs>
        <w:tab w:val="clear" w:pos="1417"/>
      </w:tabs>
      <w:spacing w:before="120" w:after="120" w:line="240" w:lineRule="auto"/>
      <w:ind w:left="0" w:firstLine="0"/>
      <w:jc w:val="both"/>
    </w:pPr>
    <w:rPr>
      <w:rFonts w:ascii="Times New Roman" w:hAnsi="Times New Roman" w:cs="Times New Roman"/>
      <w:kern w:val="0"/>
      <w:szCs w:val="22"/>
      <w:lang w:val="fr-FR"/>
    </w:rPr>
  </w:style>
  <w:style w:type="paragraph" w:customStyle="1" w:styleId="Point2letter">
    <w:name w:val="Point 2 (letter)"/>
    <w:basedOn w:val="Normal"/>
    <w:rsid w:val="00C56BD9"/>
    <w:pPr>
      <w:numPr>
        <w:ilvl w:val="5"/>
        <w:numId w:val="7"/>
      </w:numPr>
      <w:tabs>
        <w:tab w:val="clear" w:pos="1984"/>
      </w:tabs>
      <w:spacing w:before="120" w:after="120" w:line="240" w:lineRule="auto"/>
      <w:ind w:left="0" w:firstLine="0"/>
      <w:jc w:val="both"/>
    </w:pPr>
    <w:rPr>
      <w:rFonts w:ascii="Times New Roman" w:hAnsi="Times New Roman" w:cs="Times New Roman"/>
      <w:kern w:val="0"/>
      <w:szCs w:val="22"/>
      <w:lang w:val="fr-FR"/>
    </w:rPr>
  </w:style>
  <w:style w:type="paragraph" w:customStyle="1" w:styleId="Point3letter">
    <w:name w:val="Point 3 (letter)"/>
    <w:basedOn w:val="Normal"/>
    <w:rsid w:val="00C56BD9"/>
    <w:pPr>
      <w:numPr>
        <w:ilvl w:val="7"/>
        <w:numId w:val="7"/>
      </w:numPr>
      <w:tabs>
        <w:tab w:val="clear" w:pos="2551"/>
      </w:tabs>
      <w:spacing w:before="120" w:after="120" w:line="240" w:lineRule="auto"/>
      <w:ind w:left="0" w:firstLine="0"/>
      <w:jc w:val="both"/>
    </w:pPr>
    <w:rPr>
      <w:rFonts w:ascii="Times New Roman" w:hAnsi="Times New Roman" w:cs="Times New Roman"/>
      <w:kern w:val="0"/>
      <w:szCs w:val="22"/>
      <w:lang w:val="fr-FR"/>
    </w:rPr>
  </w:style>
  <w:style w:type="paragraph" w:customStyle="1" w:styleId="Point4letter">
    <w:name w:val="Point 4 (letter)"/>
    <w:basedOn w:val="Normal"/>
    <w:rsid w:val="00C56BD9"/>
    <w:pPr>
      <w:numPr>
        <w:ilvl w:val="8"/>
        <w:numId w:val="7"/>
      </w:numPr>
      <w:tabs>
        <w:tab w:val="clear" w:pos="3118"/>
      </w:tabs>
      <w:spacing w:before="120" w:after="120" w:line="240" w:lineRule="auto"/>
      <w:ind w:left="0" w:firstLine="0"/>
      <w:jc w:val="both"/>
    </w:pPr>
    <w:rPr>
      <w:rFonts w:ascii="Times New Roman" w:hAnsi="Times New Roman" w:cs="Times New Roman"/>
      <w:kern w:val="0"/>
      <w:szCs w:val="22"/>
      <w:lang w:val="fr-FR"/>
    </w:rPr>
  </w:style>
  <w:style w:type="paragraph" w:customStyle="1" w:styleId="Bullet0">
    <w:name w:val="Bullet 0"/>
    <w:basedOn w:val="Normal"/>
    <w:rsid w:val="00C56BD9"/>
    <w:pPr>
      <w:numPr>
        <w:numId w:val="8"/>
      </w:numPr>
      <w:tabs>
        <w:tab w:val="clear" w:pos="850"/>
      </w:tabs>
      <w:spacing w:before="120" w:after="120" w:line="240" w:lineRule="auto"/>
      <w:ind w:left="0" w:firstLine="0"/>
      <w:jc w:val="both"/>
    </w:pPr>
    <w:rPr>
      <w:rFonts w:ascii="Times New Roman" w:hAnsi="Times New Roman" w:cs="Times New Roman"/>
      <w:kern w:val="0"/>
      <w:szCs w:val="22"/>
      <w:lang w:val="fr-FR"/>
    </w:rPr>
  </w:style>
  <w:style w:type="paragraph" w:customStyle="1" w:styleId="Bullet1">
    <w:name w:val="Bullet 1"/>
    <w:basedOn w:val="Normal"/>
    <w:rsid w:val="00C56BD9"/>
    <w:pPr>
      <w:numPr>
        <w:numId w:val="9"/>
      </w:numPr>
      <w:tabs>
        <w:tab w:val="clear" w:pos="1417"/>
      </w:tabs>
      <w:spacing w:before="120" w:after="120" w:line="240" w:lineRule="auto"/>
      <w:ind w:left="0" w:firstLine="0"/>
      <w:jc w:val="both"/>
    </w:pPr>
    <w:rPr>
      <w:rFonts w:ascii="Times New Roman" w:hAnsi="Times New Roman" w:cs="Times New Roman"/>
      <w:kern w:val="0"/>
      <w:szCs w:val="22"/>
      <w:lang w:val="fr-FR"/>
    </w:rPr>
  </w:style>
  <w:style w:type="paragraph" w:customStyle="1" w:styleId="Bullet2">
    <w:name w:val="Bullet 2"/>
    <w:basedOn w:val="Normal"/>
    <w:rsid w:val="00C56BD9"/>
    <w:pPr>
      <w:numPr>
        <w:numId w:val="10"/>
      </w:numPr>
      <w:tabs>
        <w:tab w:val="clear" w:pos="1984"/>
      </w:tabs>
      <w:spacing w:before="120" w:after="120" w:line="240" w:lineRule="auto"/>
      <w:ind w:left="0" w:firstLine="0"/>
      <w:jc w:val="both"/>
    </w:pPr>
    <w:rPr>
      <w:rFonts w:ascii="Times New Roman" w:hAnsi="Times New Roman" w:cs="Times New Roman"/>
      <w:kern w:val="0"/>
      <w:szCs w:val="22"/>
      <w:lang w:val="fr-FR"/>
    </w:rPr>
  </w:style>
  <w:style w:type="paragraph" w:customStyle="1" w:styleId="Bullet3">
    <w:name w:val="Bullet 3"/>
    <w:basedOn w:val="Normal"/>
    <w:rsid w:val="00C56BD9"/>
    <w:pPr>
      <w:numPr>
        <w:numId w:val="11"/>
      </w:numPr>
      <w:tabs>
        <w:tab w:val="clear" w:pos="2551"/>
      </w:tabs>
      <w:spacing w:before="120" w:after="120" w:line="240" w:lineRule="auto"/>
      <w:ind w:left="0" w:firstLine="0"/>
      <w:jc w:val="both"/>
    </w:pPr>
    <w:rPr>
      <w:rFonts w:ascii="Times New Roman" w:hAnsi="Times New Roman" w:cs="Times New Roman"/>
      <w:kern w:val="0"/>
      <w:szCs w:val="22"/>
      <w:lang w:val="fr-FR"/>
    </w:rPr>
  </w:style>
  <w:style w:type="paragraph" w:customStyle="1" w:styleId="Bullet4">
    <w:name w:val="Bullet 4"/>
    <w:basedOn w:val="Normal"/>
    <w:rsid w:val="00C56BD9"/>
    <w:pPr>
      <w:numPr>
        <w:numId w:val="12"/>
      </w:numPr>
      <w:tabs>
        <w:tab w:val="clear" w:pos="3118"/>
      </w:tabs>
      <w:spacing w:before="120" w:after="120" w:line="240" w:lineRule="auto"/>
      <w:ind w:left="0" w:firstLine="0"/>
      <w:jc w:val="both"/>
    </w:pPr>
    <w:rPr>
      <w:rFonts w:ascii="Times New Roman" w:hAnsi="Times New Roman" w:cs="Times New Roman"/>
      <w:kern w:val="0"/>
      <w:szCs w:val="22"/>
      <w:lang w:val="fr-FR"/>
    </w:rPr>
  </w:style>
  <w:style w:type="paragraph" w:customStyle="1" w:styleId="Langue">
    <w:name w:val="Langue"/>
    <w:basedOn w:val="Normal"/>
    <w:next w:val="Rfrenceinterne"/>
    <w:rsid w:val="00C56BD9"/>
    <w:pPr>
      <w:framePr w:wrap="around" w:vAnchor="page" w:hAnchor="text" w:xAlign="center" w:y="14741"/>
      <w:spacing w:after="600" w:line="240" w:lineRule="auto"/>
      <w:jc w:val="center"/>
    </w:pPr>
    <w:rPr>
      <w:rFonts w:ascii="Times New Roman" w:hAnsi="Times New Roman" w:cs="Times New Roman"/>
      <w:b/>
      <w:caps/>
      <w:kern w:val="0"/>
      <w:szCs w:val="22"/>
      <w:lang w:val="fr-FR"/>
    </w:rPr>
  </w:style>
  <w:style w:type="paragraph" w:customStyle="1" w:styleId="Nomdelinstitution">
    <w:name w:val="Nom de l'institution"/>
    <w:basedOn w:val="Normal"/>
    <w:next w:val="Emission"/>
    <w:rsid w:val="00C56BD9"/>
    <w:pPr>
      <w:spacing w:after="0" w:line="240" w:lineRule="auto"/>
    </w:pPr>
    <w:rPr>
      <w:rFonts w:ascii="Arial" w:hAnsi="Arial" w:cs="Arial"/>
      <w:kern w:val="0"/>
      <w:szCs w:val="22"/>
      <w:lang w:val="fr-FR"/>
    </w:rPr>
  </w:style>
  <w:style w:type="paragraph" w:customStyle="1" w:styleId="Emission">
    <w:name w:val="Emission"/>
    <w:basedOn w:val="Normal"/>
    <w:next w:val="Rfrenceinstitutionnelle"/>
    <w:rsid w:val="00C56BD9"/>
    <w:pPr>
      <w:spacing w:after="0" w:line="240" w:lineRule="auto"/>
      <w:ind w:left="5103"/>
    </w:pPr>
    <w:rPr>
      <w:rFonts w:ascii="Times New Roman" w:hAnsi="Times New Roman" w:cs="Times New Roman"/>
      <w:kern w:val="0"/>
      <w:szCs w:val="22"/>
      <w:lang w:val="fr-FR"/>
    </w:rPr>
  </w:style>
  <w:style w:type="paragraph" w:customStyle="1" w:styleId="Rfrenceinstitutionnelle">
    <w:name w:val="Référence institutionnelle"/>
    <w:basedOn w:val="Normal"/>
    <w:next w:val="Confidentialit"/>
    <w:rsid w:val="00C56BD9"/>
    <w:pPr>
      <w:spacing w:after="240" w:line="240" w:lineRule="auto"/>
      <w:ind w:left="5103"/>
    </w:pPr>
    <w:rPr>
      <w:rFonts w:ascii="Times New Roman" w:hAnsi="Times New Roman" w:cs="Times New Roman"/>
      <w:kern w:val="0"/>
      <w:szCs w:val="22"/>
      <w:lang w:val="fr-FR"/>
    </w:rPr>
  </w:style>
  <w:style w:type="paragraph" w:customStyle="1" w:styleId="Pagedecouverture">
    <w:name w:val="Page de couverture"/>
    <w:basedOn w:val="Normal"/>
    <w:next w:val="Normal"/>
    <w:rsid w:val="00C56BD9"/>
    <w:pPr>
      <w:spacing w:after="0" w:line="240" w:lineRule="auto"/>
      <w:jc w:val="both"/>
    </w:pPr>
    <w:rPr>
      <w:rFonts w:ascii="Times New Roman" w:hAnsi="Times New Roman" w:cs="Times New Roman"/>
      <w:kern w:val="0"/>
      <w:szCs w:val="22"/>
      <w:lang w:val="fr-FR"/>
    </w:rPr>
  </w:style>
  <w:style w:type="paragraph" w:customStyle="1" w:styleId="Declassification">
    <w:name w:val="Declassification"/>
    <w:basedOn w:val="Normal"/>
    <w:next w:val="Normal"/>
    <w:rsid w:val="00C56BD9"/>
    <w:pPr>
      <w:spacing w:after="0" w:line="240" w:lineRule="auto"/>
      <w:jc w:val="both"/>
    </w:pPr>
    <w:rPr>
      <w:rFonts w:ascii="Times New Roman" w:hAnsi="Times New Roman" w:cs="Times New Roman"/>
      <w:kern w:val="0"/>
      <w:szCs w:val="22"/>
      <w:lang w:val="fr-FR"/>
    </w:rPr>
  </w:style>
  <w:style w:type="paragraph" w:customStyle="1" w:styleId="Disclaimer">
    <w:name w:val="Disclaimer"/>
    <w:basedOn w:val="Normal"/>
    <w:rsid w:val="00C56BD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lang w:val="fr-FR"/>
    </w:rPr>
  </w:style>
  <w:style w:type="paragraph" w:customStyle="1" w:styleId="SecurityMarking">
    <w:name w:val="SecurityMarking"/>
    <w:basedOn w:val="Normal"/>
    <w:rsid w:val="00C56BD9"/>
    <w:pPr>
      <w:spacing w:after="0" w:line="276" w:lineRule="auto"/>
      <w:ind w:left="5103"/>
    </w:pPr>
    <w:rPr>
      <w:rFonts w:ascii="Times New Roman" w:hAnsi="Times New Roman" w:cs="Times New Roman"/>
      <w:kern w:val="0"/>
      <w:sz w:val="28"/>
      <w:szCs w:val="22"/>
      <w:lang w:val="fr-FR"/>
    </w:rPr>
  </w:style>
  <w:style w:type="paragraph" w:customStyle="1" w:styleId="DateMarking">
    <w:name w:val="DateMarking"/>
    <w:basedOn w:val="Normal"/>
    <w:rsid w:val="00C56BD9"/>
    <w:pPr>
      <w:spacing w:after="0" w:line="276" w:lineRule="auto"/>
      <w:ind w:left="5103"/>
    </w:pPr>
    <w:rPr>
      <w:rFonts w:ascii="Times New Roman" w:hAnsi="Times New Roman" w:cs="Times New Roman"/>
      <w:i/>
      <w:kern w:val="0"/>
      <w:sz w:val="28"/>
      <w:szCs w:val="22"/>
      <w:lang w:val="fr-FR"/>
    </w:rPr>
  </w:style>
  <w:style w:type="paragraph" w:customStyle="1" w:styleId="ReleasableTo">
    <w:name w:val="ReleasableTo"/>
    <w:basedOn w:val="Normal"/>
    <w:rsid w:val="00C56BD9"/>
    <w:pPr>
      <w:spacing w:after="0" w:line="276" w:lineRule="auto"/>
      <w:ind w:left="5103"/>
    </w:pPr>
    <w:rPr>
      <w:rFonts w:ascii="Times New Roman" w:hAnsi="Times New Roman" w:cs="Times New Roman"/>
      <w:i/>
      <w:kern w:val="0"/>
      <w:sz w:val="28"/>
      <w:szCs w:val="22"/>
      <w:lang w:val="fr-FR"/>
    </w:rPr>
  </w:style>
  <w:style w:type="paragraph" w:customStyle="1" w:styleId="Annexetitreexpos">
    <w:name w:val="Annexe titre (exposé)"/>
    <w:basedOn w:val="Normal"/>
    <w:next w:val="Normal"/>
    <w:rsid w:val="00C56BD9"/>
    <w:pPr>
      <w:spacing w:before="120" w:after="120" w:line="240" w:lineRule="auto"/>
      <w:jc w:val="center"/>
    </w:pPr>
    <w:rPr>
      <w:rFonts w:ascii="Times New Roman" w:hAnsi="Times New Roman" w:cs="Times New Roman"/>
      <w:b/>
      <w:kern w:val="0"/>
      <w:szCs w:val="22"/>
      <w:u w:val="single"/>
      <w:lang w:val="fr-FR"/>
    </w:rPr>
  </w:style>
  <w:style w:type="paragraph" w:customStyle="1" w:styleId="Annexetitre">
    <w:name w:val="Annexe titre"/>
    <w:basedOn w:val="Normal"/>
    <w:next w:val="Normal"/>
    <w:rsid w:val="00C56BD9"/>
    <w:pPr>
      <w:spacing w:before="120" w:after="120" w:line="240" w:lineRule="auto"/>
      <w:jc w:val="center"/>
    </w:pPr>
    <w:rPr>
      <w:rFonts w:ascii="Times New Roman" w:hAnsi="Times New Roman" w:cs="Times New Roman"/>
      <w:b/>
      <w:kern w:val="0"/>
      <w:szCs w:val="22"/>
      <w:u w:val="single"/>
      <w:lang w:val="fr-FR"/>
    </w:rPr>
  </w:style>
  <w:style w:type="paragraph" w:customStyle="1" w:styleId="Annexetitrefichefinancire">
    <w:name w:val="Annexe titre (fiche financière)"/>
    <w:basedOn w:val="Normal"/>
    <w:next w:val="Normal"/>
    <w:rsid w:val="00C56BD9"/>
    <w:pPr>
      <w:spacing w:before="120" w:after="120" w:line="240" w:lineRule="auto"/>
      <w:jc w:val="center"/>
    </w:pPr>
    <w:rPr>
      <w:rFonts w:ascii="Times New Roman" w:hAnsi="Times New Roman" w:cs="Times New Roman"/>
      <w:b/>
      <w:kern w:val="0"/>
      <w:szCs w:val="22"/>
      <w:u w:val="single"/>
      <w:lang w:val="fr-FR"/>
    </w:rPr>
  </w:style>
  <w:style w:type="paragraph" w:customStyle="1" w:styleId="Applicationdirecte">
    <w:name w:val="Application directe"/>
    <w:basedOn w:val="Normal"/>
    <w:next w:val="Fait"/>
    <w:rsid w:val="00C56BD9"/>
    <w:pPr>
      <w:spacing w:before="480" w:after="120" w:line="240" w:lineRule="auto"/>
      <w:jc w:val="both"/>
    </w:pPr>
    <w:rPr>
      <w:rFonts w:ascii="Times New Roman" w:hAnsi="Times New Roman" w:cs="Times New Roman"/>
      <w:kern w:val="0"/>
      <w:szCs w:val="22"/>
      <w:lang w:val="fr-FR"/>
    </w:rPr>
  </w:style>
  <w:style w:type="paragraph" w:customStyle="1" w:styleId="Avertissementtitre">
    <w:name w:val="Avertissement titre"/>
    <w:basedOn w:val="Normal"/>
    <w:next w:val="Normal"/>
    <w:rsid w:val="00C56BD9"/>
    <w:pPr>
      <w:keepNext/>
      <w:spacing w:before="480" w:after="120" w:line="240" w:lineRule="auto"/>
      <w:jc w:val="both"/>
    </w:pPr>
    <w:rPr>
      <w:rFonts w:ascii="Times New Roman" w:hAnsi="Times New Roman" w:cs="Times New Roman"/>
      <w:kern w:val="0"/>
      <w:szCs w:val="22"/>
      <w:u w:val="single"/>
      <w:lang w:val="fr-FR"/>
    </w:rPr>
  </w:style>
  <w:style w:type="paragraph" w:customStyle="1" w:styleId="Confidence">
    <w:name w:val="Confidence"/>
    <w:basedOn w:val="Normal"/>
    <w:next w:val="Normal"/>
    <w:rsid w:val="00C56BD9"/>
    <w:pPr>
      <w:spacing w:before="360" w:after="120" w:line="240" w:lineRule="auto"/>
      <w:jc w:val="center"/>
    </w:pPr>
    <w:rPr>
      <w:rFonts w:ascii="Times New Roman" w:hAnsi="Times New Roman" w:cs="Times New Roman"/>
      <w:kern w:val="0"/>
      <w:szCs w:val="22"/>
      <w:lang w:val="fr-FR"/>
    </w:rPr>
  </w:style>
  <w:style w:type="paragraph" w:customStyle="1" w:styleId="Confidentialit">
    <w:name w:val="Confidentialité"/>
    <w:basedOn w:val="Normal"/>
    <w:next w:val="TypedudocumentPagedecouverture"/>
    <w:rsid w:val="00C56BD9"/>
    <w:pPr>
      <w:spacing w:before="240" w:after="240" w:line="240" w:lineRule="auto"/>
      <w:ind w:left="5103"/>
    </w:pPr>
    <w:rPr>
      <w:rFonts w:ascii="Times New Roman" w:hAnsi="Times New Roman" w:cs="Times New Roman"/>
      <w:i/>
      <w:kern w:val="0"/>
      <w:sz w:val="32"/>
      <w:szCs w:val="22"/>
      <w:lang w:val="fr-FR"/>
    </w:rPr>
  </w:style>
  <w:style w:type="paragraph" w:customStyle="1" w:styleId="Considrant">
    <w:name w:val="Considérant"/>
    <w:basedOn w:val="Normal"/>
    <w:rsid w:val="00C56BD9"/>
    <w:pPr>
      <w:numPr>
        <w:numId w:val="13"/>
      </w:numPr>
      <w:tabs>
        <w:tab w:val="clear" w:pos="709"/>
      </w:tabs>
      <w:spacing w:before="120" w:after="120" w:line="240" w:lineRule="auto"/>
      <w:ind w:left="0" w:firstLine="0"/>
      <w:jc w:val="both"/>
    </w:pPr>
    <w:rPr>
      <w:rFonts w:ascii="Times New Roman" w:hAnsi="Times New Roman" w:cs="Times New Roman"/>
      <w:kern w:val="0"/>
      <w:szCs w:val="22"/>
      <w:lang w:val="fr-FR"/>
    </w:rPr>
  </w:style>
  <w:style w:type="paragraph" w:customStyle="1" w:styleId="Corrigendum">
    <w:name w:val="Corrigendum"/>
    <w:basedOn w:val="Normal"/>
    <w:next w:val="Normal"/>
    <w:rsid w:val="00C56BD9"/>
    <w:pPr>
      <w:spacing w:after="240" w:line="240" w:lineRule="auto"/>
    </w:pPr>
    <w:rPr>
      <w:rFonts w:ascii="Times New Roman" w:hAnsi="Times New Roman" w:cs="Times New Roman"/>
      <w:kern w:val="0"/>
      <w:szCs w:val="22"/>
      <w:lang w:val="fr-FR"/>
    </w:rPr>
  </w:style>
  <w:style w:type="paragraph" w:customStyle="1" w:styleId="Datedadoption">
    <w:name w:val="Date d'adoption"/>
    <w:basedOn w:val="Normal"/>
    <w:next w:val="IntrtEEE"/>
    <w:rsid w:val="00C56BD9"/>
    <w:pPr>
      <w:spacing w:before="360" w:after="0" w:line="240" w:lineRule="auto"/>
      <w:jc w:val="center"/>
    </w:pPr>
    <w:rPr>
      <w:rFonts w:ascii="Times New Roman" w:hAnsi="Times New Roman" w:cs="Times New Roman"/>
      <w:b/>
      <w:kern w:val="0"/>
      <w:szCs w:val="22"/>
      <w:lang w:val="fr-FR"/>
    </w:rPr>
  </w:style>
  <w:style w:type="paragraph" w:customStyle="1" w:styleId="Exposdesmotifstitre">
    <w:name w:val="Exposé des motifs titre"/>
    <w:basedOn w:val="Normal"/>
    <w:next w:val="Normal"/>
    <w:rsid w:val="00C56BD9"/>
    <w:pPr>
      <w:spacing w:before="120" w:after="120" w:line="240" w:lineRule="auto"/>
      <w:jc w:val="center"/>
    </w:pPr>
    <w:rPr>
      <w:rFonts w:ascii="Times New Roman" w:hAnsi="Times New Roman" w:cs="Times New Roman"/>
      <w:b/>
      <w:kern w:val="0"/>
      <w:szCs w:val="22"/>
      <w:u w:val="single"/>
      <w:lang w:val="fr-FR"/>
    </w:rPr>
  </w:style>
  <w:style w:type="paragraph" w:customStyle="1" w:styleId="Fait">
    <w:name w:val="Fait à"/>
    <w:basedOn w:val="Normal"/>
    <w:next w:val="Institutionquisigne"/>
    <w:rsid w:val="00C56BD9"/>
    <w:pPr>
      <w:keepNext/>
      <w:spacing w:before="120" w:after="0" w:line="240" w:lineRule="auto"/>
      <w:jc w:val="both"/>
    </w:pPr>
    <w:rPr>
      <w:rFonts w:ascii="Times New Roman" w:hAnsi="Times New Roman" w:cs="Times New Roman"/>
      <w:kern w:val="0"/>
      <w:szCs w:val="22"/>
      <w:lang w:val="fr-FR"/>
    </w:rPr>
  </w:style>
  <w:style w:type="paragraph" w:customStyle="1" w:styleId="Formuledadoption">
    <w:name w:val="Formule d'adoption"/>
    <w:basedOn w:val="Normal"/>
    <w:next w:val="Titrearticle"/>
    <w:rsid w:val="00C56BD9"/>
    <w:pPr>
      <w:keepNext/>
      <w:spacing w:before="120" w:after="120" w:line="240" w:lineRule="auto"/>
      <w:jc w:val="both"/>
    </w:pPr>
    <w:rPr>
      <w:rFonts w:ascii="Times New Roman" w:hAnsi="Times New Roman" w:cs="Times New Roman"/>
      <w:kern w:val="0"/>
      <w:szCs w:val="22"/>
      <w:lang w:val="fr-FR"/>
    </w:rPr>
  </w:style>
  <w:style w:type="paragraph" w:customStyle="1" w:styleId="Institutionquiagit">
    <w:name w:val="Institution qui agit"/>
    <w:basedOn w:val="Normal"/>
    <w:next w:val="Normal"/>
    <w:rsid w:val="00C56BD9"/>
    <w:pPr>
      <w:keepNext/>
      <w:spacing w:before="600" w:after="120" w:line="240" w:lineRule="auto"/>
      <w:jc w:val="both"/>
    </w:pPr>
    <w:rPr>
      <w:rFonts w:ascii="Times New Roman" w:hAnsi="Times New Roman" w:cs="Times New Roman"/>
      <w:kern w:val="0"/>
      <w:szCs w:val="22"/>
      <w:lang w:val="fr-FR"/>
    </w:rPr>
  </w:style>
  <w:style w:type="paragraph" w:customStyle="1" w:styleId="Institutionquisigne">
    <w:name w:val="Institution qui signe"/>
    <w:basedOn w:val="Normal"/>
    <w:next w:val="Personnequisigne"/>
    <w:rsid w:val="00C56BD9"/>
    <w:pPr>
      <w:keepNext/>
      <w:tabs>
        <w:tab w:val="left" w:pos="4252"/>
      </w:tabs>
      <w:spacing w:before="720" w:after="0" w:line="240" w:lineRule="auto"/>
      <w:jc w:val="both"/>
    </w:pPr>
    <w:rPr>
      <w:rFonts w:ascii="Times New Roman" w:hAnsi="Times New Roman" w:cs="Times New Roman"/>
      <w:i/>
      <w:kern w:val="0"/>
      <w:szCs w:val="22"/>
      <w:lang w:val="fr-FR"/>
    </w:rPr>
  </w:style>
  <w:style w:type="paragraph" w:customStyle="1" w:styleId="ManualConsidrant">
    <w:name w:val="Manual Considérant"/>
    <w:basedOn w:val="Normal"/>
    <w:rsid w:val="00C56BD9"/>
    <w:pPr>
      <w:spacing w:before="120" w:after="120" w:line="240" w:lineRule="auto"/>
      <w:ind w:left="709" w:hanging="709"/>
      <w:jc w:val="both"/>
    </w:pPr>
    <w:rPr>
      <w:rFonts w:ascii="Times New Roman" w:hAnsi="Times New Roman" w:cs="Times New Roman"/>
      <w:kern w:val="0"/>
      <w:szCs w:val="22"/>
      <w:lang w:val="fr-FR"/>
    </w:rPr>
  </w:style>
  <w:style w:type="paragraph" w:customStyle="1" w:styleId="Personnequisigne">
    <w:name w:val="Personne qui signe"/>
    <w:basedOn w:val="Normal"/>
    <w:next w:val="Institutionquisigne"/>
    <w:rsid w:val="00C56BD9"/>
    <w:pPr>
      <w:tabs>
        <w:tab w:val="left" w:pos="4252"/>
      </w:tabs>
      <w:spacing w:after="0" w:line="240" w:lineRule="auto"/>
    </w:pPr>
    <w:rPr>
      <w:rFonts w:ascii="Times New Roman" w:hAnsi="Times New Roman" w:cs="Times New Roman"/>
      <w:i/>
      <w:kern w:val="0"/>
      <w:szCs w:val="22"/>
      <w:lang w:val="fr-FR"/>
    </w:rPr>
  </w:style>
  <w:style w:type="paragraph" w:customStyle="1" w:styleId="Rfrenceinterinstitutionnelle">
    <w:name w:val="Référence interinstitutionnelle"/>
    <w:basedOn w:val="Normal"/>
    <w:next w:val="Statut"/>
    <w:rsid w:val="00C56BD9"/>
    <w:pPr>
      <w:spacing w:after="0" w:line="240" w:lineRule="auto"/>
      <w:ind w:left="5103"/>
    </w:pPr>
    <w:rPr>
      <w:rFonts w:ascii="Times New Roman" w:hAnsi="Times New Roman" w:cs="Times New Roman"/>
      <w:kern w:val="0"/>
      <w:szCs w:val="22"/>
      <w:lang w:val="fr-FR"/>
    </w:rPr>
  </w:style>
  <w:style w:type="paragraph" w:customStyle="1" w:styleId="Rfrenceinterne">
    <w:name w:val="Référence interne"/>
    <w:basedOn w:val="Normal"/>
    <w:next w:val="Rfrenceinterinstitutionnelle"/>
    <w:rsid w:val="00C56BD9"/>
    <w:pPr>
      <w:spacing w:after="0" w:line="240" w:lineRule="auto"/>
      <w:ind w:left="5103"/>
    </w:pPr>
    <w:rPr>
      <w:rFonts w:ascii="Times New Roman" w:hAnsi="Times New Roman" w:cs="Times New Roman"/>
      <w:kern w:val="0"/>
      <w:szCs w:val="22"/>
      <w:lang w:val="fr-FR"/>
    </w:rPr>
  </w:style>
  <w:style w:type="paragraph" w:customStyle="1" w:styleId="Statut">
    <w:name w:val="Statut"/>
    <w:basedOn w:val="Normal"/>
    <w:next w:val="Typedudocument"/>
    <w:rsid w:val="00C56BD9"/>
    <w:pPr>
      <w:spacing w:after="240" w:line="240" w:lineRule="auto"/>
      <w:jc w:val="center"/>
    </w:pPr>
    <w:rPr>
      <w:rFonts w:ascii="Times New Roman" w:hAnsi="Times New Roman" w:cs="Times New Roman"/>
      <w:kern w:val="0"/>
      <w:szCs w:val="22"/>
      <w:lang w:val="fr-FR"/>
    </w:rPr>
  </w:style>
  <w:style w:type="paragraph" w:customStyle="1" w:styleId="Titrearticle">
    <w:name w:val="Titre article"/>
    <w:basedOn w:val="Normal"/>
    <w:next w:val="Normal"/>
    <w:rsid w:val="00C56BD9"/>
    <w:pPr>
      <w:keepNext/>
      <w:spacing w:before="360" w:after="120" w:line="240" w:lineRule="auto"/>
      <w:jc w:val="center"/>
    </w:pPr>
    <w:rPr>
      <w:rFonts w:ascii="Times New Roman" w:hAnsi="Times New Roman" w:cs="Times New Roman"/>
      <w:i/>
      <w:kern w:val="0"/>
      <w:szCs w:val="22"/>
      <w:lang w:val="fr-FR"/>
    </w:rPr>
  </w:style>
  <w:style w:type="paragraph" w:customStyle="1" w:styleId="Typedudocument">
    <w:name w:val="Type du document"/>
    <w:basedOn w:val="Normal"/>
    <w:next w:val="Accompagnant"/>
    <w:rsid w:val="00C56BD9"/>
    <w:pPr>
      <w:spacing w:before="360" w:after="180" w:line="240" w:lineRule="auto"/>
      <w:jc w:val="center"/>
    </w:pPr>
    <w:rPr>
      <w:rFonts w:ascii="Times New Roman" w:hAnsi="Times New Roman" w:cs="Times New Roman"/>
      <w:b/>
      <w:kern w:val="0"/>
      <w:szCs w:val="22"/>
      <w:lang w:val="fr-FR"/>
    </w:rPr>
  </w:style>
  <w:style w:type="character" w:customStyle="1" w:styleId="Added">
    <w:name w:val="Added"/>
    <w:basedOn w:val="DefaultParagraphFont"/>
    <w:rsid w:val="00C56BD9"/>
    <w:rPr>
      <w:b/>
      <w:u w:val="single"/>
      <w:shd w:val="clear" w:color="auto" w:fill="auto"/>
    </w:rPr>
  </w:style>
  <w:style w:type="character" w:customStyle="1" w:styleId="Deleted">
    <w:name w:val="Deleted"/>
    <w:basedOn w:val="DefaultParagraphFont"/>
    <w:rsid w:val="00C56BD9"/>
    <w:rPr>
      <w:strike/>
      <w:dstrike w:val="0"/>
      <w:shd w:val="clear" w:color="auto" w:fill="auto"/>
    </w:rPr>
  </w:style>
  <w:style w:type="paragraph" w:customStyle="1" w:styleId="Address">
    <w:name w:val="Address"/>
    <w:basedOn w:val="Normal"/>
    <w:next w:val="Normal"/>
    <w:rsid w:val="00C56BD9"/>
    <w:pPr>
      <w:keepLines/>
      <w:spacing w:before="120" w:after="120" w:line="360" w:lineRule="auto"/>
      <w:ind w:left="3402"/>
    </w:pPr>
    <w:rPr>
      <w:rFonts w:ascii="Times New Roman" w:hAnsi="Times New Roman" w:cs="Times New Roman"/>
      <w:kern w:val="0"/>
      <w:szCs w:val="22"/>
      <w:lang w:val="fr-FR"/>
    </w:rPr>
  </w:style>
  <w:style w:type="paragraph" w:customStyle="1" w:styleId="Objetexterne">
    <w:name w:val="Objet externe"/>
    <w:basedOn w:val="Normal"/>
    <w:next w:val="Normal"/>
    <w:rsid w:val="00C56BD9"/>
    <w:pPr>
      <w:spacing w:before="120" w:after="120" w:line="240" w:lineRule="auto"/>
      <w:jc w:val="both"/>
    </w:pPr>
    <w:rPr>
      <w:rFonts w:ascii="Times New Roman" w:hAnsi="Times New Roman" w:cs="Times New Roman"/>
      <w:i/>
      <w:caps/>
      <w:kern w:val="0"/>
      <w:szCs w:val="22"/>
      <w:lang w:val="fr-FR"/>
    </w:rPr>
  </w:style>
  <w:style w:type="paragraph" w:customStyle="1" w:styleId="Supertitre">
    <w:name w:val="Supertitre"/>
    <w:basedOn w:val="Normal"/>
    <w:next w:val="Normal"/>
    <w:rsid w:val="00C56BD9"/>
    <w:pPr>
      <w:spacing w:after="600" w:line="240" w:lineRule="auto"/>
      <w:jc w:val="center"/>
    </w:pPr>
    <w:rPr>
      <w:rFonts w:ascii="Times New Roman" w:hAnsi="Times New Roman" w:cs="Times New Roman"/>
      <w:b/>
      <w:kern w:val="0"/>
      <w:szCs w:val="22"/>
      <w:lang w:val="fr-FR"/>
    </w:rPr>
  </w:style>
  <w:style w:type="paragraph" w:customStyle="1" w:styleId="Languesfaisantfoi">
    <w:name w:val="Langues faisant foi"/>
    <w:basedOn w:val="Normal"/>
    <w:next w:val="Normal"/>
    <w:rsid w:val="00C56BD9"/>
    <w:pPr>
      <w:spacing w:before="360" w:after="0" w:line="240" w:lineRule="auto"/>
      <w:jc w:val="center"/>
    </w:pPr>
    <w:rPr>
      <w:rFonts w:ascii="Times New Roman" w:hAnsi="Times New Roman" w:cs="Times New Roman"/>
      <w:kern w:val="0"/>
      <w:szCs w:val="22"/>
      <w:lang w:val="fr-FR"/>
    </w:rPr>
  </w:style>
  <w:style w:type="paragraph" w:customStyle="1" w:styleId="Rfrencecroise">
    <w:name w:val="Référence croisée"/>
    <w:basedOn w:val="Normal"/>
    <w:rsid w:val="00C56BD9"/>
    <w:pPr>
      <w:spacing w:after="0" w:line="240" w:lineRule="auto"/>
      <w:jc w:val="center"/>
    </w:pPr>
    <w:rPr>
      <w:rFonts w:ascii="Times New Roman" w:hAnsi="Times New Roman" w:cs="Times New Roman"/>
      <w:kern w:val="0"/>
      <w:szCs w:val="22"/>
      <w:lang w:val="fr-FR"/>
    </w:rPr>
  </w:style>
  <w:style w:type="paragraph" w:customStyle="1" w:styleId="Fichefinanciretitre">
    <w:name w:val="Fiche financière titre"/>
    <w:basedOn w:val="Normal"/>
    <w:next w:val="Normal"/>
    <w:rsid w:val="00C56BD9"/>
    <w:pPr>
      <w:spacing w:before="120" w:after="120" w:line="240" w:lineRule="auto"/>
      <w:jc w:val="center"/>
    </w:pPr>
    <w:rPr>
      <w:rFonts w:ascii="Times New Roman" w:hAnsi="Times New Roman" w:cs="Times New Roman"/>
      <w:b/>
      <w:kern w:val="0"/>
      <w:szCs w:val="22"/>
      <w:u w:val="single"/>
      <w:lang w:val="fr-FR"/>
    </w:rPr>
  </w:style>
  <w:style w:type="paragraph" w:customStyle="1" w:styleId="DatedadoptionPagedecouverture">
    <w:name w:val="Date d'adoption (Page de couverture)"/>
    <w:basedOn w:val="Datedadoption"/>
    <w:next w:val="IntrtEEEPagedecouverture"/>
    <w:rsid w:val="00C56BD9"/>
  </w:style>
  <w:style w:type="paragraph" w:customStyle="1" w:styleId="RfrenceinterinstitutionnellePagedecouverture">
    <w:name w:val="Référence interinstitutionnelle (Page de couverture)"/>
    <w:basedOn w:val="Rfrenceinterinstitutionnelle"/>
    <w:next w:val="Confidentialit"/>
    <w:rsid w:val="00C56BD9"/>
  </w:style>
  <w:style w:type="paragraph" w:customStyle="1" w:styleId="StatutPagedecouverture">
    <w:name w:val="Statut (Page de couverture)"/>
    <w:basedOn w:val="Statut"/>
    <w:next w:val="TypedudocumentPagedecouverture"/>
    <w:rsid w:val="00C56BD9"/>
  </w:style>
  <w:style w:type="paragraph" w:customStyle="1" w:styleId="TypedudocumentPagedecouverture">
    <w:name w:val="Type du document (Page de couverture)"/>
    <w:basedOn w:val="Typedudocument"/>
    <w:next w:val="AccompagnantPagedecouverture"/>
    <w:rsid w:val="00C56BD9"/>
  </w:style>
  <w:style w:type="paragraph" w:customStyle="1" w:styleId="Volume">
    <w:name w:val="Volume"/>
    <w:basedOn w:val="Normal"/>
    <w:next w:val="Confidentialit"/>
    <w:rsid w:val="00C56BD9"/>
    <w:pPr>
      <w:spacing w:after="240" w:line="240" w:lineRule="auto"/>
      <w:ind w:left="5103"/>
    </w:pPr>
    <w:rPr>
      <w:rFonts w:ascii="Times New Roman" w:hAnsi="Times New Roman" w:cs="Times New Roman"/>
      <w:kern w:val="0"/>
      <w:szCs w:val="22"/>
      <w:lang w:val="fr-FR"/>
    </w:rPr>
  </w:style>
  <w:style w:type="paragraph" w:customStyle="1" w:styleId="IntrtEEE">
    <w:name w:val="Intérêt EEE"/>
    <w:basedOn w:val="Languesfaisantfoi"/>
    <w:next w:val="Normal"/>
    <w:rsid w:val="00C56BD9"/>
    <w:pPr>
      <w:spacing w:after="240"/>
    </w:pPr>
  </w:style>
  <w:style w:type="paragraph" w:customStyle="1" w:styleId="Accompagnant">
    <w:name w:val="Accompagnant"/>
    <w:basedOn w:val="Normal"/>
    <w:next w:val="Typeacteprincipal"/>
    <w:rsid w:val="00C56BD9"/>
    <w:pPr>
      <w:spacing w:before="180" w:after="240" w:line="240" w:lineRule="auto"/>
      <w:jc w:val="center"/>
    </w:pPr>
    <w:rPr>
      <w:rFonts w:ascii="Times New Roman" w:hAnsi="Times New Roman" w:cs="Times New Roman"/>
      <w:b/>
      <w:kern w:val="0"/>
      <w:szCs w:val="22"/>
      <w:lang w:val="fr-FR"/>
    </w:rPr>
  </w:style>
  <w:style w:type="paragraph" w:customStyle="1" w:styleId="Typeacteprincipal">
    <w:name w:val="Type acte principal"/>
    <w:basedOn w:val="Normal"/>
    <w:next w:val="Objetacteprincipal"/>
    <w:rsid w:val="00C56BD9"/>
    <w:pPr>
      <w:spacing w:after="240" w:line="240" w:lineRule="auto"/>
      <w:jc w:val="center"/>
    </w:pPr>
    <w:rPr>
      <w:rFonts w:ascii="Times New Roman" w:hAnsi="Times New Roman" w:cs="Times New Roman"/>
      <w:b/>
      <w:kern w:val="0"/>
      <w:szCs w:val="22"/>
      <w:lang w:val="fr-FR"/>
    </w:rPr>
  </w:style>
  <w:style w:type="paragraph" w:customStyle="1" w:styleId="Objetacteprincipal">
    <w:name w:val="Objet acte principal"/>
    <w:basedOn w:val="Normal"/>
    <w:next w:val="Titrearticle"/>
    <w:rsid w:val="00C56BD9"/>
    <w:pPr>
      <w:spacing w:after="360" w:line="240" w:lineRule="auto"/>
      <w:jc w:val="center"/>
    </w:pPr>
    <w:rPr>
      <w:rFonts w:ascii="Times New Roman" w:hAnsi="Times New Roman" w:cs="Times New Roman"/>
      <w:b/>
      <w:kern w:val="0"/>
      <w:szCs w:val="22"/>
      <w:lang w:val="fr-FR"/>
    </w:rPr>
  </w:style>
  <w:style w:type="paragraph" w:customStyle="1" w:styleId="IntrtEEEPagedecouverture">
    <w:name w:val="Intérêt EEE (Page de couverture)"/>
    <w:basedOn w:val="IntrtEEE"/>
    <w:next w:val="Rfrencecroise"/>
    <w:rsid w:val="00C56BD9"/>
  </w:style>
  <w:style w:type="paragraph" w:customStyle="1" w:styleId="AccompagnantPagedecouverture">
    <w:name w:val="Accompagnant (Page de couverture)"/>
    <w:basedOn w:val="Accompagnant"/>
    <w:next w:val="TypeacteprincipalPagedecouverture"/>
    <w:rsid w:val="00C56BD9"/>
  </w:style>
  <w:style w:type="paragraph" w:customStyle="1" w:styleId="TypeacteprincipalPagedecouverture">
    <w:name w:val="Type acte principal (Page de couverture)"/>
    <w:basedOn w:val="Typeacteprincipal"/>
    <w:next w:val="ObjetacteprincipalPagedecouverture"/>
    <w:rsid w:val="00C56BD9"/>
  </w:style>
  <w:style w:type="paragraph" w:customStyle="1" w:styleId="ObjetacteprincipalPagedecouverture">
    <w:name w:val="Objet acte principal (Page de couverture)"/>
    <w:basedOn w:val="Objetacteprincipal"/>
    <w:next w:val="Rfrencecroise"/>
    <w:rsid w:val="00C56BD9"/>
  </w:style>
  <w:style w:type="paragraph" w:customStyle="1" w:styleId="LanguesfaisantfoiPagedecouverture">
    <w:name w:val="Langues faisant foi (Page de couverture)"/>
    <w:basedOn w:val="Normal"/>
    <w:next w:val="Normal"/>
    <w:rsid w:val="00C56BD9"/>
    <w:pPr>
      <w:spacing w:before="360" w:after="0" w:line="240" w:lineRule="auto"/>
      <w:jc w:val="center"/>
    </w:pPr>
    <w:rPr>
      <w:rFonts w:ascii="Times New Roman" w:hAnsi="Times New Roman" w:cs="Times New Roman"/>
      <w:kern w:val="0"/>
      <w:szCs w:val="22"/>
      <w:lang w:val="fr-FR"/>
    </w:rPr>
  </w:style>
  <w:style w:type="character" w:styleId="CommentReference">
    <w:name w:val="annotation reference"/>
    <w:basedOn w:val="DefaultParagraphFont"/>
    <w:uiPriority w:val="99"/>
    <w:unhideWhenUsed/>
    <w:rsid w:val="00C56BD9"/>
    <w:rPr>
      <w:sz w:val="16"/>
      <w:szCs w:val="16"/>
    </w:rPr>
  </w:style>
  <w:style w:type="paragraph" w:styleId="CommentText">
    <w:name w:val="annotation text"/>
    <w:basedOn w:val="Normal"/>
    <w:link w:val="CommentTextChar"/>
    <w:uiPriority w:val="99"/>
    <w:unhideWhenUsed/>
    <w:rsid w:val="00C56BD9"/>
    <w:pPr>
      <w:spacing w:before="120" w:after="120" w:line="240" w:lineRule="auto"/>
      <w:jc w:val="both"/>
    </w:pPr>
    <w:rPr>
      <w:rFonts w:ascii="Times New Roman" w:hAnsi="Times New Roman" w:cs="Times New Roman"/>
      <w:kern w:val="0"/>
      <w:sz w:val="20"/>
      <w:szCs w:val="20"/>
      <w:lang w:val="fr-FR"/>
    </w:rPr>
  </w:style>
  <w:style w:type="character" w:customStyle="1" w:styleId="CommentTextChar">
    <w:name w:val="Comment Text Char"/>
    <w:basedOn w:val="DefaultParagraphFont"/>
    <w:link w:val="CommentText"/>
    <w:uiPriority w:val="99"/>
    <w:rsid w:val="00C56BD9"/>
    <w:rPr>
      <w:rFonts w:ascii="Times New Roman" w:hAnsi="Times New Roman" w:cs="Times New Roman"/>
      <w:kern w:val="0"/>
      <w:sz w:val="20"/>
      <w:szCs w:val="20"/>
      <w:lang w:val="fr-FR"/>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C56BD9"/>
  </w:style>
  <w:style w:type="paragraph" w:styleId="BalloonText">
    <w:name w:val="Balloon Text"/>
    <w:basedOn w:val="Normal"/>
    <w:link w:val="BalloonTextChar"/>
    <w:uiPriority w:val="99"/>
    <w:semiHidden/>
    <w:unhideWhenUsed/>
    <w:rsid w:val="00C56BD9"/>
    <w:pPr>
      <w:spacing w:after="0" w:line="240" w:lineRule="auto"/>
      <w:jc w:val="both"/>
    </w:pPr>
    <w:rPr>
      <w:rFonts w:ascii="Segoe UI" w:hAnsi="Segoe UI" w:cs="Segoe UI"/>
      <w:kern w:val="0"/>
      <w:sz w:val="18"/>
      <w:szCs w:val="18"/>
      <w:lang w:val="fr-FR"/>
    </w:rPr>
  </w:style>
  <w:style w:type="character" w:customStyle="1" w:styleId="BalloonTextChar">
    <w:name w:val="Balloon Text Char"/>
    <w:basedOn w:val="DefaultParagraphFont"/>
    <w:link w:val="BalloonText"/>
    <w:uiPriority w:val="99"/>
    <w:semiHidden/>
    <w:rsid w:val="00C56BD9"/>
    <w:rPr>
      <w:rFonts w:ascii="Segoe UI" w:hAnsi="Segoe UI" w:cs="Segoe UI"/>
      <w:kern w:val="0"/>
      <w:sz w:val="18"/>
      <w:szCs w:val="18"/>
      <w:lang w:val="fr-FR"/>
    </w:rPr>
  </w:style>
  <w:style w:type="paragraph" w:styleId="ListBullet">
    <w:name w:val="List Bullet"/>
    <w:basedOn w:val="Normal"/>
    <w:uiPriority w:val="99"/>
    <w:semiHidden/>
    <w:unhideWhenUsed/>
    <w:rsid w:val="00C56BD9"/>
    <w:pPr>
      <w:numPr>
        <w:numId w:val="14"/>
      </w:numPr>
      <w:tabs>
        <w:tab w:val="clear" w:pos="360"/>
      </w:tabs>
      <w:spacing w:before="120" w:after="120" w:line="240" w:lineRule="auto"/>
      <w:ind w:left="0" w:firstLine="0"/>
      <w:contextualSpacing/>
      <w:jc w:val="both"/>
    </w:pPr>
    <w:rPr>
      <w:rFonts w:ascii="Times New Roman" w:hAnsi="Times New Roman" w:cs="Times New Roman"/>
      <w:kern w:val="0"/>
      <w:szCs w:val="22"/>
      <w:lang w:val="fr-FR"/>
    </w:rPr>
  </w:style>
  <w:style w:type="paragraph" w:styleId="ListBullet2">
    <w:name w:val="List Bullet 2"/>
    <w:basedOn w:val="Normal"/>
    <w:uiPriority w:val="99"/>
    <w:semiHidden/>
    <w:unhideWhenUsed/>
    <w:rsid w:val="00C56BD9"/>
    <w:pPr>
      <w:numPr>
        <w:numId w:val="15"/>
      </w:numPr>
      <w:tabs>
        <w:tab w:val="clear" w:pos="643"/>
      </w:tabs>
      <w:spacing w:before="120" w:after="120" w:line="240" w:lineRule="auto"/>
      <w:ind w:left="0" w:firstLine="0"/>
      <w:contextualSpacing/>
      <w:jc w:val="both"/>
    </w:pPr>
    <w:rPr>
      <w:rFonts w:ascii="Times New Roman" w:hAnsi="Times New Roman" w:cs="Times New Roman"/>
      <w:kern w:val="0"/>
      <w:szCs w:val="22"/>
      <w:lang w:val="fr-FR"/>
    </w:rPr>
  </w:style>
  <w:style w:type="paragraph" w:styleId="ListBullet3">
    <w:name w:val="List Bullet 3"/>
    <w:basedOn w:val="Normal"/>
    <w:uiPriority w:val="99"/>
    <w:semiHidden/>
    <w:unhideWhenUsed/>
    <w:rsid w:val="00C56BD9"/>
    <w:pPr>
      <w:numPr>
        <w:numId w:val="16"/>
      </w:numPr>
      <w:tabs>
        <w:tab w:val="clear" w:pos="926"/>
      </w:tabs>
      <w:spacing w:before="120" w:after="120" w:line="240" w:lineRule="auto"/>
      <w:ind w:left="0" w:firstLine="0"/>
      <w:contextualSpacing/>
      <w:jc w:val="both"/>
    </w:pPr>
    <w:rPr>
      <w:rFonts w:ascii="Times New Roman" w:hAnsi="Times New Roman" w:cs="Times New Roman"/>
      <w:kern w:val="0"/>
      <w:szCs w:val="22"/>
      <w:lang w:val="fr-FR"/>
    </w:rPr>
  </w:style>
  <w:style w:type="paragraph" w:styleId="ListBullet4">
    <w:name w:val="List Bullet 4"/>
    <w:basedOn w:val="Normal"/>
    <w:uiPriority w:val="99"/>
    <w:semiHidden/>
    <w:unhideWhenUsed/>
    <w:rsid w:val="00C56BD9"/>
    <w:pPr>
      <w:numPr>
        <w:numId w:val="17"/>
      </w:numPr>
      <w:tabs>
        <w:tab w:val="clear" w:pos="1209"/>
      </w:tabs>
      <w:spacing w:before="120" w:after="120" w:line="240" w:lineRule="auto"/>
      <w:ind w:left="0" w:firstLine="0"/>
      <w:contextualSpacing/>
      <w:jc w:val="both"/>
    </w:pPr>
    <w:rPr>
      <w:rFonts w:ascii="Times New Roman" w:hAnsi="Times New Roman" w:cs="Times New Roman"/>
      <w:kern w:val="0"/>
      <w:szCs w:val="22"/>
      <w:lang w:val="fr-FR"/>
    </w:rPr>
  </w:style>
  <w:style w:type="paragraph" w:styleId="CommentSubject">
    <w:name w:val="annotation subject"/>
    <w:basedOn w:val="CommentText"/>
    <w:next w:val="CommentText"/>
    <w:link w:val="CommentSubjectChar"/>
    <w:uiPriority w:val="99"/>
    <w:semiHidden/>
    <w:unhideWhenUsed/>
    <w:rsid w:val="00C56BD9"/>
    <w:rPr>
      <w:b/>
      <w:bCs/>
    </w:rPr>
  </w:style>
  <w:style w:type="character" w:customStyle="1" w:styleId="CommentSubjectChar">
    <w:name w:val="Comment Subject Char"/>
    <w:basedOn w:val="CommentTextChar"/>
    <w:link w:val="CommentSubject"/>
    <w:uiPriority w:val="99"/>
    <w:semiHidden/>
    <w:rsid w:val="00C56BD9"/>
    <w:rPr>
      <w:rFonts w:ascii="Times New Roman" w:hAnsi="Times New Roman" w:cs="Times New Roman"/>
      <w:b/>
      <w:bCs/>
      <w:kern w:val="0"/>
      <w:sz w:val="20"/>
      <w:szCs w:val="20"/>
      <w:lang w:val="fr-FR"/>
    </w:rPr>
  </w:style>
  <w:style w:type="paragraph" w:styleId="Revision">
    <w:name w:val="Revision"/>
    <w:hidden/>
    <w:uiPriority w:val="99"/>
    <w:semiHidden/>
    <w:rsid w:val="00C56BD9"/>
    <w:pPr>
      <w:spacing w:after="0" w:line="240" w:lineRule="auto"/>
    </w:pPr>
    <w:rPr>
      <w:rFonts w:ascii="Times New Roman" w:hAnsi="Times New Roman" w:cs="Times New Roman"/>
      <w:kern w:val="0"/>
      <w:szCs w:val="22"/>
      <w:lang w:val="fr-FR"/>
    </w:rPr>
  </w:style>
  <w:style w:type="paragraph" w:customStyle="1" w:styleId="paragraph">
    <w:name w:val="paragraph"/>
    <w:basedOn w:val="Normal"/>
    <w:rsid w:val="00C56BD9"/>
    <w:pPr>
      <w:spacing w:before="100" w:beforeAutospacing="1" w:after="100" w:afterAutospacing="1" w:line="240" w:lineRule="auto"/>
    </w:pPr>
    <w:rPr>
      <w:rFonts w:ascii="Times New Roman" w:eastAsia="Times New Roman" w:hAnsi="Times New Roman" w:cs="Times New Roman"/>
      <w:kern w:val="0"/>
      <w:lang w:val="fr-FR" w:eastAsia="en-GB"/>
    </w:rPr>
  </w:style>
  <w:style w:type="character" w:customStyle="1" w:styleId="normaltextrun">
    <w:name w:val="normaltextrun"/>
    <w:basedOn w:val="DefaultParagraphFont"/>
    <w:rsid w:val="00C56BD9"/>
  </w:style>
  <w:style w:type="character" w:customStyle="1" w:styleId="eop">
    <w:name w:val="eop"/>
    <w:basedOn w:val="DefaultParagraphFont"/>
    <w:rsid w:val="00C56BD9"/>
  </w:style>
  <w:style w:type="table" w:styleId="TableGrid">
    <w:name w:val="Table Grid"/>
    <w:basedOn w:val="TableNormal"/>
    <w:uiPriority w:val="59"/>
    <w:rsid w:val="00C56BD9"/>
    <w:pPr>
      <w:spacing w:after="0" w:line="240" w:lineRule="auto"/>
    </w:pPr>
    <w:rPr>
      <w:kern w:val="0"/>
      <w:sz w:val="22"/>
      <w:szCs w:val="22"/>
      <w:lang w:val="fr-FR"/>
    </w:rPr>
    <w:tblPr/>
  </w:style>
  <w:style w:type="character" w:customStyle="1" w:styleId="Mention1">
    <w:name w:val="Mention1"/>
    <w:basedOn w:val="DefaultParagraphFont"/>
    <w:uiPriority w:val="99"/>
    <w:unhideWhenUsed/>
    <w:rsid w:val="00C56BD9"/>
    <w:rPr>
      <w:color w:val="2B579A"/>
      <w:shd w:val="clear" w:color="auto" w:fill="E6E6E6"/>
    </w:rPr>
  </w:style>
  <w:style w:type="character" w:styleId="Emphasis">
    <w:name w:val="Emphasis"/>
    <w:basedOn w:val="DefaultParagraphFont"/>
    <w:uiPriority w:val="20"/>
    <w:qFormat/>
    <w:rsid w:val="00C56BD9"/>
    <w:rPr>
      <w:i/>
      <w:iCs/>
    </w:rPr>
  </w:style>
  <w:style w:type="character" w:styleId="Hyperlink">
    <w:name w:val="Hyperlink"/>
    <w:basedOn w:val="DefaultParagraphFont"/>
    <w:uiPriority w:val="99"/>
    <w:unhideWhenUsed/>
    <w:rsid w:val="00C56BD9"/>
    <w:rPr>
      <w:color w:val="467886" w:themeColor="hyperlink"/>
      <w:u w:val="single"/>
    </w:rPr>
  </w:style>
  <w:style w:type="character" w:customStyle="1" w:styleId="phrase">
    <w:name w:val="phrase"/>
    <w:basedOn w:val="DefaultParagraphFont"/>
    <w:rsid w:val="00C56BD9"/>
  </w:style>
  <w:style w:type="character" w:customStyle="1" w:styleId="word">
    <w:name w:val="word"/>
    <w:basedOn w:val="DefaultParagraphFont"/>
    <w:rsid w:val="00C56BD9"/>
  </w:style>
  <w:style w:type="paragraph" w:customStyle="1" w:styleId="FooterCoverPage">
    <w:name w:val="Footer Cover Page"/>
    <w:basedOn w:val="Normal"/>
    <w:link w:val="FooterCoverPageChar"/>
    <w:rsid w:val="00C56B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C56BD9"/>
    <w:rPr>
      <w:rFonts w:ascii="Times New Roman" w:hAnsi="Times New Roman" w:cs="Times New Roman"/>
      <w:lang w:val="en-GB"/>
    </w:rPr>
  </w:style>
  <w:style w:type="paragraph" w:customStyle="1" w:styleId="HeaderCoverPage">
    <w:name w:val="Header Cover Page"/>
    <w:basedOn w:val="Normal"/>
    <w:link w:val="HeaderCoverPageChar"/>
    <w:rsid w:val="00C56B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C56BD9"/>
    <w:rPr>
      <w:rFonts w:ascii="Times New Roman" w:hAnsi="Times New Roman" w:cs="Times New Roman"/>
      <w:lang w:val="en-GB"/>
    </w:rPr>
  </w:style>
  <w:style w:type="paragraph" w:customStyle="1" w:styleId="TechnicalBlock">
    <w:name w:val="Technical Block"/>
    <w:basedOn w:val="Normal"/>
    <w:link w:val="TechnicalBlockChar"/>
    <w:rsid w:val="00C56BD9"/>
    <w:pPr>
      <w:spacing w:after="240" w:line="240" w:lineRule="auto"/>
      <w:jc w:val="center"/>
    </w:pPr>
    <w:rPr>
      <w:kern w:val="0"/>
      <w:sz w:val="22"/>
      <w:szCs w:val="22"/>
      <w:lang w:val="fr-FR"/>
    </w:rPr>
  </w:style>
  <w:style w:type="character" w:customStyle="1" w:styleId="TechnicalBlockChar">
    <w:name w:val="Technical Block Char"/>
    <w:basedOn w:val="DefaultParagraphFont"/>
    <w:link w:val="TechnicalBlock"/>
    <w:rsid w:val="00C56BD9"/>
    <w:rPr>
      <w:kern w:val="0"/>
      <w:sz w:val="22"/>
      <w:szCs w:val="22"/>
      <w:lang w:val="fr-FR"/>
    </w:rPr>
  </w:style>
  <w:style w:type="paragraph" w:customStyle="1" w:styleId="EntText">
    <w:name w:val="EntText"/>
    <w:basedOn w:val="Normal"/>
    <w:rsid w:val="00C56BD9"/>
    <w:pPr>
      <w:spacing w:before="120" w:after="120" w:line="360" w:lineRule="auto"/>
    </w:pPr>
    <w:rPr>
      <w:rFonts w:ascii="Times New Roman" w:hAnsi="Times New Roman" w:cs="Times New Roman"/>
      <w:kern w:val="0"/>
      <w:szCs w:val="22"/>
      <w:lang w:val="fr-FR"/>
    </w:rPr>
  </w:style>
  <w:style w:type="paragraph" w:customStyle="1" w:styleId="Lignefinal">
    <w:name w:val="Ligne final"/>
    <w:basedOn w:val="Normal"/>
    <w:next w:val="Normal"/>
    <w:rsid w:val="00C56BD9"/>
    <w:pPr>
      <w:pBdr>
        <w:bottom w:val="single" w:sz="4" w:space="0" w:color="000000"/>
      </w:pBdr>
      <w:spacing w:before="360" w:after="120" w:line="360" w:lineRule="auto"/>
      <w:ind w:left="3400" w:right="3400"/>
      <w:jc w:val="center"/>
    </w:pPr>
    <w:rPr>
      <w:rFonts w:ascii="Times New Roman" w:hAnsi="Times New Roman" w:cs="Times New Roman"/>
      <w:b/>
      <w:kern w:val="0"/>
      <w:szCs w:val="22"/>
      <w:lang w:val="fr-FR"/>
    </w:rPr>
  </w:style>
  <w:style w:type="paragraph" w:customStyle="1" w:styleId="nbbordered">
    <w:name w:val="nb bordered"/>
    <w:basedOn w:val="Normal"/>
    <w:link w:val="nbborderedChar"/>
    <w:rsid w:val="00C56BD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lang w:val="fr-FR"/>
    </w:rPr>
  </w:style>
  <w:style w:type="character" w:customStyle="1" w:styleId="nbborderedChar">
    <w:name w:val="nb bordered Char"/>
    <w:basedOn w:val="TechnicalBlockChar"/>
    <w:link w:val="nbbordered"/>
    <w:rsid w:val="00C56BD9"/>
    <w:rPr>
      <w:rFonts w:ascii="Times New Roman" w:hAnsi="Times New Roman" w:cs="Times New Roman"/>
      <w:b/>
      <w:kern w:val="0"/>
      <w:sz w:val="22"/>
      <w:szCs w:val="22"/>
      <w:lang w:val="fr-FR"/>
    </w:rPr>
  </w:style>
  <w:style w:type="paragraph" w:customStyle="1" w:styleId="HeaderCouncil">
    <w:name w:val="Header Council"/>
    <w:basedOn w:val="Normal"/>
    <w:link w:val="HeaderCouncilChar"/>
    <w:rsid w:val="00C56BD9"/>
    <w:pPr>
      <w:spacing w:after="0" w:line="276" w:lineRule="auto"/>
    </w:pPr>
    <w:rPr>
      <w:rFonts w:ascii="Times New Roman" w:hAnsi="Times New Roman"/>
      <w:noProof/>
      <w:kern w:val="0"/>
      <w:sz w:val="2"/>
      <w:szCs w:val="22"/>
      <w:lang w:val="fr-FR"/>
    </w:rPr>
  </w:style>
  <w:style w:type="character" w:customStyle="1" w:styleId="HeaderCouncilChar">
    <w:name w:val="Header Council Char"/>
    <w:basedOn w:val="DefaultParagraphFont"/>
    <w:link w:val="HeaderCouncil"/>
    <w:rsid w:val="00C56BD9"/>
    <w:rPr>
      <w:rFonts w:ascii="Times New Roman" w:hAnsi="Times New Roman"/>
      <w:noProof/>
      <w:kern w:val="0"/>
      <w:sz w:val="2"/>
      <w:szCs w:val="22"/>
      <w:lang w:val="fr-FR"/>
    </w:rPr>
  </w:style>
  <w:style w:type="paragraph" w:customStyle="1" w:styleId="HeaderCouncilLarge">
    <w:name w:val="Header Council Large"/>
    <w:basedOn w:val="Normal"/>
    <w:link w:val="HeaderCouncilLargeChar"/>
    <w:rsid w:val="00C56BD9"/>
    <w:pPr>
      <w:spacing w:after="440" w:line="276" w:lineRule="auto"/>
    </w:pPr>
    <w:rPr>
      <w:rFonts w:ascii="Times New Roman" w:hAnsi="Times New Roman"/>
      <w:noProof/>
      <w:kern w:val="0"/>
      <w:sz w:val="2"/>
      <w:szCs w:val="22"/>
      <w:lang w:val="fr-FR"/>
    </w:rPr>
  </w:style>
  <w:style w:type="character" w:customStyle="1" w:styleId="HeaderCouncilLargeChar">
    <w:name w:val="Header Council Large Char"/>
    <w:basedOn w:val="DefaultParagraphFont"/>
    <w:link w:val="HeaderCouncilLarge"/>
    <w:rsid w:val="00C56BD9"/>
    <w:rPr>
      <w:rFonts w:ascii="Times New Roman" w:hAnsi="Times New Roman"/>
      <w:noProof/>
      <w:kern w:val="0"/>
      <w:sz w:val="2"/>
      <w:szCs w:val="22"/>
      <w:lang w:val="fr-FR"/>
    </w:rPr>
  </w:style>
  <w:style w:type="paragraph" w:customStyle="1" w:styleId="FooterCouncil">
    <w:name w:val="Footer Council"/>
    <w:basedOn w:val="Normal"/>
    <w:link w:val="FooterCouncilChar"/>
    <w:rsid w:val="00C56BD9"/>
    <w:pPr>
      <w:spacing w:after="0" w:line="276" w:lineRule="auto"/>
    </w:pPr>
    <w:rPr>
      <w:rFonts w:ascii="Times New Roman" w:hAnsi="Times New Roman"/>
      <w:noProof/>
      <w:kern w:val="0"/>
      <w:sz w:val="2"/>
      <w:szCs w:val="22"/>
      <w:lang w:val="fr-FR"/>
    </w:rPr>
  </w:style>
  <w:style w:type="character" w:customStyle="1" w:styleId="FooterCouncilChar">
    <w:name w:val="Footer Council Char"/>
    <w:basedOn w:val="DefaultParagraphFont"/>
    <w:link w:val="FooterCouncil"/>
    <w:rsid w:val="00C56BD9"/>
    <w:rPr>
      <w:rFonts w:ascii="Times New Roman" w:hAnsi="Times New Roman"/>
      <w:noProof/>
      <w:kern w:val="0"/>
      <w:sz w:val="2"/>
      <w:szCs w:val="22"/>
      <w:lang w:val="fr-FR"/>
    </w:rPr>
  </w:style>
  <w:style w:type="paragraph" w:customStyle="1" w:styleId="FooterText">
    <w:name w:val="Footer Text"/>
    <w:basedOn w:val="Normal"/>
    <w:rsid w:val="00C56BD9"/>
    <w:pPr>
      <w:spacing w:after="0" w:line="240" w:lineRule="auto"/>
    </w:pPr>
    <w:rPr>
      <w:rFonts w:ascii="Times New Roman" w:eastAsia="Times New Roman" w:hAnsi="Times New Roman" w:cs="Times New Roman"/>
      <w:kern w:val="0"/>
      <w:lang w:val="fr-FR"/>
    </w:rPr>
  </w:style>
  <w:style w:type="character" w:styleId="PlaceholderText">
    <w:name w:val="Placeholder Text"/>
    <w:basedOn w:val="DefaultParagraphFont"/>
    <w:uiPriority w:val="99"/>
    <w:semiHidden/>
    <w:rsid w:val="00C56BD9"/>
    <w:rPr>
      <w:color w:val="808080"/>
    </w:rPr>
  </w:style>
  <w:style w:type="character" w:styleId="FollowedHyperlink">
    <w:name w:val="FollowedHyperlink"/>
    <w:basedOn w:val="DefaultParagraphFont"/>
    <w:uiPriority w:val="99"/>
    <w:semiHidden/>
    <w:unhideWhenUsed/>
    <w:rsid w:val="00C56BD9"/>
    <w:rPr>
      <w:color w:val="96607D" w:themeColor="followedHyperlink"/>
      <w:u w:val="single"/>
    </w:rPr>
  </w:style>
  <w:style w:type="character" w:customStyle="1" w:styleId="Mention2">
    <w:name w:val="Mention2"/>
    <w:basedOn w:val="DefaultParagraphFont"/>
    <w:uiPriority w:val="99"/>
    <w:unhideWhenUsed/>
    <w:rsid w:val="00C56BD9"/>
    <w:rPr>
      <w:color w:val="2B579A"/>
      <w:shd w:val="clear" w:color="auto" w:fill="E6E6E6"/>
    </w:rPr>
  </w:style>
  <w:style w:type="character" w:customStyle="1" w:styleId="ui-provider">
    <w:name w:val="ui-provider"/>
    <w:basedOn w:val="DefaultParagraphFont"/>
    <w:rsid w:val="00C56BD9"/>
  </w:style>
  <w:style w:type="paragraph" w:customStyle="1" w:styleId="P68B1DB1-Normal42">
    <w:name w:val="P68B1DB1-Normal42"/>
    <w:basedOn w:val="Normal"/>
    <w:rsid w:val="00C56BD9"/>
    <w:pPr>
      <w:spacing w:line="256" w:lineRule="auto"/>
    </w:pPr>
    <w:rPr>
      <w:rFonts w:ascii="Times New Roman" w:hAnsi="Times New Roman" w:cs="Times New Roman"/>
      <w:kern w:val="0"/>
      <w:sz w:val="18"/>
      <w:szCs w:val="20"/>
      <w:lang w:val="fr-FR" w:eastAsia="en-IE"/>
    </w:rPr>
  </w:style>
  <w:style w:type="character" w:customStyle="1" w:styleId="UnresolvedMention1">
    <w:name w:val="Unresolved Mention1"/>
    <w:basedOn w:val="DefaultParagraphFont"/>
    <w:uiPriority w:val="99"/>
    <w:unhideWhenUsed/>
    <w:rsid w:val="00C56BD9"/>
    <w:rPr>
      <w:color w:val="605E5C"/>
      <w:shd w:val="clear" w:color="auto" w:fill="E1DFDD"/>
    </w:rPr>
  </w:style>
  <w:style w:type="paragraph" w:customStyle="1" w:styleId="P68B1DB1-Normal31">
    <w:name w:val="P68B1DB1-Normal31"/>
    <w:basedOn w:val="Normal"/>
    <w:uiPriority w:val="1"/>
    <w:rsid w:val="00C56BD9"/>
    <w:pPr>
      <w:spacing w:line="276" w:lineRule="auto"/>
    </w:pPr>
    <w:rPr>
      <w:rFonts w:asciiTheme="majorBidi" w:eastAsiaTheme="minorEastAsia" w:hAnsiTheme="majorBidi" w:cstheme="majorBidi"/>
      <w:kern w:val="0"/>
      <w:sz w:val="18"/>
      <w:szCs w:val="18"/>
      <w:lang w:val="fr-FR" w:eastAsia="en-IE"/>
    </w:rPr>
  </w:style>
  <w:style w:type="character" w:customStyle="1" w:styleId="Mention3">
    <w:name w:val="Mention3"/>
    <w:basedOn w:val="DefaultParagraphFont"/>
    <w:uiPriority w:val="99"/>
    <w:unhideWhenUsed/>
    <w:rsid w:val="00C56BD9"/>
    <w:rPr>
      <w:color w:val="2B579A"/>
      <w:shd w:val="clear" w:color="auto" w:fill="E6E6E6"/>
    </w:rPr>
  </w:style>
  <w:style w:type="character" w:customStyle="1" w:styleId="cf11">
    <w:name w:val="cf11"/>
    <w:basedOn w:val="DefaultParagraphFont"/>
    <w:rsid w:val="00C56BD9"/>
    <w:rPr>
      <w:rFonts w:ascii="Segoe UI" w:hAnsi="Segoe UI" w:cs="Segoe UI" w:hint="default"/>
      <w:sz w:val="18"/>
      <w:szCs w:val="18"/>
    </w:rPr>
  </w:style>
  <w:style w:type="numbering" w:customStyle="1" w:styleId="NoList1">
    <w:name w:val="No List1"/>
    <w:next w:val="NoList"/>
    <w:uiPriority w:val="99"/>
    <w:semiHidden/>
    <w:unhideWhenUsed/>
    <w:rsid w:val="00C56BD9"/>
  </w:style>
  <w:style w:type="paragraph" w:customStyle="1" w:styleId="Typografi2">
    <w:name w:val="Typografi2"/>
    <w:basedOn w:val="Normal"/>
    <w:link w:val="Typografi2Tegn"/>
    <w:uiPriority w:val="1"/>
    <w:qFormat/>
    <w:rsid w:val="00C56BD9"/>
    <w:pPr>
      <w:spacing w:before="120" w:after="120" w:line="276" w:lineRule="auto"/>
      <w:jc w:val="both"/>
    </w:pPr>
    <w:rPr>
      <w:rFonts w:ascii="Times New Roman" w:eastAsia="Times New Roman" w:hAnsi="Times New Roman" w:cs="Times New Roman"/>
      <w:color w:val="006100"/>
      <w:kern w:val="0"/>
      <w:lang w:val="fr-FR"/>
    </w:rPr>
  </w:style>
  <w:style w:type="character" w:customStyle="1" w:styleId="Typografi2Tegn">
    <w:name w:val="Typografi2 Tegn"/>
    <w:basedOn w:val="DefaultParagraphFont"/>
    <w:link w:val="Typografi2"/>
    <w:uiPriority w:val="1"/>
    <w:rsid w:val="00C56BD9"/>
    <w:rPr>
      <w:rFonts w:ascii="Times New Roman" w:eastAsia="Times New Roman" w:hAnsi="Times New Roman" w:cs="Times New Roman"/>
      <w:color w:val="006100"/>
      <w:kern w:val="0"/>
      <w:lang w:val="fr-FR"/>
    </w:rPr>
  </w:style>
  <w:style w:type="character" w:customStyle="1" w:styleId="Mention30">
    <w:name w:val="Mention30"/>
    <w:basedOn w:val="DefaultParagraphFont"/>
    <w:uiPriority w:val="99"/>
    <w:unhideWhenUsed/>
    <w:rsid w:val="00C56BD9"/>
    <w:rPr>
      <w:color w:val="2B579A"/>
      <w:shd w:val="clear" w:color="auto" w:fill="E6E6E6"/>
    </w:rPr>
  </w:style>
  <w:style w:type="character" w:customStyle="1" w:styleId="Mention4">
    <w:name w:val="Mention4"/>
    <w:basedOn w:val="DefaultParagraphFont"/>
    <w:uiPriority w:val="99"/>
    <w:unhideWhenUsed/>
    <w:rsid w:val="00C56BD9"/>
    <w:rPr>
      <w:color w:val="2B579A"/>
      <w:shd w:val="clear" w:color="auto" w:fill="E6E6E6"/>
    </w:rPr>
  </w:style>
  <w:style w:type="character" w:customStyle="1" w:styleId="Mention5">
    <w:name w:val="Mention5"/>
    <w:basedOn w:val="DefaultParagraphFont"/>
    <w:uiPriority w:val="99"/>
    <w:unhideWhenUsed/>
    <w:rsid w:val="00C56BD9"/>
    <w:rPr>
      <w:color w:val="2B579A"/>
      <w:shd w:val="clear" w:color="auto" w:fill="E1DFDD"/>
    </w:rPr>
  </w:style>
  <w:style w:type="character" w:customStyle="1" w:styleId="Mention6">
    <w:name w:val="Mention6"/>
    <w:basedOn w:val="DefaultParagraphFont"/>
    <w:uiPriority w:val="99"/>
    <w:unhideWhenUsed/>
    <w:rsid w:val="00C56BD9"/>
    <w:rPr>
      <w:color w:val="2B579A"/>
      <w:shd w:val="clear" w:color="auto" w:fill="E1DFDD"/>
    </w:rPr>
  </w:style>
  <w:style w:type="character" w:customStyle="1" w:styleId="Mention7">
    <w:name w:val="Mention7"/>
    <w:basedOn w:val="DefaultParagraphFont"/>
    <w:uiPriority w:val="99"/>
    <w:unhideWhenUsed/>
    <w:rsid w:val="00C56BD9"/>
    <w:rPr>
      <w:color w:val="2B579A"/>
      <w:shd w:val="clear" w:color="auto" w:fill="E1DFDD"/>
    </w:rPr>
  </w:style>
  <w:style w:type="character" w:customStyle="1" w:styleId="UnresolvedMention2">
    <w:name w:val="Unresolved Mention2"/>
    <w:basedOn w:val="DefaultParagraphFont"/>
    <w:uiPriority w:val="99"/>
    <w:semiHidden/>
    <w:unhideWhenUsed/>
    <w:rsid w:val="00C56BD9"/>
    <w:rPr>
      <w:color w:val="605E5C"/>
      <w:shd w:val="clear" w:color="auto" w:fill="E1DFDD"/>
    </w:rPr>
  </w:style>
  <w:style w:type="character" w:customStyle="1" w:styleId="Mention8">
    <w:name w:val="Mention8"/>
    <w:basedOn w:val="DefaultParagraphFont"/>
    <w:uiPriority w:val="99"/>
    <w:unhideWhenUsed/>
    <w:rsid w:val="00C56BD9"/>
    <w:rPr>
      <w:color w:val="2B579A"/>
      <w:shd w:val="clear" w:color="auto" w:fill="E1DFDD"/>
    </w:rPr>
  </w:style>
  <w:style w:type="character" w:customStyle="1" w:styleId="UnresolvedMention3">
    <w:name w:val="Unresolved Mention3"/>
    <w:basedOn w:val="DefaultParagraphFont"/>
    <w:uiPriority w:val="99"/>
    <w:semiHidden/>
    <w:unhideWhenUsed/>
    <w:rsid w:val="00C56BD9"/>
    <w:rPr>
      <w:color w:val="605E5C"/>
      <w:shd w:val="clear" w:color="auto" w:fill="E1DFDD"/>
    </w:rPr>
  </w:style>
  <w:style w:type="character" w:customStyle="1" w:styleId="Mention9">
    <w:name w:val="Mention9"/>
    <w:basedOn w:val="DefaultParagraphFont"/>
    <w:uiPriority w:val="99"/>
    <w:unhideWhenUsed/>
    <w:rsid w:val="00C56BD9"/>
    <w:rPr>
      <w:color w:val="2B579A"/>
      <w:shd w:val="clear" w:color="auto" w:fill="E1DFDD"/>
    </w:rPr>
  </w:style>
  <w:style w:type="paragraph" w:customStyle="1" w:styleId="Annex">
    <w:name w:val="Annex"/>
    <w:basedOn w:val="Normal"/>
    <w:next w:val="Normal"/>
    <w:rsid w:val="00FB4F0D"/>
    <w:pPr>
      <w:spacing w:before="120" w:after="120" w:line="360" w:lineRule="auto"/>
      <w:jc w:val="right"/>
    </w:pPr>
    <w:rPr>
      <w:rFonts w:ascii="Times New Roman" w:hAnsi="Times New Roman" w:cs="Times New Roman"/>
      <w:b/>
      <w:kern w:val="0"/>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5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10.xml"/><Relationship Id="rId107" Type="http://schemas.openxmlformats.org/officeDocument/2006/relationships/header" Target="header49.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footer" Target="footer24.xml"/><Relationship Id="rId66" Type="http://schemas.openxmlformats.org/officeDocument/2006/relationships/header" Target="header29.xml"/><Relationship Id="rId74" Type="http://schemas.openxmlformats.org/officeDocument/2006/relationships/footer" Target="footer32.xml"/><Relationship Id="rId79" Type="http://schemas.openxmlformats.org/officeDocument/2006/relationships/footer" Target="footer34.xml"/><Relationship Id="rId87" Type="http://schemas.openxmlformats.org/officeDocument/2006/relationships/header" Target="header39.xml"/><Relationship Id="rId102" Type="http://schemas.openxmlformats.org/officeDocument/2006/relationships/header" Target="header47.xml"/><Relationship Id="rId110" Type="http://schemas.openxmlformats.org/officeDocument/2006/relationships/footer" Target="footer50.xml"/><Relationship Id="rId5" Type="http://schemas.openxmlformats.org/officeDocument/2006/relationships/styles" Target="styles.xml"/><Relationship Id="rId61" Type="http://schemas.openxmlformats.org/officeDocument/2006/relationships/footer" Target="footer25.xml"/><Relationship Id="rId82" Type="http://schemas.openxmlformats.org/officeDocument/2006/relationships/footer" Target="footer36.xml"/><Relationship Id="rId90" Type="http://schemas.openxmlformats.org/officeDocument/2006/relationships/header" Target="header41.xml"/><Relationship Id="rId95" Type="http://schemas.openxmlformats.org/officeDocument/2006/relationships/header" Target="header43.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footer" Target="footer23.xml"/><Relationship Id="rId64" Type="http://schemas.openxmlformats.org/officeDocument/2006/relationships/footer" Target="footer27.xml"/><Relationship Id="rId69" Type="http://schemas.openxmlformats.org/officeDocument/2006/relationships/header" Target="header30.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13"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80" Type="http://schemas.openxmlformats.org/officeDocument/2006/relationships/footer" Target="footer35.xml"/><Relationship Id="rId85" Type="http://schemas.openxmlformats.org/officeDocument/2006/relationships/footer" Target="footer37.xml"/><Relationship Id="rId93" Type="http://schemas.openxmlformats.org/officeDocument/2006/relationships/header" Target="header42.xml"/><Relationship Id="rId98" Type="http://schemas.openxmlformats.org/officeDocument/2006/relationships/footer" Target="footer4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footer" Target="footer28.xml"/><Relationship Id="rId103" Type="http://schemas.openxmlformats.org/officeDocument/2006/relationships/footer" Target="footer46.xml"/><Relationship Id="rId108" Type="http://schemas.openxmlformats.org/officeDocument/2006/relationships/header" Target="header50.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6.xml"/><Relationship Id="rId70" Type="http://schemas.openxmlformats.org/officeDocument/2006/relationships/footer" Target="footer30.xml"/><Relationship Id="rId75" Type="http://schemas.openxmlformats.org/officeDocument/2006/relationships/header" Target="header33.xml"/><Relationship Id="rId83" Type="http://schemas.openxmlformats.org/officeDocument/2006/relationships/header" Target="header37.xml"/><Relationship Id="rId88" Type="http://schemas.openxmlformats.org/officeDocument/2006/relationships/footer" Target="footer39.xml"/><Relationship Id="rId91" Type="http://schemas.openxmlformats.org/officeDocument/2006/relationships/footer" Target="footer40.xml"/><Relationship Id="rId96" Type="http://schemas.openxmlformats.org/officeDocument/2006/relationships/header" Target="header44.xml"/><Relationship Id="rId111"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footer" Target="footer48.xml"/><Relationship Id="rId114" Type="http://schemas.openxmlformats.org/officeDocument/2006/relationships/theme" Target="theme/theme1.xml"/><Relationship Id="rId10" Type="http://schemas.openxmlformats.org/officeDocument/2006/relationships/image" Target="media/image1.emf"/><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31.xml"/><Relationship Id="rId78" Type="http://schemas.openxmlformats.org/officeDocument/2006/relationships/header" Target="header35.xml"/><Relationship Id="rId81" Type="http://schemas.openxmlformats.org/officeDocument/2006/relationships/header" Target="header36.xml"/><Relationship Id="rId86" Type="http://schemas.openxmlformats.org/officeDocument/2006/relationships/footer" Target="footer38.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7756B4-0B1D-48AE-A6AF-CF7BEE59E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2C479F-5F71-4598-9279-D6D62F37659E}">
  <ds:schemaRefs>
    <ds:schemaRef ds:uri="http://schemas.microsoft.com/sharepoint/v3/contenttype/forms"/>
  </ds:schemaRefs>
</ds:datastoreItem>
</file>

<file path=customXml/itemProps3.xml><?xml version="1.0" encoding="utf-8"?>
<ds:datastoreItem xmlns:ds="http://schemas.openxmlformats.org/officeDocument/2006/customXml" ds:itemID="{E090B862-BA99-48A2-BD83-8CA9A53D502D}">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docProps/app.xml><?xml version="1.0" encoding="utf-8"?>
<Properties xmlns="http://schemas.openxmlformats.org/officeDocument/2006/extended-properties" xmlns:vt="http://schemas.openxmlformats.org/officeDocument/2006/docPropsVTypes">
  <Template>Normal.dotm</Template>
  <TotalTime>1705</TotalTime>
  <Pages>5</Pages>
  <Words>29434</Words>
  <Characters>167775</Characters>
  <Application>Microsoft Office Word</Application>
  <DocSecurity>0</DocSecurity>
  <Lines>1398</Lines>
  <Paragraphs>393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61</cp:revision>
  <dcterms:created xsi:type="dcterms:W3CDTF">2025-01-29T14:25:00Z</dcterms:created>
  <dcterms:modified xsi:type="dcterms:W3CDTF">2026-07-30T07:52:00Z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2026-06-25T07:11:16Z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2026-07-20T16:52:03Z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01ece903-7f34-40e5-afff-68938d54d61c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