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E27C40" w:rsidRDefault="00E43289" w:rsidP="00E43289">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6377E29-781B-416A-808B-5BFBB9BD2A13" style="width:455.25pt;height:342.75pt">
            <v:imagedata r:id="rId11" o:title=""/>
          </v:shape>
        </w:pict>
      </w:r>
    </w:p>
    <w:p w:rsidR="00A83B18" w:rsidRPr="00E27C40" w:rsidRDefault="00A83B18" w:rsidP="00A83B18">
      <w:pPr>
        <w:pStyle w:val="Pagedecouverture"/>
        <w:rPr>
          <w:noProof/>
        </w:rPr>
        <w:sectPr w:rsidR="00A83B18" w:rsidRPr="00E27C40" w:rsidSect="00E43289">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E27C40" w:rsidRDefault="00DB38C7" w:rsidP="00DB38C7">
      <w:pPr>
        <w:pStyle w:val="Exposdesmotifstitre"/>
        <w:rPr>
          <w:noProof/>
        </w:rPr>
      </w:pPr>
      <w:bookmarkStart w:id="1" w:name="_GoBack"/>
      <w:bookmarkEnd w:id="1"/>
    </w:p>
    <w:p w:rsidR="00607CA2" w:rsidRPr="00E27C40" w:rsidRDefault="00607CA2" w:rsidP="00607CA2">
      <w:pPr>
        <w:rPr>
          <w:noProof/>
        </w:rPr>
      </w:pPr>
    </w:p>
    <w:p w:rsidR="00BB6C7F" w:rsidRDefault="00C819B7">
      <w:pPr>
        <w:pStyle w:val="Rfrenceinterinstitutionnelle"/>
        <w:rPr>
          <w:noProof/>
        </w:rPr>
      </w:pPr>
      <w:r>
        <w:rPr>
          <w:noProof/>
        </w:rPr>
        <w:t>2026/0232 (NLE)</w:t>
      </w:r>
    </w:p>
    <w:p w:rsidR="002709B6" w:rsidRPr="00E27C40" w:rsidRDefault="00E27C40" w:rsidP="00E27C40">
      <w:pPr>
        <w:pStyle w:val="Statut"/>
        <w:rPr>
          <w:noProof/>
        </w:rPr>
      </w:pPr>
      <w:r w:rsidRPr="00E27C40">
        <w:rPr>
          <w:noProof/>
        </w:rPr>
        <w:t>Proposition de</w:t>
      </w:r>
    </w:p>
    <w:p w:rsidR="002709B6" w:rsidRPr="00E27C40" w:rsidRDefault="00E27C40" w:rsidP="00E27C40">
      <w:pPr>
        <w:pStyle w:val="Typedudocument"/>
        <w:rPr>
          <w:noProof/>
        </w:rPr>
      </w:pPr>
      <w:r w:rsidRPr="00E27C40">
        <w:rPr>
          <w:noProof/>
        </w:rPr>
        <w:t>DÉCISION D’EXÉCUTION DU CONSEIL</w:t>
      </w:r>
    </w:p>
    <w:p w:rsidR="002F19B5" w:rsidRPr="00E27C40" w:rsidRDefault="00E27C40" w:rsidP="00E27C40">
      <w:pPr>
        <w:pStyle w:val="Titreobjet"/>
        <w:rPr>
          <w:noProof/>
        </w:rPr>
      </w:pPr>
      <w:r w:rsidRPr="00E27C40">
        <w:rPr>
          <w:noProof/>
        </w:rPr>
        <w:t>portant modification de la décision d’exécution du 13 juillet 2021 relative à l’approbation de l’évaluation du plan pour la reprise et la résilience pour la Lettonie</w:t>
      </w:r>
    </w:p>
    <w:p w:rsidR="00007F85" w:rsidRPr="00E27C40" w:rsidRDefault="00007F85" w:rsidP="002F19B5">
      <w:pPr>
        <w:pStyle w:val="Institutionquiagit"/>
        <w:rPr>
          <w:noProof/>
        </w:rPr>
      </w:pPr>
      <w:r w:rsidRPr="00E27C40">
        <w:rPr>
          <w:noProof/>
        </w:rPr>
        <w:t>LE CONSEIL DE L’UNION EUROPÉENNE,</w:t>
      </w:r>
    </w:p>
    <w:p w:rsidR="00007F85" w:rsidRPr="00E27C40" w:rsidRDefault="00007F85" w:rsidP="00007F85">
      <w:pPr>
        <w:rPr>
          <w:noProof/>
        </w:rPr>
      </w:pPr>
      <w:r w:rsidRPr="00E27C40">
        <w:rPr>
          <w:noProof/>
        </w:rPr>
        <w:t xml:space="preserve">vu le traité sur le fonctionnement de l’Union européenne, </w:t>
      </w:r>
    </w:p>
    <w:p w:rsidR="00007F85" w:rsidRPr="00E27C40" w:rsidRDefault="00007F85" w:rsidP="00007F85">
      <w:pPr>
        <w:rPr>
          <w:noProof/>
        </w:rPr>
      </w:pPr>
      <w:r w:rsidRPr="00E27C40">
        <w:rPr>
          <w:noProof/>
        </w:rPr>
        <w:t>vu le règlement (UE) 2021/241 du Parlement européen et du Conseil du 12</w:t>
      </w:r>
      <w:r w:rsidRPr="00E27C40">
        <w:rPr>
          <w:noProof/>
          <w:shd w:val="clear" w:color="auto" w:fill="FFFFFF"/>
        </w:rPr>
        <w:t xml:space="preserve"> </w:t>
      </w:r>
      <w:r w:rsidRPr="00E27C40">
        <w:rPr>
          <w:noProof/>
        </w:rPr>
        <w:t>février 2021</w:t>
      </w:r>
      <w:r w:rsidRPr="00E27C40">
        <w:rPr>
          <w:noProof/>
          <w:shd w:val="clear" w:color="auto" w:fill="FFFFFF"/>
        </w:rPr>
        <w:t xml:space="preserve"> </w:t>
      </w:r>
      <w:r w:rsidRPr="00E27C40">
        <w:rPr>
          <w:noProof/>
        </w:rPr>
        <w:t>établissant la facilité pour la reprise et la résilience</w:t>
      </w:r>
      <w:r w:rsidRPr="00E27C40">
        <w:rPr>
          <w:rStyle w:val="FootnoteReference"/>
          <w:rFonts w:eastAsia="Times New Roman"/>
          <w:noProof/>
        </w:rPr>
        <w:footnoteReference w:id="2"/>
      </w:r>
      <w:r w:rsidRPr="00E27C40">
        <w:rPr>
          <w:noProof/>
        </w:rPr>
        <w:t>, et notamment son article 20, paragraphe 1,</w:t>
      </w:r>
    </w:p>
    <w:p w:rsidR="00007F85" w:rsidRPr="00E27C40" w:rsidRDefault="00007F85" w:rsidP="00007F85">
      <w:pPr>
        <w:rPr>
          <w:noProof/>
        </w:rPr>
      </w:pPr>
      <w:r w:rsidRPr="00E27C40">
        <w:rPr>
          <w:noProof/>
        </w:rPr>
        <w:t>vu la proposition de la Commission européenne,</w:t>
      </w:r>
    </w:p>
    <w:p w:rsidR="00007F85" w:rsidRPr="00E27C40" w:rsidRDefault="00007F85" w:rsidP="00007F85">
      <w:pPr>
        <w:rPr>
          <w:noProof/>
        </w:rPr>
      </w:pPr>
      <w:r w:rsidRPr="00E27C40">
        <w:rPr>
          <w:noProof/>
        </w:rPr>
        <w:t>considérant ce qui suit:</w:t>
      </w:r>
    </w:p>
    <w:p w:rsidR="00007F85" w:rsidRPr="00E27C40" w:rsidRDefault="00007F85" w:rsidP="009B4C21">
      <w:pPr>
        <w:pStyle w:val="ManualConsidrant"/>
        <w:rPr>
          <w:noProof/>
        </w:rPr>
      </w:pPr>
      <w:r>
        <w:rPr>
          <w:noProof/>
        </w:rPr>
        <w:t>(1)</w:t>
      </w:r>
      <w:r>
        <w:rPr>
          <w:noProof/>
        </w:rPr>
        <w:tab/>
      </w:r>
      <w:r w:rsidRPr="00E27C40">
        <w:rPr>
          <w:noProof/>
        </w:rPr>
        <w:t>Après la présentation, par la</w:t>
      </w:r>
      <w:r w:rsidRPr="00E27C40">
        <w:rPr>
          <w:noProof/>
          <w:shd w:val="clear" w:color="auto" w:fill="FFFFFF"/>
        </w:rPr>
        <w:t xml:space="preserve"> </w:t>
      </w:r>
      <w:r w:rsidRPr="00E27C40">
        <w:rPr>
          <w:noProof/>
        </w:rPr>
        <w:t>Lettonie, de son plan national pour la reprise et la résilience (ci-après le «PRR») le 30</w:t>
      </w:r>
      <w:r w:rsidRPr="00E27C40">
        <w:rPr>
          <w:noProof/>
          <w:shd w:val="clear" w:color="auto" w:fill="FFFFFF"/>
        </w:rPr>
        <w:t xml:space="preserve"> </w:t>
      </w:r>
      <w:r w:rsidRPr="00E27C40">
        <w:rPr>
          <w:noProof/>
        </w:rPr>
        <w:t>avril</w:t>
      </w:r>
      <w:r w:rsidRPr="00E27C40">
        <w:rPr>
          <w:noProof/>
          <w:shd w:val="clear" w:color="auto" w:fill="FFFFFF"/>
        </w:rPr>
        <w:t xml:space="preserve"> </w:t>
      </w:r>
      <w:r w:rsidRPr="00E27C40">
        <w:rPr>
          <w:noProof/>
        </w:rPr>
        <w:t>2021, la Commission a proposé au Conseil que ce PRR reçoive une évaluation positive. Le 13</w:t>
      </w:r>
      <w:r w:rsidRPr="00E27C40">
        <w:rPr>
          <w:noProof/>
          <w:shd w:val="clear" w:color="auto" w:fill="FFFFFF"/>
        </w:rPr>
        <w:t xml:space="preserve"> </w:t>
      </w:r>
      <w:r w:rsidRPr="00E27C40">
        <w:rPr>
          <w:noProof/>
        </w:rPr>
        <w:t>juillet</w:t>
      </w:r>
      <w:r w:rsidRPr="00E27C40">
        <w:rPr>
          <w:noProof/>
          <w:shd w:val="clear" w:color="auto" w:fill="FFFFFF"/>
        </w:rPr>
        <w:t xml:space="preserve"> </w:t>
      </w:r>
      <w:r w:rsidRPr="00E27C40">
        <w:rPr>
          <w:noProof/>
        </w:rPr>
        <w:t>2021, le Conseil a approuvé l’évaluation positive par une décision d’exécution</w:t>
      </w:r>
      <w:r w:rsidRPr="00E27C40">
        <w:rPr>
          <w:rStyle w:val="FootnoteReference"/>
          <w:rFonts w:eastAsia="Times New Roman"/>
          <w:noProof/>
        </w:rPr>
        <w:footnoteReference w:id="3"/>
      </w:r>
      <w:r w:rsidRPr="00E27C40">
        <w:rPr>
          <w:noProof/>
        </w:rPr>
        <w:t xml:space="preserve"> (ci-après la «décision d’exécution du Conseil du 13</w:t>
      </w:r>
      <w:r w:rsidRPr="00E27C40">
        <w:rPr>
          <w:noProof/>
          <w:shd w:val="clear" w:color="auto" w:fill="FFFFFF"/>
        </w:rPr>
        <w:t xml:space="preserve"> </w:t>
      </w:r>
      <w:r w:rsidRPr="00E27C40">
        <w:rPr>
          <w:noProof/>
        </w:rPr>
        <w:t>juillet</w:t>
      </w:r>
      <w:r w:rsidRPr="00E27C40">
        <w:rPr>
          <w:noProof/>
          <w:shd w:val="clear" w:color="auto" w:fill="FFFFFF"/>
        </w:rPr>
        <w:t xml:space="preserve"> </w:t>
      </w:r>
      <w:r w:rsidRPr="00E27C40">
        <w:rPr>
          <w:noProof/>
        </w:rPr>
        <w:t>2021»). La décision d’exécution du Conseil du 13</w:t>
      </w:r>
      <w:r w:rsidRPr="00E27C40">
        <w:rPr>
          <w:noProof/>
          <w:shd w:val="clear" w:color="auto" w:fill="FFFFFF"/>
        </w:rPr>
        <w:t xml:space="preserve"> </w:t>
      </w:r>
      <w:r w:rsidRPr="00E27C40">
        <w:rPr>
          <w:noProof/>
        </w:rPr>
        <w:t>juillet</w:t>
      </w:r>
      <w:r w:rsidRPr="00E27C40">
        <w:rPr>
          <w:noProof/>
          <w:shd w:val="clear" w:color="auto" w:fill="FFFFFF"/>
        </w:rPr>
        <w:t xml:space="preserve"> </w:t>
      </w:r>
      <w:r w:rsidRPr="00E27C40">
        <w:rPr>
          <w:noProof/>
        </w:rPr>
        <w:t>2021 a été modifiée par les décisions d’exécution du Conseil du 8</w:t>
      </w:r>
      <w:r w:rsidRPr="00E27C40">
        <w:rPr>
          <w:noProof/>
          <w:shd w:val="clear" w:color="auto" w:fill="FFFFFF"/>
        </w:rPr>
        <w:t xml:space="preserve"> </w:t>
      </w:r>
      <w:r w:rsidRPr="00E27C40">
        <w:rPr>
          <w:noProof/>
        </w:rPr>
        <w:t>décembre</w:t>
      </w:r>
      <w:r w:rsidRPr="00E27C40">
        <w:rPr>
          <w:noProof/>
          <w:shd w:val="clear" w:color="auto" w:fill="FFFFFF"/>
        </w:rPr>
        <w:t xml:space="preserve"> </w:t>
      </w:r>
      <w:r w:rsidRPr="00E27C40">
        <w:rPr>
          <w:noProof/>
        </w:rPr>
        <w:t>2023</w:t>
      </w:r>
      <w:r w:rsidRPr="00E27C40">
        <w:rPr>
          <w:rStyle w:val="FootnoteReference"/>
          <w:noProof/>
        </w:rPr>
        <w:footnoteReference w:id="4"/>
      </w:r>
      <w:r w:rsidRPr="00E27C40">
        <w:rPr>
          <w:noProof/>
        </w:rPr>
        <w:t>, du 18</w:t>
      </w:r>
      <w:r w:rsidRPr="00E27C40">
        <w:rPr>
          <w:noProof/>
          <w:shd w:val="clear" w:color="auto" w:fill="FFFFFF"/>
        </w:rPr>
        <w:t xml:space="preserve"> </w:t>
      </w:r>
      <w:r w:rsidRPr="00E27C40">
        <w:rPr>
          <w:noProof/>
        </w:rPr>
        <w:t>février</w:t>
      </w:r>
      <w:r w:rsidRPr="00E27C40">
        <w:rPr>
          <w:noProof/>
          <w:shd w:val="clear" w:color="auto" w:fill="FFFFFF"/>
        </w:rPr>
        <w:t xml:space="preserve"> </w:t>
      </w:r>
      <w:r w:rsidRPr="00E27C40">
        <w:rPr>
          <w:noProof/>
        </w:rPr>
        <w:t>2025</w:t>
      </w:r>
      <w:r w:rsidRPr="00E27C40">
        <w:rPr>
          <w:rStyle w:val="FootnoteReference"/>
          <w:noProof/>
        </w:rPr>
        <w:footnoteReference w:id="5"/>
      </w:r>
      <w:r w:rsidRPr="00E27C40">
        <w:rPr>
          <w:noProof/>
        </w:rPr>
        <w:t>, du 12</w:t>
      </w:r>
      <w:r w:rsidRPr="00E27C40">
        <w:rPr>
          <w:noProof/>
          <w:shd w:val="clear" w:color="auto" w:fill="FFFFFF"/>
        </w:rPr>
        <w:t xml:space="preserve"> </w:t>
      </w:r>
      <w:r w:rsidRPr="00E27C40">
        <w:rPr>
          <w:noProof/>
        </w:rPr>
        <w:t>décembre</w:t>
      </w:r>
      <w:r w:rsidRPr="00E27C40">
        <w:rPr>
          <w:noProof/>
          <w:shd w:val="clear" w:color="auto" w:fill="FFFFFF"/>
        </w:rPr>
        <w:t xml:space="preserve"> </w:t>
      </w:r>
      <w:r w:rsidRPr="00E27C40">
        <w:rPr>
          <w:noProof/>
        </w:rPr>
        <w:t>2025</w:t>
      </w:r>
      <w:r w:rsidRPr="00E27C40">
        <w:rPr>
          <w:rStyle w:val="FootnoteReference"/>
          <w:noProof/>
        </w:rPr>
        <w:footnoteReference w:id="6"/>
      </w:r>
      <w:r w:rsidRPr="00E27C40">
        <w:rPr>
          <w:noProof/>
        </w:rPr>
        <w:t xml:space="preserve"> et du 10</w:t>
      </w:r>
      <w:r w:rsidRPr="00E27C40">
        <w:rPr>
          <w:noProof/>
          <w:shd w:val="clear" w:color="auto" w:fill="FFFFFF"/>
        </w:rPr>
        <w:t xml:space="preserve"> </w:t>
      </w:r>
      <w:r w:rsidRPr="00E27C40">
        <w:rPr>
          <w:noProof/>
        </w:rPr>
        <w:t>juillet</w:t>
      </w:r>
      <w:r w:rsidRPr="00E27C40">
        <w:rPr>
          <w:noProof/>
          <w:shd w:val="clear" w:color="auto" w:fill="FFFFFF"/>
        </w:rPr>
        <w:t xml:space="preserve"> </w:t>
      </w:r>
      <w:r w:rsidRPr="00E27C40">
        <w:rPr>
          <w:noProof/>
        </w:rPr>
        <w:t>2026</w:t>
      </w:r>
      <w:r w:rsidRPr="00E27C40">
        <w:rPr>
          <w:rStyle w:val="FootnoteReference"/>
          <w:rFonts w:eastAsia="Times New Roman"/>
          <w:noProof/>
        </w:rPr>
        <w:footnoteReference w:id="7"/>
      </w:r>
      <w:r w:rsidRPr="00E27C40">
        <w:rPr>
          <w:noProof/>
        </w:rPr>
        <w:t>.</w:t>
      </w:r>
    </w:p>
    <w:p w:rsidR="00007F85" w:rsidRPr="00E27C40" w:rsidRDefault="00007F85" w:rsidP="008B082D">
      <w:pPr>
        <w:pStyle w:val="ManualConsidrant"/>
        <w:rPr>
          <w:rFonts w:eastAsia="Times New Roman"/>
          <w:noProof/>
        </w:rPr>
      </w:pPr>
      <w:r>
        <w:rPr>
          <w:noProof/>
        </w:rPr>
        <w:t>(2)</w:t>
      </w:r>
      <w:r>
        <w:rPr>
          <w:noProof/>
        </w:rPr>
        <w:tab/>
      </w:r>
      <w:r w:rsidRPr="00E27C40">
        <w:rPr>
          <w:noProof/>
        </w:rPr>
        <w:t>Le 21</w:t>
      </w:r>
      <w:r w:rsidRPr="00E27C40">
        <w:rPr>
          <w:noProof/>
          <w:shd w:val="clear" w:color="auto" w:fill="FFFFFF"/>
        </w:rPr>
        <w:t xml:space="preserve"> </w:t>
      </w:r>
      <w:r w:rsidRPr="00E27C40">
        <w:rPr>
          <w:noProof/>
        </w:rPr>
        <w:t>juillet</w:t>
      </w:r>
      <w:r w:rsidRPr="00E27C40">
        <w:rPr>
          <w:noProof/>
          <w:shd w:val="clear" w:color="auto" w:fill="FFFFFF"/>
        </w:rPr>
        <w:t xml:space="preserve"> </w:t>
      </w:r>
      <w:r w:rsidRPr="00E27C40">
        <w:rPr>
          <w:noProof/>
        </w:rPr>
        <w:t xml:space="preserve">2026, </w:t>
      </w:r>
      <w:bookmarkStart w:id="2" w:name="_Hlk130805569"/>
      <w:r w:rsidRPr="00E27C40">
        <w:rPr>
          <w:noProof/>
        </w:rPr>
        <w:t>estimant que le PRR ne pouvait plus être respecté en partie, en raison de circonstances objectives, la Lettonie a adressé à la Commission une demande motivée l’invitant à présenter une proposition visant à modifier la décision d’exécution du Conseil du 13</w:t>
      </w:r>
      <w:r w:rsidRPr="00E27C40">
        <w:rPr>
          <w:noProof/>
          <w:shd w:val="clear" w:color="auto" w:fill="FFFFFF"/>
        </w:rPr>
        <w:t xml:space="preserve"> </w:t>
      </w:r>
      <w:r w:rsidRPr="00E27C40">
        <w:rPr>
          <w:noProof/>
        </w:rPr>
        <w:t>juillet</w:t>
      </w:r>
      <w:r w:rsidRPr="00E27C40">
        <w:rPr>
          <w:noProof/>
          <w:shd w:val="clear" w:color="auto" w:fill="FFFFFF"/>
        </w:rPr>
        <w:t xml:space="preserve"> </w:t>
      </w:r>
      <w:r w:rsidRPr="00E27C40">
        <w:rPr>
          <w:noProof/>
        </w:rPr>
        <w:t>2021 conformément à l’article 21, paragraphe 1, du règlement (UE) 2021/241. Sur cette base, la Lettonie a présenté un PRR modifié.</w:t>
      </w:r>
      <w:bookmarkEnd w:id="2"/>
    </w:p>
    <w:p w:rsidR="00007F85" w:rsidRPr="00E27C40" w:rsidRDefault="00007F85" w:rsidP="00007F85">
      <w:pPr>
        <w:rPr>
          <w:b/>
          <w:bCs/>
          <w:i/>
          <w:iCs/>
          <w:noProof/>
        </w:rPr>
      </w:pPr>
      <w:r w:rsidRPr="00E27C40">
        <w:rPr>
          <w:b/>
          <w:i/>
          <w:noProof/>
        </w:rPr>
        <w:t xml:space="preserve">Modifications fondées sur l’article 21 du règlement (UE) 2021/241 </w:t>
      </w:r>
    </w:p>
    <w:p w:rsidR="00007F85" w:rsidRPr="00E27C40" w:rsidRDefault="00007F85" w:rsidP="00007F85">
      <w:pPr>
        <w:pStyle w:val="ManualConsidrant"/>
        <w:rPr>
          <w:rFonts w:eastAsia="Times New Roman"/>
          <w:noProof/>
        </w:rPr>
      </w:pPr>
      <w:r>
        <w:rPr>
          <w:noProof/>
        </w:rPr>
        <w:t>(3)</w:t>
      </w:r>
      <w:r>
        <w:rPr>
          <w:noProof/>
        </w:rPr>
        <w:tab/>
      </w:r>
      <w:r w:rsidRPr="00E27C40">
        <w:rPr>
          <w:noProof/>
        </w:rPr>
        <w:t>Les modifications du PRR présentées par la Lettonie en raison de circonstances objectives concernent deux mesures.</w:t>
      </w:r>
    </w:p>
    <w:p w:rsidR="006F3EE3" w:rsidRPr="00E27C40" w:rsidRDefault="00B44DCE" w:rsidP="00007F85">
      <w:pPr>
        <w:pStyle w:val="ManualConsidrant"/>
        <w:rPr>
          <w:rFonts w:eastAsia="Times New Roman"/>
          <w:noProof/>
        </w:rPr>
      </w:pPr>
      <w:r>
        <w:rPr>
          <w:noProof/>
        </w:rPr>
        <w:t>(4)</w:t>
      </w:r>
      <w:r>
        <w:rPr>
          <w:noProof/>
        </w:rPr>
        <w:tab/>
      </w:r>
      <w:r w:rsidRPr="00E27C40">
        <w:rPr>
          <w:noProof/>
        </w:rPr>
        <w:t>La Lettonie a expliqué qu’une mesure avait été modifiée au profit d’une solution plus efficace pour atteindre son ambition initiale. Il s’agit de la mesure 5.2.1.r (Réforme de l’enseignement supérieur, de l’excellence scientifique et de la gouvernance) relevant du volet 5 (Transformation économique et réforme de la productivité).</w:t>
      </w:r>
      <w:r w:rsidRPr="00E27C40">
        <w:rPr>
          <w:noProof/>
          <w:color w:val="000000" w:themeColor="text1"/>
        </w:rPr>
        <w:t xml:space="preserve"> </w:t>
      </w:r>
      <w:r w:rsidRPr="00E27C40">
        <w:rPr>
          <w:noProof/>
        </w:rPr>
        <w:t>Sur cette base, la Lettonie a demandé que cette mesure soit modifiée.</w:t>
      </w:r>
      <w:r w:rsidRPr="00E27C40">
        <w:rPr>
          <w:noProof/>
          <w:color w:val="000000" w:themeColor="text1"/>
        </w:rPr>
        <w:t xml:space="preserve"> </w:t>
      </w:r>
      <w:r w:rsidRPr="00E27C40">
        <w:rPr>
          <w:noProof/>
        </w:rPr>
        <w:t>Il convient de modifier la décision d’exécution du Conseil du 13</w:t>
      </w:r>
      <w:r w:rsidRPr="00E27C40">
        <w:rPr>
          <w:noProof/>
          <w:shd w:val="clear" w:color="auto" w:fill="FFFFFF"/>
        </w:rPr>
        <w:t xml:space="preserve"> </w:t>
      </w:r>
      <w:r w:rsidRPr="00E27C40">
        <w:rPr>
          <w:noProof/>
        </w:rPr>
        <w:t>juillet</w:t>
      </w:r>
      <w:r w:rsidRPr="00E27C40">
        <w:rPr>
          <w:noProof/>
          <w:shd w:val="clear" w:color="auto" w:fill="FFFFFF"/>
        </w:rPr>
        <w:t xml:space="preserve"> </w:t>
      </w:r>
      <w:r w:rsidRPr="00E27C40">
        <w:rPr>
          <w:noProof/>
        </w:rPr>
        <w:t xml:space="preserve">2021 en conséquence. </w:t>
      </w:r>
    </w:p>
    <w:p w:rsidR="00007F85" w:rsidRPr="00E27C40" w:rsidRDefault="00694DB7" w:rsidP="000A6152">
      <w:pPr>
        <w:pStyle w:val="ManualConsidrant"/>
        <w:rPr>
          <w:rFonts w:eastAsia="Times New Roman"/>
          <w:noProof/>
        </w:rPr>
      </w:pPr>
      <w:r>
        <w:rPr>
          <w:noProof/>
        </w:rPr>
        <w:t>(5)</w:t>
      </w:r>
      <w:r>
        <w:rPr>
          <w:noProof/>
        </w:rPr>
        <w:tab/>
      </w:r>
      <w:r w:rsidRPr="00E27C40">
        <w:rPr>
          <w:noProof/>
        </w:rPr>
        <w:t xml:space="preserve">La Lettonie a expliqué qu’une mesure avait été modifiée au profit d’une solution plus efficace permettant de réduire la charge administrative et de simplifier la décision d’exécution du Conseil tout en continuant d’atteindre les objectifs de la mesure. </w:t>
      </w:r>
      <w:r w:rsidRPr="00E27C40">
        <w:rPr>
          <w:noProof/>
          <w:color w:val="000000" w:themeColor="text1"/>
        </w:rPr>
        <w:t xml:space="preserve">Il s’agit de la mesure 1.2.1.2.i (Amélioration de l’efficacité énergétique dans les entreprises, sous la forme d’un instrument financier combiné) relevant du volet 1 (Changement climatique et durabilité environnementale). </w:t>
      </w:r>
      <w:r w:rsidRPr="00E27C40">
        <w:rPr>
          <w:noProof/>
        </w:rPr>
        <w:t>Sur cette base, la Lettonie a demandé que cette mesure soit modifiée.</w:t>
      </w:r>
      <w:r w:rsidRPr="00E27C40">
        <w:rPr>
          <w:noProof/>
          <w:color w:val="000000" w:themeColor="text1"/>
        </w:rPr>
        <w:t xml:space="preserve"> </w:t>
      </w:r>
      <w:r w:rsidRPr="00E27C40">
        <w:rPr>
          <w:noProof/>
        </w:rPr>
        <w:t>Il convient de modifier la décision d’exécution du Conseil du 13</w:t>
      </w:r>
      <w:r w:rsidRPr="00E27C40">
        <w:rPr>
          <w:noProof/>
          <w:shd w:val="clear" w:color="auto" w:fill="FFFFFF"/>
        </w:rPr>
        <w:t xml:space="preserve"> </w:t>
      </w:r>
      <w:r w:rsidRPr="00E27C40">
        <w:rPr>
          <w:noProof/>
        </w:rPr>
        <w:t>juillet</w:t>
      </w:r>
      <w:r w:rsidRPr="00E27C40">
        <w:rPr>
          <w:noProof/>
          <w:shd w:val="clear" w:color="auto" w:fill="FFFFFF"/>
        </w:rPr>
        <w:t xml:space="preserve"> </w:t>
      </w:r>
      <w:r w:rsidRPr="00E27C40">
        <w:rPr>
          <w:noProof/>
        </w:rPr>
        <w:t>2021 en conséquence.</w:t>
      </w:r>
      <w:bookmarkEnd w:id="0"/>
    </w:p>
    <w:p w:rsidR="00007F85" w:rsidRPr="00E27C40" w:rsidRDefault="00007F85" w:rsidP="00007F85">
      <w:pPr>
        <w:rPr>
          <w:b/>
          <w:bCs/>
          <w:i/>
          <w:iCs/>
          <w:noProof/>
        </w:rPr>
      </w:pPr>
      <w:r w:rsidRPr="00E27C40">
        <w:rPr>
          <w:b/>
          <w:i/>
          <w:noProof/>
        </w:rPr>
        <w:t>Évaluation de la Commission</w:t>
      </w:r>
    </w:p>
    <w:p w:rsidR="00007F85" w:rsidRPr="00E27C40" w:rsidRDefault="00007F85" w:rsidP="00007F85">
      <w:pPr>
        <w:pStyle w:val="ManualConsidrant"/>
        <w:rPr>
          <w:rFonts w:eastAsia="Times New Roman"/>
          <w:noProof/>
        </w:rPr>
      </w:pPr>
      <w:r>
        <w:rPr>
          <w:noProof/>
        </w:rPr>
        <w:t>(6)</w:t>
      </w:r>
      <w:r>
        <w:rPr>
          <w:noProof/>
        </w:rPr>
        <w:tab/>
      </w:r>
      <w:r w:rsidRPr="00E27C40">
        <w:rPr>
          <w:noProof/>
        </w:rPr>
        <w:t>La Commission a évalué le PRR modifié au regard des critères d’évaluation énoncés à l’article 19, paragraphe 3, du règlement (UE) 2021/241.</w:t>
      </w:r>
    </w:p>
    <w:p w:rsidR="00007F85" w:rsidRPr="00E27C40" w:rsidRDefault="00007F85" w:rsidP="00007F85">
      <w:pPr>
        <w:pStyle w:val="ManualConsidrant"/>
        <w:rPr>
          <w:rStyle w:val="normaltextrun"/>
          <w:rFonts w:eastAsia="Times New Roman"/>
          <w:noProof/>
        </w:rPr>
      </w:pPr>
      <w:r>
        <w:rPr>
          <w:noProof/>
        </w:rPr>
        <w:t>(7)</w:t>
      </w:r>
      <w:r>
        <w:rPr>
          <w:noProof/>
        </w:rPr>
        <w:tab/>
      </w:r>
      <w:r w:rsidRPr="00E27C40">
        <w:rPr>
          <w:noProof/>
        </w:rPr>
        <w:t>La Commission considère que les modifications proposées par la Lettonie n’ont pas d’incidence sur l’évaluation positive du PRR présentée dans la décision d’exécution du Conseil du 13</w:t>
      </w:r>
      <w:r w:rsidRPr="00E27C40">
        <w:rPr>
          <w:noProof/>
          <w:shd w:val="clear" w:color="auto" w:fill="FFFFFF"/>
        </w:rPr>
        <w:t xml:space="preserve"> </w:t>
      </w:r>
      <w:r w:rsidRPr="00E27C40">
        <w:rPr>
          <w:noProof/>
        </w:rPr>
        <w:t>juillet</w:t>
      </w:r>
      <w:r w:rsidRPr="00E27C40">
        <w:rPr>
          <w:noProof/>
          <w:shd w:val="clear" w:color="auto" w:fill="FFFFFF"/>
        </w:rPr>
        <w:t xml:space="preserve"> </w:t>
      </w:r>
      <w:r w:rsidRPr="00E27C40">
        <w:rPr>
          <w:noProof/>
        </w:rPr>
        <w:t>2021 en ce qui concerne la pertinence, l’efficacité, l’efficience et la cohérence du PRR au regard des critères d’évaluation énoncés à l’article 19, paragraphe 3, points </w:t>
      </w:r>
      <w:r w:rsidRPr="00E27C40">
        <w:rPr>
          <w:rStyle w:val="normaltextrun"/>
          <w:noProof/>
        </w:rPr>
        <w:t xml:space="preserve">a), b), c), d), d </w:t>
      </w:r>
      <w:r w:rsidRPr="00E27C40">
        <w:rPr>
          <w:rStyle w:val="normaltextrun"/>
          <w:i/>
          <w:iCs/>
          <w:noProof/>
        </w:rPr>
        <w:t>bis</w:t>
      </w:r>
      <w:r w:rsidRPr="00E27C40">
        <w:rPr>
          <w:rStyle w:val="normaltextrun"/>
          <w:noProof/>
        </w:rPr>
        <w:t xml:space="preserve">), d </w:t>
      </w:r>
      <w:r w:rsidRPr="00E27C40">
        <w:rPr>
          <w:rStyle w:val="normaltextrun"/>
          <w:i/>
          <w:iCs/>
          <w:noProof/>
        </w:rPr>
        <w:t>ter</w:t>
      </w:r>
      <w:r w:rsidRPr="00E27C40">
        <w:rPr>
          <w:rStyle w:val="normaltextrun"/>
          <w:noProof/>
        </w:rPr>
        <w:t>), e), f), g), h), i), j) et k)</w:t>
      </w:r>
      <w:r w:rsidRPr="00E27C40">
        <w:rPr>
          <w:noProof/>
        </w:rPr>
        <w:t>, du règlement (UE) 2021/241.</w:t>
      </w:r>
    </w:p>
    <w:p w:rsidR="00007F85" w:rsidRPr="00E27C40" w:rsidRDefault="00007F85" w:rsidP="00007F85">
      <w:pPr>
        <w:rPr>
          <w:b/>
          <w:bCs/>
          <w:i/>
          <w:iCs/>
          <w:noProof/>
        </w:rPr>
      </w:pPr>
      <w:r w:rsidRPr="00E27C40">
        <w:rPr>
          <w:b/>
          <w:i/>
          <w:noProof/>
        </w:rPr>
        <w:t>Évaluation positive</w:t>
      </w:r>
    </w:p>
    <w:p w:rsidR="00007F85" w:rsidRPr="00E27C40" w:rsidRDefault="00007F85" w:rsidP="00007F85">
      <w:pPr>
        <w:pStyle w:val="ManualConsidrant"/>
        <w:rPr>
          <w:rFonts w:eastAsia="Times New Roman"/>
          <w:noProof/>
        </w:rPr>
      </w:pPr>
      <w:r>
        <w:rPr>
          <w:noProof/>
        </w:rPr>
        <w:t>(8)</w:t>
      </w:r>
      <w:r>
        <w:rPr>
          <w:noProof/>
        </w:rPr>
        <w:tab/>
      </w:r>
      <w:r w:rsidRPr="00E27C40">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E27C40" w:rsidRDefault="00007F85" w:rsidP="00007F85">
      <w:pPr>
        <w:rPr>
          <w:b/>
          <w:bCs/>
          <w:i/>
          <w:iCs/>
          <w:noProof/>
        </w:rPr>
      </w:pPr>
      <w:r w:rsidRPr="00E27C40">
        <w:rPr>
          <w:b/>
          <w:i/>
          <w:noProof/>
        </w:rPr>
        <w:t>Contribution financière</w:t>
      </w:r>
    </w:p>
    <w:p w:rsidR="00007F85" w:rsidRPr="00E27C40" w:rsidRDefault="00007F85" w:rsidP="00007F85">
      <w:pPr>
        <w:pStyle w:val="ManualConsidrant"/>
        <w:rPr>
          <w:noProof/>
        </w:rPr>
      </w:pPr>
      <w:r>
        <w:rPr>
          <w:noProof/>
        </w:rPr>
        <w:t>(9)</w:t>
      </w:r>
      <w:r>
        <w:rPr>
          <w:noProof/>
        </w:rPr>
        <w:tab/>
      </w:r>
      <w:r w:rsidRPr="00E27C40">
        <w:rPr>
          <w:noProof/>
        </w:rPr>
        <w:t>Les coûts totaux estimés du PRR modifié de la Lettonie s’élèvent à 1</w:t>
      </w:r>
      <w:r w:rsidRPr="00E27C40">
        <w:rPr>
          <w:noProof/>
          <w:shd w:val="clear" w:color="auto" w:fill="FFFFFF"/>
        </w:rPr>
        <w:t> </w:t>
      </w:r>
      <w:r w:rsidRPr="00E27C40">
        <w:rPr>
          <w:noProof/>
        </w:rPr>
        <w:t>969</w:t>
      </w:r>
      <w:r w:rsidRPr="00E27C40">
        <w:rPr>
          <w:noProof/>
          <w:shd w:val="clear" w:color="auto" w:fill="FFFFFF"/>
        </w:rPr>
        <w:t> </w:t>
      </w:r>
      <w:r w:rsidRPr="00E27C40">
        <w:rPr>
          <w:noProof/>
        </w:rPr>
        <w:t>244</w:t>
      </w:r>
      <w:r w:rsidRPr="00E27C40">
        <w:rPr>
          <w:noProof/>
          <w:shd w:val="clear" w:color="auto" w:fill="FFFFFF"/>
        </w:rPr>
        <w:t> </w:t>
      </w:r>
      <w:r w:rsidRPr="00E27C40">
        <w:rPr>
          <w:noProof/>
        </w:rPr>
        <w:t>522</w:t>
      </w:r>
      <w:r w:rsidRPr="00E27C40">
        <w:rPr>
          <w:noProof/>
          <w:shd w:val="clear" w:color="auto" w:fill="FFFFFF"/>
        </w:rPr>
        <w:t> </w:t>
      </w:r>
      <w:r w:rsidRPr="00E27C40">
        <w:rPr>
          <w:noProof/>
        </w:rPr>
        <w:t>EUR. Le montant du coût total estimé du PRR modifié étant égal à la contribution financière maximale actualisée disponible pour la Lettonie, la contribution financière, déterminée conformément à l’article 4 </w:t>
      </w:r>
      <w:r w:rsidRPr="00E27C40">
        <w:rPr>
          <w:i/>
          <w:iCs/>
          <w:noProof/>
        </w:rPr>
        <w:t>bis</w:t>
      </w:r>
      <w:r w:rsidRPr="00E27C40">
        <w:rPr>
          <w:noProof/>
        </w:rPr>
        <w:t xml:space="preserve"> du règlement (UE) 2021/1755 du Parlement européen et du Conseil</w:t>
      </w:r>
      <w:r w:rsidRPr="00E27C40">
        <w:rPr>
          <w:rStyle w:val="FootnoteReference"/>
          <w:noProof/>
        </w:rPr>
        <w:footnoteReference w:id="8"/>
      </w:r>
      <w:r w:rsidRPr="00E27C40">
        <w:rPr>
          <w:noProof/>
        </w:rPr>
        <w:t xml:space="preserve"> ainsi qu’à l’article 20, paragraphe 4, et à l’article 21 </w:t>
      </w:r>
      <w:r w:rsidRPr="00E27C40">
        <w:rPr>
          <w:i/>
          <w:iCs/>
          <w:noProof/>
        </w:rPr>
        <w:t>bis</w:t>
      </w:r>
      <w:r w:rsidRPr="00E27C40">
        <w:rPr>
          <w:noProof/>
        </w:rPr>
        <w:t>, paragraphe 6, du règlement (UE) 2021/241, allouée au PRR modifié de la Lettonie devrait être égale à 1</w:t>
      </w:r>
      <w:r w:rsidRPr="00E27C40">
        <w:rPr>
          <w:noProof/>
          <w:shd w:val="clear" w:color="auto" w:fill="FFFFFF"/>
        </w:rPr>
        <w:t> </w:t>
      </w:r>
      <w:r w:rsidRPr="00E27C40">
        <w:rPr>
          <w:noProof/>
        </w:rPr>
        <w:t>969</w:t>
      </w:r>
      <w:r w:rsidRPr="00E27C40">
        <w:rPr>
          <w:noProof/>
          <w:shd w:val="clear" w:color="auto" w:fill="FFFFFF"/>
        </w:rPr>
        <w:t> </w:t>
      </w:r>
      <w:r w:rsidRPr="00E27C40">
        <w:rPr>
          <w:noProof/>
        </w:rPr>
        <w:t>244</w:t>
      </w:r>
      <w:r w:rsidRPr="00E27C40">
        <w:rPr>
          <w:noProof/>
          <w:shd w:val="clear" w:color="auto" w:fill="FFFFFF"/>
        </w:rPr>
        <w:t> </w:t>
      </w:r>
      <w:r w:rsidRPr="00E27C40">
        <w:rPr>
          <w:noProof/>
        </w:rPr>
        <w:t>522</w:t>
      </w:r>
      <w:r w:rsidRPr="00E27C40">
        <w:rPr>
          <w:noProof/>
          <w:shd w:val="clear" w:color="auto" w:fill="FFFFFF"/>
        </w:rPr>
        <w:t> </w:t>
      </w:r>
      <w:r w:rsidRPr="00E27C40">
        <w:rPr>
          <w:noProof/>
        </w:rPr>
        <w:t>EUR. Par conséquent, la contribution financière mise à la disposition de la Lettonie reste inchangée.</w:t>
      </w:r>
    </w:p>
    <w:p w:rsidR="00007F85" w:rsidRPr="00E27C40" w:rsidRDefault="00007F85" w:rsidP="00007F85">
      <w:pPr>
        <w:pStyle w:val="ManualConsidrant"/>
        <w:ind w:left="720" w:hanging="720"/>
        <w:rPr>
          <w:rFonts w:eastAsia="Times New Roman"/>
          <w:noProof/>
        </w:rPr>
      </w:pPr>
      <w:r>
        <w:rPr>
          <w:noProof/>
        </w:rPr>
        <w:t>(10)</w:t>
      </w:r>
      <w:r>
        <w:rPr>
          <w:noProof/>
        </w:rPr>
        <w:tab/>
      </w:r>
      <w:r w:rsidRPr="00E27C40">
        <w:rPr>
          <w:noProof/>
        </w:rPr>
        <w:t>Il convient donc de modifier la décision d’exécution du Conseil du 13</w:t>
      </w:r>
      <w:r w:rsidRPr="00E27C40">
        <w:rPr>
          <w:noProof/>
          <w:shd w:val="clear" w:color="auto" w:fill="FFFFFF"/>
        </w:rPr>
        <w:t> </w:t>
      </w:r>
      <w:r w:rsidRPr="00E27C40">
        <w:rPr>
          <w:noProof/>
        </w:rPr>
        <w:t>juillet</w:t>
      </w:r>
      <w:r w:rsidRPr="00E27C40">
        <w:rPr>
          <w:noProof/>
          <w:shd w:val="clear" w:color="auto" w:fill="FFFFFF"/>
        </w:rPr>
        <w:t xml:space="preserve"> </w:t>
      </w:r>
      <w:r w:rsidRPr="00E27C40">
        <w:rPr>
          <w:noProof/>
        </w:rPr>
        <w:t>2021 en conséquence. Par souci de clarté, il convient de remplacer intégralement l’annexe de la décision d’exécution du Conseil du 13</w:t>
      </w:r>
      <w:r w:rsidRPr="00E27C40">
        <w:rPr>
          <w:noProof/>
          <w:shd w:val="clear" w:color="auto" w:fill="FFFFFF"/>
        </w:rPr>
        <w:t xml:space="preserve"> </w:t>
      </w:r>
      <w:r w:rsidRPr="00E27C40">
        <w:rPr>
          <w:noProof/>
        </w:rPr>
        <w:t>juillet</w:t>
      </w:r>
      <w:r w:rsidRPr="00E27C40">
        <w:rPr>
          <w:noProof/>
          <w:shd w:val="clear" w:color="auto" w:fill="FFFFFF"/>
        </w:rPr>
        <w:t xml:space="preserve"> </w:t>
      </w:r>
      <w:r w:rsidRPr="00E27C40">
        <w:rPr>
          <w:noProof/>
        </w:rPr>
        <w:t>2021.</w:t>
      </w:r>
    </w:p>
    <w:p w:rsidR="00CD54FA" w:rsidRPr="00E27C40" w:rsidRDefault="00CD54FA" w:rsidP="00007F85">
      <w:pPr>
        <w:pStyle w:val="ManualConsidrant"/>
        <w:ind w:left="720" w:hanging="720"/>
        <w:rPr>
          <w:rFonts w:eastAsia="Times New Roman"/>
          <w:noProof/>
        </w:rPr>
      </w:pPr>
      <w:r>
        <w:rPr>
          <w:noProof/>
        </w:rPr>
        <w:t>(11)</w:t>
      </w:r>
      <w:r>
        <w:rPr>
          <w:noProof/>
        </w:rPr>
        <w:tab/>
      </w:r>
      <w:r w:rsidRPr="00E27C40">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007F85" w:rsidRPr="00E27C40" w:rsidRDefault="00007F85" w:rsidP="00007F85">
      <w:pPr>
        <w:pStyle w:val="Formuledadoption"/>
        <w:rPr>
          <w:noProof/>
        </w:rPr>
      </w:pPr>
      <w:r w:rsidRPr="00E27C40">
        <w:rPr>
          <w:noProof/>
        </w:rPr>
        <w:t xml:space="preserve">A ADOPTÉ LA PRÉSENTE DÉCISION: </w:t>
      </w:r>
    </w:p>
    <w:p w:rsidR="00007F85" w:rsidRPr="00E27C40" w:rsidRDefault="00007F85" w:rsidP="00007F85">
      <w:pPr>
        <w:pStyle w:val="Titrearticle"/>
        <w:rPr>
          <w:noProof/>
        </w:rPr>
      </w:pPr>
      <w:r w:rsidRPr="00E27C40">
        <w:rPr>
          <w:noProof/>
        </w:rPr>
        <w:t xml:space="preserve">Article premier </w:t>
      </w:r>
      <w:r w:rsidRPr="00E27C40">
        <w:rPr>
          <w:noProof/>
        </w:rPr>
        <w:br/>
        <w:t>Approbation de l’évaluation du PRR</w:t>
      </w:r>
    </w:p>
    <w:p w:rsidR="00007F85" w:rsidRPr="00E27C40" w:rsidRDefault="00007F85" w:rsidP="00007F85">
      <w:pPr>
        <w:rPr>
          <w:rFonts w:eastAsia="Times New Roman"/>
          <w:noProof/>
        </w:rPr>
      </w:pPr>
      <w:r w:rsidRPr="00E27C40">
        <w:rPr>
          <w:noProof/>
        </w:rPr>
        <w:t xml:space="preserve">L’évaluation du PRR modifié pour la Lettonie sur la base des critères prévus à l’article 19, paragraphe 3, du règlement (UE) 2021/241 est approuvée. </w:t>
      </w:r>
    </w:p>
    <w:p w:rsidR="00007F85" w:rsidRPr="00E27C40" w:rsidRDefault="00007F85" w:rsidP="00007F85">
      <w:pPr>
        <w:pStyle w:val="Titrearticle"/>
        <w:rPr>
          <w:noProof/>
        </w:rPr>
      </w:pPr>
      <w:r w:rsidRPr="00E27C40">
        <w:rPr>
          <w:noProof/>
        </w:rPr>
        <w:t xml:space="preserve">Article 2 </w:t>
      </w:r>
      <w:r w:rsidRPr="00E27C40">
        <w:rPr>
          <w:noProof/>
        </w:rPr>
        <w:br/>
        <w:t>Modifications</w:t>
      </w:r>
    </w:p>
    <w:p w:rsidR="00007F85" w:rsidRPr="00E27C40" w:rsidRDefault="00007F85" w:rsidP="00007F85">
      <w:pPr>
        <w:rPr>
          <w:noProof/>
        </w:rPr>
      </w:pPr>
      <w:r w:rsidRPr="00E27C40">
        <w:rPr>
          <w:noProof/>
        </w:rPr>
        <w:t xml:space="preserve">La décision d’exécution du Conseil du 13 juillet 2021 relative à l’approbation de l’évaluation du plan pour la reprise et la résilience pour la Lettonie est modifiée comme suit: </w:t>
      </w:r>
    </w:p>
    <w:p w:rsidR="00007F85" w:rsidRPr="00E27C40" w:rsidRDefault="00007F85" w:rsidP="00007F85">
      <w:pPr>
        <w:rPr>
          <w:noProof/>
        </w:rPr>
      </w:pPr>
      <w:r w:rsidRPr="00E27C40">
        <w:rPr>
          <w:noProof/>
        </w:rPr>
        <w:t>l’annexe est remplacée par le texte figurant à l’annexe de la présente décision.</w:t>
      </w:r>
    </w:p>
    <w:p w:rsidR="00007F85" w:rsidRPr="00E27C40" w:rsidRDefault="00007F85" w:rsidP="005D2C2C">
      <w:pPr>
        <w:pStyle w:val="Titrearticle"/>
        <w:rPr>
          <w:noProof/>
        </w:rPr>
      </w:pPr>
      <w:r w:rsidRPr="00E27C40">
        <w:rPr>
          <w:noProof/>
        </w:rPr>
        <w:t xml:space="preserve">Article 3 </w:t>
      </w:r>
      <w:r w:rsidRPr="00E27C40">
        <w:rPr>
          <w:noProof/>
        </w:rPr>
        <w:br/>
        <w:t>Destinataire</w:t>
      </w:r>
    </w:p>
    <w:p w:rsidR="00007F85" w:rsidRPr="00E27C40" w:rsidRDefault="00007F85" w:rsidP="00007F85">
      <w:pPr>
        <w:rPr>
          <w:noProof/>
        </w:rPr>
      </w:pPr>
      <w:r w:rsidRPr="00E27C40">
        <w:rPr>
          <w:noProof/>
        </w:rPr>
        <w:t>La République de Lettonie est destinataire de la présente décision.</w:t>
      </w:r>
    </w:p>
    <w:p w:rsidR="00007F85" w:rsidRPr="00E27C40" w:rsidRDefault="00E27C40" w:rsidP="005D2C2C">
      <w:pPr>
        <w:pStyle w:val="Fait"/>
        <w:rPr>
          <w:noProof/>
        </w:rPr>
      </w:pPr>
      <w:r>
        <w:rPr>
          <w:noProof/>
        </w:rPr>
        <w:t>Fait à Bruxelles, le</w:t>
      </w:r>
    </w:p>
    <w:p w:rsidR="00007F85" w:rsidRPr="00E27C40" w:rsidRDefault="00007F85" w:rsidP="005D2C2C">
      <w:pPr>
        <w:pStyle w:val="Institutionquisigne"/>
        <w:rPr>
          <w:noProof/>
        </w:rPr>
      </w:pPr>
      <w:r w:rsidRPr="00E27C40">
        <w:rPr>
          <w:noProof/>
        </w:rPr>
        <w:tab/>
        <w:t>Par le Conseil</w:t>
      </w:r>
    </w:p>
    <w:p w:rsidR="002709B6" w:rsidRPr="00E27C40" w:rsidRDefault="00007F85" w:rsidP="00A1233B">
      <w:pPr>
        <w:pStyle w:val="Personnequisigne"/>
        <w:rPr>
          <w:noProof/>
          <w:color w:val="008000"/>
        </w:rPr>
      </w:pPr>
      <w:r w:rsidRPr="00E27C40">
        <w:rPr>
          <w:noProof/>
        </w:rPr>
        <w:tab/>
        <w:t>Le président/La présidente</w:t>
      </w:r>
    </w:p>
    <w:sectPr w:rsidR="002709B6" w:rsidRPr="00E27C40" w:rsidSect="00E4328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5A1" w:rsidRPr="005A6B88" w:rsidRDefault="007905A1">
      <w:pPr>
        <w:spacing w:before="0" w:after="0"/>
      </w:pPr>
      <w:r>
        <w:separator/>
      </w:r>
    </w:p>
  </w:endnote>
  <w:endnote w:type="continuationSeparator" w:id="0">
    <w:p w:rsidR="007905A1" w:rsidRPr="005A6B88" w:rsidRDefault="007905A1">
      <w:pPr>
        <w:spacing w:before="0" w:after="0"/>
      </w:pPr>
      <w:r>
        <w:continuationSeparator/>
      </w:r>
    </w:p>
  </w:endnote>
  <w:endnote w:type="continuationNotice" w:id="1">
    <w:p w:rsidR="007905A1" w:rsidRPr="005A6B88" w:rsidRDefault="007905A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289" w:rsidRPr="00E43289" w:rsidRDefault="00E43289" w:rsidP="00E43289">
    <w:pPr>
      <w:pStyle w:val="Footer"/>
      <w:rPr>
        <w:rFonts w:ascii="Arial" w:hAnsi="Arial" w:cs="Arial"/>
        <w:b/>
        <w:sz w:val="48"/>
      </w:rPr>
    </w:pPr>
    <w:r w:rsidRPr="00E43289">
      <w:rPr>
        <w:rFonts w:ascii="Arial" w:hAnsi="Arial" w:cs="Arial"/>
        <w:b/>
        <w:sz w:val="48"/>
      </w:rPr>
      <w:t>FR</w:t>
    </w:r>
    <w:r w:rsidRPr="00E43289">
      <w:rPr>
        <w:rFonts w:ascii="Arial" w:hAnsi="Arial" w:cs="Arial"/>
        <w:b/>
        <w:sz w:val="48"/>
      </w:rPr>
      <w:tab/>
    </w:r>
    <w:r w:rsidRPr="00E43289">
      <w:rPr>
        <w:rFonts w:ascii="Arial" w:hAnsi="Arial" w:cs="Arial"/>
        <w:b/>
        <w:sz w:val="48"/>
      </w:rPr>
      <w:tab/>
    </w:r>
    <w:r w:rsidRPr="00E43289">
      <w:tab/>
    </w:r>
    <w:r w:rsidRPr="00E4328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289" w:rsidRPr="00E43289" w:rsidRDefault="00E43289" w:rsidP="00E43289">
    <w:pPr>
      <w:pStyle w:val="Footer"/>
      <w:rPr>
        <w:rFonts w:ascii="Arial" w:hAnsi="Arial" w:cs="Arial"/>
        <w:b/>
        <w:sz w:val="48"/>
      </w:rPr>
    </w:pPr>
    <w:r w:rsidRPr="00E43289">
      <w:rPr>
        <w:rFonts w:ascii="Arial" w:hAnsi="Arial" w:cs="Arial"/>
        <w:b/>
        <w:sz w:val="48"/>
      </w:rPr>
      <w:t>FR</w:t>
    </w:r>
    <w:r w:rsidRPr="00E43289">
      <w:rPr>
        <w:rFonts w:ascii="Arial" w:hAnsi="Arial" w:cs="Arial"/>
        <w:b/>
        <w:sz w:val="48"/>
      </w:rPr>
      <w:tab/>
    </w:r>
    <w:r w:rsidRPr="00E43289">
      <w:rPr>
        <w:rFonts w:ascii="Arial" w:hAnsi="Arial" w:cs="Arial"/>
        <w:b/>
        <w:sz w:val="48"/>
      </w:rPr>
      <w:tab/>
    </w:r>
    <w:r w:rsidRPr="00E43289">
      <w:tab/>
    </w:r>
    <w:r w:rsidRPr="00E4328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289" w:rsidRDefault="00E432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289" w:rsidRPr="00E43289" w:rsidRDefault="00E43289" w:rsidP="00E43289">
    <w:pPr>
      <w:pStyle w:val="Footer"/>
      <w:rPr>
        <w:rFonts w:ascii="Arial" w:hAnsi="Arial" w:cs="Arial"/>
        <w:b/>
        <w:sz w:val="48"/>
      </w:rPr>
    </w:pPr>
    <w:r w:rsidRPr="00E43289">
      <w:rPr>
        <w:rFonts w:ascii="Arial" w:hAnsi="Arial" w:cs="Arial"/>
        <w:b/>
        <w:sz w:val="48"/>
      </w:rPr>
      <w:t>FR</w:t>
    </w:r>
    <w:r w:rsidRPr="00E43289">
      <w:rPr>
        <w:rFonts w:ascii="Arial" w:hAnsi="Arial" w:cs="Arial"/>
        <w:b/>
        <w:sz w:val="48"/>
      </w:rPr>
      <w:tab/>
    </w:r>
    <w:r>
      <w:fldChar w:fldCharType="begin"/>
    </w:r>
    <w:r>
      <w:instrText xml:space="preserve"> PAGE  \* MERGEFORMAT </w:instrText>
    </w:r>
    <w:r>
      <w:fldChar w:fldCharType="separate"/>
    </w:r>
    <w:r w:rsidR="005D2C2C">
      <w:rPr>
        <w:noProof/>
      </w:rPr>
      <w:t>3</w:t>
    </w:r>
    <w:r>
      <w:fldChar w:fldCharType="end"/>
    </w:r>
    <w:r>
      <w:tab/>
    </w:r>
    <w:r w:rsidRPr="00E43289">
      <w:tab/>
    </w:r>
    <w:r w:rsidRPr="00E4328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289" w:rsidRDefault="00E43289" w:rsidP="00E43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5A1" w:rsidRPr="005A6B88" w:rsidRDefault="007905A1">
      <w:pPr>
        <w:spacing w:before="0" w:after="0"/>
      </w:pPr>
      <w:r>
        <w:separator/>
      </w:r>
    </w:p>
  </w:footnote>
  <w:footnote w:type="continuationSeparator" w:id="0">
    <w:p w:rsidR="007905A1" w:rsidRPr="005A6B88" w:rsidRDefault="007905A1">
      <w:pPr>
        <w:spacing w:before="0" w:after="0"/>
      </w:pPr>
      <w:r>
        <w:continuationSeparator/>
      </w:r>
    </w:p>
  </w:footnote>
  <w:footnote w:type="continuationNotice" w:id="1">
    <w:p w:rsidR="007905A1" w:rsidRPr="005A6B88" w:rsidRDefault="007905A1">
      <w:pPr>
        <w:spacing w:before="0" w:after="0"/>
      </w:pPr>
    </w:p>
  </w:footnote>
  <w:footnote w:id="2">
    <w:p w:rsidR="00487751" w:rsidRPr="00DD370F" w:rsidRDefault="00487751" w:rsidP="00487751">
      <w:pPr>
        <w:pStyle w:val="FootnoteText"/>
        <w:rPr>
          <w:lang w:val="fr-BE"/>
        </w:rPr>
      </w:pPr>
      <w:r>
        <w:rPr>
          <w:rStyle w:val="FootnoteReference"/>
        </w:rPr>
        <w:footnoteRef/>
      </w:r>
      <w:r w:rsidRPr="00DD370F">
        <w:rPr>
          <w:lang w:val="fr-BE"/>
        </w:rPr>
        <w:tab/>
        <w:t xml:space="preserve">JO L 57 du 18.2.2021, p. 17, ELI: </w:t>
      </w:r>
      <w:hyperlink r:id="rId1" w:history="1">
        <w:r w:rsidRPr="00DD370F">
          <w:rPr>
            <w:rStyle w:val="Hyperlink"/>
            <w:lang w:val="fr-BE"/>
          </w:rPr>
          <w:t>https://eur-lex.europa.eu/eli/reg/2021/241/oj</w:t>
        </w:r>
      </w:hyperlink>
      <w:r w:rsidRPr="00DD370F">
        <w:rPr>
          <w:lang w:val="fr-BE"/>
        </w:rPr>
        <w:t>.</w:t>
      </w:r>
    </w:p>
  </w:footnote>
  <w:footnote w:id="3">
    <w:p w:rsidR="00D34478" w:rsidRPr="00830C04" w:rsidRDefault="00D34478" w:rsidP="472C4B35">
      <w:pPr>
        <w:pStyle w:val="FootnoteText"/>
        <w:keepLines/>
        <w:contextualSpacing/>
      </w:pPr>
      <w:r>
        <w:rPr>
          <w:rStyle w:val="FootnoteReference"/>
        </w:rPr>
        <w:footnoteRef/>
      </w:r>
      <w:r w:rsidRPr="00830C04">
        <w:rPr>
          <w:lang w:val="en-GB"/>
        </w:rPr>
        <w:tab/>
        <w:t>ST 10157/21 INIT; ST 10157/21 ADD 1.</w:t>
      </w:r>
    </w:p>
  </w:footnote>
  <w:footnote w:id="4">
    <w:p w:rsidR="000E28CA" w:rsidRPr="00830C04" w:rsidRDefault="000E28CA" w:rsidP="472C4B35">
      <w:pPr>
        <w:pStyle w:val="FootnoteText"/>
        <w:keepLines/>
        <w:contextualSpacing/>
      </w:pPr>
      <w:r>
        <w:rPr>
          <w:rStyle w:val="FootnoteReference"/>
        </w:rPr>
        <w:footnoteRef/>
      </w:r>
      <w:r w:rsidRPr="00830C04">
        <w:rPr>
          <w:lang w:val="en-GB"/>
        </w:rPr>
        <w:tab/>
        <w:t>ST 15569/23 INIT; ST 15569/23 ADD 1.</w:t>
      </w:r>
    </w:p>
  </w:footnote>
  <w:footnote w:id="5">
    <w:p w:rsidR="000E28CA" w:rsidRPr="00830C04" w:rsidRDefault="000E28CA" w:rsidP="472C4B35">
      <w:pPr>
        <w:pStyle w:val="FootnoteText"/>
        <w:keepLines/>
        <w:contextualSpacing/>
      </w:pPr>
      <w:r>
        <w:rPr>
          <w:rStyle w:val="FootnoteReference"/>
        </w:rPr>
        <w:footnoteRef/>
      </w:r>
      <w:r w:rsidRPr="00830C04">
        <w:rPr>
          <w:lang w:val="en-GB"/>
        </w:rPr>
        <w:tab/>
        <w:t>ST 5730/25 INIT; ST 5730/25 ADD 1.</w:t>
      </w:r>
    </w:p>
  </w:footnote>
  <w:footnote w:id="6">
    <w:p w:rsidR="000E28CA" w:rsidRPr="00830C04" w:rsidRDefault="000E28CA" w:rsidP="472C4B35">
      <w:pPr>
        <w:pStyle w:val="FootnoteText"/>
        <w:keepLines/>
        <w:contextualSpacing/>
      </w:pPr>
      <w:r>
        <w:rPr>
          <w:rStyle w:val="FootnoteReference"/>
        </w:rPr>
        <w:footnoteRef/>
      </w:r>
      <w:r w:rsidRPr="00830C04">
        <w:rPr>
          <w:lang w:val="en-GB"/>
        </w:rPr>
        <w:tab/>
        <w:t>ST 15719/25 INIT; ST 15719/25 ADD 1; ST 15719/25 ADD1 REV 1 (el, mt); ST 15719/25 ADD1 COR 1 (lv).</w:t>
      </w:r>
    </w:p>
  </w:footnote>
  <w:footnote w:id="7">
    <w:p w:rsidR="00007F85" w:rsidRPr="00DD370F" w:rsidRDefault="00007F85" w:rsidP="00007F85">
      <w:pPr>
        <w:pStyle w:val="FootnoteText"/>
        <w:rPr>
          <w:lang w:val="fr-BE"/>
        </w:rPr>
      </w:pPr>
      <w:r>
        <w:rPr>
          <w:rStyle w:val="FootnoteReference"/>
        </w:rPr>
        <w:footnoteRef/>
      </w:r>
      <w:r w:rsidRPr="00DD370F">
        <w:rPr>
          <w:lang w:val="fr-BE"/>
        </w:rPr>
        <w:tab/>
        <w:t>ST 10641/26 INIT; ST 10641/26 ADD 1.</w:t>
      </w:r>
    </w:p>
  </w:footnote>
  <w:footnote w:id="8">
    <w:p w:rsidR="00007F85" w:rsidRPr="00DD370F" w:rsidRDefault="00007F85" w:rsidP="00590D5E">
      <w:pPr>
        <w:pStyle w:val="FootnoteText"/>
        <w:rPr>
          <w:lang w:val="fr-BE"/>
        </w:rPr>
      </w:pPr>
      <w:r>
        <w:rPr>
          <w:rStyle w:val="FootnoteReference"/>
        </w:rPr>
        <w:footnoteRef/>
      </w:r>
      <w:r w:rsidRPr="00DD370F">
        <w:rPr>
          <w:lang w:val="fr-BE"/>
        </w:rPr>
        <w:tab/>
        <w:t>Règlement (UE) 2021/1755 du Parlement européen et du Conseil du 6</w:t>
      </w:r>
      <w:r w:rsidRPr="00DD370F">
        <w:rPr>
          <w:shd w:val="clear" w:color="auto" w:fill="FFFFFF"/>
          <w:lang w:val="fr-BE"/>
        </w:rPr>
        <w:t> </w:t>
      </w:r>
      <w:r w:rsidRPr="00DD370F">
        <w:rPr>
          <w:lang w:val="fr-BE"/>
        </w:rPr>
        <w:t>octobre</w:t>
      </w:r>
      <w:r w:rsidRPr="00DD370F">
        <w:rPr>
          <w:shd w:val="clear" w:color="auto" w:fill="FFFFFF"/>
          <w:lang w:val="fr-BE"/>
        </w:rPr>
        <w:t xml:space="preserve"> </w:t>
      </w:r>
      <w:r w:rsidRPr="00DD370F">
        <w:rPr>
          <w:lang w:val="fr-BE"/>
        </w:rPr>
        <w:t>2021 établissant la réserve d’ajustement au Brexit (JO L 357 du 8.10.2021, p. 1, ELI: </w:t>
      </w:r>
      <w:hyperlink r:id="rId2" w:history="1">
        <w:r w:rsidRPr="00DD370F">
          <w:rPr>
            <w:rStyle w:val="Hyperlink"/>
            <w:lang w:val="fr-BE"/>
          </w:rPr>
          <w:t>http://data.europa.eu/eli/reg/2021/1755/oj</w:t>
        </w:r>
      </w:hyperlink>
      <w:r w:rsidRPr="00DD370F">
        <w:rPr>
          <w:lang w:val="fr-BE"/>
        </w:rPr>
        <w:t>).</w:t>
      </w:r>
    </w:p>
    <w:p w:rsidR="00007F85" w:rsidRPr="00DD370F"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289" w:rsidRDefault="00E432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289" w:rsidRDefault="00E432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1:48: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6377E29-781B-416A-808B-5BFBB9BD2A13"/>
    <w:docVar w:name="LW_COVERPAGE_TYPE" w:val="1"/>
    <w:docVar w:name="LW_CROSSREFERENCE" w:val="&lt;UNUSED&gt;"/>
    <w:docVar w:name="LW_DocType" w:val="COM"/>
    <w:docVar w:name="LW_EMISSION" w:val="30.7.2026"/>
    <w:docVar w:name="LW_EMISSION_ISODATE" w:val="2026-07-3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32"/>
    <w:docVar w:name="LW_REF.II.NEW.CP_YEAR" w:val="2026"/>
    <w:docVar w:name="LW_REF.INST.NEW" w:val="COM"/>
    <w:docVar w:name="LW_REF.INST.NEW_ADOPTED" w:val="final"/>
    <w:docVar w:name="LW_REF.INST.NEW_TEXT" w:val="(2026) 4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portant modification de la décision d\u8217?exécution du 13 juillet 2021 relative à l\u8217?approbation de l\u8217?évaluation du plan pour la reprise et la résilience pour la Lettoni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630"/>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0B9E"/>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86B"/>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A9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152"/>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75"/>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8CA"/>
    <w:rsid w:val="000E2A5C"/>
    <w:rsid w:val="000E2E67"/>
    <w:rsid w:val="000E2E68"/>
    <w:rsid w:val="000E3000"/>
    <w:rsid w:val="000E3075"/>
    <w:rsid w:val="000E3699"/>
    <w:rsid w:val="000E3816"/>
    <w:rsid w:val="000E389C"/>
    <w:rsid w:val="000E391C"/>
    <w:rsid w:val="000E3C07"/>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213"/>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C7"/>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352"/>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313"/>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48E"/>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6AF"/>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A03"/>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14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C94"/>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3C8E"/>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09"/>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07"/>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45"/>
    <w:rsid w:val="002E718D"/>
    <w:rsid w:val="002E792E"/>
    <w:rsid w:val="002E79A1"/>
    <w:rsid w:val="002E7BE9"/>
    <w:rsid w:val="002F0030"/>
    <w:rsid w:val="002F0121"/>
    <w:rsid w:val="002F02A1"/>
    <w:rsid w:val="002F02B8"/>
    <w:rsid w:val="002F02B9"/>
    <w:rsid w:val="002F03CB"/>
    <w:rsid w:val="002F05D5"/>
    <w:rsid w:val="002F0613"/>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5D1"/>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91A"/>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45"/>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3F61"/>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7E1"/>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AA"/>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B26"/>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4FFF"/>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450"/>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AE"/>
    <w:rsid w:val="00432AEE"/>
    <w:rsid w:val="00432B8B"/>
    <w:rsid w:val="00432C3B"/>
    <w:rsid w:val="00432F28"/>
    <w:rsid w:val="00432FEF"/>
    <w:rsid w:val="004332F2"/>
    <w:rsid w:val="0043344A"/>
    <w:rsid w:val="00433710"/>
    <w:rsid w:val="00433A71"/>
    <w:rsid w:val="00433BF6"/>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0CF"/>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4FC"/>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3F7"/>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4FAE"/>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55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82"/>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0E4D"/>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6F14"/>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C06"/>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54"/>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6A7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DE0"/>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2F1"/>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9D"/>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5E"/>
    <w:rsid w:val="00590DE4"/>
    <w:rsid w:val="00590E69"/>
    <w:rsid w:val="0059110C"/>
    <w:rsid w:val="0059114A"/>
    <w:rsid w:val="0059125A"/>
    <w:rsid w:val="0059135C"/>
    <w:rsid w:val="00591607"/>
    <w:rsid w:val="005916AF"/>
    <w:rsid w:val="005917CF"/>
    <w:rsid w:val="00591BE0"/>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B88"/>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2C2C"/>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EEF"/>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CC"/>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12"/>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2E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DB7"/>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B54"/>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931"/>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BB"/>
    <w:rsid w:val="007666EF"/>
    <w:rsid w:val="00766766"/>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6BA"/>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A1"/>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DDE"/>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0B61"/>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0E1"/>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3A98"/>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04"/>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828"/>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2D"/>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279"/>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B7FDA"/>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954"/>
    <w:rsid w:val="008E1A3B"/>
    <w:rsid w:val="008E1AD4"/>
    <w:rsid w:val="008E2009"/>
    <w:rsid w:val="008E2083"/>
    <w:rsid w:val="008E20D3"/>
    <w:rsid w:val="008E261A"/>
    <w:rsid w:val="008E2632"/>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7B1"/>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AE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2F"/>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48A"/>
    <w:rsid w:val="0094181D"/>
    <w:rsid w:val="00941900"/>
    <w:rsid w:val="00941AAE"/>
    <w:rsid w:val="00941CD9"/>
    <w:rsid w:val="00942212"/>
    <w:rsid w:val="0094246D"/>
    <w:rsid w:val="00942565"/>
    <w:rsid w:val="0094269D"/>
    <w:rsid w:val="0094273B"/>
    <w:rsid w:val="00942772"/>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82"/>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7A9"/>
    <w:rsid w:val="0098483B"/>
    <w:rsid w:val="00984F14"/>
    <w:rsid w:val="00984FDD"/>
    <w:rsid w:val="009853A2"/>
    <w:rsid w:val="00985556"/>
    <w:rsid w:val="00985939"/>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4F16"/>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21"/>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1D"/>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8BD"/>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300"/>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6F3"/>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32"/>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1F0"/>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6DBB"/>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CB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1EB0"/>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4B"/>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C3"/>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DCE"/>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1BF4"/>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39"/>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6C7F"/>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635"/>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5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450"/>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986"/>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57"/>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EEC"/>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70F"/>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DC2"/>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15"/>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1"/>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84"/>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C40"/>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A63"/>
    <w:rsid w:val="00E42BFB"/>
    <w:rsid w:val="00E42CF5"/>
    <w:rsid w:val="00E42FDD"/>
    <w:rsid w:val="00E43089"/>
    <w:rsid w:val="00E4327A"/>
    <w:rsid w:val="00E4327D"/>
    <w:rsid w:val="00E43289"/>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425"/>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5FDB"/>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400"/>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4EE6"/>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6A"/>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06"/>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40"/>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6E"/>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BAB295"/>
    <w:rsid w:val="03BBE1D3"/>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8E24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DFBB1DD"/>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21047"/>
    <w:rsid w:val="0EE63C30"/>
    <w:rsid w:val="0EE7B7DC"/>
    <w:rsid w:val="0EED6BBF"/>
    <w:rsid w:val="0EEDC674"/>
    <w:rsid w:val="0EF00FDF"/>
    <w:rsid w:val="0EF14346"/>
    <w:rsid w:val="0F002B19"/>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1BEB6"/>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85A2"/>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52211"/>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03B88"/>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8132B"/>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8A90E"/>
    <w:rsid w:val="22FA3F19"/>
    <w:rsid w:val="2307314F"/>
    <w:rsid w:val="23136655"/>
    <w:rsid w:val="2317E18D"/>
    <w:rsid w:val="2318ABC2"/>
    <w:rsid w:val="231D0FE3"/>
    <w:rsid w:val="232C6C20"/>
    <w:rsid w:val="232CE13F"/>
    <w:rsid w:val="2332BF10"/>
    <w:rsid w:val="2333C8AB"/>
    <w:rsid w:val="234462DE"/>
    <w:rsid w:val="2349957D"/>
    <w:rsid w:val="23548B0F"/>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17350"/>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983E4"/>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79153"/>
    <w:rsid w:val="2EF93B01"/>
    <w:rsid w:val="2F0F146A"/>
    <w:rsid w:val="2F22CE76"/>
    <w:rsid w:val="2F24B6E3"/>
    <w:rsid w:val="2F2FA55D"/>
    <w:rsid w:val="2F31516B"/>
    <w:rsid w:val="2F331931"/>
    <w:rsid w:val="2F3F3164"/>
    <w:rsid w:val="2F59A7D2"/>
    <w:rsid w:val="2F5F1B61"/>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218D37"/>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3E5D7E"/>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BDB0CA"/>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7168D"/>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D8388"/>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4095"/>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015D"/>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41AF"/>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BDA6C"/>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7863A"/>
    <w:rsid w:val="437C3884"/>
    <w:rsid w:val="437CB30B"/>
    <w:rsid w:val="43807C64"/>
    <w:rsid w:val="4383DF8E"/>
    <w:rsid w:val="4387A938"/>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3D355"/>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2C4B35"/>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6EA7B"/>
    <w:rsid w:val="4B5DFB97"/>
    <w:rsid w:val="4B6040CA"/>
    <w:rsid w:val="4B6E9394"/>
    <w:rsid w:val="4B6ED579"/>
    <w:rsid w:val="4B7160FF"/>
    <w:rsid w:val="4B748E2D"/>
    <w:rsid w:val="4B76D4B4"/>
    <w:rsid w:val="4B7F9C82"/>
    <w:rsid w:val="4B7FDF1C"/>
    <w:rsid w:val="4B839A30"/>
    <w:rsid w:val="4B8C432D"/>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0158B"/>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A666D5"/>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C95BB"/>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B20A7D"/>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39D72"/>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A8A92"/>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D44198"/>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9BDE4D"/>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A926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46D67"/>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1A334E"/>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D2EFC54-D3A3-4E8C-AEE7-6A9743DB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styleId="FollowedHyperlink">
    <w:name w:val="FollowedHyperlink"/>
    <w:basedOn w:val="DefaultParagraphFont"/>
    <w:uiPriority w:val="99"/>
    <w:semiHidden/>
    <w:unhideWhenUsed/>
    <w:rsid w:val="00797DDE"/>
    <w:rPr>
      <w:color w:val="800080" w:themeColor="followedHyperlink"/>
      <w:u w:val="single"/>
    </w:rPr>
  </w:style>
  <w:style w:type="character" w:customStyle="1" w:styleId="HeaderChar">
    <w:name w:val="Header Char"/>
    <w:basedOn w:val="DefaultParagraphFont"/>
    <w:link w:val="Header"/>
    <w:uiPriority w:val="99"/>
    <w:rsid w:val="00E43289"/>
    <w:rPr>
      <w:rFonts w:ascii="Times New Roman" w:hAnsi="Times New Roman" w:cs="Times New Roman"/>
      <w:sz w:val="24"/>
      <w:lang w:val="fr-FR"/>
    </w:rPr>
  </w:style>
  <w:style w:type="character" w:customStyle="1" w:styleId="FooterChar">
    <w:name w:val="Footer Char"/>
    <w:basedOn w:val="DefaultParagraphFont"/>
    <w:link w:val="Footer"/>
    <w:uiPriority w:val="99"/>
    <w:rsid w:val="00E4328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4328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43289"/>
    <w:pPr>
      <w:spacing w:before="0"/>
      <w:jc w:val="right"/>
    </w:pPr>
    <w:rPr>
      <w:sz w:val="28"/>
    </w:rPr>
  </w:style>
  <w:style w:type="paragraph" w:customStyle="1" w:styleId="FooterSensitivity">
    <w:name w:val="Footer Sensitivity"/>
    <w:basedOn w:val="Normal"/>
    <w:rsid w:val="00E4328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43289"/>
    <w:pPr>
      <w:tabs>
        <w:tab w:val="center" w:pos="4535"/>
        <w:tab w:val="right" w:pos="9071"/>
      </w:tabs>
      <w:spacing w:before="0"/>
    </w:pPr>
  </w:style>
  <w:style w:type="paragraph" w:customStyle="1" w:styleId="HeaderLandscape">
    <w:name w:val="HeaderLandscape"/>
    <w:basedOn w:val="Normal"/>
    <w:rsid w:val="00E43289"/>
    <w:pPr>
      <w:tabs>
        <w:tab w:val="center" w:pos="7285"/>
        <w:tab w:val="right" w:pos="14003"/>
      </w:tabs>
      <w:spacing w:before="0"/>
    </w:pPr>
  </w:style>
  <w:style w:type="paragraph" w:styleId="Footer">
    <w:name w:val="footer"/>
    <w:basedOn w:val="Normal"/>
    <w:link w:val="FooterChar"/>
    <w:uiPriority w:val="99"/>
    <w:unhideWhenUsed/>
    <w:rsid w:val="00E4328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4328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8" ma:contentTypeDescription="Create a new document." ma:contentTypeScope="" ma:versionID="d44a854ccc5f0144f11fb139880d0ded">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bd0df60987aa4492917c823b7e843bfc"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Comment" ma:index="25"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ed44c7-436a-4ac4-8d9f-daf1dca5c1e2}"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Comment xmlns="1700ab43-7395-48ff-866c-657c86ba7f4e"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4E8C8-891F-41F2-BD5E-050757866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4.xml><?xml version="1.0" encoding="utf-8"?>
<ds:datastoreItem xmlns:ds="http://schemas.openxmlformats.org/officeDocument/2006/customXml" ds:itemID="{5939232C-A123-4B04-814D-72E8971C8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4</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2026-07-24T10:27:00Z</dcterms:created>
  <dcterms:modified xsi:type="dcterms:W3CDTF">2026-08-07T09:48:00Z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